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83820</wp:posOffset>
            </wp:positionV>
            <wp:extent cx="264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41"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108585</wp:posOffset>
            </wp:positionV>
            <wp:extent cx="2640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99"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1066" w:right="339" w:bottom="0" w:gutter="0" w:footer="0" w:header="0"/>
        </w:sectPr>
      </w:pPr>
    </w:p>
    <w:p>
      <w:pPr>
        <w:spacing w:after="0" w:line="48"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480" w:space="720"/>
            <w:col w:w="4040"/>
          </w:cols>
          <w:pgMar w:left="320" w:top="1066" w:right="3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100330</wp:posOffset>
            </wp:positionV>
            <wp:extent cx="3960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ectPr>
          <w:pgSz w:w="11900" w:h="16838" w:orient="portrait"/>
          <w:cols w:equalWidth="0" w:num="1">
            <w:col w:w="11240"/>
          </w:cols>
          <w:pgMar w:left="320" w:top="1066" w:right="339" w:bottom="0" w:gutter="0" w:footer="0" w:header="0"/>
          <w:type w:val="continuous"/>
        </w:sect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Group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96520</wp:posOffset>
            </wp:positionV>
            <wp:extent cx="3960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ectPr>
          <w:pgSz w:w="11900" w:h="16838" w:orient="portrait"/>
          <w:cols w:equalWidth="0" w:num="1">
            <w:col w:w="11240"/>
          </w:cols>
          <w:pgMar w:left="320" w:top="1066" w:right="339" w:bottom="0" w:gutter="0" w:footer="0" w:header="0"/>
          <w:type w:val="continuous"/>
        </w:sectPr>
      </w:pPr>
    </w:p>
    <w:p>
      <w:pPr>
        <w:spacing w:after="0" w:line="200" w:lineRule="exact"/>
        <w:rPr>
          <w:sz w:val="24"/>
          <w:szCs w:val="24"/>
          <w:color w:val="auto"/>
        </w:rPr>
      </w:pPr>
    </w:p>
    <w:p>
      <w:pPr>
        <w:spacing w:after="0" w:line="366"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75-1825172</w:t>
      </w:r>
    </w:p>
    <w:p>
      <w:pPr>
        <w:spacing w:after="0" w:line="109" w:lineRule="exact"/>
        <w:rPr>
          <w:sz w:val="24"/>
          <w:szCs w:val="24"/>
          <w:color w:val="auto"/>
        </w:rPr>
      </w:pPr>
    </w:p>
    <w:p>
      <w:pPr>
        <w:sectPr>
          <w:pgSz w:w="11900" w:h="16838" w:orient="portrait"/>
          <w:cols w:equalWidth="0" w:num="2">
            <w:col w:w="6640" w:space="720"/>
            <w:col w:w="3880"/>
          </w:cols>
          <w:pgMar w:left="320" w:top="1066" w:right="339" w:bottom="0" w:gutter="0" w:footer="0" w:header="0"/>
          <w:type w:val="continuous"/>
        </w:sectPr>
      </w:pPr>
    </w:p>
    <w:p>
      <w:pPr>
        <w:ind w:left="8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Arial" w:cs="Arial" w:eastAsia="Arial" w:hAnsi="Arial"/>
          <w:sz w:val="14"/>
          <w:szCs w:val="14"/>
          <w:color w:val="auto"/>
        </w:rPr>
        <w:t>(I.R.S. Employer Identification No.)</w:t>
      </w:r>
    </w:p>
    <w:p>
      <w:pPr>
        <w:spacing w:after="0" w:line="86" w:lineRule="exact"/>
        <w:rPr>
          <w:sz w:val="24"/>
          <w:szCs w:val="24"/>
          <w:color w:val="auto"/>
        </w:rPr>
      </w:pPr>
    </w:p>
    <w:p>
      <w:pPr>
        <w:sectPr>
          <w:pgSz w:w="11900" w:h="16838" w:orient="portrait"/>
          <w:cols w:equalWidth="0" w:num="2">
            <w:col w:w="5960" w:space="720"/>
            <w:col w:w="4560"/>
          </w:cols>
          <w:pgMar w:left="320" w:top="1066" w:right="339" w:bottom="0" w:gutter="0" w:footer="0" w:header="0"/>
          <w:type w:val="continuous"/>
        </w:sectPr>
      </w:pPr>
    </w:p>
    <w:p>
      <w:pPr>
        <w:ind w:left="1340"/>
        <w:spacing w:after="0"/>
        <w:tabs>
          <w:tab w:leader="none" w:pos="3820" w:val="left"/>
          <w:tab w:leader="none" w:pos="4480" w:val="left"/>
        </w:tabs>
        <w:rPr>
          <w:sz w:val="20"/>
          <w:szCs w:val="20"/>
          <w:color w:val="auto"/>
        </w:rPr>
      </w:pPr>
      <w:r>
        <w:rPr>
          <w:rFonts w:ascii="Arial" w:cs="Arial" w:eastAsia="Arial" w:hAnsi="Arial"/>
          <w:sz w:val="16"/>
          <w:szCs w:val="16"/>
          <w:b w:val="1"/>
          <w:bCs w:val="1"/>
          <w:color w:val="auto"/>
        </w:rPr>
        <w:t>1 Skyview Drive, Fort Worth,</w:t>
      </w:r>
      <w:r>
        <w:rPr>
          <w:sz w:val="20"/>
          <w:szCs w:val="20"/>
          <w:color w:val="auto"/>
        </w:rPr>
        <w:tab/>
      </w:r>
      <w:r>
        <w:rPr>
          <w:rFonts w:ascii="Arial" w:cs="Arial" w:eastAsia="Arial" w:hAnsi="Arial"/>
          <w:sz w:val="16"/>
          <w:szCs w:val="16"/>
          <w:b w:val="1"/>
          <w:bCs w:val="1"/>
          <w:color w:val="auto"/>
        </w:rPr>
        <w:t>Texas</w:t>
      </w:r>
      <w:r>
        <w:rPr>
          <w:sz w:val="20"/>
          <w:szCs w:val="20"/>
          <w:color w:val="auto"/>
        </w:rPr>
        <w:tab/>
      </w:r>
      <w:r>
        <w:rPr>
          <w:rFonts w:ascii="Arial" w:cs="Arial" w:eastAsia="Arial" w:hAnsi="Arial"/>
          <w:sz w:val="15"/>
          <w:szCs w:val="15"/>
          <w:b w:val="1"/>
          <w:bCs w:val="1"/>
          <w:color w:val="auto"/>
        </w:rPr>
        <w:t>76155</w:t>
      </w:r>
    </w:p>
    <w:p>
      <w:pPr>
        <w:spacing w:after="0" w:line="20" w:lineRule="exact"/>
        <w:rPr>
          <w:sz w:val="24"/>
          <w:szCs w:val="24"/>
          <w:color w:val="auto"/>
        </w:rPr>
      </w:pPr>
      <w:r>
        <w:rPr>
          <w:sz w:val="24"/>
          <w:szCs w:val="24"/>
          <w:color w:val="auto"/>
        </w:rPr>
        <w:br w:type="column"/>
      </w:r>
    </w:p>
    <w:p>
      <w:pPr>
        <w:jc w:val="center"/>
        <w:ind w:right="2720"/>
        <w:spacing w:after="0"/>
        <w:rPr>
          <w:sz w:val="20"/>
          <w:szCs w:val="20"/>
          <w:color w:val="auto"/>
        </w:rPr>
      </w:pPr>
      <w:r>
        <w:rPr>
          <w:rFonts w:ascii="Arial" w:cs="Arial" w:eastAsia="Arial" w:hAnsi="Arial"/>
          <w:sz w:val="16"/>
          <w:szCs w:val="16"/>
          <w:b w:val="1"/>
          <w:bCs w:val="1"/>
          <w:color w:val="auto"/>
        </w:rPr>
        <w:t>(817) 963-1234</w:t>
      </w:r>
    </w:p>
    <w:p>
      <w:pPr>
        <w:spacing w:after="0" w:line="109" w:lineRule="exact"/>
        <w:rPr>
          <w:sz w:val="24"/>
          <w:szCs w:val="24"/>
          <w:color w:val="auto"/>
        </w:rPr>
      </w:pPr>
    </w:p>
    <w:p>
      <w:pPr>
        <w:sectPr>
          <w:pgSz w:w="11900" w:h="16838" w:orient="portrait"/>
          <w:cols w:equalWidth="0" w:num="2">
            <w:col w:w="6680" w:space="720"/>
            <w:col w:w="3840"/>
          </w:cols>
          <w:pgMar w:left="320" w:top="1066" w:right="339" w:bottom="0" w:gutter="0" w:footer="0" w:header="0"/>
          <w:type w:val="continuous"/>
        </w:sectPr>
      </w:pPr>
    </w:p>
    <w:p>
      <w:pPr>
        <w:ind w:left="84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ectPr>
          <w:pgSz w:w="11900" w:h="16838" w:orient="portrait"/>
          <w:cols w:equalWidth="0" w:num="2">
            <w:col w:w="5380" w:space="720"/>
            <w:col w:w="5140"/>
          </w:cols>
          <w:pgMar w:left="320" w:top="1066" w:right="339" w:bottom="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100330</wp:posOffset>
            </wp:positionV>
            <wp:extent cx="3960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ectPr>
          <w:pgSz w:w="11900" w:h="16838" w:orient="portrait"/>
          <w:cols w:equalWidth="0" w:num="1">
            <w:col w:w="11240"/>
          </w:cols>
          <w:pgMar w:left="320" w:top="1066" w:right="339" w:bottom="0" w:gutter="0" w:footer="0" w:header="0"/>
          <w:type w:val="continuous"/>
        </w:sect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96520</wp:posOffset>
            </wp:positionV>
            <wp:extent cx="3960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jc w:val="center"/>
              <w:ind w:left="1562"/>
              <w:spacing w:after="0"/>
              <w:rPr>
                <w:sz w:val="20"/>
                <w:szCs w:val="20"/>
                <w:color w:val="auto"/>
              </w:rPr>
            </w:pPr>
            <w:r>
              <w:rPr>
                <w:rFonts w:ascii="Arial" w:cs="Arial" w:eastAsia="Arial" w:hAnsi="Arial"/>
                <w:sz w:val="16"/>
                <w:szCs w:val="16"/>
                <w:b w:val="1"/>
                <w:bCs w:val="1"/>
                <w:color w:val="auto"/>
              </w:rPr>
              <w:t>Delaware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20" w:type="dxa"/>
            <w:vAlign w:val="bottom"/>
            <w:gridSpan w:val="3"/>
          </w:tcPr>
          <w:p>
            <w:pPr>
              <w:jc w:val="center"/>
              <w:ind w:right="2199"/>
              <w:spacing w:after="0"/>
              <w:rPr>
                <w:sz w:val="20"/>
                <w:szCs w:val="20"/>
                <w:color w:val="auto"/>
              </w:rPr>
            </w:pPr>
            <w:r>
              <w:rPr>
                <w:rFonts w:ascii="Arial" w:cs="Arial" w:eastAsia="Arial" w:hAnsi="Arial"/>
                <w:sz w:val="16"/>
                <w:szCs w:val="16"/>
                <w:b w:val="1"/>
                <w:bCs w:val="1"/>
                <w:color w:val="auto"/>
              </w:rPr>
              <w:t>13-1502798</w:t>
            </w:r>
          </w:p>
        </w:tc>
        <w:tc>
          <w:tcPr>
            <w:tcW w:w="0" w:type="dxa"/>
            <w:vAlign w:val="bottom"/>
          </w:tcPr>
          <w:p>
            <w:pPr>
              <w:spacing w:after="0"/>
              <w:rPr>
                <w:sz w:val="1"/>
                <w:szCs w:val="1"/>
                <w:color w:val="auto"/>
              </w:rPr>
            </w:pPr>
          </w:p>
        </w:tc>
      </w:tr>
      <w:tr>
        <w:trPr>
          <w:trHeight w:val="251"/>
        </w:trPr>
        <w:tc>
          <w:tcPr>
            <w:tcW w:w="5040" w:type="dxa"/>
            <w:vAlign w:val="bottom"/>
            <w:gridSpan w:val="4"/>
          </w:tcPr>
          <w:p>
            <w:pPr>
              <w:jc w:val="center"/>
              <w:ind w:left="242"/>
              <w:spacing w:after="0"/>
              <w:rPr>
                <w:sz w:val="20"/>
                <w:szCs w:val="20"/>
                <w:color w:val="auto"/>
              </w:rPr>
            </w:pPr>
            <w:r>
              <w:rPr>
                <w:rFonts w:ascii="Arial" w:cs="Arial" w:eastAsia="Arial" w:hAnsi="Arial"/>
                <w:sz w:val="14"/>
                <w:szCs w:val="14"/>
                <w:color w:val="auto"/>
              </w:rPr>
              <w:t>(State or other jurisdiction of incorporation or organization)</w:t>
            </w:r>
          </w:p>
        </w:tc>
        <w:tc>
          <w:tcPr>
            <w:tcW w:w="1580" w:type="dxa"/>
            <w:vAlign w:val="bottom"/>
          </w:tcPr>
          <w:p>
            <w:pPr>
              <w:spacing w:after="0"/>
              <w:rPr>
                <w:sz w:val="21"/>
                <w:szCs w:val="21"/>
                <w:color w:val="auto"/>
              </w:rPr>
            </w:pPr>
          </w:p>
        </w:tc>
        <w:tc>
          <w:tcPr>
            <w:tcW w:w="4620" w:type="dxa"/>
            <w:vAlign w:val="bottom"/>
            <w:gridSpan w:val="3"/>
            <w:vMerge w:val="restart"/>
          </w:tcPr>
          <w:p>
            <w:pPr>
              <w:jc w:val="center"/>
              <w:ind w:right="2199"/>
              <w:spacing w:after="0"/>
              <w:rPr>
                <w:sz w:val="20"/>
                <w:szCs w:val="20"/>
                <w:color w:val="auto"/>
              </w:rPr>
            </w:pPr>
            <w:r>
              <w:rPr>
                <w:rFonts w:ascii="Arial" w:cs="Arial" w:eastAsia="Arial" w:hAnsi="Arial"/>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720" w:type="dxa"/>
            <w:vAlign w:val="bottom"/>
          </w:tcPr>
          <w:p>
            <w:pPr>
              <w:ind w:left="1340"/>
              <w:spacing w:after="0"/>
              <w:rPr>
                <w:sz w:val="20"/>
                <w:szCs w:val="20"/>
                <w:color w:val="auto"/>
              </w:rPr>
            </w:pPr>
            <w:r>
              <w:rPr>
                <w:rFonts w:ascii="Arial" w:cs="Arial" w:eastAsia="Arial" w:hAnsi="Arial"/>
                <w:sz w:val="16"/>
                <w:szCs w:val="16"/>
                <w:b w:val="1"/>
                <w:bCs w:val="1"/>
                <w:color w:val="auto"/>
              </w:rPr>
              <w:t>1 Skyview Drive, Fort Worth,</w:t>
            </w: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Texas  76155</w:t>
            </w:r>
          </w:p>
        </w:tc>
        <w:tc>
          <w:tcPr>
            <w:tcW w:w="1580" w:type="dxa"/>
            <w:vAlign w:val="bottom"/>
          </w:tcPr>
          <w:p>
            <w:pPr>
              <w:spacing w:after="0"/>
              <w:rPr>
                <w:sz w:val="20"/>
                <w:szCs w:val="20"/>
                <w:color w:val="auto"/>
              </w:rPr>
            </w:pPr>
          </w:p>
        </w:tc>
        <w:tc>
          <w:tcPr>
            <w:tcW w:w="4620" w:type="dxa"/>
            <w:vAlign w:val="bottom"/>
            <w:gridSpan w:val="3"/>
          </w:tcPr>
          <w:p>
            <w:pPr>
              <w:jc w:val="right"/>
              <w:ind w:right="2639"/>
              <w:spacing w:after="0"/>
              <w:rPr>
                <w:sz w:val="20"/>
                <w:szCs w:val="20"/>
                <w:color w:val="auto"/>
              </w:rPr>
            </w:pPr>
            <w:r>
              <w:rPr>
                <w:rFonts w:ascii="Arial" w:cs="Arial" w:eastAsia="Arial" w:hAnsi="Arial"/>
                <w:sz w:val="16"/>
                <w:szCs w:val="16"/>
                <w:b w:val="1"/>
                <w:bCs w:val="1"/>
                <w:color w:val="auto"/>
              </w:rPr>
              <w:t>(817) 963-1234</w:t>
            </w:r>
          </w:p>
        </w:tc>
        <w:tc>
          <w:tcPr>
            <w:tcW w:w="0" w:type="dxa"/>
            <w:vAlign w:val="bottom"/>
          </w:tcPr>
          <w:p>
            <w:pPr>
              <w:spacing w:after="0"/>
              <w:rPr>
                <w:sz w:val="1"/>
                <w:szCs w:val="1"/>
                <w:color w:val="auto"/>
              </w:rPr>
            </w:pPr>
          </w:p>
        </w:tc>
      </w:tr>
      <w:tr>
        <w:trPr>
          <w:trHeight w:val="251"/>
        </w:trPr>
        <w:tc>
          <w:tcPr>
            <w:tcW w:w="5040" w:type="dxa"/>
            <w:vAlign w:val="bottom"/>
            <w:gridSpan w:val="4"/>
          </w:tcPr>
          <w:p>
            <w:pPr>
              <w:jc w:val="center"/>
              <w:ind w:left="242"/>
              <w:spacing w:after="0"/>
              <w:rPr>
                <w:sz w:val="20"/>
                <w:szCs w:val="20"/>
                <w:color w:val="auto"/>
              </w:rPr>
            </w:pPr>
            <w:r>
              <w:rPr>
                <w:rFonts w:ascii="Arial" w:cs="Arial" w:eastAsia="Arial" w:hAnsi="Arial"/>
                <w:sz w:val="14"/>
                <w:szCs w:val="14"/>
                <w:color w:val="auto"/>
              </w:rPr>
              <w:t>(Address of principal executive offices, including zip code)</w:t>
            </w:r>
          </w:p>
        </w:tc>
        <w:tc>
          <w:tcPr>
            <w:tcW w:w="6200" w:type="dxa"/>
            <w:vAlign w:val="bottom"/>
            <w:gridSpan w:val="4"/>
          </w:tcPr>
          <w:p>
            <w:pPr>
              <w:jc w:val="center"/>
              <w:ind w:right="619"/>
              <w:spacing w:after="0"/>
              <w:rPr>
                <w:sz w:val="20"/>
                <w:szCs w:val="20"/>
                <w:color w:val="auto"/>
              </w:rPr>
            </w:pPr>
            <w:r>
              <w:rPr>
                <w:rFonts w:ascii="Arial" w:cs="Arial" w:eastAsia="Arial" w:hAnsi="Arial"/>
                <w:sz w:val="14"/>
                <w:szCs w:val="14"/>
                <w:color w:val="auto"/>
              </w:rPr>
              <w:t>(Registrant’s telephone number, including area code)</w:t>
            </w:r>
          </w:p>
        </w:tc>
        <w:tc>
          <w:tcPr>
            <w:tcW w:w="0" w:type="dxa"/>
            <w:vAlign w:val="bottom"/>
          </w:tcPr>
          <w:p>
            <w:pPr>
              <w:spacing w:after="0"/>
              <w:rPr>
                <w:sz w:val="1"/>
                <w:szCs w:val="1"/>
                <w:color w:val="auto"/>
              </w:rPr>
            </w:pPr>
          </w:p>
        </w:tc>
      </w:tr>
      <w:tr>
        <w:trPr>
          <w:trHeight w:val="424"/>
        </w:trPr>
        <w:tc>
          <w:tcPr>
            <w:tcW w:w="5040" w:type="dxa"/>
            <w:vAlign w:val="bottom"/>
            <w:gridSpan w:val="4"/>
          </w:tcPr>
          <w:p>
            <w:pPr>
              <w:ind w:left="180"/>
              <w:spacing w:after="0"/>
              <w:rPr>
                <w:sz w:val="20"/>
                <w:szCs w:val="20"/>
                <w:color w:val="auto"/>
              </w:rPr>
            </w:pPr>
            <w:r>
              <w:rPr>
                <w:rFonts w:ascii="Arial" w:cs="Arial" w:eastAsia="Arial" w:hAnsi="Arial"/>
                <w:sz w:val="16"/>
                <w:szCs w:val="16"/>
                <w:color w:val="auto"/>
              </w:rPr>
              <w:t>Securities registered pursuant to Section 12(b) of the Act:</w:t>
            </w: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72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b w:val="1"/>
                <w:bCs w:val="1"/>
                <w:color w:val="auto"/>
              </w:rPr>
              <w:t>Title of each class</w:t>
            </w:r>
          </w:p>
        </w:tc>
        <w:tc>
          <w:tcPr>
            <w:tcW w:w="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23"/>
        </w:trPr>
        <w:tc>
          <w:tcPr>
            <w:tcW w:w="3720" w:type="dxa"/>
            <w:vAlign w:val="bottom"/>
          </w:tcPr>
          <w:p>
            <w:pPr>
              <w:jc w:val="center"/>
              <w:ind w:left="162"/>
              <w:spacing w:after="0"/>
              <w:rPr>
                <w:sz w:val="20"/>
                <w:szCs w:val="20"/>
                <w:color w:val="auto"/>
              </w:rPr>
            </w:pPr>
            <w:r>
              <w:rPr>
                <w:rFonts w:ascii="Arial" w:cs="Arial" w:eastAsia="Arial" w:hAnsi="Arial"/>
                <w:sz w:val="16"/>
                <w:szCs w:val="16"/>
                <w:b w:val="1"/>
                <w:bCs w:val="1"/>
                <w:color w:val="auto"/>
              </w:rPr>
              <w:t>Common Stock, $0.01 par value per share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7"/>
              </w:rPr>
              <w:t>AAL</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40"/>
          </w:cols>
          <w:pgMar w:left="320" w:top="1066" w:right="339" w:bottom="0" w:gutter="0" w:footer="0" w:header="0"/>
          <w:type w:val="continuous"/>
        </w:sectPr>
      </w:pPr>
    </w:p>
    <w:p>
      <w:pPr>
        <w:spacing w:after="0" w:line="147"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9"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ind w:firstLine="162"/>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ectPr>
          <w:pgSz w:w="11900" w:h="16838" w:orient="portrait"/>
          <w:cols w:equalWidth="0" w:num="1">
            <w:col w:w="11240"/>
          </w:cols>
          <w:pgMar w:left="320" w:top="1066" w:right="339" w:bottom="0" w:gutter="0" w:footer="0" w:header="0"/>
          <w:type w:val="continuous"/>
        </w:sectPr>
      </w:pPr>
    </w:p>
    <w:p>
      <w:pPr>
        <w:spacing w:after="0" w:line="141"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Group Inc.</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9"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8640" w:space="720"/>
            <w:col w:w="140" w:space="460"/>
            <w:col w:w="260" w:space="160"/>
            <w:col w:w="160" w:space="460"/>
            <w:col w:w="240"/>
          </w:cols>
          <w:pgMar w:left="320" w:top="1066" w:right="339" w:bottom="0" w:gutter="0" w:footer="0" w:header="0"/>
          <w:type w:val="continuous"/>
        </w:sectPr>
      </w:pPr>
    </w:p>
    <w:p>
      <w:pPr>
        <w:jc w:val="both"/>
        <w:ind w:firstLine="162"/>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066" w:right="339" w:bottom="0" w:gutter="0" w:footer="0" w:header="0"/>
          <w:type w:val="continuous"/>
        </w:sectPr>
      </w:pPr>
    </w:p>
    <w:p>
      <w:pPr>
        <w:spacing w:after="0" w:line="193" w:lineRule="exact"/>
        <w:rPr>
          <w:sz w:val="24"/>
          <w:szCs w:val="24"/>
          <w:color w:val="auto"/>
        </w:rPr>
      </w:pPr>
    </w:p>
    <w:p>
      <w:pPr>
        <w:ind w:left="40"/>
        <w:spacing w:after="0"/>
        <w:rPr>
          <w:sz w:val="20"/>
          <w:szCs w:val="20"/>
          <w:color w:val="auto"/>
        </w:rPr>
      </w:pPr>
      <w:r>
        <w:rPr>
          <w:rFonts w:ascii="Arial" w:cs="Arial" w:eastAsia="Arial" w:hAnsi="Arial"/>
          <w:sz w:val="12"/>
          <w:szCs w:val="12"/>
          <w:color w:val="auto"/>
        </w:rPr>
        <w:t>American Airlines Group Inc.</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104" w:lineRule="exact"/>
        <w:rPr>
          <w:sz w:val="24"/>
          <w:szCs w:val="24"/>
          <w:color w:val="auto"/>
        </w:rPr>
      </w:pPr>
    </w:p>
    <w:p>
      <w:pPr>
        <w:sectPr>
          <w:pgSz w:w="11900" w:h="16838" w:orient="portrait"/>
          <w:cols w:equalWidth="0" w:num="11">
            <w:col w:w="1640" w:space="320"/>
            <w:col w:w="160" w:space="60"/>
            <w:col w:w="1240" w:space="340"/>
            <w:col w:w="160" w:space="80"/>
            <w:col w:w="900" w:space="340"/>
            <w:col w:w="160" w:space="180"/>
            <w:col w:w="1160" w:space="280"/>
            <w:col w:w="160" w:space="60"/>
            <w:col w:w="1500" w:space="400"/>
            <w:col w:w="160" w:space="60"/>
            <w:col w:w="1880"/>
          </w:cols>
          <w:pgMar w:left="320" w:top="1066" w:right="339" w:bottom="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2"/>
          <w:szCs w:val="12"/>
          <w:color w:val="auto"/>
        </w:rPr>
        <w:t>American Airlines, Inc.</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0" w:lineRule="exact"/>
        <w:rPr>
          <w:sz w:val="24"/>
          <w:szCs w:val="24"/>
          <w:color w:val="auto"/>
        </w:rPr>
      </w:pPr>
    </w:p>
    <w:p>
      <w:pPr>
        <w:sectPr>
          <w:pgSz w:w="11900" w:h="16838" w:orient="portrait"/>
          <w:cols w:equalWidth="0" w:num="11">
            <w:col w:w="1280" w:space="680"/>
            <w:col w:w="160" w:space="60"/>
            <w:col w:w="1240" w:space="340"/>
            <w:col w:w="160" w:space="80"/>
            <w:col w:w="900" w:space="340"/>
            <w:col w:w="160" w:space="180"/>
            <w:col w:w="1160" w:space="280"/>
            <w:col w:w="160" w:space="60"/>
            <w:col w:w="1500" w:space="400"/>
            <w:col w:w="160" w:space="60"/>
            <w:col w:w="1880"/>
          </w:cols>
          <w:pgMar w:left="320" w:top="1066" w:right="339" w:bottom="0" w:gutter="0" w:footer="0" w:header="0"/>
          <w:type w:val="continuous"/>
        </w:sectPr>
      </w:pPr>
    </w:p>
    <w:p>
      <w:pPr>
        <w:spacing w:after="0" w:line="264" w:lineRule="exact"/>
        <w:rPr>
          <w:sz w:val="24"/>
          <w:szCs w:val="24"/>
          <w:color w:val="auto"/>
        </w:rPr>
      </w:pPr>
    </w:p>
    <w:p>
      <w:pPr>
        <w:ind w:firstLine="162"/>
        <w:spacing w:after="0" w:line="260"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60"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8780" w:type="dxa"/>
            <w:vAlign w:val="bottom"/>
          </w:tcPr>
          <w:p>
            <w:pPr>
              <w:spacing w:after="0"/>
              <w:rPr>
                <w:sz w:val="20"/>
                <w:szCs w:val="20"/>
                <w:color w:val="auto"/>
              </w:rPr>
            </w:pPr>
            <w:r>
              <w:rPr>
                <w:rFonts w:ascii="Arial" w:cs="Arial" w:eastAsia="Arial" w:hAnsi="Arial"/>
                <w:sz w:val="16"/>
                <w:szCs w:val="16"/>
                <w:color w:val="auto"/>
              </w:rPr>
              <w:t>American Airlines Group Inc.</w:t>
            </w:r>
          </w:p>
        </w:tc>
        <w:tc>
          <w:tcPr>
            <w:tcW w:w="880" w:type="dxa"/>
            <w:vAlign w:val="bottom"/>
          </w:tcPr>
          <w:p>
            <w:pPr>
              <w:spacing w:after="0"/>
              <w:rPr>
                <w:sz w:val="23"/>
                <w:szCs w:val="23"/>
                <w:color w:val="auto"/>
              </w:rPr>
            </w:pPr>
          </w:p>
        </w:tc>
        <w:tc>
          <w:tcPr>
            <w:tcW w:w="6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83"/>
        </w:trPr>
        <w:tc>
          <w:tcPr>
            <w:tcW w:w="8780" w:type="dxa"/>
            <w:vAlign w:val="bottom"/>
          </w:tcPr>
          <w:p>
            <w:pPr>
              <w:spacing w:after="0"/>
              <w:rPr>
                <w:sz w:val="20"/>
                <w:szCs w:val="20"/>
                <w:color w:val="auto"/>
              </w:rPr>
            </w:pPr>
            <w:r>
              <w:rPr>
                <w:rFonts w:ascii="Arial" w:cs="Arial" w:eastAsia="Arial" w:hAnsi="Arial"/>
                <w:sz w:val="16"/>
                <w:szCs w:val="16"/>
                <w:color w:val="auto"/>
              </w:rPr>
              <w:t>American Airlines, Inc.</w:t>
            </w:r>
          </w:p>
        </w:tc>
        <w:tc>
          <w:tcPr>
            <w:tcW w:w="880" w:type="dxa"/>
            <w:vAlign w:val="bottom"/>
          </w:tcPr>
          <w:p>
            <w:pPr>
              <w:spacing w:after="0"/>
              <w:rPr>
                <w:sz w:val="24"/>
                <w:szCs w:val="24"/>
                <w:color w:val="auto"/>
              </w:rPr>
            </w:pPr>
          </w:p>
        </w:tc>
        <w:tc>
          <w:tcPr>
            <w:tcW w:w="6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52"/>
        </w:trPr>
        <w:tc>
          <w:tcPr>
            <w:tcW w:w="8780" w:type="dxa"/>
            <w:vAlign w:val="bottom"/>
          </w:tcPr>
          <w:p>
            <w:pPr>
              <w:ind w:left="1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9"/>
        </w:trPr>
        <w:tc>
          <w:tcPr>
            <w:tcW w:w="8780" w:type="dxa"/>
            <w:vAlign w:val="bottom"/>
          </w:tcPr>
          <w:p>
            <w:pPr>
              <w:spacing w:after="0"/>
              <w:rPr>
                <w:sz w:val="20"/>
                <w:szCs w:val="20"/>
                <w:color w:val="auto"/>
              </w:rPr>
            </w:pPr>
            <w:r>
              <w:rPr>
                <w:rFonts w:ascii="Arial" w:cs="Arial" w:eastAsia="Arial" w:hAnsi="Arial"/>
                <w:sz w:val="16"/>
                <w:szCs w:val="16"/>
                <w:color w:val="auto"/>
              </w:rPr>
              <w:t>American Airlines Group Inc.</w:t>
            </w:r>
          </w:p>
        </w:tc>
        <w:tc>
          <w:tcPr>
            <w:tcW w:w="8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color w:val="auto"/>
              </w:rPr>
              <w:t>Yes</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40" w:type="dxa"/>
            <w:vAlign w:val="bottom"/>
          </w:tcPr>
          <w:p>
            <w:pPr>
              <w:ind w:left="220"/>
              <w:spacing w:after="0"/>
              <w:rPr>
                <w:sz w:val="20"/>
                <w:szCs w:val="20"/>
                <w:color w:val="auto"/>
              </w:rPr>
            </w:pPr>
            <w:r>
              <w:rPr>
                <w:rFonts w:ascii="Arial" w:cs="Arial" w:eastAsia="Arial" w:hAnsi="Arial"/>
                <w:sz w:val="16"/>
                <w:szCs w:val="16"/>
                <w:color w:val="auto"/>
                <w:w w:val="97"/>
              </w:rPr>
              <w:t>No</w:t>
            </w:r>
          </w:p>
        </w:tc>
      </w:tr>
      <w:tr>
        <w:trPr>
          <w:trHeight w:val="270"/>
        </w:trPr>
        <w:tc>
          <w:tcPr>
            <w:tcW w:w="8780" w:type="dxa"/>
            <w:vAlign w:val="bottom"/>
          </w:tcPr>
          <w:p>
            <w:pPr>
              <w:spacing w:after="0"/>
              <w:rPr>
                <w:sz w:val="20"/>
                <w:szCs w:val="20"/>
                <w:color w:val="auto"/>
              </w:rPr>
            </w:pPr>
            <w:r>
              <w:rPr>
                <w:rFonts w:ascii="Arial" w:cs="Arial" w:eastAsia="Arial" w:hAnsi="Arial"/>
                <w:sz w:val="16"/>
                <w:szCs w:val="16"/>
                <w:color w:val="auto"/>
              </w:rPr>
              <w:t>American Airlines, Inc.</w:t>
            </w:r>
          </w:p>
        </w:tc>
        <w:tc>
          <w:tcPr>
            <w:tcW w:w="8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600" w:type="dxa"/>
            <w:vAlign w:val="bottom"/>
          </w:tcPr>
          <w:p>
            <w:pPr>
              <w:ind w:left="260"/>
              <w:spacing w:after="0"/>
              <w:rPr>
                <w:sz w:val="20"/>
                <w:szCs w:val="20"/>
                <w:color w:val="auto"/>
              </w:rPr>
            </w:pPr>
            <w:r>
              <w:rPr>
                <w:rFonts w:ascii="Arial" w:cs="Arial" w:eastAsia="Arial" w:hAnsi="Arial"/>
                <w:sz w:val="16"/>
                <w:szCs w:val="16"/>
                <w:color w:val="auto"/>
              </w:rPr>
              <w:t>Yes</w:t>
            </w:r>
          </w:p>
        </w:tc>
        <w:tc>
          <w:tcPr>
            <w:tcW w:w="4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40" w:type="dxa"/>
            <w:vAlign w:val="bottom"/>
          </w:tcPr>
          <w:p>
            <w:pPr>
              <w:ind w:left="220"/>
              <w:spacing w:after="0"/>
              <w:rPr>
                <w:sz w:val="20"/>
                <w:szCs w:val="20"/>
                <w:color w:val="auto"/>
              </w:rPr>
            </w:pPr>
            <w:r>
              <w:rPr>
                <w:rFonts w:ascii="Arial" w:cs="Arial" w:eastAsia="Arial" w:hAnsi="Arial"/>
                <w:sz w:val="16"/>
                <w:szCs w:val="16"/>
                <w:color w:val="auto"/>
                <w:w w:val="97"/>
              </w:rPr>
              <w:t>No</w:t>
            </w:r>
          </w:p>
        </w:tc>
      </w:tr>
    </w:tbl>
    <w:p>
      <w:pPr>
        <w:sectPr>
          <w:pgSz w:w="11900" w:h="16838" w:orient="portrait"/>
          <w:cols w:equalWidth="0" w:num="1">
            <w:col w:w="11240"/>
          </w:cols>
          <w:pgMar w:left="320" w:top="106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As of April 24, 2020 , there were 422,894,501 shares of American Airlines Group Inc. common stock outstanding.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April 24, 2020 , there were 1,000 shares of American Airlines, Inc. common stock outstanding, all of which were held by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233680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250825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456565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500" w:top="1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Quarterly Period Ended March 31, 2020</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240"/>
          </w:cols>
          <w:pgMar w:left="320" w:top="549" w:right="339" w:bottom="1440" w:gutter="0" w:footer="0" w:header="0"/>
        </w:sectPr>
      </w:pPr>
    </w:p>
    <w:p>
      <w:pPr>
        <w:spacing w:after="0" w:line="36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72" w:lineRule="exact"/>
        <w:rPr>
          <w:sz w:val="20"/>
          <w:szCs w:val="20"/>
          <w:color w:val="auto"/>
        </w:rPr>
      </w:pPr>
    </w:p>
    <w:p>
      <w:pPr>
        <w:ind w:left="40"/>
        <w:spacing w:after="0"/>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Item 1A.</w:t>
      </w:r>
      <w:r>
        <w:rPr>
          <w:sz w:val="20"/>
          <w:szCs w:val="20"/>
          <w:color w:val="auto"/>
        </w:rPr>
        <w:tab/>
      </w:r>
      <w:hyperlink w:anchor="page6">
        <w:r>
          <w:rPr>
            <w:rFonts w:ascii="Arial" w:cs="Arial" w:eastAsia="Arial" w:hAnsi="Arial"/>
            <w:sz w:val="18"/>
            <w:szCs w:val="18"/>
            <w:u w:val="single" w:color="auto"/>
            <w:color w:val="0000EE"/>
          </w:rPr>
          <w:t>Condensed Consolidated Financial Statements of American Airlines Group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 (Loss)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Condensed Consolidated Statements of Stockholders' Equity (Deficit)</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ind w:left="40"/>
        <w:spacing w:after="0"/>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Item 1B.</w:t>
      </w:r>
      <w:r>
        <w:rPr>
          <w:sz w:val="20"/>
          <w:szCs w:val="20"/>
          <w:color w:val="auto"/>
        </w:rPr>
        <w:tab/>
      </w:r>
      <w:hyperlink w:anchor="page26">
        <w:r>
          <w:rPr>
            <w:rFonts w:ascii="Arial" w:cs="Arial" w:eastAsia="Arial" w:hAnsi="Arial"/>
            <w:sz w:val="18"/>
            <w:szCs w:val="18"/>
            <w:u w:val="single" w:color="auto"/>
            <w:color w:val="0000EE"/>
          </w:rPr>
          <w:t>Condensed Consolidated Financial Statements of American Airlines, Inc.</w:t>
        </w:r>
      </w:hyperlink>
    </w:p>
    <w:p>
      <w:pPr>
        <w:spacing w:after="0" w:line="50" w:lineRule="exact"/>
        <w:rPr>
          <w:sz w:val="20"/>
          <w:szCs w:val="20"/>
          <w:color w:val="auto"/>
        </w:rPr>
      </w:pPr>
    </w:p>
    <w:p>
      <w:pPr>
        <w:ind w:left="17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Condensed Consolidated Statements of Operations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Condensed Consolidated Statements of Comprehensive Income (Loss)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Condensed Consolidated Balance Sheets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Condensed Consolidated Statements of Cash Flows</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Condensed Consolidated Statements of Stockholder's Equity</w:t>
        </w:r>
      </w:hyperlink>
    </w:p>
    <w:p>
      <w:pPr>
        <w:spacing w:after="0" w:line="63" w:lineRule="exact"/>
        <w:rPr>
          <w:sz w:val="20"/>
          <w:szCs w:val="20"/>
          <w:color w:val="auto"/>
        </w:rPr>
      </w:pPr>
    </w:p>
    <w:p>
      <w:pPr>
        <w:ind w:left="17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Notes to the Condensed Consolidated Financial Statements</w:t>
        </w:r>
      </w:hyperlink>
    </w:p>
    <w:p>
      <w:pPr>
        <w:spacing w:after="0" w:line="63" w:lineRule="exact"/>
        <w:rPr>
          <w:sz w:val="20"/>
          <w:szCs w:val="20"/>
          <w:color w:val="auto"/>
        </w:rPr>
      </w:pPr>
    </w:p>
    <w:p>
      <w:pPr>
        <w:ind w:left="40"/>
        <w:spacing w:after="0"/>
        <w:tabs>
          <w:tab w:leader="none" w:pos="1700" w:val="left"/>
        </w:tabs>
        <w:rPr>
          <w:rFonts w:ascii="Arial" w:cs="Arial" w:eastAsia="Arial" w:hAnsi="Arial"/>
          <w:sz w:val="17"/>
          <w:szCs w:val="17"/>
          <w:u w:val="single" w:color="auto"/>
          <w:color w:val="0000EE"/>
        </w:rPr>
      </w:pPr>
      <w:r>
        <w:rPr>
          <w:rFonts w:ascii="Arial" w:cs="Arial" w:eastAsia="Arial" w:hAnsi="Arial"/>
          <w:sz w:val="18"/>
          <w:szCs w:val="18"/>
          <w:color w:val="auto"/>
        </w:rPr>
        <w:t>Item 2.</w:t>
      </w:r>
      <w:r>
        <w:rPr>
          <w:sz w:val="20"/>
          <w:szCs w:val="20"/>
          <w:color w:val="auto"/>
        </w:rPr>
        <w:tab/>
      </w:r>
      <w:hyperlink w:anchor="page45">
        <w:r>
          <w:rPr>
            <w:rFonts w:ascii="Arial" w:cs="Arial" w:eastAsia="Arial" w:hAnsi="Arial"/>
            <w:sz w:val="17"/>
            <w:szCs w:val="17"/>
            <w:u w:val="single" w:color="auto"/>
            <w:color w:val="0000EE"/>
          </w:rPr>
          <w:t>Management’s Discussion and Analysis of Financial Condition and Results of Operations</w:t>
        </w:r>
      </w:hyperlink>
    </w:p>
    <w:p>
      <w:pPr>
        <w:spacing w:after="0" w:line="50" w:lineRule="exact"/>
        <w:rPr>
          <w:sz w:val="20"/>
          <w:szCs w:val="20"/>
          <w:color w:val="auto"/>
        </w:rPr>
      </w:pPr>
    </w:p>
    <w:p>
      <w:pPr>
        <w:ind w:left="40"/>
        <w:spacing w:after="0"/>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Item 3.</w:t>
      </w:r>
      <w:r>
        <w:rPr>
          <w:sz w:val="20"/>
          <w:szCs w:val="20"/>
          <w:color w:val="auto"/>
        </w:rPr>
        <w:tab/>
      </w:r>
      <w:hyperlink w:anchor="page64">
        <w:r>
          <w:rPr>
            <w:rFonts w:ascii="Arial" w:cs="Arial" w:eastAsia="Arial" w:hAnsi="Arial"/>
            <w:sz w:val="18"/>
            <w:szCs w:val="18"/>
            <w:u w:val="single" w:color="auto"/>
            <w:color w:val="0000EE"/>
          </w:rPr>
          <w:t>Quantitative and Qualitative Disclosures About Market Risk</w:t>
        </w:r>
      </w:hyperlink>
    </w:p>
    <w:p>
      <w:pPr>
        <w:spacing w:after="0" w:line="50" w:lineRule="exact"/>
        <w:rPr>
          <w:sz w:val="20"/>
          <w:szCs w:val="20"/>
          <w:color w:val="auto"/>
        </w:rPr>
      </w:pPr>
    </w:p>
    <w:p>
      <w:pPr>
        <w:ind w:left="40"/>
        <w:spacing w:after="0"/>
        <w:tabs>
          <w:tab w:leader="none" w:pos="1700" w:val="left"/>
        </w:tabs>
        <w:rPr>
          <w:rFonts w:ascii="Arial" w:cs="Arial" w:eastAsia="Arial" w:hAnsi="Arial"/>
          <w:sz w:val="18"/>
          <w:szCs w:val="18"/>
          <w:u w:val="single" w:color="auto"/>
          <w:color w:val="0000EE"/>
        </w:rPr>
      </w:pPr>
      <w:r>
        <w:rPr>
          <w:rFonts w:ascii="Arial" w:cs="Arial" w:eastAsia="Arial" w:hAnsi="Arial"/>
          <w:sz w:val="18"/>
          <w:szCs w:val="18"/>
          <w:color w:val="auto"/>
        </w:rPr>
        <w:t>Item 4.</w:t>
      </w:r>
      <w:r>
        <w:rPr>
          <w:sz w:val="20"/>
          <w:szCs w:val="20"/>
          <w:color w:val="auto"/>
        </w:rPr>
        <w:tab/>
      </w:r>
      <w:hyperlink w:anchor="page65">
        <w:r>
          <w:rPr>
            <w:rFonts w:ascii="Arial" w:cs="Arial" w:eastAsia="Arial" w:hAnsi="Arial"/>
            <w:sz w:val="18"/>
            <w:szCs w:val="18"/>
            <w:u w:val="single" w:color="auto"/>
            <w:color w:val="0000EE"/>
          </w:rPr>
          <w:t>Controls and Procedures</w:t>
        </w:r>
      </w:hyperlink>
    </w:p>
    <w:p>
      <w:pPr>
        <w:spacing w:after="0" w:line="28"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26035</wp:posOffset>
            </wp:positionV>
            <wp:extent cx="351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0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6</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7</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8</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24</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25</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26</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27</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p>
      <w:pPr>
        <w:spacing w:after="0" w:line="63"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29</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43</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62</w:t>
        </w:r>
      </w:hyperlink>
    </w:p>
    <w:p>
      <w:pPr>
        <w:spacing w:after="0" w:line="50"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p>
      <w:pPr>
        <w:spacing w:after="0" w:line="306" w:lineRule="exact"/>
        <w:rPr>
          <w:sz w:val="20"/>
          <w:szCs w:val="20"/>
          <w:color w:val="auto"/>
        </w:rPr>
      </w:pPr>
    </w:p>
    <w:p>
      <w:pPr>
        <w:sectPr>
          <w:pgSz w:w="11900" w:h="16838" w:orient="portrait"/>
          <w:cols w:equalWidth="0" w:num="2">
            <w:col w:w="10080" w:space="720"/>
            <w:col w:w="44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1460" w:type="dxa"/>
            <w:vAlign w:val="bottom"/>
          </w:tcPr>
          <w:p>
            <w:pPr>
              <w:ind w:left="40"/>
              <w:spacing w:after="0"/>
              <w:rPr>
                <w:sz w:val="20"/>
                <w:szCs w:val="20"/>
                <w:color w:val="auto"/>
              </w:rPr>
            </w:pPr>
            <w:r>
              <w:rPr>
                <w:rFonts w:ascii="Arial" w:cs="Arial" w:eastAsia="Arial" w:hAnsi="Arial"/>
                <w:sz w:val="18"/>
                <w:szCs w:val="18"/>
                <w:color w:val="auto"/>
              </w:rPr>
              <w:t>Item 1.</w:t>
            </w:r>
          </w:p>
        </w:tc>
        <w:tc>
          <w:tcPr>
            <w:tcW w:w="7340" w:type="dxa"/>
            <w:vAlign w:val="bottom"/>
          </w:tcPr>
          <w:p>
            <w:pPr>
              <w:ind w:left="2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Legal Proceedings</w:t>
              </w:r>
            </w:hyperlink>
          </w:p>
        </w:tc>
        <w:tc>
          <w:tcPr>
            <w:tcW w:w="244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r>
      <w:tr>
        <w:trPr>
          <w:trHeight w:val="256"/>
        </w:trPr>
        <w:tc>
          <w:tcPr>
            <w:tcW w:w="1460" w:type="dxa"/>
            <w:vAlign w:val="bottom"/>
          </w:tcPr>
          <w:p>
            <w:pPr>
              <w:ind w:left="40"/>
              <w:spacing w:after="0"/>
              <w:rPr>
                <w:sz w:val="20"/>
                <w:szCs w:val="20"/>
                <w:color w:val="auto"/>
              </w:rPr>
            </w:pPr>
            <w:r>
              <w:rPr>
                <w:rFonts w:ascii="Arial" w:cs="Arial" w:eastAsia="Arial" w:hAnsi="Arial"/>
                <w:sz w:val="18"/>
                <w:szCs w:val="18"/>
                <w:color w:val="auto"/>
              </w:rPr>
              <w:t>Item 1A.</w:t>
            </w:r>
          </w:p>
        </w:tc>
        <w:tc>
          <w:tcPr>
            <w:tcW w:w="7340" w:type="dxa"/>
            <w:vAlign w:val="bottom"/>
          </w:tcPr>
          <w:p>
            <w:pPr>
              <w:ind w:left="2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Risk Factors</w:t>
              </w:r>
            </w:hyperlink>
          </w:p>
        </w:tc>
        <w:tc>
          <w:tcPr>
            <w:tcW w:w="244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65</w:t>
              </w:r>
            </w:hyperlink>
          </w:p>
        </w:tc>
      </w:tr>
      <w:tr>
        <w:trPr>
          <w:trHeight w:val="257"/>
        </w:trPr>
        <w:tc>
          <w:tcPr>
            <w:tcW w:w="1460" w:type="dxa"/>
            <w:vAlign w:val="bottom"/>
          </w:tcPr>
          <w:p>
            <w:pPr>
              <w:ind w:left="40"/>
              <w:spacing w:after="0"/>
              <w:rPr>
                <w:sz w:val="20"/>
                <w:szCs w:val="20"/>
                <w:color w:val="auto"/>
              </w:rPr>
            </w:pPr>
            <w:r>
              <w:rPr>
                <w:rFonts w:ascii="Arial" w:cs="Arial" w:eastAsia="Arial" w:hAnsi="Arial"/>
                <w:sz w:val="18"/>
                <w:szCs w:val="18"/>
                <w:color w:val="auto"/>
              </w:rPr>
              <w:t>Item 2.</w:t>
            </w:r>
          </w:p>
        </w:tc>
        <w:tc>
          <w:tcPr>
            <w:tcW w:w="7340" w:type="dxa"/>
            <w:vAlign w:val="bottom"/>
          </w:tcPr>
          <w:p>
            <w:pPr>
              <w:ind w:left="26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Unregistered Sales of Equity Securities and Use of Proceeds</w:t>
              </w:r>
            </w:hyperlink>
          </w:p>
        </w:tc>
        <w:tc>
          <w:tcPr>
            <w:tcW w:w="244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88</w:t>
              </w:r>
            </w:hyperlink>
          </w:p>
        </w:tc>
      </w:tr>
      <w:tr>
        <w:trPr>
          <w:trHeight w:val="256"/>
        </w:trPr>
        <w:tc>
          <w:tcPr>
            <w:tcW w:w="1460" w:type="dxa"/>
            <w:vAlign w:val="bottom"/>
          </w:tcPr>
          <w:p>
            <w:pPr>
              <w:ind w:left="40"/>
              <w:spacing w:after="0"/>
              <w:rPr>
                <w:sz w:val="20"/>
                <w:szCs w:val="20"/>
                <w:color w:val="auto"/>
              </w:rPr>
            </w:pPr>
            <w:r>
              <w:rPr>
                <w:rFonts w:ascii="Arial" w:cs="Arial" w:eastAsia="Arial" w:hAnsi="Arial"/>
                <w:sz w:val="18"/>
                <w:szCs w:val="18"/>
                <w:color w:val="auto"/>
              </w:rPr>
              <w:t>Item 6.</w:t>
            </w:r>
          </w:p>
        </w:tc>
        <w:tc>
          <w:tcPr>
            <w:tcW w:w="7340" w:type="dxa"/>
            <w:vAlign w:val="bottom"/>
          </w:tcPr>
          <w:p>
            <w:pPr>
              <w:ind w:left="26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Exhibits</w:t>
              </w:r>
            </w:hyperlink>
          </w:p>
        </w:tc>
        <w:tc>
          <w:tcPr>
            <w:tcW w:w="2440" w:type="dxa"/>
            <w:vAlign w:val="bottom"/>
          </w:tcPr>
          <w:p>
            <w:pPr>
              <w:jc w:val="right"/>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88</w:t>
              </w:r>
            </w:hyperlink>
          </w:p>
        </w:tc>
      </w:tr>
      <w:tr>
        <w:trPr>
          <w:trHeight w:val="257"/>
        </w:trPr>
        <w:tc>
          <w:tcPr>
            <w:tcW w:w="1460" w:type="dxa"/>
            <w:vAlign w:val="bottom"/>
          </w:tcPr>
          <w:p>
            <w:pPr>
              <w:ind w:left="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SIGNATURES</w:t>
              </w:r>
            </w:hyperlink>
          </w:p>
        </w:tc>
        <w:tc>
          <w:tcPr>
            <w:tcW w:w="7340" w:type="dxa"/>
            <w:vAlign w:val="bottom"/>
          </w:tcPr>
          <w:p>
            <w:pPr>
              <w:spacing w:after="0"/>
              <w:rPr>
                <w:sz w:val="22"/>
                <w:szCs w:val="22"/>
                <w:color w:val="auto"/>
              </w:rPr>
            </w:pPr>
          </w:p>
        </w:tc>
        <w:tc>
          <w:tcPr>
            <w:tcW w:w="2440" w:type="dxa"/>
            <w:vAlign w:val="bottom"/>
          </w:tcPr>
          <w:p>
            <w:pPr>
              <w:jc w:val="right"/>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90</w:t>
              </w:r>
            </w:hyperlink>
          </w:p>
        </w:tc>
      </w:tr>
      <w:tr>
        <w:trPr>
          <w:trHeight w:val="661"/>
        </w:trPr>
        <w:tc>
          <w:tcPr>
            <w:tcW w:w="1460" w:type="dxa"/>
            <w:vAlign w:val="bottom"/>
          </w:tcPr>
          <w:p>
            <w:pPr>
              <w:spacing w:after="0"/>
              <w:rPr>
                <w:sz w:val="24"/>
                <w:szCs w:val="24"/>
                <w:color w:val="auto"/>
              </w:rPr>
            </w:pPr>
          </w:p>
        </w:tc>
        <w:tc>
          <w:tcPr>
            <w:tcW w:w="7340" w:type="dxa"/>
            <w:vAlign w:val="bottom"/>
          </w:tcPr>
          <w:p>
            <w:pPr>
              <w:ind w:left="4120"/>
              <w:spacing w:after="0"/>
              <w:rPr>
                <w:sz w:val="20"/>
                <w:szCs w:val="20"/>
                <w:color w:val="auto"/>
              </w:rPr>
            </w:pPr>
            <w:r>
              <w:rPr>
                <w:rFonts w:ascii="Arial" w:cs="Arial" w:eastAsia="Arial" w:hAnsi="Arial"/>
                <w:sz w:val="18"/>
                <w:szCs w:val="18"/>
                <w:color w:val="auto"/>
              </w:rPr>
              <w:t>1</w:t>
            </w:r>
          </w:p>
        </w:tc>
        <w:tc>
          <w:tcPr>
            <w:tcW w:w="2440" w:type="dxa"/>
            <w:vAlign w:val="bottom"/>
          </w:tcPr>
          <w:p>
            <w:pPr>
              <w:spacing w:after="0"/>
              <w:rPr>
                <w:sz w:val="24"/>
                <w:szCs w:val="24"/>
                <w:color w:val="auto"/>
              </w:rPr>
            </w:pPr>
          </w:p>
        </w:tc>
      </w:tr>
      <w:tr>
        <w:trPr>
          <w:trHeight w:val="101"/>
        </w:trPr>
        <w:tc>
          <w:tcPr>
            <w:tcW w:w="1460" w:type="dxa"/>
            <w:vAlign w:val="bottom"/>
            <w:tcBorders>
              <w:bottom w:val="single" w:sz="8" w:color="9A9A9A"/>
            </w:tcBorders>
          </w:tcPr>
          <w:p>
            <w:pPr>
              <w:spacing w:after="0"/>
              <w:rPr>
                <w:sz w:val="8"/>
                <w:szCs w:val="8"/>
                <w:color w:val="auto"/>
              </w:rPr>
            </w:pPr>
          </w:p>
        </w:tc>
        <w:tc>
          <w:tcPr>
            <w:tcW w:w="734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General</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report or as of the dates indicated in the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12"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8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63"/>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63"/>
        </w:trPr>
        <w:tc>
          <w:tcPr>
            <w:tcW w:w="77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1080" w:type="dxa"/>
            <w:vAlign w:val="bottom"/>
          </w:tcPr>
          <w:p>
            <w:pPr>
              <w:jc w:val="right"/>
              <w:ind w:right="86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22"/>
                <w:szCs w:val="22"/>
                <w:color w:val="auto"/>
              </w:rPr>
            </w:pP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9,658</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63"/>
        </w:trPr>
        <w:tc>
          <w:tcPr>
            <w:tcW w:w="7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w:t>
            </w:r>
          </w:p>
        </w:tc>
      </w:tr>
      <w:tr>
        <w:trPr>
          <w:trHeight w:val="257"/>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8,515</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10,584</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-1019810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operating expenses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Nonoperating income (expense):</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jc w:val="right"/>
        <w:ind w:right="3720"/>
        <w:spacing w:after="0"/>
        <w:rPr>
          <w:sz w:val="20"/>
          <w:szCs w:val="20"/>
          <w:color w:val="auto"/>
        </w:rPr>
      </w:pPr>
      <w:r>
        <w:rPr>
          <w:rFonts w:ascii="Arial" w:cs="Arial" w:eastAsia="Arial" w:hAnsi="Arial"/>
          <w:sz w:val="18"/>
          <w:szCs w:val="18"/>
          <w:color w:val="auto"/>
        </w:rPr>
        <w:t>Total nonoperating expense, net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(loss) before income taxes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provision (benefit)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 (loss)</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(loss) per common share: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1,726</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3,090</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1,763</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r>
      <w:tr>
        <w:trPr>
          <w:trHeight w:val="250"/>
        </w:trPr>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11,064</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10,209</w:t>
            </w:r>
          </w:p>
        </w:tc>
      </w:tr>
      <w:tr>
        <w:trPr>
          <w:trHeight w:val="243"/>
        </w:trPr>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540"/>
        </w:trPr>
        <w:tc>
          <w:tcPr>
            <w:tcW w:w="6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0"/>
        </w:trPr>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7"/>
        </w:trPr>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w:t>
            </w:r>
          </w:p>
        </w:tc>
      </w:tr>
      <w:tr>
        <w:trPr>
          <w:trHeight w:val="250"/>
        </w:trPr>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7"/>
        </w:trPr>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r>
      <w:tr>
        <w:trPr>
          <w:trHeight w:val="250"/>
        </w:trPr>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-3110865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-2767965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-2425065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-2082165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-1739265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-1396365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-1053465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-710565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-367665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-16510</wp:posOffset>
            </wp:positionV>
            <wp:extent cx="71323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567" w:lineRule="exact"/>
        <w:rPr>
          <w:sz w:val="20"/>
          <w:szCs w:val="20"/>
          <w:color w:val="auto"/>
        </w:rPr>
      </w:pPr>
    </w:p>
    <w:p>
      <w:pPr>
        <w:sectPr>
          <w:pgSz w:w="11900" w:h="16838" w:orient="portrait"/>
          <w:cols w:equalWidth="0" w:num="2">
            <w:col w:w="7000" w:space="720"/>
            <w:col w:w="352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r>
        <w:trPr>
          <w:trHeight w:val="263"/>
        </w:trPr>
        <w:tc>
          <w:tcPr>
            <w:tcW w:w="62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(5.26)</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20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3"/>
        </w:trPr>
        <w:tc>
          <w:tcPr>
            <w:tcW w:w="6200" w:type="dxa"/>
            <w:vAlign w:val="bottom"/>
          </w:tcPr>
          <w:p>
            <w:pPr>
              <w:ind w:left="380"/>
              <w:spacing w:after="0"/>
              <w:rPr>
                <w:sz w:val="20"/>
                <w:szCs w:val="20"/>
                <w:color w:val="auto"/>
              </w:rPr>
            </w:pPr>
            <w:r>
              <w:rPr>
                <w:rFonts w:ascii="Arial" w:cs="Arial" w:eastAsia="Arial" w:hAnsi="Arial"/>
                <w:sz w:val="18"/>
                <w:szCs w:val="18"/>
                <w:color w:val="auto"/>
              </w:rPr>
              <w:t>Basic</w:t>
            </w:r>
          </w:p>
        </w:tc>
        <w:tc>
          <w:tcPr>
            <w:tcW w:w="2060" w:type="dxa"/>
            <w:vAlign w:val="bottom"/>
          </w:tcPr>
          <w:p>
            <w:pPr>
              <w:spacing w:after="0"/>
              <w:rPr>
                <w:sz w:val="22"/>
                <w:szCs w:val="22"/>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425,713</w:t>
            </w:r>
          </w:p>
        </w:tc>
        <w:tc>
          <w:tcPr>
            <w:tcW w:w="60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451,951</w:t>
            </w:r>
          </w:p>
        </w:tc>
      </w:tr>
      <w:tr>
        <w:trPr>
          <w:trHeight w:val="277"/>
        </w:trPr>
        <w:tc>
          <w:tcPr>
            <w:tcW w:w="62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425,713</w:t>
            </w:r>
          </w:p>
        </w:tc>
        <w:tc>
          <w:tcPr>
            <w:tcW w:w="6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453,429</w:t>
            </w:r>
          </w:p>
        </w:tc>
      </w:tr>
      <w:tr>
        <w:trPr>
          <w:trHeight w:val="256"/>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Cash dividends declared per common share</w:t>
            </w: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0.10</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millions)(Unaudited)</w:t>
      </w:r>
    </w:p>
    <w:p>
      <w:pPr>
        <w:spacing w:after="0" w:line="356"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26035</wp:posOffset>
            </wp:positionV>
            <wp:extent cx="22288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0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185</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7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Investments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r>
      <w:tr>
        <w:trPr>
          <w:trHeight w:val="257"/>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106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172</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50"/>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w:t>
            </w: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474</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3,102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3,546</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 and short-term investments</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1,020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1,750</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Aircraft fuel, spare parts and supplies, net</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1,851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Prepaid expenses and other</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650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621</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7,175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8,206</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Flight equipment</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39,305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42,537</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Ground property and equipment</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9,602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9,443</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Equipment purchase deposits</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1,674</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property and equipment, at cost</w:t>
            </w:r>
          </w:p>
        </w:tc>
        <w:tc>
          <w:tcPr>
            <w:tcW w:w="260" w:type="dxa"/>
            <w:vAlign w:val="bottom"/>
          </w:tcPr>
          <w:p>
            <w:pPr>
              <w:spacing w:after="0"/>
              <w:rPr>
                <w:sz w:val="16"/>
                <w:szCs w:val="16"/>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50,647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53,654</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(18,659)</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property and equipment, net</w:t>
            </w:r>
          </w:p>
        </w:tc>
        <w:tc>
          <w:tcPr>
            <w:tcW w:w="260" w:type="dxa"/>
            <w:vAlign w:val="bottom"/>
          </w:tcPr>
          <w:p>
            <w:pPr>
              <w:spacing w:after="0"/>
              <w:rPr>
                <w:sz w:val="16"/>
                <w:szCs w:val="16"/>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34,206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34,995</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Operating lease right-of-use assets</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8,619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8,737</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Other assets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4,091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Intangibles, net of accumulated amortization of $714 and $704, respectively</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2,059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2,084</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Deferred tax asset</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645</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Other assets</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1,193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1,237</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other assets</w:t>
            </w:r>
          </w:p>
        </w:tc>
        <w:tc>
          <w:tcPr>
            <w:tcW w:w="26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8,580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8,057</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7540" w:type="dxa"/>
            <w:vAlign w:val="bottom"/>
            <w:tcBorders>
              <w:bottom w:val="single" w:sz="8" w:color="CCEEFF"/>
            </w:tcBorders>
          </w:tcPr>
          <w:p>
            <w:pPr>
              <w:ind w:left="104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58,580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59,995</w:t>
            </w:r>
          </w:p>
        </w:tc>
        <w:tc>
          <w:tcPr>
            <w:tcW w:w="0" w:type="dxa"/>
            <w:vAlign w:val="bottom"/>
          </w:tcPr>
          <w:p>
            <w:pPr>
              <w:spacing w:after="0"/>
              <w:rPr>
                <w:sz w:val="1"/>
                <w:szCs w:val="1"/>
                <w:color w:val="auto"/>
              </w:rPr>
            </w:pPr>
          </w:p>
        </w:tc>
      </w:tr>
      <w:tr>
        <w:trPr>
          <w:trHeight w:val="255"/>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LIABILITIES AND STOCKHOLDERS’ EQUITY (DEFICIT)</w:t>
            </w:r>
          </w:p>
        </w:tc>
        <w:tc>
          <w:tcPr>
            <w:tcW w:w="2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maturities of long-term debt and finance leases</w:t>
            </w:r>
          </w:p>
        </w:tc>
        <w:tc>
          <w:tcPr>
            <w:tcW w:w="26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3,518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2,861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1,648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2,062</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salaries and wages</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1,633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1,541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Air traffic liability</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5,473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4,808</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Loyalty program liability</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3,094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3,193</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Operating lease liabilities</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1,752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1,708</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accrued liabilities</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2,138</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current liabilities</w:t>
            </w:r>
          </w:p>
        </w:tc>
        <w:tc>
          <w:tcPr>
            <w:tcW w:w="260" w:type="dxa"/>
            <w:vAlign w:val="bottom"/>
          </w:tcPr>
          <w:p>
            <w:pPr>
              <w:spacing w:after="0"/>
              <w:rPr>
                <w:sz w:val="16"/>
                <w:szCs w:val="16"/>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19,213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18,311</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Long-term debt and finance leases, net of current maturities</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21,564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21,454</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and postretirement benefits</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6,107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6,052</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Loyalty program liability</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5,757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5,422</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Operating lease liabilities</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7,239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7,421</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Other liabilities</w:t>
            </w:r>
          </w:p>
        </w:tc>
        <w:tc>
          <w:tcPr>
            <w:tcW w:w="260" w:type="dxa"/>
            <w:vAlign w:val="bottom"/>
          </w:tcPr>
          <w:p>
            <w:pPr>
              <w:spacing w:after="0"/>
              <w:rPr>
                <w:sz w:val="18"/>
                <w:szCs w:val="18"/>
                <w:color w:val="auto"/>
              </w:rPr>
            </w:pPr>
          </w:p>
        </w:tc>
        <w:tc>
          <w:tcPr>
            <w:tcW w:w="1540" w:type="dxa"/>
            <w:vAlign w:val="bottom"/>
            <w:vMerge w:val="restart"/>
          </w:tcPr>
          <w:p>
            <w:pPr>
              <w:jc w:val="right"/>
              <w:ind w:right="44"/>
              <w:spacing w:after="0"/>
              <w:rPr>
                <w:sz w:val="20"/>
                <w:szCs w:val="20"/>
                <w:color w:val="auto"/>
              </w:rPr>
            </w:pPr>
            <w:r>
              <w:rPr>
                <w:rFonts w:ascii="Arial" w:cs="Arial" w:eastAsia="Arial" w:hAnsi="Arial"/>
                <w:sz w:val="15"/>
                <w:szCs w:val="15"/>
                <w:color w:val="auto"/>
              </w:rPr>
              <w:t>1,336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ind w:right="24"/>
              <w:spacing w:after="0"/>
              <w:rPr>
                <w:sz w:val="20"/>
                <w:szCs w:val="20"/>
                <w:color w:val="auto"/>
              </w:rPr>
            </w:pPr>
            <w:r>
              <w:rPr>
                <w:rFonts w:ascii="Arial" w:cs="Arial" w:eastAsia="Arial" w:hAnsi="Arial"/>
                <w:sz w:val="15"/>
                <w:szCs w:val="15"/>
                <w:color w:val="auto"/>
              </w:rPr>
              <w:t>1,453</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4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noncurrent liabilities</w:t>
            </w:r>
          </w:p>
        </w:tc>
        <w:tc>
          <w:tcPr>
            <w:tcW w:w="26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42,003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41,802</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Stockholders’ equity (deficit)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540" w:type="dxa"/>
            <w:vAlign w:val="bottom"/>
          </w:tcPr>
          <w:p>
            <w:pPr>
              <w:ind w:left="380"/>
              <w:spacing w:after="0"/>
              <w:rPr>
                <w:sz w:val="20"/>
                <w:szCs w:val="20"/>
                <w:color w:val="auto"/>
              </w:rPr>
            </w:pPr>
            <w:r>
              <w:rPr>
                <w:rFonts w:ascii="Arial" w:cs="Arial" w:eastAsia="Arial" w:hAnsi="Arial"/>
                <w:sz w:val="15"/>
                <w:szCs w:val="15"/>
                <w:color w:val="auto"/>
              </w:rPr>
              <w:t>Common stock, $0.01 par value; 1,750,000,000 shares authorized, 422,886,533 shares issued and</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380"/>
              <w:spacing w:after="0"/>
              <w:rPr>
                <w:sz w:val="20"/>
                <w:szCs w:val="20"/>
                <w:color w:val="auto"/>
              </w:rPr>
            </w:pPr>
            <w:r>
              <w:rPr>
                <w:rFonts w:ascii="Arial" w:cs="Arial" w:eastAsia="Arial" w:hAnsi="Arial"/>
                <w:sz w:val="15"/>
                <w:szCs w:val="15"/>
                <w:color w:val="auto"/>
              </w:rPr>
              <w:t>outstanding at March 31, 2020; 428,202,506 shares issued and outstanding at December 31, 2019</w:t>
            </w:r>
          </w:p>
        </w:tc>
        <w:tc>
          <w:tcPr>
            <w:tcW w:w="260" w:type="dxa"/>
            <w:vAlign w:val="bottom"/>
          </w:tcPr>
          <w:p>
            <w:pPr>
              <w:spacing w:after="0"/>
              <w:rPr>
                <w:sz w:val="16"/>
                <w:szCs w:val="16"/>
                <w:color w:val="auto"/>
              </w:rPr>
            </w:pPr>
          </w:p>
        </w:tc>
        <w:tc>
          <w:tcPr>
            <w:tcW w:w="1540" w:type="dxa"/>
            <w:vAlign w:val="bottom"/>
          </w:tcPr>
          <w:p>
            <w:pPr>
              <w:jc w:val="right"/>
              <w:ind w:right="44"/>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2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3,861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3,945</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40" w:type="dxa"/>
            <w:vAlign w:val="bottom"/>
          </w:tcPr>
          <w:p>
            <w:pPr>
              <w:ind w:left="38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tcPr>
          <w:p>
            <w:pPr>
              <w:spacing w:after="0"/>
              <w:rPr>
                <w:sz w:val="18"/>
                <w:szCs w:val="18"/>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(6,480)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(6,331)</w:t>
            </w:r>
          </w:p>
        </w:tc>
        <w:tc>
          <w:tcPr>
            <w:tcW w:w="0" w:type="dxa"/>
            <w:vAlign w:val="bottom"/>
          </w:tcPr>
          <w:p>
            <w:pPr>
              <w:spacing w:after="0"/>
              <w:rPr>
                <w:sz w:val="1"/>
                <w:szCs w:val="1"/>
                <w:color w:val="auto"/>
              </w:rPr>
            </w:pPr>
          </w:p>
        </w:tc>
      </w:tr>
      <w:tr>
        <w:trPr>
          <w:trHeight w:val="58"/>
        </w:trPr>
        <w:tc>
          <w:tcPr>
            <w:tcW w:w="7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Retained earnings (deficit)</w:t>
            </w:r>
          </w:p>
        </w:tc>
        <w:tc>
          <w:tcPr>
            <w:tcW w:w="260" w:type="dxa"/>
            <w:vAlign w:val="bottom"/>
            <w:shd w:val="clear" w:color="auto" w:fill="CCEEFF"/>
          </w:tcPr>
          <w:p>
            <w:pPr>
              <w:spacing w:after="0"/>
              <w:rPr>
                <w:sz w:val="18"/>
                <w:szCs w:val="18"/>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2,264</w:t>
            </w:r>
          </w:p>
        </w:tc>
        <w:tc>
          <w:tcPr>
            <w:tcW w:w="0" w:type="dxa"/>
            <w:vAlign w:val="bottom"/>
          </w:tcPr>
          <w:p>
            <w:pPr>
              <w:spacing w:after="0"/>
              <w:rPr>
                <w:sz w:val="1"/>
                <w:szCs w:val="1"/>
                <w:color w:val="auto"/>
              </w:rPr>
            </w:pPr>
          </w:p>
        </w:tc>
      </w:tr>
      <w:tr>
        <w:trPr>
          <w:trHeight w:val="62"/>
        </w:trPr>
        <w:tc>
          <w:tcPr>
            <w:tcW w:w="754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6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40" w:type="dxa"/>
            <w:vAlign w:val="bottom"/>
          </w:tcPr>
          <w:p>
            <w:pPr>
              <w:ind w:left="720"/>
              <w:spacing w:after="0"/>
              <w:rPr>
                <w:sz w:val="20"/>
                <w:szCs w:val="20"/>
                <w:color w:val="auto"/>
              </w:rPr>
            </w:pPr>
            <w:r>
              <w:rPr>
                <w:rFonts w:ascii="Arial" w:cs="Arial" w:eastAsia="Arial" w:hAnsi="Arial"/>
                <w:sz w:val="15"/>
                <w:szCs w:val="15"/>
                <w:color w:val="auto"/>
              </w:rPr>
              <w:t>Total stockholders’ deficit</w:t>
            </w:r>
          </w:p>
        </w:tc>
        <w:tc>
          <w:tcPr>
            <w:tcW w:w="26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5"/>
                <w:szCs w:val="15"/>
                <w:color w:val="auto"/>
              </w:rPr>
              <w:t>(2,636)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right"/>
              <w:spacing w:after="0"/>
              <w:rPr>
                <w:sz w:val="20"/>
                <w:szCs w:val="20"/>
                <w:color w:val="auto"/>
              </w:rPr>
            </w:pPr>
            <w:r>
              <w:rPr>
                <w:rFonts w:ascii="Arial" w:cs="Arial" w:eastAsia="Arial" w:hAnsi="Arial"/>
                <w:sz w:val="15"/>
                <w:szCs w:val="15"/>
                <w:color w:val="auto"/>
              </w:rPr>
              <w:t>(118)</w:t>
            </w:r>
          </w:p>
        </w:tc>
        <w:tc>
          <w:tcPr>
            <w:tcW w:w="0" w:type="dxa"/>
            <w:vAlign w:val="bottom"/>
          </w:tcPr>
          <w:p>
            <w:pPr>
              <w:spacing w:after="0"/>
              <w:rPr>
                <w:sz w:val="1"/>
                <w:szCs w:val="1"/>
                <w:color w:val="auto"/>
              </w:rPr>
            </w:pPr>
          </w:p>
        </w:tc>
      </w:tr>
      <w:tr>
        <w:trPr>
          <w:trHeight w:val="58"/>
        </w:trPr>
        <w:tc>
          <w:tcPr>
            <w:tcW w:w="7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2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58,580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59,995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549" w:right="339" w:bottom="36"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36"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r>
      <w:tr>
        <w:trPr>
          <w:trHeight w:val="256"/>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8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1,651</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Proceeds from sale-leaseback transactions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Purchases of short-term investments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Sales of short-term investments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63"/>
        </w:trPr>
        <w:tc>
          <w:tcPr>
            <w:tcW w:w="77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investing activities</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7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Treasury stock repurchases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Dividend payments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77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financing activities</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 ing activities</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restricted cash</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0"/>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8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348</w:t>
            </w:r>
          </w:p>
        </w:tc>
      </w:tr>
      <w:tr>
        <w:trPr>
          <w:trHeight w:val="264"/>
        </w:trPr>
        <w:tc>
          <w:tcPr>
            <w:tcW w:w="2080" w:type="dxa"/>
            <w:vAlign w:val="bottom"/>
            <w:shd w:val="clear" w:color="auto" w:fill="CCEEFF"/>
          </w:tcPr>
          <w:p>
            <w:pPr>
              <w:spacing w:after="0"/>
              <w:rPr>
                <w:sz w:val="22"/>
                <w:szCs w:val="22"/>
                <w:color w:val="auto"/>
              </w:rPr>
            </w:pPr>
          </w:p>
        </w:tc>
        <w:tc>
          <w:tcPr>
            <w:tcW w:w="56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Non-cash transactions: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Right-of-use (ROU) assets acquired through operating leases</w:t>
            </w:r>
          </w:p>
        </w:tc>
        <w:tc>
          <w:tcPr>
            <w:tcW w:w="108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 paid through issuance of debt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acquired through finance leases</w:t>
            </w:r>
          </w:p>
        </w:tc>
        <w:tc>
          <w:tcPr>
            <w:tcW w:w="10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information:</w:t>
            </w:r>
          </w:p>
        </w:tc>
        <w:tc>
          <w:tcPr>
            <w:tcW w:w="10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Interest paid, net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267</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paid</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6"/>
        </w:trPr>
        <w:tc>
          <w:tcPr>
            <w:tcW w:w="2080" w:type="dxa"/>
            <w:vAlign w:val="bottom"/>
            <w:tcBorders>
              <w:bottom w:val="single" w:sz="8" w:color="auto"/>
            </w:tcBorders>
          </w:tcPr>
          <w:p>
            <w:pPr>
              <w:spacing w:after="0"/>
              <w:rPr>
                <w:sz w:val="22"/>
                <w:szCs w:val="22"/>
                <w:color w:val="auto"/>
              </w:rPr>
            </w:pPr>
          </w:p>
        </w:tc>
        <w:tc>
          <w:tcPr>
            <w:tcW w:w="56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377" w:lineRule="exact"/>
        <w:rPr>
          <w:sz w:val="20"/>
          <w:szCs w:val="20"/>
          <w:color w:val="auto"/>
        </w:rPr>
      </w:pPr>
    </w:p>
    <w:p>
      <w:pPr>
        <w:ind w:left="580" w:hanging="329"/>
        <w:spacing w:after="0" w:line="225" w:lineRule="auto"/>
        <w:tabs>
          <w:tab w:leader="none" w:pos="58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r>
      <w:tr>
        <w:trPr>
          <w:trHeight w:val="264"/>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56"/>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0"/>
        </w:trPr>
        <w:tc>
          <w:tcPr>
            <w:tcW w:w="7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2,264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(2,241)</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Purchase and retirement of 6,378,025 shares of AAG common stock</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18"/>
        </w:trPr>
        <w:tc>
          <w:tcPr>
            <w:tcW w:w="5520" w:type="dxa"/>
            <w:vAlign w:val="bottom"/>
          </w:tcPr>
          <w:p>
            <w:pPr>
              <w:ind w:left="40"/>
              <w:spacing w:after="0"/>
              <w:rPr>
                <w:sz w:val="20"/>
                <w:szCs w:val="20"/>
                <w:color w:val="auto"/>
              </w:rPr>
            </w:pPr>
            <w:r>
              <w:rPr>
                <w:rFonts w:ascii="Arial" w:cs="Arial" w:eastAsia="Arial" w:hAnsi="Arial"/>
                <w:sz w:val="16"/>
                <w:szCs w:val="16"/>
                <w:color w:val="auto"/>
              </w:rPr>
              <w:t>Issuance of 1,062,052 shares of AAG common stock pursuant to employee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64"/>
        </w:trPr>
        <w:tc>
          <w:tcPr>
            <w:tcW w:w="552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36"/>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14"/>
        </w:trPr>
        <w:tc>
          <w:tcPr>
            <w:tcW w:w="5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96"/>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7"/>
                <w:szCs w:val="17"/>
                <w:color w:val="auto"/>
              </w:rPr>
            </w:pP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256"/>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4,964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185</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Purchase and retirement of 16,947,393 shares of AAG common stock</w:t>
            </w:r>
          </w:p>
        </w:tc>
        <w:tc>
          <w:tcPr>
            <w:tcW w:w="12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8"/>
        </w:trPr>
        <w:tc>
          <w:tcPr>
            <w:tcW w:w="5520" w:type="dxa"/>
            <w:vAlign w:val="bottom"/>
          </w:tcPr>
          <w:p>
            <w:pPr>
              <w:ind w:left="40"/>
              <w:spacing w:after="0"/>
              <w:rPr>
                <w:sz w:val="20"/>
                <w:szCs w:val="20"/>
                <w:color w:val="auto"/>
              </w:rPr>
            </w:pPr>
            <w:r>
              <w:rPr>
                <w:rFonts w:ascii="Arial" w:cs="Arial" w:eastAsia="Arial" w:hAnsi="Arial"/>
                <w:sz w:val="16"/>
                <w:szCs w:val="16"/>
                <w:color w:val="auto"/>
              </w:rPr>
              <w:t>Issuance of 552,752 shares of AAG common stock pursuant to employee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4"/>
        </w:trPr>
        <w:tc>
          <w:tcPr>
            <w:tcW w:w="5520" w:type="dxa"/>
            <w:vAlign w:val="bottom"/>
          </w:tcPr>
          <w:p>
            <w:pPr>
              <w:ind w:left="20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0"/>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r>
      <w:tr>
        <w:trPr>
          <w:trHeight w:val="23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4,371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(636)</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0"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w:t>
      </w:r>
    </w:p>
    <w:p>
      <w:pPr>
        <w:spacing w:after="0" w:line="90" w:lineRule="exact"/>
        <w:rPr>
          <w:rFonts w:ascii="Arial" w:cs="Arial" w:eastAsia="Arial" w:hAnsi="Arial"/>
          <w:sz w:val="18"/>
          <w:szCs w:val="18"/>
          <w:b w:val="1"/>
          <w:bCs w:val="1"/>
          <w:color w:val="auto"/>
        </w:rPr>
      </w:pPr>
    </w:p>
    <w:p>
      <w:pPr>
        <w:ind w:left="500" w:hanging="276"/>
        <w:spacing w:after="0"/>
        <w:tabs>
          <w:tab w:leader="none" w:pos="500" w:val="left"/>
        </w:tabs>
        <w:numPr>
          <w:ilvl w:val="1"/>
          <w:numId w:val="4"/>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2019 .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 As a result, we have experienced an unprecedented decline in the demand for air travel, which has resulted in a material deterioration in our revenues. While our business performed largely as expected in January and February of 2020 , a severe reduction in air travel during March 2020 resulted in our total operating revenues decreasing nearly 20% in the first quarter of 2020 as compared to the first quarter of 2019 . While the length and severity of the reduction in demand due to COVID-19 is uncertain, we presently expect the deterioration to increase in the second quarter of 2020 and our results of operations for the remainder of 2020 to be severely impacted.</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taken aggressive actions to mitigate the effect of COVID-19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support we have received from the U.S. Government under the Coronavirus Aid, Relief, and Economic Security (CARES) Act which, among other things, includes obligations regarding minimum air service and restrictions on involuntary workforce actions. See Note 14 for further information.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significantly reduced our capacity (as measured by available seat miles), with April and May 2020 flying expected to decrease by approximately 80% year-over-year and June 2020 flying expected to decrease by approximately 70% year-over-year. Given the fluidity of the environment, we will continue to evaluate these targets and make further demand-driven adjustments to our capacity as needed.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Fleet</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To better align our network with lower passenger demand, we have accelerated the retirement of Boeing 757, Boeing 767, Airbus A330-300 and Embraer 190 fleets as well as certain regional aircraft. These retirements remove complexity from our operation and bring forward cost savings and efficiencies associated with operating fewer aircraft types. See Note 13 for further information on the accounting for our fleet retirements. Due to the inherent uncertainties of the current operating environment, we will continue to evaluate our current fleet and may decide to permanently retire additional aircraft.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4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moving quickly to align our costs with our reduced schedule. In aggregate, we estimate that we have reduced our 2020 operating and capital expenditures by more than $12 billion . These savings have been achieved through lower fuel expense and a series of actions, including the capacity reductions and accelerated fleet retirements discussed above as well as reductions in heavy maintenance expense, the deferral of marketing expenditures, consolidation of space at airport facilities and reductions in contractor, event and training expenses. We have also suspended all non-essential hiring, paused non-contractual pay rate increases, reduced executive and board of director compensation and implemented voluntary leave and early retirement programs to reduce our labor costs consistent with our obligations under the CARES Act. In total, nearly 39,000 team members have opted for early retirement, a reduced work schedule or a partially-paid leave status . Our average estimated second quarter 2020 cash burn rate is currently expected to be approximately $70 million per day, and we presently expect this amount to decrease over time to approximately $50 million per day for the month of June 2020 as these cost-savings initiatives gain traction and assuming no material, unforecasted revenue reductions, costs or other events.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At March 31, 2020 , we had $6.8 billion in total available liquidity, consisting of $3.6 billion in unrestricted cash and short-term investments and $3.2 billion in undrawn capacity under our revolving credit facilities, of which we borrowed $2.7 billion in April 2020.</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quarter of 2020 , we completed the following financing transactions (see Note 6 for further information):</w:t>
      </w:r>
    </w:p>
    <w:p>
      <w:pPr>
        <w:spacing w:after="0" w:line="171" w:lineRule="exact"/>
        <w:rPr>
          <w:sz w:val="20"/>
          <w:szCs w:val="20"/>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$1.0 billion from a 364 -day senior secured delayed draw term loan credit facility;</w:t>
      </w:r>
    </w:p>
    <w:p>
      <w:pPr>
        <w:spacing w:after="0" w:line="171" w:lineRule="exact"/>
        <w:rPr>
          <w:rFonts w:ascii="Arial" w:cs="Arial" w:eastAsia="Arial" w:hAnsi="Arial"/>
          <w:sz w:val="18"/>
          <w:szCs w:val="18"/>
          <w:color w:val="auto"/>
        </w:rPr>
      </w:pPr>
    </w:p>
    <w:p>
      <w:pPr>
        <w:ind w:left="660" w:hanging="40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$500 million in aggregate principal amount of 3.75% unsecured senior notes due 2025 and repaid $500 million of 4.625% unsecured senior notes that matured in March 2020;</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$280 million from aircraft sale-leaseback transactions;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raised $197 million from aircraft financings, of which $17 million was used to repay existing indebtedness.</w:t>
      </w:r>
    </w:p>
    <w:p>
      <w:pPr>
        <w:spacing w:after="0" w:line="17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been approved to receive an aggregate of $5.8 billion in financial assistance to be paid in installments through the payroll support program (Payroll Support Program) under the CARES Act of which we received an initial disbursement of $2.9 billion in April 2020 (representing 50% of the current expected total). We currently anticipate receiving three additional installments from May to July 2020. As partial compensation to the U.S. Government for the provision of financial assistance under the Payroll Support Program, we expect to issue an aggregate principal amount of approximately $1.7 billion under a promissory note and warrants to purchase up to 13.7 million shares of AAG common stock (assuming the full $5.8 billion of financial assistance is received). As of the date of this report, the principal amount of this promissory note is $842 million and a warrant to purchase up to 6.7 million shares of AAG common stock has been issued. The principal amount of this promissory note will increase by an amount equal to 30% of each additional installment disbursed under the PSP Agreement, and we will issue a warrant for a number of shares of AAG common stock equal to 10% of each such increase in the principal amount of this promissory note, divided by $ 12.51 per share (the exercise price per share of such warrants). See Note 14 for further information on the Payroll Support Program. We also applied for a secured loan from the U.S. Department of the Treasury (Treasury) of approximately $4.75 billion under the CARES Act, which if granted will involve the issuance of additional warrants to purchase approximately 38.0 million shares of AAG common stock. As of the date of this report, the secured loan application has not been acted on. Also, we are permitted to, and will, defer payment of the employer portion of social security taxes through the end of 2020 (with 50% of the deferred amount due December 31, 2021 and the remaining 50% due December 31, 2022). This deferral is expected to provide approximately $ 300 million in additional liquidity during 2020 . Additionally, we have suspended our capital return program, including share repurchases and the payment of future dividends for at least the period that the restrictions imposed by the CARES Act are applicable.</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continue to evaluate future financing opportunities and have engaged third-party appraisers to evaluate some of our unencumbered assets. We expect to pledge a portion of these unencumbered assets as collateral for future financings, including as part of the approximately $4.75 billion secured loan we have applied for under the CARES Act.</w:t>
      </w:r>
    </w:p>
    <w:p>
      <w:pPr>
        <w:spacing w:after="0" w:line="14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Certain of our debt financing agreements contain covenants requiring us to maintain an aggregate of at least $ 2.0 billion of unrestricted cash and cash equivalents and amounts available to be drawn under revolving credit facilities and/or contain loan to value ratio covenants.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Given the above actions and our assumptions about the future impact of COVID-19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provided pursuant to the CARES Act) and projected cash flows from operations .</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Accounting Standards Update (ASU) 2016-13: Financial Instruments </w:t>
      </w:r>
      <w:r>
        <w:rPr>
          <w:rFonts w:ascii="Arial" w:cs="Arial" w:eastAsia="Arial" w:hAnsi="Arial"/>
          <w:sz w:val="18"/>
          <w:szCs w:val="18"/>
          <w:color w:val="auto"/>
        </w:rPr>
        <w:t>–</w:t>
      </w:r>
      <w:r>
        <w:rPr>
          <w:rFonts w:ascii="Arial" w:cs="Arial" w:eastAsia="Arial" w:hAnsi="Arial"/>
          <w:sz w:val="18"/>
          <w:szCs w:val="18"/>
          <w:i w:val="1"/>
          <w:iCs w:val="1"/>
          <w:color w:val="auto"/>
        </w:rPr>
        <w:t xml:space="preserve"> Credit Losses (Topic 326)</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We adopted this accounting standard prospectively as of January 1, 2020, and it did not have a material impact on our condensed consolidated financial statements.</w:t>
      </w:r>
    </w:p>
    <w:p>
      <w:pPr>
        <w:spacing w:after="0" w:line="210"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3"/>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(2)</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10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Merger integration expenses</w:t>
            </w:r>
          </w:p>
        </w:tc>
        <w:tc>
          <w:tcPr>
            <w:tcW w:w="10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(6)</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500"/>
              <w:spacing w:after="0"/>
              <w:rPr>
                <w:sz w:val="20"/>
                <w:szCs w:val="20"/>
                <w:color w:val="auto"/>
              </w:rPr>
            </w:pPr>
            <w:r>
              <w:rPr>
                <w:rFonts w:ascii="Arial" w:cs="Arial" w:eastAsia="Arial" w:hAnsi="Arial"/>
                <w:sz w:val="18"/>
                <w:szCs w:val="18"/>
                <w:color w:val="auto"/>
              </w:rPr>
              <w:t>Operating special items,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331"/>
        </w:trPr>
        <w:tc>
          <w:tcPr>
            <w:tcW w:w="77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1"/>
                <w:szCs w:val="21"/>
                <w:color w:val="auto"/>
                <w:vertAlign w:val="superscript"/>
              </w:rPr>
              <w:t>(7)</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extinguishment and other charges</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280"/>
              <w:spacing w:after="0"/>
              <w:rPr>
                <w:sz w:val="20"/>
                <w:szCs w:val="20"/>
                <w:color w:val="auto"/>
              </w:rPr>
            </w:pPr>
            <w:r>
              <w:rPr>
                <w:rFonts w:ascii="Arial" w:cs="Arial" w:eastAsia="Arial" w:hAnsi="Arial"/>
                <w:sz w:val="18"/>
                <w:szCs w:val="18"/>
                <w:color w:val="auto"/>
              </w:rPr>
              <w:t>Nonoperating special items,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320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500" w:hanging="330"/>
        <w:spacing w:after="0" w:line="237"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Fleet impairment primarily includes a $676 million non-cash write-down of aircraft and spare parts and $68 million in write-offs of ROU assets and lease return costs associated with our mainline fleet, principally Boeing 757, Boeing 767, Airbus A330-300 and Embraer 190 aircraft, which are being retired earlier than previously planned as a result of the decline in demand for air travel due to COVID-19. See Note 13 for further information related to these charges.</w:t>
      </w:r>
    </w:p>
    <w:p>
      <w:pPr>
        <w:spacing w:after="0" w:line="163"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a voluntary early retirement program offered as a result of reductions to our operation due to COVID-19.</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ind w:left="500" w:right="20" w:hanging="330"/>
        <w:spacing w:after="0" w:line="225" w:lineRule="auto"/>
        <w:tabs>
          <w:tab w:leader="none" w:pos="5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primarily includes an $88 million non-cash write-down of regional aircraft, principally certain Embraer 140 and certain Bombardier CRJ200 aircraft, which are being retired earlier than previously planned as a result of the decline in demand for air travel due to COVID-19. See Note 13 for further information related to this charge.</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8"/>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our equity investment in China Southern Airlines Company Limited (China Southern Airlines) and certain treasury rate lock derivative instruments.</w:t>
      </w:r>
    </w:p>
    <w:p>
      <w:pPr>
        <w:spacing w:after="0" w:line="22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Common Share</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(loss) per common share (EPS) (in millions, except share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7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185</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(in thousands)</w:t>
            </w: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425,713</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451,951</w:t>
            </w:r>
          </w:p>
        </w:tc>
      </w:tr>
      <w:tr>
        <w:trPr>
          <w:trHeight w:val="283"/>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 EPS</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0.41</w:t>
            </w:r>
          </w:p>
        </w:tc>
      </w:tr>
      <w:tr>
        <w:trPr>
          <w:trHeight w:val="271"/>
        </w:trPr>
        <w:tc>
          <w:tcPr>
            <w:tcW w:w="77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for purposes of computing diluted EPS</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common shares outstanding</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425,713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451,951</w:t>
            </w:r>
          </w:p>
        </w:tc>
      </w:tr>
      <w:tr>
        <w:trPr>
          <w:trHeight w:val="264"/>
        </w:trPr>
        <w:tc>
          <w:tcPr>
            <w:tcW w:w="7720" w:type="dxa"/>
            <w:vAlign w:val="bottom"/>
          </w:tcPr>
          <w:p>
            <w:pPr>
              <w:ind w:left="180"/>
              <w:spacing w:after="0"/>
              <w:rPr>
                <w:sz w:val="20"/>
                <w:szCs w:val="20"/>
                <w:color w:val="auto"/>
              </w:rPr>
            </w:pPr>
            <w:r>
              <w:rPr>
                <w:rFonts w:ascii="Arial" w:cs="Arial" w:eastAsia="Arial" w:hAnsi="Arial"/>
                <w:sz w:val="18"/>
                <w:szCs w:val="18"/>
                <w:color w:val="auto"/>
              </w:rPr>
              <w:t>Dilutive effect of stock awards</w:t>
            </w:r>
          </w:p>
        </w:tc>
        <w:tc>
          <w:tcPr>
            <w:tcW w:w="4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1,478</w:t>
            </w:r>
          </w:p>
        </w:tc>
      </w:tr>
      <w:tr>
        <w:trPr>
          <w:trHeight w:val="256"/>
        </w:trPr>
        <w:tc>
          <w:tcPr>
            <w:tcW w:w="772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425,713</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453,429</w:t>
            </w:r>
          </w:p>
        </w:tc>
      </w:tr>
      <w:tr>
        <w:trPr>
          <w:trHeight w:val="283"/>
        </w:trPr>
        <w:tc>
          <w:tcPr>
            <w:tcW w:w="772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Diluted EPS</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0.41</w:t>
            </w:r>
          </w:p>
        </w:tc>
      </w:tr>
      <w:tr>
        <w:trPr>
          <w:trHeight w:val="271"/>
        </w:trPr>
        <w:tc>
          <w:tcPr>
            <w:tcW w:w="77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Restricted stock unit awards excluded from the calculation of</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3"/>
        </w:trPr>
        <w:tc>
          <w:tcPr>
            <w:tcW w:w="7720" w:type="dxa"/>
            <w:vAlign w:val="bottom"/>
          </w:tcPr>
          <w:p>
            <w:pPr>
              <w:ind w:left="480"/>
              <w:spacing w:after="0" w:line="202" w:lineRule="exact"/>
              <w:rPr>
                <w:sz w:val="20"/>
                <w:szCs w:val="20"/>
                <w:color w:val="auto"/>
              </w:rPr>
            </w:pPr>
            <w:r>
              <w:rPr>
                <w:rFonts w:ascii="Arial" w:cs="Arial" w:eastAsia="Arial" w:hAnsi="Arial"/>
                <w:sz w:val="18"/>
                <w:szCs w:val="18"/>
                <w:color w:val="auto"/>
              </w:rPr>
              <w:t>diluted EPS because inclusion would be antidilutive (in</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7720" w:type="dxa"/>
            <w:vAlign w:val="bottom"/>
          </w:tcPr>
          <w:p>
            <w:pPr>
              <w:ind w:left="480"/>
              <w:spacing w:after="0"/>
              <w:rPr>
                <w:sz w:val="20"/>
                <w:szCs w:val="20"/>
                <w:color w:val="auto"/>
              </w:rPr>
            </w:pPr>
            <w:r>
              <w:rPr>
                <w:rFonts w:ascii="Arial" w:cs="Arial" w:eastAsia="Arial" w:hAnsi="Arial"/>
                <w:sz w:val="18"/>
                <w:szCs w:val="18"/>
                <w:color w:val="auto"/>
              </w:rPr>
              <w:t>thousands)</w:t>
            </w:r>
          </w:p>
        </w:tc>
        <w:tc>
          <w:tcPr>
            <w:tcW w:w="420" w:type="dxa"/>
            <w:vAlign w:val="bottom"/>
          </w:tcPr>
          <w:p>
            <w:pPr>
              <w:spacing w:after="0"/>
              <w:rPr>
                <w:sz w:val="18"/>
                <w:szCs w:val="18"/>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2,267</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During the three months ended March 31, 2020 , we repurchased 6.4 million shares of AAG common stock for $145 million at a weighted average cost per share of $22.77 .</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January 2020 , our Board of Directors declared a cash dividend of $0.10 per share for stockholders of record as of February 5, 2020 and paid on February 19, 2020 , totaling $43 million .</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suspended our capital return program, including share repurchases and the payment of future dividends. In connection with our receipt of financial support under the Payroll Support Program, we agreed not to repurchase shares of or make dividend payments in respect of AAG common stock through September 30, 2021. If we receive a secured loan from Treasury pursuant to the CARES Act, we will be prohibited from repurchasing shares of AAG common stock through the date that is one year after such secured loan is fully repaid.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40" w:right="9200" w:hanging="232"/>
        <w:spacing w:after="0" w:line="378" w:lineRule="auto"/>
        <w:tabs>
          <w:tab w:leader="none" w:pos="211"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ind w:left="26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63"/>
        </w:trPr>
        <w:tc>
          <w:tcPr>
            <w:tcW w:w="20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70"/>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3"/>
        </w:trPr>
        <w:tc>
          <w:tcPr>
            <w:tcW w:w="772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1080" w:type="dxa"/>
            <w:vAlign w:val="bottom"/>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2"/>
                <w:szCs w:val="22"/>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8,772</w:t>
            </w:r>
          </w:p>
        </w:tc>
      </w:tr>
      <w:tr>
        <w:trPr>
          <w:trHeight w:val="277"/>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r>
      <w:tr>
        <w:trPr>
          <w:trHeight w:val="24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9,658</w:t>
            </w:r>
          </w:p>
        </w:tc>
      </w:tr>
      <w:tr>
        <w:trPr>
          <w:trHeight w:val="27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6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7"/>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63"/>
        </w:trPr>
        <w:tc>
          <w:tcPr>
            <w:tcW w:w="7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r>
      <w:tr>
        <w:trPr>
          <w:trHeight w:val="250"/>
        </w:trPr>
        <w:tc>
          <w:tcPr>
            <w:tcW w:w="7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r>
      <w:tr>
        <w:trPr>
          <w:trHeight w:val="257"/>
        </w:trPr>
        <w:tc>
          <w:tcPr>
            <w:tcW w:w="772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108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8,515</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10,584</w:t>
            </w:r>
          </w:p>
        </w:tc>
      </w:tr>
      <w:tr>
        <w:trPr>
          <w:trHeight w:val="20"/>
        </w:trPr>
        <w:tc>
          <w:tcPr>
            <w:tcW w:w="2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5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0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7,226</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1,371</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64"/>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r>
      <w:tr>
        <w:trPr>
          <w:trHeight w:val="250"/>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108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7,681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9,658</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80" w:type="dxa"/>
            <w:vAlign w:val="bottom"/>
            <w:gridSpan w:val="4"/>
          </w:tcPr>
          <w:p>
            <w:pPr>
              <w:jc w:val="right"/>
              <w:ind w:right="1315"/>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8,615</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4,808</w:t>
            </w:r>
          </w:p>
        </w:tc>
      </w:tr>
      <w:tr>
        <w:trPr>
          <w:trHeight w:val="256"/>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14,324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13,423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-710565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1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8,615</w:t>
            </w:r>
          </w:p>
        </w:tc>
      </w:tr>
      <w:tr>
        <w:trPr>
          <w:trHeight w:val="250"/>
        </w:trPr>
        <w:tc>
          <w:tcPr>
            <w:tcW w:w="9540" w:type="dxa"/>
            <w:vAlign w:val="bottom"/>
          </w:tcPr>
          <w:p>
            <w:pPr>
              <w:ind w:left="28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63"/>
        </w:trPr>
        <w:tc>
          <w:tcPr>
            <w:tcW w:w="9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50"/>
        </w:trPr>
        <w:tc>
          <w:tcPr>
            <w:tcW w:w="9540" w:type="dxa"/>
            <w:vAlign w:val="bottom"/>
          </w:tcPr>
          <w:p>
            <w:pPr>
              <w:ind w:left="40"/>
              <w:spacing w:after="0"/>
              <w:rPr>
                <w:sz w:val="20"/>
                <w:szCs w:val="20"/>
                <w:color w:val="auto"/>
              </w:rPr>
            </w:pPr>
            <w:r>
              <w:rPr>
                <w:rFonts w:ascii="Arial" w:cs="Arial" w:eastAsia="Arial" w:hAnsi="Arial"/>
                <w:sz w:val="18"/>
                <w:szCs w:val="18"/>
                <w:color w:val="auto"/>
              </w:rPr>
              <w:t xml:space="preserve">Balance at March 31, 2020 </w:t>
            </w:r>
            <w:r>
              <w:rPr>
                <w:rFonts w:ascii="Arial" w:cs="Arial" w:eastAsia="Arial" w:hAnsi="Arial"/>
                <w:sz w:val="21"/>
                <w:szCs w:val="21"/>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8,851</w:t>
            </w:r>
          </w:p>
        </w:tc>
      </w:tr>
      <w:tr>
        <w:trPr>
          <w:trHeight w:val="20"/>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201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3" w:lineRule="auto"/>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39" w:lineRule="auto"/>
        <w:tabs>
          <w:tab w:leader="none" w:pos="50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March 31, 2020 , our current loyalty program liability was $3.1 billion and represents our current estimate of revenue expected to be recognized in the next 12 months based on historical trends, with the balance reflected in long-term loyalty program liability expected to be recognized as revenue in periods thereafter. Given the inherent uncertainty of the current operating environment due to COVID-19, we will continue to monitor redemption patterns and may adjust our estimates in the future.</w:t>
      </w:r>
    </w:p>
    <w:p>
      <w:pPr>
        <w:spacing w:after="0" w:line="16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 Accordingly, any revenue associated with tickets sold for future travel will be recognized within 12 months. For the three months ended March 31, 2020 , $ 2.6 billion of revenue was recognized in passenger revenue that was included in our air traffic liability at December 31, 2019 . In response to COVID-19, we extended the contract duration for certain tickets, principally those with travel scheduled March 1, 2020 through September 30, 2020. Accordingly, any revenue associated with these tickets will be recognized within 21 months. Additionally, given this change in contract duration, our estimates of revenue from unused tickets may be subject to variability and differ from historical experience.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Long-term debt included in the condensed consolidated balance sheets consisted of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7720" w:type="dxa"/>
            <w:vAlign w:val="bottom"/>
          </w:tcPr>
          <w:p>
            <w:pPr>
              <w:ind w:left="180"/>
              <w:spacing w:after="0"/>
              <w:rPr>
                <w:sz w:val="20"/>
                <w:szCs w:val="20"/>
                <w:color w:val="auto"/>
              </w:rPr>
            </w:pPr>
            <w:r>
              <w:rPr>
                <w:rFonts w:ascii="Arial" w:cs="Arial" w:eastAsia="Arial" w:hAnsi="Arial"/>
                <w:sz w:val="18"/>
                <w:szCs w:val="18"/>
                <w:color w:val="auto"/>
              </w:rPr>
              <w:t>2013 Credit Facilities, variable interest rate of 2.71%, installments through 2025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1,807</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Credit Facilities, variable interest rate of 2.69%, installments through 2027</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r>
      <w:tr>
        <w:trPr>
          <w:trHeight w:val="263"/>
        </w:trPr>
        <w:tc>
          <w:tcPr>
            <w:tcW w:w="7720" w:type="dxa"/>
            <w:vAlign w:val="bottom"/>
          </w:tcPr>
          <w:p>
            <w:pPr>
              <w:ind w:left="180"/>
              <w:spacing w:after="0"/>
              <w:rPr>
                <w:sz w:val="20"/>
                <w:szCs w:val="20"/>
                <w:color w:val="auto"/>
              </w:rPr>
            </w:pPr>
            <w:r>
              <w:rPr>
                <w:rFonts w:ascii="Arial" w:cs="Arial" w:eastAsia="Arial" w:hAnsi="Arial"/>
                <w:sz w:val="18"/>
                <w:szCs w:val="18"/>
                <w:color w:val="auto"/>
              </w:rPr>
              <w:t>April 2016 Credit Facilities, variable interest rate of 2.94%, installments through 2023</w:t>
            </w:r>
          </w:p>
        </w:tc>
        <w:tc>
          <w:tcPr>
            <w:tcW w:w="24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970</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2016 Credit Facilities, variable interest rate of 2.70%, installments through 2023</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Delayed Draw Term Loan Credit Facility, variable interest rate of 3.00%, interest only</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8"/>
                <w:szCs w:val="18"/>
                <w:color w:val="auto"/>
              </w:rPr>
              <w:t>payments until due March 2021</w:t>
            </w:r>
          </w:p>
        </w:tc>
        <w:tc>
          <w:tcPr>
            <w:tcW w:w="24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8.39%, averaging 4.03%, maturing from 2020 to 2032</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11,933</w:t>
            </w: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8"/>
                <w:szCs w:val="18"/>
                <w:color w:val="auto"/>
              </w:rPr>
              <w:t>1.87% to 7.31%, averaging 3.02%, maturing from 2020 to 2032</w:t>
            </w:r>
          </w:p>
        </w:tc>
        <w:tc>
          <w:tcPr>
            <w:tcW w:w="24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4,727</w:t>
            </w:r>
          </w:p>
        </w:tc>
      </w:tr>
      <w:tr>
        <w:trPr>
          <w:trHeight w:val="235"/>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facility revenue bonds, fixed interest rates ranging from 5.00% to 8.00%, maturing</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4"/>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2020 to 2031</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754</w:t>
            </w:r>
          </w:p>
        </w:tc>
      </w:tr>
      <w:tr>
        <w:trPr>
          <w:trHeight w:val="250"/>
        </w:trPr>
        <w:tc>
          <w:tcPr>
            <w:tcW w:w="77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23,431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22,606</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Unsecured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63"/>
        </w:trPr>
        <w:tc>
          <w:tcPr>
            <w:tcW w:w="7720" w:type="dxa"/>
            <w:vAlign w:val="bottom"/>
          </w:tcPr>
          <w:p>
            <w:pPr>
              <w:ind w:left="180"/>
              <w:spacing w:after="0"/>
              <w:rPr>
                <w:sz w:val="20"/>
                <w:szCs w:val="20"/>
                <w:color w:val="auto"/>
              </w:rPr>
            </w:pPr>
            <w:r>
              <w:rPr>
                <w:rFonts w:ascii="Arial" w:cs="Arial" w:eastAsia="Arial" w:hAnsi="Arial"/>
                <w:sz w:val="18"/>
                <w:szCs w:val="18"/>
                <w:color w:val="auto"/>
              </w:rPr>
              <w:t>5.000% senior notes, interest only payments until due in June 2022</w:t>
            </w:r>
          </w:p>
        </w:tc>
        <w:tc>
          <w:tcPr>
            <w:tcW w:w="24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750</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3.75% senior notes, interest only payments until due in March 2025</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Pr>
          <w:p>
            <w:pPr>
              <w:ind w:left="180"/>
              <w:spacing w:after="0"/>
              <w:rPr>
                <w:sz w:val="20"/>
                <w:szCs w:val="20"/>
                <w:color w:val="auto"/>
              </w:rPr>
            </w:pPr>
            <w:r>
              <w:rPr>
                <w:rFonts w:ascii="Arial" w:cs="Arial" w:eastAsia="Arial" w:hAnsi="Arial"/>
                <w:sz w:val="18"/>
                <w:szCs w:val="18"/>
                <w:color w:val="auto"/>
              </w:rPr>
              <w:t>4.625% senior notes</w:t>
            </w:r>
          </w:p>
        </w:tc>
        <w:tc>
          <w:tcPr>
            <w:tcW w:w="24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57"/>
        </w:trPr>
        <w:tc>
          <w:tcPr>
            <w:tcW w:w="77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4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23,856</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Total unamortized debt discount, premium and issuance costs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r>
      <w:tr>
        <w:trPr>
          <w:trHeight w:val="263"/>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2,749</w:t>
            </w: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maturities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20,896</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March 31, 2020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50"/>
        </w:trPr>
        <w:tc>
          <w:tcPr>
            <w:tcW w:w="954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1,643</w:t>
            </w:r>
          </w:p>
        </w:tc>
      </w:tr>
      <w:tr>
        <w:trPr>
          <w:trHeight w:val="263"/>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50"/>
        </w:trPr>
        <w:tc>
          <w:tcPr>
            <w:tcW w:w="9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Short-term Revolving Facility</w:t>
            </w: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50"/>
        </w:trPr>
        <w:tc>
          <w:tcPr>
            <w:tcW w:w="9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r>
      <w:tr>
        <w:trPr>
          <w:trHeight w:val="20"/>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thereunder in the future.</w:t>
      </w:r>
    </w:p>
    <w:p>
      <w:pPr>
        <w:spacing w:after="0" w:line="25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In April 2020, we borrowed an aggregate of $2.7 billion under our revolving credit facilities. See Note 14 for further information related to this subsequent event.</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2020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January 2020, American and AAG entered into the Eighth Amendment to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collectively, the 2014 Credit Facilities), pursuant to which American refinanced the 2014 Term Loan Facility, increasing the total aggregate principal amount outstanding to $1.22 billion , reducing the LIBOR margin from 2.00% to 1.75% , with a LIBOR floor of 0% , and reducing the base rate margin from 1.00% to 0.75% . In addition, the maturity date for the 2014 Term Loan Facility was extended to January 2027 from October 2021. The 2014 Revolving Facility remains unchanged and, as of March 31, 2020 , there were no borrowings or letters of credit outstanding thereunder.</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3.75% Senior Notes</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February 2020, AAG issued $500 million aggregate principal amount of 3.75% senior notes due 2025 (the 3.75% senior notes). These notes bear interest at a rate of 3.75% per annum, payable semi-annually in arrears in March and September of each year, beginning in September 2020. The 3.75% senior notes are senior unsecured obligations of AAG and are fully and unconditionally guaranteed by American. The 3.75% senior notes mature in March 2025.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Delayed Draw Term Loan Credit Facility</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March 2020, American and AAG entered into a Credit and Guaranty Agreement which provides for a 364 -day $1.0 billion senior secured delayed draw term loan credit facility (the Delayed Draw Term Loan Credit Facility), which will be due and payable in a single installment on the maturity date in March 2021. Borrowings under the Delayed Draw Term Loan Credit Facility bear interest at an index rate plus an applicable index margin or, at American's option, LIBOR (subject to a floor of 1.00% ) plus an applicable LIBOR margin for interest periods of one, three or six months (or, if available to all affected lenders, 12 months or a shorter period). Voluntary prepayments at par may be made by American at any time. As of March 31, 2020 , $1.0 billion in borrowings were outstanding under the Delayed Draw Term Loan Credit Facility. The proceeds of the term loans under the Delayed Draw Term Loan Credit Facility are being used for general corporate purposes.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limitations and exceptions, the Delayed Draw Term Loan Credit Facility is secured by collateral, including certain slots, foreign gate leaseholds and route authorities (collectively, SGR) utilized by American in providing its scheduled air carrier services to and from Mexico and Central America and to London and certain cities in the European Union. The lien on Mexico and Central America SGR is a first-priority lien and the lien on London and European SGR is a second-priority lien. American has the ability to make future modifications to the collateral pledged, subject to certain restrictions. American's obligations under the Delayed Draw Term Loan Credit Facility are guaranteed by AAG. American is required to maintain a certain minimum ratio of appraised value of collateral to the outstanding term loans.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Delayed Draw Term Loan Credit Facility contains events of default customary for similar financings, including cross default to other material indebtedness. Upon the occurrence of an event of default, the outstanding obligations may be accelerated and become due and payable immediately. The Delayed Draw Term Loan Credit Facility also includes covenants that, among other things, require AAG to maintain a minimum aggregate liquidity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 Notes and Other Notes Payable Issued in 2020</w:t>
      </w:r>
    </w:p>
    <w:p>
      <w:pPr>
        <w:spacing w:after="0" w:line="108"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In the three months ended March 31, 2020 , American entered into agreements under which it borrowed $197 million in connection with the financing or refinancing, as the case may be, of certain aircraft, of which $17 million was used to repay existing indebtedness. Debt incurred under these agreements matures in 2029 through 2032 and bears interest at variable rates (comprised of LIBOR plus an applicable margin) averaging 2.99% at March 31, 2020 .</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At December 31, 2019 , we had approximately $9.1 billion of federal net operating losses (NOLs) carried over from prior taxable years (NOL Carryforwards) to reduce future federal taxable income. The federal NOL Carryforwards will expire beginning in 2023 if unused. We also had approximately $ 3.0 billion of NOL Carryforwards to reduce future state taxable income at December 31, 2019 , which will expire in years 2020 through 2039 if unused.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At December 31, 2019 , we had an Alternative Minimum Tax (AMT) credit carryforward of approximately $170 million available for federal income tax purposes, which is presently expected to be fully refunded in 2020 as a result of the CARES Act enacted in March of 2020.</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three months ended March 31, 2020 , we recorded an income tax benefit of $649 million .</w:t>
      </w:r>
    </w:p>
    <w:p>
      <w:pPr>
        <w:spacing w:after="0" w:line="230" w:lineRule="exact"/>
        <w:rPr>
          <w:sz w:val="20"/>
          <w:szCs w:val="20"/>
          <w:color w:val="auto"/>
        </w:rPr>
      </w:pPr>
    </w:p>
    <w:p>
      <w:pPr>
        <w:ind w:left="220" w:right="6580" w:hanging="212"/>
        <w:spacing w:after="0" w:line="378" w:lineRule="auto"/>
        <w:tabs>
          <w:tab w:leader="none" w:pos="204"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4"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three months ended March 31, 2020 .</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as of March 31, 2020</w:t>
            </w:r>
          </w:p>
        </w:tc>
        <w:tc>
          <w:tcPr>
            <w:tcW w:w="1080" w:type="dxa"/>
            <w:vAlign w:val="bottom"/>
            <w:tcBorders>
              <w:bottom w:val="single" w:sz="8" w:color="auto"/>
            </w:tcBorders>
          </w:tcPr>
          <w:p>
            <w:pPr>
              <w:spacing w:after="0"/>
              <w:rPr>
                <w:sz w:val="17"/>
                <w:szCs w:val="17"/>
                <w:color w:val="auto"/>
              </w:rPr>
            </w:pPr>
          </w:p>
        </w:tc>
      </w:tr>
      <w:tr>
        <w:trPr>
          <w:trHeight w:val="264"/>
        </w:trPr>
        <w:tc>
          <w:tcPr>
            <w:tcW w:w="20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69"/>
        </w:trPr>
        <w:tc>
          <w:tcPr>
            <w:tcW w:w="55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 xml:space="preserve"> :</w:t>
            </w:r>
          </w:p>
        </w:tc>
        <w:tc>
          <w:tcPr>
            <w:tcW w:w="3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3"/>
        </w:trPr>
        <w:tc>
          <w:tcPr>
            <w:tcW w:w="558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7"/>
        </w:trPr>
        <w:tc>
          <w:tcPr>
            <w:tcW w:w="5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63"/>
        </w:trPr>
        <w:tc>
          <w:tcPr>
            <w:tcW w:w="5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shd w:val="clear" w:color="auto" w:fill="CCEEFF"/>
          </w:tcPr>
          <w:p>
            <w:pPr>
              <w:spacing w:after="0"/>
              <w:rPr>
                <w:sz w:val="22"/>
                <w:szCs w:val="22"/>
                <w:color w:val="auto"/>
              </w:rPr>
            </w:pPr>
          </w:p>
        </w:tc>
        <w:tc>
          <w:tcPr>
            <w:tcW w:w="35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50"/>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3,381</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3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Our short-term investments mature in one year or less except for $823 million of bank notes/certificates of deposit/time deposits and $115 million of corporate obligations.</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2.2% equity interest, and are classified in other assets on the condensed consolidated balance sheet.</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5"/>
                <w:szCs w:val="15"/>
                <w:color w:val="auto"/>
              </w:rPr>
            </w:pPr>
          </w:p>
        </w:tc>
        <w:tc>
          <w:tcPr>
            <w:tcW w:w="9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5"/>
                <w:szCs w:val="15"/>
                <w:color w:val="auto"/>
              </w:rPr>
            </w:pPr>
          </w:p>
        </w:tc>
        <w:tc>
          <w:tcPr>
            <w:tcW w:w="1060" w:type="dxa"/>
            <w:vAlign w:val="bottom"/>
          </w:tcPr>
          <w:p>
            <w:pPr>
              <w:jc w:val="center"/>
              <w:ind w:right="262"/>
              <w:spacing w:after="0"/>
              <w:rPr>
                <w:sz w:val="20"/>
                <w:szCs w:val="20"/>
                <w:color w:val="auto"/>
              </w:rPr>
            </w:pPr>
            <w:r>
              <w:rPr>
                <w:rFonts w:ascii="Arial" w:cs="Arial" w:eastAsia="Arial" w:hAnsi="Arial"/>
                <w:sz w:val="14"/>
                <w:szCs w:val="14"/>
                <w:b w:val="1"/>
                <w:bCs w:val="1"/>
                <w:color w:val="auto"/>
              </w:rPr>
              <w:t>Fair</w:t>
            </w:r>
          </w:p>
        </w:tc>
      </w:tr>
      <w:tr>
        <w:trPr>
          <w:trHeight w:val="196"/>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480" w:type="dxa"/>
            <w:vAlign w:val="bottom"/>
          </w:tcPr>
          <w:p>
            <w:pPr>
              <w:spacing w:after="0"/>
              <w:rPr>
                <w:sz w:val="17"/>
                <w:szCs w:val="17"/>
                <w:color w:val="auto"/>
              </w:rPr>
            </w:pPr>
          </w:p>
        </w:tc>
        <w:tc>
          <w:tcPr>
            <w:tcW w:w="9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7"/>
                <w:szCs w:val="17"/>
                <w:color w:val="auto"/>
              </w:rPr>
            </w:pPr>
          </w:p>
        </w:tc>
        <w:tc>
          <w:tcPr>
            <w:tcW w:w="1060" w:type="dxa"/>
            <w:vAlign w:val="bottom"/>
          </w:tcPr>
          <w:p>
            <w:pPr>
              <w:jc w:val="center"/>
              <w:ind w:right="222"/>
              <w:spacing w:after="0"/>
              <w:rPr>
                <w:sz w:val="20"/>
                <w:szCs w:val="20"/>
                <w:color w:val="auto"/>
              </w:rPr>
            </w:pPr>
            <w:r>
              <w:rPr>
                <w:rFonts w:ascii="Arial" w:cs="Arial" w:eastAsia="Arial" w:hAnsi="Arial"/>
                <w:sz w:val="14"/>
                <w:szCs w:val="14"/>
                <w:b w:val="1"/>
                <w:bCs w:val="1"/>
                <w:color w:val="auto"/>
                <w:w w:val="96"/>
              </w:rPr>
              <w:t>Value</w:t>
            </w:r>
          </w:p>
        </w:tc>
      </w:tr>
      <w:tr>
        <w:trPr>
          <w:trHeight w:val="250"/>
        </w:trPr>
        <w:tc>
          <w:tcPr>
            <w:tcW w:w="5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24,448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21,377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23,645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24,508</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1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ind w:left="200"/>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Pension Benefits</w:t>
            </w:r>
          </w:p>
        </w:tc>
        <w:tc>
          <w:tcPr>
            <w:tcW w:w="320" w:type="dxa"/>
            <w:vAlign w:val="bottom"/>
          </w:tcPr>
          <w:p>
            <w:pPr>
              <w:spacing w:after="0"/>
              <w:rPr>
                <w:sz w:val="17"/>
                <w:szCs w:val="17"/>
                <w:color w:val="auto"/>
              </w:rPr>
            </w:pPr>
          </w:p>
        </w:tc>
        <w:tc>
          <w:tcPr>
            <w:tcW w:w="25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Postretirement Benefits</w:t>
            </w: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56"/>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22"/>
                <w:szCs w:val="22"/>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7"/>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54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7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Pursuant to the CARES Act, minimum required pension contributions to be made in the calendar year 2020 can be deferred to January 1, 2021, with interest accruing from the original due date to the new payment date. We expect to defer our $196 million 2020 minimum required contribution to January 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Postretirement</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 on</w:t>
            </w:r>
          </w:p>
        </w:tc>
        <w:tc>
          <w:tcPr>
            <w:tcW w:w="18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7"/>
                <w:szCs w:val="17"/>
                <w:b w:val="1"/>
                <w:bCs w:val="1"/>
                <w:color w:val="auto"/>
                <w:vertAlign w:val="superscript"/>
              </w:rPr>
              <w:t>(1)</w:t>
            </w:r>
          </w:p>
        </w:tc>
        <w:tc>
          <w:tcPr>
            <w:tcW w:w="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7"/>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4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2080" w:type="dxa"/>
            <w:vAlign w:val="bottom"/>
            <w:tcBorders>
              <w:bottom w:val="single" w:sz="8" w:color="auto"/>
            </w:tcBorders>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377" w:lineRule="exact"/>
        <w:rPr>
          <w:sz w:val="20"/>
          <w:szCs w:val="20"/>
          <w:color w:val="auto"/>
        </w:rPr>
      </w:pPr>
    </w:p>
    <w:p>
      <w:pPr>
        <w:ind w:left="540" w:hanging="316"/>
        <w:spacing w:after="0" w:line="225" w:lineRule="auto"/>
        <w:tabs>
          <w:tab w:leader="none" w:pos="54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2" w:lineRule="exact"/>
        <w:rPr>
          <w:rFonts w:ascii="Arial" w:cs="Arial" w:eastAsia="Arial" w:hAnsi="Arial"/>
          <w:sz w:val="22"/>
          <w:szCs w:val="22"/>
          <w:color w:val="auto"/>
          <w:vertAlign w:val="superscript"/>
        </w:rPr>
      </w:pPr>
    </w:p>
    <w:p>
      <w:pPr>
        <w:ind w:left="540" w:hanging="316"/>
        <w:spacing w:after="0" w:line="225" w:lineRule="auto"/>
        <w:tabs>
          <w:tab w:leader="none" w:pos="54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 of operations.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center"/>
        <w:ind w:left="10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ectPr>
          <w:pgSz w:w="11900" w:h="16838" w:orient="portrait"/>
          <w:cols w:equalWidth="0" w:num="1">
            <w:col w:w="11240"/>
          </w:cols>
          <w:pgMar w:left="320" w:top="333" w:right="339" w:bottom="1440" w:gutter="0" w:footer="0" w:header="0"/>
        </w:sectPr>
      </w:pP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00" w:lineRule="exact"/>
        <w:rPr>
          <w:sz w:val="20"/>
          <w:szCs w:val="20"/>
          <w:color w:val="auto"/>
        </w:rPr>
      </w:pPr>
    </w:p>
    <w:p>
      <w:pPr>
        <w:spacing w:after="0" w:line="337" w:lineRule="exact"/>
        <w:rPr>
          <w:sz w:val="20"/>
          <w:szCs w:val="20"/>
          <w:color w:val="auto"/>
        </w:rPr>
      </w:pPr>
    </w:p>
    <w:p>
      <w:pPr>
        <w:jc w:val="right"/>
        <w:ind w:right="900"/>
        <w:spacing w:after="0"/>
        <w:rPr>
          <w:sz w:val="20"/>
          <w:szCs w:val="20"/>
          <w:color w:val="auto"/>
        </w:rPr>
      </w:pPr>
      <w:r>
        <w:rPr>
          <w:rFonts w:ascii="Arial" w:cs="Arial" w:eastAsia="Arial" w:hAnsi="Arial"/>
          <w:sz w:val="14"/>
          <w:szCs w:val="14"/>
          <w:b w:val="1"/>
          <w:bCs w:val="1"/>
          <w:color w:val="auto"/>
        </w:rPr>
        <w:t>Amounts reclassified from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26035</wp:posOffset>
            </wp:positionV>
            <wp:extent cx="19373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89"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26035</wp:posOffset>
            </wp:positionV>
            <wp:extent cx="19373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2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26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Affected line items on the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condensed consolidated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statements of operations</w:t>
      </w:r>
    </w:p>
    <w:p>
      <w:pPr>
        <w:spacing w:after="0" w:line="58" w:lineRule="exact"/>
        <w:rPr>
          <w:sz w:val="20"/>
          <w:szCs w:val="20"/>
          <w:color w:val="auto"/>
        </w:rPr>
      </w:pPr>
    </w:p>
    <w:p>
      <w:pPr>
        <w:sectPr>
          <w:pgSz w:w="11900" w:h="16838" w:orient="portrait"/>
          <w:cols w:equalWidth="0" w:num="2">
            <w:col w:w="7600" w:space="720"/>
            <w:col w:w="2920"/>
          </w:cols>
          <w:pgMar w:left="320" w:top="333" w:right="3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Amortization of pension, retiree medical</w:t>
      </w:r>
    </w:p>
    <w:p>
      <w:pPr>
        <w:ind w:left="40"/>
        <w:spacing w:after="0"/>
        <w:rPr>
          <w:sz w:val="20"/>
          <w:szCs w:val="20"/>
          <w:color w:val="auto"/>
        </w:rPr>
      </w:pPr>
      <w:r>
        <w:rPr>
          <w:rFonts w:ascii="Arial" w:cs="Arial" w:eastAsia="Arial" w:hAnsi="Arial"/>
          <w:sz w:val="18"/>
          <w:szCs w:val="18"/>
          <w:color w:val="auto"/>
        </w:rPr>
        <w:t>and other postretirement benefits: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40" w:type="dxa"/>
            <w:vAlign w:val="bottom"/>
          </w:tcPr>
          <w:p>
            <w:pPr>
              <w:ind w:left="380"/>
              <w:spacing w:after="0"/>
              <w:rPr>
                <w:sz w:val="20"/>
                <w:szCs w:val="20"/>
                <w:color w:val="auto"/>
              </w:rPr>
            </w:pPr>
            <w:r>
              <w:rPr>
                <w:rFonts w:ascii="Arial" w:cs="Arial" w:eastAsia="Arial" w:hAnsi="Arial"/>
                <w:sz w:val="18"/>
                <w:szCs w:val="18"/>
                <w:color w:val="auto"/>
              </w:rPr>
              <w:t>Prior service benefit</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4140" w:type="dxa"/>
            <w:vAlign w:val="bottom"/>
          </w:tcPr>
          <w:p>
            <w:pPr>
              <w:jc w:val="right"/>
              <w:ind w:right="550"/>
              <w:spacing w:after="0"/>
              <w:rPr>
                <w:sz w:val="20"/>
                <w:szCs w:val="20"/>
                <w:color w:val="auto"/>
              </w:rPr>
            </w:pPr>
            <w:r>
              <w:rPr>
                <w:rFonts w:ascii="Arial" w:cs="Arial" w:eastAsia="Arial" w:hAnsi="Arial"/>
                <w:sz w:val="18"/>
                <w:szCs w:val="18"/>
                <w:color w:val="auto"/>
              </w:rPr>
              <w:t>Nonoperating other income (expense), net</w:t>
            </w:r>
          </w:p>
        </w:tc>
        <w:tc>
          <w:tcPr>
            <w:tcW w:w="0" w:type="dxa"/>
            <w:vAlign w:val="bottom"/>
          </w:tcPr>
          <w:p>
            <w:pPr>
              <w:spacing w:after="0"/>
              <w:rPr>
                <w:sz w:val="1"/>
                <w:szCs w:val="1"/>
                <w:color w:val="auto"/>
              </w:rPr>
            </w:pPr>
          </w:p>
        </w:tc>
      </w:tr>
      <w:tr>
        <w:trPr>
          <w:trHeight w:val="277"/>
        </w:trPr>
        <w:tc>
          <w:tcPr>
            <w:tcW w:w="4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6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00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24   Nonoperating other income (expense), net</w:t>
            </w:r>
          </w:p>
        </w:tc>
        <w:tc>
          <w:tcPr>
            <w:tcW w:w="0" w:type="dxa"/>
            <w:vAlign w:val="bottom"/>
          </w:tcPr>
          <w:p>
            <w:pPr>
              <w:spacing w:after="0"/>
              <w:rPr>
                <w:sz w:val="1"/>
                <w:szCs w:val="1"/>
                <w:color w:val="auto"/>
              </w:rPr>
            </w:pPr>
          </w:p>
        </w:tc>
      </w:tr>
      <w:tr>
        <w:trPr>
          <w:trHeight w:val="209"/>
        </w:trPr>
        <w:tc>
          <w:tcPr>
            <w:tcW w:w="4040" w:type="dxa"/>
            <w:vAlign w:val="bottom"/>
          </w:tcPr>
          <w:p>
            <w:pPr>
              <w:ind w:left="40"/>
              <w:spacing w:after="0"/>
              <w:rPr>
                <w:sz w:val="20"/>
                <w:szCs w:val="20"/>
                <w:color w:val="auto"/>
              </w:rPr>
            </w:pPr>
            <w:r>
              <w:rPr>
                <w:rFonts w:ascii="Arial" w:cs="Arial" w:eastAsia="Arial" w:hAnsi="Arial"/>
                <w:sz w:val="18"/>
                <w:szCs w:val="18"/>
                <w:color w:val="auto"/>
              </w:rPr>
              <w:t>Total reclassifications for the period,</w:t>
            </w:r>
          </w:p>
        </w:tc>
        <w:tc>
          <w:tcPr>
            <w:tcW w:w="62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2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tcPr>
          <w:p>
            <w:pPr>
              <w:ind w:left="40"/>
              <w:spacing w:after="0"/>
              <w:rPr>
                <w:sz w:val="20"/>
                <w:szCs w:val="20"/>
                <w:color w:val="auto"/>
              </w:rPr>
            </w:pPr>
            <w:r>
              <w:rPr>
                <w:rFonts w:ascii="Arial" w:cs="Arial" w:eastAsia="Arial" w:hAnsi="Arial"/>
                <w:sz w:val="18"/>
                <w:szCs w:val="18"/>
                <w:color w:val="auto"/>
              </w:rPr>
              <w:t>net of tax</w:t>
            </w:r>
          </w:p>
        </w:tc>
        <w:tc>
          <w:tcPr>
            <w:tcW w:w="6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Regional Expenses</w:t>
      </w:r>
    </w:p>
    <w:p>
      <w:pPr>
        <w:spacing w:after="0" w:line="112"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3"/>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0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r>
      <w:tr>
        <w:trPr>
          <w:trHeight w:val="250"/>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108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1,763</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201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500" w:right="20" w:hanging="330"/>
        <w:spacing w:after="0" w:line="233" w:lineRule="auto"/>
        <w:tabs>
          <w:tab w:leader="none" w:pos="500" w:val="left"/>
        </w:tabs>
        <w:numPr>
          <w:ilvl w:val="1"/>
          <w:numId w:val="17"/>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March 31, 2020 and 2019 , we recognized $150 million and $143 million , respectively, of expense under our capacity purchase agreement with Republic Airline Inc. (Republic). We hold a 25% equity interest in Republic Airways Holdings Inc., the parent company of Republic.</w:t>
      </w:r>
    </w:p>
    <w:p>
      <w:pPr>
        <w:spacing w:after="0" w:line="221"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w:t>
      </w:r>
    </w:p>
    <w:p>
      <w:pPr>
        <w:sectPr>
          <w:pgSz w:w="11900" w:h="16838" w:orient="portrait"/>
          <w:cols w:equalWidth="0" w:num="1">
            <w:col w:w="11240"/>
          </w:cols>
          <w:pgMar w:left="320" w:top="333" w:right="339" w:bottom="1440" w:gutter="0" w:footer="0" w:header="0"/>
          <w:type w:val="continuous"/>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1" w:name="page22"/>
    <w:bookmarkEnd w:id="21"/>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AMR stockholders and former convertible noteholders treated as stockholders under the Plan. In the first quarter of 2020 , 2.2 million shares of AAG common stock were distributed from the Disputed Claims Reserve. After giving effect to this distribution, as of March 31, 2020 , the Disputed Claims Reserve held 4.8 million shares of AAG common stock.</w:t>
      </w:r>
    </w:p>
    <w:p>
      <w:pPr>
        <w:spacing w:after="0" w:line="13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the Merger </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any of the four American defined benefit pension plans who elected to receive an optional form of benefit other than a lump sum distribution of a participant’s vested benefit. Under the Employee Retirement Income Security Act,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court has denied our motion to dismiss the complaint. We believe this lawsuit is without merit and intend to vigorously defend against the allegations.</w:t>
      </w:r>
    </w:p>
    <w:p>
      <w:pPr>
        <w:spacing w:after="0" w:line="131"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6" w:lineRule="exact"/>
        <w:rPr>
          <w:sz w:val="20"/>
          <w:szCs w:val="20"/>
          <w:color w:val="auto"/>
        </w:rPr>
      </w:pPr>
    </w:p>
    <w:p>
      <w:pPr>
        <w:ind w:left="220" w:right="9460" w:hanging="212"/>
        <w:spacing w:after="0" w:line="357" w:lineRule="auto"/>
        <w:tabs>
          <w:tab w:leader="none" w:pos="30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w:t>
      </w:r>
      <w:r>
        <w:rPr>
          <w:rFonts w:ascii="Arial" w:cs="Arial" w:eastAsia="Arial" w:hAnsi="Arial"/>
          <w:sz w:val="18"/>
          <w:szCs w:val="18"/>
          <w:b w:val="1"/>
          <w:bCs w:val="1"/>
          <w:i w:val="1"/>
          <w:iCs w:val="1"/>
          <w:u w:val="single" w:color="auto"/>
          <w:color w:val="auto"/>
        </w:rPr>
        <w:t>Long-lived Assets</w:t>
      </w:r>
    </w:p>
    <w:p>
      <w:pPr>
        <w:jc w:val="both"/>
        <w:ind w:firstLine="216"/>
        <w:spacing w:after="0" w:line="254" w:lineRule="auto"/>
        <w:rPr>
          <w:sz w:val="20"/>
          <w:szCs w:val="20"/>
          <w:color w:val="auto"/>
        </w:rPr>
      </w:pPr>
      <w:r>
        <w:rPr>
          <w:rFonts w:ascii="Arial" w:cs="Arial" w:eastAsia="Arial" w:hAnsi="Arial"/>
          <w:sz w:val="18"/>
          <w:szCs w:val="18"/>
          <w:color w:val="auto"/>
        </w:rPr>
        <w:t>Accounting Standards Codification (ASC) 360 - Property, Plant, and Equipment (ASC 360) requires long-lived assets to be assessed for impairment when events and circumstances indicate that the assets may be impaired. Long-lived assets consist of owned flight and ground equipment, ROU assets and definite-lived intangible assets such as certain domestic airport slots and gate leasehold rights, customer relationships and marketing agreements.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previously discussed, in the first quarter of 2020 , our operations, liquidity and stock price were significantly impacted by decreased passenger demand and U.S. government travel restrictions due to COVID-19. Additionally, we decided to retire certain mainline aircraft earlier than planned including Boeing 757, Boeing 767, Airbus A330-300 and Embraer 190 aircraft as well as regional aircraft, including certain Embraer 140 and Bombardier CRJ200 aircraft. As a result of these events and circumstances, we performed impairment tests on our long-lived assets in connection with the preparation of our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accordance with ASC 360, an impairment of a long-lived asset or group of long-lived assets exists only when the sum of the estimated undiscounted future cash flows expected to be generated directly by the assets are less than the carrying value of the assets. We group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our current fleet plan.</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a result of the impairment tests performed on our long-lived assets, we determined the sum of the estimated undiscounted future cash flows exceeded the $44.6 billion carrying value for our long-lived assets except for the aircraft being retired earlier than planned as discussed above. For those aircraft and certain related spare parts, we recorded an $815 million impairment charge reflecting the difference between the carrying values of these assets and their fair values. Fair value reflects management’s best estimate including inputs from published pricing guides and bids from third parties as well as contracted sales agreements when applicable. Due to the inherent uncertainties of the current operating environment, we will continue to evaluate our current fleet and may decide to permanently retire additional aircraft.</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ASC 350 - Intangibles - Goodwill and Other (ASC 350) requires goodwill and indefinite-lived intangible assets to be assessed for impairment annually or more frequently if events or circumstances indicate that the fair values of goodwill and indefinite-lived intangible assets may be lower than their carrying values. Goodwill represents the purchase price in excess of the fair value of the net assets acquired and liabilities assumed in connection with the merger with US Airways Group, Inc. We have one reporting unit. Indefinite-lived intangible assets consist of certain domestic airport slots and international slots and route authorities.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first quarter of 2020 , we performed an interim impairment test on our goodwill and indefinite-lived intangible assets as a result of the events and circumstances previously discussed due to the impact of COVID-19 on our business. In accordance with ASC 350, for goodwill, we performed a quantitative analysis by using a market approach. Under the market approach, the fair value of the reporting unit was determined based on quoted market prices for equity and the fair value of debt as described in Note 8. The fair value exceeded the carrying value of the reporting unit, and our $4.1 billion of goodwill was not impaired.</w:t>
      </w:r>
    </w:p>
    <w:p>
      <w:pPr>
        <w:spacing w:after="0" w:line="15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Additionally, in the first quarter of 2020 , we performed an interim qualitative impairment test on our $1.8 billion of indefinite-lived intangible assets and determined there was no material impairment.</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As discussed above, due to the inherent uncertainties of the current operating environment, we will continue to evaluate our goodwill and indefinite-lived intangible assets for events or circumstances that indicate that their fair values may be lower than their carrying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2013 Revolving Facility, 2014 Revolving Facility and April 2016 Revolving Facility Borrowings</w:t>
      </w:r>
    </w:p>
    <w:p>
      <w:pPr>
        <w:spacing w:after="0" w:line="11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April 2020, American borrowed $750 million under the 2013 Revolving Facility, $1.5 billion under the 2014 Revolving Facility and $450 million under the April 2016 Revolving Facility. Following the April 2020 draw, American had no remaining borrowing capacity available under the 2013 Revolving Facility or the April 2016 Revolving Facility and had $110 million in remaining borrowing capacity available under the 2014 Revolving Facility.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Payroll Support Program</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April 20, 2020 (the PSP Closing Date), American, Envoy Air Inc. (Envoy), Piedmont Airlines, Inc. (Piedmont) and PSA Airlines, Inc. (PSA and together with American, Envoy and Piedmont, the Subsidiaries), each our wholly-owned subsidiary, entered into a Payroll Support Program Agreement (the PSP Agreement) with Treasury, with respect to the Payroll Support Program provided pursuant to the CARES Act. In connection with our entry into the PSP Agreement, on the PSP Closing Date, we also entered into a Warrant Agreement (the Warrant Agreement) with Treasury, and we issued a promissory note to Treasury (the Promissory Note), with the Subsidiaries as guarantors (the Guarantors).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 Agreement</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Pursuant to the PSP Agreement, Treasury is to provide to us financial assistance to be paid in installments (each, an Installment) expected to total in the aggregate approximately $5.8 billion . The first Installment, in the amount of approximately $2.9 billion (representing 50% of the current expected total) was disbursed by Treasury on April 21, 2020, and we currently anticipate receiving three additional Installments from May to July 2020.</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Payroll Support Program, we are required to comply with the relevant provisions of the CARES Act, including the requirement that funds provided pursuant to the PSP Agreement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and the provisions that prohibit the repurchase of AAG common stock, and the payment of common stock dividends through September 30, 2021, as well as those that restrict the payment of certain executive compensation until March 24, 2022. The PSP Agreement also imposes substantial reporting obligations on us and the Subsidiaries.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 Promissory Note</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compensation to the U.S. Government for the provision of financial assistance under the PSP Agreement, we issued the Promissory Note to Treasury, which provides for our unconditional promise to pay to Treasury the initial principal sum of approximately $842 million , subject to an increase equal to 30% of the amount of each additional Installment disbursed under the PSP Agreement after the PSP Closing Date, and the guarantee of our obligations by the Guarantors. Assuming the total Installments to be paid pursuant to the PSP Agreement aggregate approximately $5.8 billion , the Promissory Note will have a total principal sum of approximately $1.7 billion .</w:t>
      </w:r>
    </w:p>
    <w:p>
      <w:pPr>
        <w:spacing w:after="0" w:line="151"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The Promissory Note bears interest on the outstanding principal amount at a rate equal to 1.00% per annum until the fifth anniversary of the PSP Closing Date and 2.00% plus an interest rate based on the secured overnight financing rate per annum or other benchmark replacement rate consistent with customary market conventions (but not to be less than 0.00% ) thereafter until the tenth anniversary of the PSP Closing Date (the Maturity Date), and interest accrued thereon will be payable in arrears on the last business day of March and September of each year, beginning on September 30, 2020. The aggregate principal amount outstanding under the Promissory Note, together with all accrued and unpaid interest thereon and all other amounts payable under the Promissory Note, will be due and payable on the Maturity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at any time and from time to time, voluntarily prepay amounts outstanding under the Promissory Note, in whole or in part, without penalty or premium. Within 30 days of the occurrence of certain change of control triggering events, we are required to prepay the aggregate outstanding principal amount of the Promissory Note at such time, together with any accrued interest or other amounts owing under the Promissory Note at such time .</w:t>
      </w:r>
    </w:p>
    <w:p>
      <w:pPr>
        <w:spacing w:after="0" w:line="15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Promissory Note is our senior unsecured obligation and each guarantee of the Promissory Note is the senior unsecured obligation of each of the Guarantors, respectively .</w:t>
      </w:r>
    </w:p>
    <w:p>
      <w:pPr>
        <w:spacing w:after="0" w:line="14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Promissory Note contains events of default, including cross-default with respect to acceleration or failure to pay at maturity other material indebtedness. Upon the occurrence of an event of default and subject to certain grace periods, the outstanding obligations under the Promissory Note may, and in certain circumstances will automatically, be accelerated and become due and payable immediately.</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 Warrant Agreement and Warrants</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compensation to the U.S. Government for the provision of financial assistance under the PSP Agreement, and pursuant to the Warrant Agreement, we have agreed to issue warrants (each a PSP Warrant and, collectively, the PSP Warrants) to Treasury to purchase up to an aggregate of approximately 13.7 million shares (the Warrant Shares) of AAG common stock. The exercise price of the Warrant Shares is $12.51 per share (which was the closing price of AAG common stock on The Nasdaq Global Select Market on April 9, 2020) (the Exercise Price) subject to certain anti-dilution provisions provided for in the PSP Warrant.</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Warrant Agreement, (a) on the PSP Closing Date, we issued to Treasury a PSP Warrant to purchase up to an aggregate of approximately 6.7 million shares of AAG common stock based on the terms described herein and (b) on the date of each increase of the principal amount of the Promissory Note in connection with the disbursement of an additional Installment under the PSP Agreement, we will issue to Treasury an additional PSP Warrant for a number of shares of AAG common stock equal to 10% of such increase of the principal amount of the Promissory Note, divided by the Exercise Price. Assuming the total Installments to be paid pursuant to the PSP Agreement aggregate approximately $5.8 billion , the total number of Warrant Shares issuable is approximately 13.7 million , subject to certain anti-dilution provisions, including, among others, for below market issuances and payment of dividends, provided for in the PSP Warrants.</w:t>
      </w:r>
    </w:p>
    <w:p>
      <w:pPr>
        <w:spacing w:after="0" w:line="15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PSP Warrant does not have any voting rights and is freely transferrable, with registration rights. Each PSP Warrant expires on the fifth anniversary of the date of issuance of such PSP Warrant. The PSP Warrants will be exercisable either through net share settlement or cash, at our option.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center"/>
        <w:ind w:left="340" w:right="1020"/>
        <w:spacing w:after="0" w:line="287"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33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PSP Warrant was issued solely as compensation to the U.S. Government related to entry into the PSP Agreement. No separate proceeds (apart from the financial assistance Installments described above) were received upon issuance of the PSP Warrant or will be received upon exercise thereof.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86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49"/>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63"/>
        </w:trPr>
        <w:tc>
          <w:tcPr>
            <w:tcW w:w="7720" w:type="dxa"/>
            <w:vAlign w:val="bottom"/>
          </w:tcPr>
          <w:p>
            <w:pPr>
              <w:ind w:left="380"/>
              <w:spacing w:after="0"/>
              <w:rPr>
                <w:sz w:val="20"/>
                <w:szCs w:val="20"/>
                <w:color w:val="auto"/>
              </w:rPr>
            </w:pPr>
            <w:r>
              <w:rPr>
                <w:rFonts w:ascii="Arial" w:cs="Arial" w:eastAsia="Arial" w:hAnsi="Arial"/>
                <w:sz w:val="18"/>
                <w:szCs w:val="18"/>
                <w:color w:val="auto"/>
              </w:rPr>
              <w:t>Passenger</w:t>
            </w:r>
          </w:p>
        </w:tc>
        <w:tc>
          <w:tcPr>
            <w:tcW w:w="1080" w:type="dxa"/>
            <w:vAlign w:val="bottom"/>
          </w:tcPr>
          <w:p>
            <w:pPr>
              <w:jc w:val="right"/>
              <w:ind w:right="86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22"/>
                <w:szCs w:val="22"/>
                <w:color w:val="auto"/>
              </w:rPr>
            </w:pPr>
          </w:p>
        </w:tc>
        <w:tc>
          <w:tcPr>
            <w:tcW w:w="1040" w:type="dxa"/>
            <w:vAlign w:val="bottom"/>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9,658</w:t>
            </w:r>
          </w:p>
        </w:tc>
      </w:tr>
      <w:tr>
        <w:trPr>
          <w:trHeight w:val="277"/>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Cargo</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64"/>
        </w:trPr>
        <w:tc>
          <w:tcPr>
            <w:tcW w:w="7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705</w:t>
            </w:r>
          </w:p>
        </w:tc>
      </w:tr>
      <w:tr>
        <w:trPr>
          <w:trHeight w:val="256"/>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revenues</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8,514</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10,581</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5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Salaries, wages and benefits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Regional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rent and landing fees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Selling expenses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Special items,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operating expenses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Nonoperating income (expense):</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income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expense, net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income (expense), net</w:t>
      </w:r>
    </w:p>
    <w:p>
      <w:pPr>
        <w:spacing w:after="0" w:line="63" w:lineRule="exact"/>
        <w:rPr>
          <w:sz w:val="20"/>
          <w:szCs w:val="20"/>
          <w:color w:val="auto"/>
        </w:rPr>
      </w:pPr>
    </w:p>
    <w:p>
      <w:pPr>
        <w:jc w:val="right"/>
        <w:ind w:right="3720"/>
        <w:spacing w:after="0"/>
        <w:rPr>
          <w:sz w:val="20"/>
          <w:szCs w:val="20"/>
          <w:color w:val="auto"/>
        </w:rPr>
      </w:pPr>
      <w:r>
        <w:rPr>
          <w:rFonts w:ascii="Arial" w:cs="Arial" w:eastAsia="Arial" w:hAnsi="Arial"/>
          <w:sz w:val="18"/>
          <w:szCs w:val="18"/>
          <w:color w:val="auto"/>
        </w:rPr>
        <w:t>Total nonoperating expense, net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(loss) before income taxes</w:t>
      </w:r>
    </w:p>
    <w:p>
      <w:pPr>
        <w:spacing w:after="0" w:line="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Income tax provision (benefit)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 (loss)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1,726</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3,089</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1,791</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370</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w:t>
            </w:r>
          </w:p>
        </w:tc>
      </w:tr>
      <w:tr>
        <w:trPr>
          <w:trHeight w:val="270"/>
        </w:trPr>
        <w:tc>
          <w:tcPr>
            <w:tcW w:w="6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w:t>
            </w:r>
          </w:p>
        </w:tc>
      </w:tr>
      <w:tr>
        <w:trPr>
          <w:trHeight w:val="250"/>
        </w:trPr>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11,050</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10,236</w:t>
            </w:r>
          </w:p>
        </w:tc>
      </w:tr>
      <w:tr>
        <w:trPr>
          <w:trHeight w:val="243"/>
        </w:trPr>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540"/>
        </w:trPr>
        <w:tc>
          <w:tcPr>
            <w:tcW w:w="60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0"/>
        </w:trPr>
        <w:tc>
          <w:tcPr>
            <w:tcW w:w="6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7"/>
        </w:trPr>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r>
      <w:tr>
        <w:trPr>
          <w:trHeight w:val="250"/>
        </w:trPr>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304</w:t>
            </w:r>
          </w:p>
        </w:tc>
      </w:tr>
      <w:tr>
        <w:trPr>
          <w:trHeight w:val="277"/>
        </w:trPr>
        <w:tc>
          <w:tcPr>
            <w:tcW w:w="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r>
      <w:tr>
        <w:trPr>
          <w:trHeight w:val="250"/>
        </w:trPr>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-3110865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-2767965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-2425065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-2082165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-1739265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-1396365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-1053465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-710565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-367665</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549" w:right="3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26035</wp:posOffset>
            </wp:positionV>
            <wp:extent cx="22288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06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Pension, retiree medical and other postretirement benefits</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7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Investments</w:t>
            </w:r>
          </w:p>
        </w:tc>
        <w:tc>
          <w:tcPr>
            <w:tcW w:w="10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r>
      <w:tr>
        <w:trPr>
          <w:trHeight w:val="256"/>
        </w:trPr>
        <w:tc>
          <w:tcPr>
            <w:tcW w:w="77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comprehensive loss, net of tax</w:t>
            </w:r>
          </w:p>
        </w:tc>
        <w:tc>
          <w:tcPr>
            <w:tcW w:w="10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4"/>
        </w:trPr>
        <w:tc>
          <w:tcPr>
            <w:tcW w:w="772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 (loss)</w:t>
            </w:r>
          </w:p>
        </w:tc>
        <w:tc>
          <w:tcPr>
            <w:tcW w:w="106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217</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3,100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3,543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cash and short-term investments</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Receivables from related parties, net</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12,451</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Aircraft fuel, spare parts and supplies, net</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1,666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1,754</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72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19,853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20,527</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Flight equipment</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38,981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42,213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Ground property and equipment</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9,089</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Equipment purchase deposits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1,740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at cost</w:t>
            </w:r>
          </w:p>
        </w:tc>
        <w:tc>
          <w:tcPr>
            <w:tcW w:w="2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49,964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52,976</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Less accumulated depreciation and amortization</w:t>
            </w:r>
          </w:p>
        </w:tc>
        <w:tc>
          <w:tcPr>
            <w:tcW w:w="22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(16,111)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(18,335)</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property and equipment, net</w:t>
            </w:r>
          </w:p>
        </w:tc>
        <w:tc>
          <w:tcPr>
            <w:tcW w:w="2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33,853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34,641</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Operating lease right-of-use assets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8,578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8,694</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assets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4,091</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Intangibles, net of accumulated amortization of $714 and $704, respectively</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Deferred tax asset</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720"/>
              <w:spacing w:after="0"/>
              <w:rPr>
                <w:sz w:val="20"/>
                <w:szCs w:val="20"/>
                <w:color w:val="auto"/>
              </w:rPr>
            </w:pPr>
            <w:r>
              <w:rPr>
                <w:rFonts w:ascii="Arial" w:cs="Arial" w:eastAsia="Arial" w:hAnsi="Arial"/>
                <w:sz w:val="14"/>
                <w:szCs w:val="14"/>
                <w:color w:val="auto"/>
              </w:rPr>
              <w:t>Total other assets</w:t>
            </w:r>
          </w:p>
        </w:tc>
        <w:tc>
          <w:tcPr>
            <w:tcW w:w="22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8,494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8,028</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71,890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Current maturities of long-term debt and finance leases</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3,517</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Accrued salaries and wages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1,574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Air traffic liability</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4,808</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Loyalty program liability</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3,193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1,695</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Other accrued liabilities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18,981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17,560</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debt and finance leases, net of current maturities</w:t>
            </w:r>
          </w:p>
        </w:tc>
        <w:tc>
          <w:tcPr>
            <w:tcW w:w="2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20,299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20,684</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Pension and postretirement benefits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6,064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6,008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Loyalty program liability</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7,209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7,388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720"/>
              <w:spacing w:after="0"/>
              <w:rPr>
                <w:sz w:val="20"/>
                <w:szCs w:val="20"/>
                <w:color w:val="auto"/>
              </w:rPr>
            </w:pPr>
            <w:r>
              <w:rPr>
                <w:rFonts w:ascii="Arial" w:cs="Arial" w:eastAsia="Arial" w:hAnsi="Arial"/>
                <w:sz w:val="14"/>
                <w:szCs w:val="14"/>
                <w:color w:val="auto"/>
              </w:rPr>
              <w:t>Total noncurrent liabilities</w:t>
            </w:r>
          </w:p>
        </w:tc>
        <w:tc>
          <w:tcPr>
            <w:tcW w:w="220" w:type="dxa"/>
            <w:vAlign w:val="bottom"/>
          </w:tcPr>
          <w:p>
            <w:pPr>
              <w:spacing w:after="0"/>
              <w:rPr>
                <w:sz w:val="16"/>
                <w:szCs w:val="16"/>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40,619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40,908</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Commitments and contingencies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Common stock, $1.00 par value; 1,000 shares authorized, issued and outstanding</w:t>
            </w:r>
          </w:p>
        </w:tc>
        <w:tc>
          <w:tcPr>
            <w:tcW w:w="22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16,977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16,903</w:t>
            </w:r>
          </w:p>
        </w:tc>
        <w:tc>
          <w:tcPr>
            <w:tcW w:w="0" w:type="dxa"/>
            <w:vAlign w:val="bottom"/>
          </w:tcPr>
          <w:p>
            <w:pPr>
              <w:spacing w:after="0"/>
              <w:rPr>
                <w:sz w:val="1"/>
                <w:szCs w:val="1"/>
                <w:color w:val="auto"/>
              </w:rPr>
            </w:pPr>
          </w:p>
        </w:tc>
      </w:tr>
      <w:tr>
        <w:trPr>
          <w:trHeight w:val="60"/>
        </w:trPr>
        <w:tc>
          <w:tcPr>
            <w:tcW w:w="7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(6,423)</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78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773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28"/>
              <w:spacing w:after="0"/>
              <w:rPr>
                <w:sz w:val="20"/>
                <w:szCs w:val="20"/>
                <w:color w:val="auto"/>
              </w:rPr>
            </w:pPr>
            <w:r>
              <w:rPr>
                <w:rFonts w:ascii="Arial" w:cs="Arial" w:eastAsia="Arial" w:hAnsi="Arial"/>
                <w:sz w:val="14"/>
                <w:szCs w:val="14"/>
                <w:color w:val="auto"/>
              </w:rPr>
              <w:t>2,942</w:t>
            </w:r>
          </w:p>
        </w:tc>
        <w:tc>
          <w:tcPr>
            <w:tcW w:w="0" w:type="dxa"/>
            <w:vAlign w:val="bottom"/>
          </w:tcPr>
          <w:p>
            <w:pPr>
              <w:spacing w:after="0"/>
              <w:rPr>
                <w:sz w:val="1"/>
                <w:szCs w:val="1"/>
                <w:color w:val="auto"/>
              </w:rPr>
            </w:pPr>
          </w:p>
        </w:tc>
      </w:tr>
      <w:tr>
        <w:trPr>
          <w:trHeight w:val="60"/>
        </w:trPr>
        <w:tc>
          <w:tcPr>
            <w:tcW w:w="7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7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22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13,422</w:t>
            </w:r>
          </w:p>
        </w:tc>
        <w:tc>
          <w:tcPr>
            <w:tcW w:w="0" w:type="dxa"/>
            <w:vAlign w:val="bottom"/>
          </w:tcPr>
          <w:p>
            <w:pPr>
              <w:spacing w:after="0"/>
              <w:rPr>
                <w:sz w:val="1"/>
                <w:szCs w:val="1"/>
                <w:color w:val="auto"/>
              </w:rPr>
            </w:pPr>
          </w:p>
        </w:tc>
      </w:tr>
      <w:tr>
        <w:trPr>
          <w:trHeight w:val="66"/>
        </w:trPr>
        <w:tc>
          <w:tcPr>
            <w:tcW w:w="77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780" w:type="dxa"/>
            <w:vAlign w:val="bottom"/>
          </w:tcPr>
          <w:p>
            <w:pPr>
              <w:ind w:left="1040"/>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70,778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71,890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549" w:right="3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7"/>
                <w:szCs w:val="17"/>
                <w:color w:val="auto"/>
              </w:rPr>
            </w:pPr>
          </w:p>
        </w:tc>
      </w:tr>
      <w:tr>
        <w:trPr>
          <w:trHeight w:val="263"/>
        </w:trPr>
        <w:tc>
          <w:tcPr>
            <w:tcW w:w="20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r>
      <w:tr>
        <w:trPr>
          <w:trHeight w:val="256"/>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80" w:type="dxa"/>
            <w:vAlign w:val="bottom"/>
            <w:shd w:val="clear" w:color="auto" w:fill="CCEEFF"/>
          </w:tcPr>
          <w:p>
            <w:pPr>
              <w:jc w:val="right"/>
              <w:ind w:right="85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expenditures and aircraft purchase deposits</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Proceeds from sale-leaseback transactions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Purchases of short-term investments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Sales of short-term investments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1,051</w:t>
            </w:r>
          </w:p>
        </w:tc>
      </w:tr>
      <w:tr>
        <w:trPr>
          <w:trHeight w:val="263"/>
        </w:trPr>
        <w:tc>
          <w:tcPr>
            <w:tcW w:w="772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 investing activities</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7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Payments on long-term debt and finance leases</w:t>
            </w:r>
          </w:p>
        </w:tc>
        <w:tc>
          <w:tcPr>
            <w:tcW w:w="10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72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Net cash provided by (used in) financ ing activities</w:t>
            </w:r>
          </w:p>
        </w:tc>
        <w:tc>
          <w:tcPr>
            <w:tcW w:w="10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r>
      <w:tr>
        <w:trPr>
          <w:trHeight w:val="25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restricted cash</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63"/>
        </w:trPr>
        <w:tc>
          <w:tcPr>
            <w:tcW w:w="77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Cash and restricted cash at beginning of period</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r>
      <w:tr>
        <w:trPr>
          <w:trHeight w:val="256"/>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0"/>
        </w:trPr>
        <w:tc>
          <w:tcPr>
            <w:tcW w:w="2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78"/>
        </w:trPr>
        <w:tc>
          <w:tcPr>
            <w:tcW w:w="20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7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Right-of-use (ROU) assets acquired through operating leases</w:t>
            </w:r>
          </w:p>
        </w:tc>
        <w:tc>
          <w:tcPr>
            <w:tcW w:w="1080" w:type="dxa"/>
            <w:vAlign w:val="bottom"/>
          </w:tcPr>
          <w:p>
            <w:pPr>
              <w:jc w:val="right"/>
              <w:ind w:right="857"/>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2"/>
                <w:szCs w:val="22"/>
                <w:color w:val="auto"/>
              </w:rPr>
            </w:pP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Settlement of bankruptcy obligations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Deferred financing costs paid through issuance of debt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Property and equipment acquired through finance leases</w:t>
            </w:r>
          </w:p>
        </w:tc>
        <w:tc>
          <w:tcPr>
            <w:tcW w:w="10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Supplemental information:</w:t>
            </w: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Interest paid, net</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57"/>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Income taxes paid</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2080" w:type="dxa"/>
            <w:vAlign w:val="bottom"/>
            <w:tcBorders>
              <w:bottom w:val="single" w:sz="8" w:color="auto"/>
            </w:tcBorders>
          </w:tcPr>
          <w:p>
            <w:pPr>
              <w:spacing w:after="0"/>
              <w:rPr>
                <w:sz w:val="23"/>
                <w:szCs w:val="23"/>
                <w:color w:val="auto"/>
              </w:rPr>
            </w:pPr>
          </w:p>
        </w:tc>
        <w:tc>
          <w:tcPr>
            <w:tcW w:w="56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377" w:lineRule="exact"/>
        <w:rPr>
          <w:sz w:val="20"/>
          <w:szCs w:val="20"/>
          <w:color w:val="auto"/>
        </w:rPr>
      </w:pPr>
    </w:p>
    <w:p>
      <w:pPr>
        <w:ind w:left="580" w:hanging="329"/>
        <w:spacing w:after="0" w:line="225" w:lineRule="auto"/>
        <w:tabs>
          <w:tab w:leader="none" w:pos="58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70"/>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64"/>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56"/>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restricted cash</w:t>
            </w: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0"/>
        </w:trPr>
        <w:tc>
          <w:tcPr>
            <w:tcW w:w="7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5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16,903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13,422</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2"/>
                <w:szCs w:val="22"/>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2"/>
                <w:szCs w:val="22"/>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Intercompany equity transfer</w:t>
            </w: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r>
      <w:tr>
        <w:trPr>
          <w:trHeight w:val="244"/>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11,178</w:t>
            </w:r>
          </w:p>
        </w:tc>
      </w:tr>
      <w:tr>
        <w:trPr>
          <w:trHeight w:val="20"/>
        </w:trPr>
        <w:tc>
          <w:tcPr>
            <w:tcW w:w="5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514"/>
        </w:trPr>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2"/>
        </w:trPr>
        <w:tc>
          <w:tcPr>
            <w:tcW w:w="5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5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11,770</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2"/>
                <w:szCs w:val="22"/>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230</w:t>
            </w: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 loss, net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r>
      <w:tr>
        <w:trPr>
          <w:trHeight w:val="25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12,012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w:t>
      </w:r>
    </w:p>
    <w:p>
      <w:pPr>
        <w:spacing w:after="0" w:line="90" w:lineRule="exact"/>
        <w:rPr>
          <w:rFonts w:ascii="Arial" w:cs="Arial" w:eastAsia="Arial" w:hAnsi="Arial"/>
          <w:sz w:val="18"/>
          <w:szCs w:val="18"/>
          <w:b w:val="1"/>
          <w:bCs w:val="1"/>
          <w:color w:val="auto"/>
        </w:rPr>
      </w:pPr>
    </w:p>
    <w:p>
      <w:pPr>
        <w:ind w:left="520" w:hanging="269"/>
        <w:spacing w:after="0"/>
        <w:tabs>
          <w:tab w:leader="none" w:pos="520" w:val="left"/>
        </w:tabs>
        <w:numPr>
          <w:ilvl w:val="1"/>
          <w:numId w:val="21"/>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2019 . American is the principal wholly-owned subsidiary of American Airlines Group Inc. (AAG). All significant intercompany transactions have been eliminated.</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 and retiree medical and other postretirement benefits.</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 As a result, American has experienced an unprecedented decline in the demand for air travel, which has resulted in a material deterioration in its revenues. While American's business performed largely as expected in January and February of 2020, a severe reduction in air travel during March 2020 resulted in its total operating revenues decreasing nearly 20% in the first quarter of 2020 as compared to the first quarter of 2019 . While the length and severity of the reduction in demand due to COVID-19 is uncertain, American presently expects the deterioration to increase in the second quarter of 2020 and its results of operations for the remainder of 2020 to be severely impacted.</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American has taken aggressive actions to mitigate the effect of COVID-19 on its business including deep capacity reductions, structural changes to its fleet, cost reductions, and steps to preserve cash and improve its overall liquidity position. American remains extremely focused on taking all self-help measures available to manage its business during this unprecedented time, consistent with the terms of the financial support it has received from the U.S. Government under the Coronavirus Aid, Relief, and Economic Security (CARES) Act which, among other things, includes obligations regarding minimum air service and restrictions on involuntary workforce actions. See Note 13 for further information.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Capacity Reductions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 has significantly reduced its capacity (as measured by available seat miles), with April and May 2020 flying expected to decrease by approximately 80% year-over-year and June 2020 flying expected to decrease by approximately 70% year-over-year. Given the fluidity of the environment, American will continue to evaluate these targets and make further demand-driven adjustments to its capacity as needed.</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Fleet</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To better align American’s network with lower passenger demand, American has accelerated the retirement of Boeing 757, Boeing 767, Airbus A330-300 and Embraer 190 fleets as well as certain regional aircraft. These retirements remove complexity from its operation and bring forward cost savings and efficiencies associated with operating fewer aircraft types. See Note 12 for further information on the accounting for American's fleet retirements. Due to the inherent uncertainties of the current operating environment, American will continue to evaluate its current fleet and may decide to permanently retire additional aircraft.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Reductions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is moving quickly to align its costs with its reduced schedule. In aggregate, American estimates that it has reduced its 2020 operating and capital expenditures by more than $12 billion . These savings have been achieved through lower fuel expense and a series of actions, including the capacity reductions and accelerated fleet retirements discussed above as well as reductions in heavy maintenance expense, the deferral of marketing expenditures, consolidation of space at airport facilities and reductions in contractor, event and training expenses. American has also suspended all non-essential hiring, paused non-contractual pay rate increases, reduced executive and board of director compensation and implemented voluntary leave and early retirement programs to reduce its labor costs consistent with its obligations under the CARES Act. In total, nearly 39,000 team members have opted for early retirement, a reduced work schedule or a partially-paid leave status . American's average estimated second quarter 2020 cash burn rate is currently expected to be approximately $ 70 million per day, and American presently expects this amount to decrease over time to approximately $50 million per day for the month of June 2020 as these cost-savings initiatives gain traction and assuming no material, unforecasted revenue reductions, costs or other events.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Liquidity</w:t>
      </w:r>
    </w:p>
    <w:p>
      <w:pPr>
        <w:spacing w:after="0" w:line="10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At March 31, 2020 , American had $6.8 billion in total available liquidity, consisting of $3.6 billion in unrestricted cash and short-term investments and $3.2 billion in undrawn capacity under its revolving credit facilities, of which American borrowed $2.7 billion in April 2020.</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first quarter of 2020 , American completed the following financing transactions (see Note 4 for further information):</w:t>
      </w:r>
    </w:p>
    <w:p>
      <w:pPr>
        <w:spacing w:after="0" w:line="171" w:lineRule="exact"/>
        <w:rPr>
          <w:sz w:val="20"/>
          <w:szCs w:val="20"/>
          <w:color w:val="auto"/>
        </w:rPr>
      </w:pP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raised $1.0 billion from a 364 -day senior secured delayed draw term loan credit facility;</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raised $280 million from aircraft sale-leaseback transactions;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raised $197 million from aircraft financings, of which $17 million was used to repay existing indebtedness.</w:t>
      </w:r>
    </w:p>
    <w:p>
      <w:pPr>
        <w:spacing w:after="0" w:line="17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AAG and its subsidiaries have been approved to receive an aggregate of $5.8 billion in financial assistance to be paid in installments through the payroll support program (Payroll Support Program) under the CARES Act of which it received an initial disbursement of $2.9 billion in April 2020 (representing 50% of the current expected total). American and its regional affiliates currently anticipate receiving three additional installments from May to July 2020. As partial compensation to the U.S. Government for the provision of financial assistance under the Payroll Support Program, AAG and its subsidiaries expect to issue an aggregate principal amount of approximately $1.7 billion under a promissory note and warrants to purchase up to 13.7 million shares of AAG common stock (assuming the full $5.8 billion of financial assistance is received). As of the date of this report, the principal amount of this promissory note is $842 million and a warrant to purchase up to 6.7 million shares of AAG common stock has been issued. The principal amount of this promissory note will increase by an amount equal to 30% of each additional installment disbursed under the PSP Agreement, and AAG will issue a warrant for a number of shares of AAG common stock equal to 10% of each such increase in the principal amount of this promissory note, divided by $12.51 per share (the exercise price per share of such warrants). See Note 13 for further information on the Payroll Support Program. AAG and its subsidiaries also applied for a secured loan from the U.S. Department of the Treasury (Treasury) of approximately $4.75 billion under the CARES Act, which if granted will involve the issuance of additional warrants to purchase approximately 38.0 million shares of AAG common stock. As of the date of this report, the secured loan application has not been acted on. Also, American is permitted to, and will, defer payment of the employer portion of social security taxes through the end of 2020 (with 50% of the deferred amount due December 31, 2021 and the remaining 50% due December 31, 2022). This deferral is expected to provide approximately $300 million in additional liquidity during 2020 . Additionally, AAG has suspended its capital return program, including share repurchases and the payment of future dividends for at least the period that the restrictions imposed by the CARES Act are applicable .</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 continues to evaluate future financing opportunities and has engaged third-party appraisers to evaluate some of its unencumbered assets. American expects to pledge a portion of these unencumbered assets as collateral for future financings, including as part of the approximately $4.75 billion secured loan AAG and its subsidiaries have applied for under the CARES Act.</w:t>
      </w:r>
    </w:p>
    <w:p>
      <w:pPr>
        <w:spacing w:after="0" w:line="14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of American’s debt financing agreements contain covenants requiring it to maintain an aggregate of at least $2.0 billion of unrestricted cash and cash equivalents and amounts available to be drawn under revolving credit facilities and/or contain loan to value ratio covenants.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Given the above actions and American’s assumptions about the future impact of COVID-19 on travel demand, which could be materially different due to the inherent uncertainties of the current operating environment, American expects to meet its cash obligations as well as remain in compliance with the debt covenants in its existing financing agreements for the next 12 months based on its current level of unrestricted cash and short-term investments, its anticipated access to liquidity (including via proceeds from financings and funds from government assistance to be provided pursuant to the CARES Act) and projected cash flows from operations .</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Accounting Standards Update (ASU) 2016-13: Financial Instruments </w:t>
      </w:r>
      <w:r>
        <w:rPr>
          <w:rFonts w:ascii="Arial" w:cs="Arial" w:eastAsia="Arial" w:hAnsi="Arial"/>
          <w:sz w:val="18"/>
          <w:szCs w:val="18"/>
          <w:color w:val="auto"/>
        </w:rPr>
        <w:t>–</w:t>
      </w:r>
      <w:r>
        <w:rPr>
          <w:rFonts w:ascii="Arial" w:cs="Arial" w:eastAsia="Arial" w:hAnsi="Arial"/>
          <w:sz w:val="18"/>
          <w:szCs w:val="18"/>
          <w:i w:val="1"/>
          <w:iCs w:val="1"/>
          <w:color w:val="auto"/>
        </w:rPr>
        <w:t xml:space="preserve"> Credit Losses (Topic 326)</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American adopted this accounting standard prospectively as of January 1, 2020, and it did not have a material impact on American's condensed consolidated financial statements.</w:t>
      </w:r>
    </w:p>
    <w:p>
      <w:pPr>
        <w:spacing w:after="0" w:line="210"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8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(2)</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10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Merger integration expenses</w:t>
            </w:r>
          </w:p>
        </w:tc>
        <w:tc>
          <w:tcPr>
            <w:tcW w:w="10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Mainline operating special items,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7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(6)</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500"/>
              <w:spacing w:after="0"/>
              <w:rPr>
                <w:sz w:val="20"/>
                <w:szCs w:val="20"/>
                <w:color w:val="auto"/>
              </w:rPr>
            </w:pPr>
            <w:r>
              <w:rPr>
                <w:rFonts w:ascii="Arial" w:cs="Arial" w:eastAsia="Arial" w:hAnsi="Arial"/>
                <w:sz w:val="18"/>
                <w:szCs w:val="18"/>
                <w:color w:val="auto"/>
              </w:rPr>
              <w:t>Operating special items,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331"/>
        </w:trPr>
        <w:tc>
          <w:tcPr>
            <w:tcW w:w="77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1"/>
                <w:szCs w:val="21"/>
                <w:color w:val="auto"/>
                <w:vertAlign w:val="superscript"/>
              </w:rPr>
              <w:t>(7)</w:t>
            </w:r>
          </w:p>
        </w:tc>
        <w:tc>
          <w:tcPr>
            <w:tcW w:w="1080" w:type="dxa"/>
            <w:vAlign w:val="bottom"/>
          </w:tcPr>
          <w:p>
            <w:pPr>
              <w:spacing w:after="0"/>
              <w:rPr>
                <w:sz w:val="23"/>
                <w:szCs w:val="23"/>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6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refinancing, extinguishment and other charges</w:t>
            </w:r>
          </w:p>
        </w:tc>
        <w:tc>
          <w:tcPr>
            <w:tcW w:w="108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20" w:type="dxa"/>
            <w:vAlign w:val="bottom"/>
          </w:tcPr>
          <w:p>
            <w:pPr>
              <w:ind w:left="280"/>
              <w:spacing w:after="0"/>
              <w:rPr>
                <w:sz w:val="20"/>
                <w:szCs w:val="20"/>
                <w:color w:val="auto"/>
              </w:rPr>
            </w:pPr>
            <w:r>
              <w:rPr>
                <w:rFonts w:ascii="Arial" w:cs="Arial" w:eastAsia="Arial" w:hAnsi="Arial"/>
                <w:sz w:val="18"/>
                <w:szCs w:val="18"/>
                <w:color w:val="auto"/>
              </w:rPr>
              <w:t>Nonoperating special items, net</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201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500" w:hanging="330"/>
        <w:spacing w:after="0" w:line="237"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Fleet impairment primarily includes a $676 million non-cash write-down of aircraft and spare parts and $68 million in write-offs of ROU assets and lease return costs associated with American's mainline fleet, principally Boeing 757, Boeing 767, Airbus A330-300 and Embraer 190 aircraft, which are being retired earlier than previously planned as a result of the decline in demand for air travel due to COVID-19. See Note 12 for further information related to these charges.</w:t>
      </w:r>
    </w:p>
    <w:p>
      <w:pPr>
        <w:spacing w:after="0" w:line="163"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24"/>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a voluntary early retirement program offered as a result of reductions to American's operation due to COVID-19.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7" w:lineRule="exact"/>
        <w:rPr>
          <w:sz w:val="20"/>
          <w:szCs w:val="20"/>
          <w:color w:val="auto"/>
        </w:rPr>
      </w:pPr>
    </w:p>
    <w:p>
      <w:pPr>
        <w:ind w:left="500" w:hanging="330"/>
        <w:spacing w:after="0"/>
        <w:tabs>
          <w:tab w:leader="none" w:pos="500" w:val="left"/>
        </w:tabs>
        <w:numPr>
          <w:ilvl w:val="1"/>
          <w:numId w:val="25"/>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1"/>
          <w:numId w:val="25"/>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25"/>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primarily includes an $88 million non-cash write-down of regional aircraft, principally certain Embraer 140 and certain Bombardier CRJ200 aircraft, which are being retired earlier than previously planned as a result of the decline in demand for air travel due to COVID-19. See Note 12 for further information related to this charge.</w:t>
      </w:r>
    </w:p>
    <w:p>
      <w:pPr>
        <w:spacing w:after="0" w:line="162"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1"/>
          <w:numId w:val="25"/>
        </w:numPr>
        <w:rPr>
          <w:rFonts w:ascii="Arial" w:cs="Arial" w:eastAsia="Arial" w:hAnsi="Arial"/>
          <w:sz w:val="22"/>
          <w:szCs w:val="22"/>
          <w:color w:val="auto"/>
          <w:vertAlign w:val="superscript"/>
        </w:rPr>
      </w:pPr>
      <w:r>
        <w:rPr>
          <w:rFonts w:ascii="Arial" w:cs="Arial" w:eastAsia="Arial" w:hAnsi="Arial"/>
          <w:sz w:val="18"/>
          <w:szCs w:val="18"/>
          <w:color w:val="auto"/>
        </w:rPr>
        <w:t>Mark-to-market adjustments on equity and other investments, net primarily relates to net unrealized gains and losses associated with American's equity investment in China Southern Airlines Company Limited (China Southern Airlines) and certain treasury rate lock derivative instruments.</w:t>
      </w:r>
    </w:p>
    <w:p>
      <w:pPr>
        <w:spacing w:after="0" w:line="221"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56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56"/>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63"/>
        </w:trPr>
        <w:tc>
          <w:tcPr>
            <w:tcW w:w="7720" w:type="dxa"/>
            <w:vAlign w:val="bottom"/>
            <w:gridSpan w:val="2"/>
          </w:tcPr>
          <w:p>
            <w:pPr>
              <w:ind w:left="280"/>
              <w:spacing w:after="0"/>
              <w:rPr>
                <w:sz w:val="20"/>
                <w:szCs w:val="20"/>
                <w:color w:val="auto"/>
              </w:rPr>
            </w:pPr>
            <w:r>
              <w:rPr>
                <w:rFonts w:ascii="Arial" w:cs="Arial" w:eastAsia="Arial" w:hAnsi="Arial"/>
                <w:sz w:val="18"/>
                <w:szCs w:val="18"/>
                <w:color w:val="auto"/>
              </w:rPr>
              <w:t>Passenger travel</w:t>
            </w:r>
          </w:p>
        </w:tc>
        <w:tc>
          <w:tcPr>
            <w:tcW w:w="1080" w:type="dxa"/>
            <w:vAlign w:val="bottom"/>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2"/>
                <w:szCs w:val="22"/>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8,772</w:t>
            </w:r>
          </w:p>
        </w:tc>
      </w:tr>
      <w:tr>
        <w:trPr>
          <w:trHeight w:val="277"/>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r>
      <w:tr>
        <w:trPr>
          <w:trHeight w:val="24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passenger revenue</w:t>
            </w:r>
          </w:p>
        </w:tc>
        <w:tc>
          <w:tcPr>
            <w:tcW w:w="10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7,681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9,658</w:t>
            </w:r>
          </w:p>
        </w:tc>
      </w:tr>
      <w:tr>
        <w:trPr>
          <w:trHeight w:val="277"/>
        </w:trPr>
        <w:tc>
          <w:tcPr>
            <w:tcW w:w="7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63"/>
        </w:trPr>
        <w:tc>
          <w:tcPr>
            <w:tcW w:w="77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7"/>
        </w:trPr>
        <w:tc>
          <w:tcPr>
            <w:tcW w:w="7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Loyalty revenue - marketing services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63"/>
        </w:trPr>
        <w:tc>
          <w:tcPr>
            <w:tcW w:w="77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revenue</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r>
      <w:tr>
        <w:trPr>
          <w:trHeight w:val="250"/>
        </w:trPr>
        <w:tc>
          <w:tcPr>
            <w:tcW w:w="7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revenue</w:t>
            </w:r>
          </w:p>
        </w:tc>
        <w:tc>
          <w:tcPr>
            <w:tcW w:w="10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r>
      <w:tr>
        <w:trPr>
          <w:trHeight w:val="257"/>
        </w:trPr>
        <w:tc>
          <w:tcPr>
            <w:tcW w:w="7720" w:type="dxa"/>
            <w:vAlign w:val="bottom"/>
            <w:gridSpan w:val="2"/>
          </w:tcPr>
          <w:p>
            <w:pPr>
              <w:ind w:left="720"/>
              <w:spacing w:after="0"/>
              <w:rPr>
                <w:sz w:val="20"/>
                <w:szCs w:val="20"/>
                <w:color w:val="auto"/>
              </w:rPr>
            </w:pPr>
            <w:r>
              <w:rPr>
                <w:rFonts w:ascii="Arial" w:cs="Arial" w:eastAsia="Arial" w:hAnsi="Arial"/>
                <w:sz w:val="18"/>
                <w:szCs w:val="18"/>
                <w:color w:val="auto"/>
              </w:rPr>
              <w:t>Total operating revenues</w:t>
            </w:r>
          </w:p>
        </w:tc>
        <w:tc>
          <w:tcPr>
            <w:tcW w:w="108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8,514</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10,581</w:t>
            </w:r>
          </w:p>
        </w:tc>
      </w:tr>
      <w:tr>
        <w:trPr>
          <w:trHeight w:val="20"/>
        </w:trPr>
        <w:tc>
          <w:tcPr>
            <w:tcW w:w="2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5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0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7,226</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1,371</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Atlantic</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r>
      <w:tr>
        <w:trPr>
          <w:trHeight w:val="264"/>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Pacific</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r>
      <w:tr>
        <w:trPr>
          <w:trHeight w:val="250"/>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passenger revenue</w:t>
            </w:r>
          </w:p>
        </w:tc>
        <w:tc>
          <w:tcPr>
            <w:tcW w:w="108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7,681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9,658</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ectPr>
          <w:pgSz w:w="11900" w:h="16838" w:orient="portrait"/>
          <w:cols w:equalWidth="0" w:num="1">
            <w:col w:w="11240"/>
          </w:cols>
          <w:pgMar w:left="320" w:top="333"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80" w:type="dxa"/>
            <w:vAlign w:val="bottom"/>
            <w:gridSpan w:val="4"/>
          </w:tcPr>
          <w:p>
            <w:pPr>
              <w:jc w:val="right"/>
              <w:ind w:right="1315"/>
              <w:spacing w:after="0"/>
              <w:rPr>
                <w:sz w:val="20"/>
                <w:szCs w:val="20"/>
                <w:color w:val="auto"/>
              </w:rPr>
            </w:pPr>
            <w:r>
              <w:rPr>
                <w:rFonts w:ascii="Arial" w:cs="Arial" w:eastAsia="Arial" w:hAnsi="Arial"/>
                <w:sz w:val="14"/>
                <w:szCs w:val="14"/>
                <w:b w:val="1"/>
                <w:bCs w:val="1"/>
                <w:color w:val="auto"/>
              </w:rPr>
              <w:t>(In millions)</w:t>
            </w:r>
          </w:p>
        </w:tc>
      </w:tr>
      <w:tr>
        <w:trPr>
          <w:trHeight w:val="276"/>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Loyalty program liability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8,615</w:t>
            </w:r>
          </w:p>
        </w:tc>
      </w:tr>
      <w:tr>
        <w:trPr>
          <w:trHeight w:val="263"/>
        </w:trPr>
        <w:tc>
          <w:tcPr>
            <w:tcW w:w="7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Air traffic liability</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5,473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4,808</w:t>
            </w:r>
          </w:p>
        </w:tc>
      </w:tr>
      <w:tr>
        <w:trPr>
          <w:trHeight w:val="257"/>
        </w:trPr>
        <w:tc>
          <w:tcPr>
            <w:tcW w:w="7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14,324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13,423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-711200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8,615</w:t>
            </w:r>
          </w:p>
        </w:tc>
      </w:tr>
      <w:tr>
        <w:trPr>
          <w:trHeight w:val="250"/>
        </w:trPr>
        <w:tc>
          <w:tcPr>
            <w:tcW w:w="9540" w:type="dxa"/>
            <w:vAlign w:val="bottom"/>
            <w:gridSpan w:val="2"/>
          </w:tcPr>
          <w:p>
            <w:pPr>
              <w:ind w:left="280"/>
              <w:spacing w:after="0"/>
              <w:rPr>
                <w:sz w:val="20"/>
                <w:szCs w:val="20"/>
                <w:color w:val="auto"/>
              </w:rPr>
            </w:pPr>
            <w:r>
              <w:rPr>
                <w:rFonts w:ascii="Arial" w:cs="Arial" w:eastAsia="Arial" w:hAnsi="Arial"/>
                <w:sz w:val="18"/>
                <w:szCs w:val="18"/>
                <w:color w:val="auto"/>
              </w:rPr>
              <w:t>Deferral of revenue</w:t>
            </w: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63"/>
        </w:trPr>
        <w:tc>
          <w:tcPr>
            <w:tcW w:w="9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1"/>
                <w:szCs w:val="21"/>
                <w:color w:val="auto"/>
                <w:vertAlign w:val="superscript"/>
              </w:rPr>
              <w:t>(1)</w:t>
            </w:r>
          </w:p>
        </w:tc>
        <w:tc>
          <w:tcPr>
            <w:tcW w:w="6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50"/>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 xml:space="preserve">Balance at March 31, 2020 </w:t>
            </w:r>
            <w:r>
              <w:rPr>
                <w:rFonts w:ascii="Arial" w:cs="Arial" w:eastAsia="Arial" w:hAnsi="Arial"/>
                <w:sz w:val="21"/>
                <w:szCs w:val="21"/>
                <w:color w:val="auto"/>
                <w:vertAlign w:val="superscript"/>
              </w:rPr>
              <w:t>(2)</w:t>
            </w: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8,851</w:t>
            </w:r>
          </w:p>
        </w:tc>
      </w:tr>
      <w:tr>
        <w:trPr>
          <w:trHeight w:val="20"/>
        </w:trPr>
        <w:tc>
          <w:tcPr>
            <w:tcW w:w="20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080" w:type="dxa"/>
            <w:vAlign w:val="bottom"/>
            <w:tcBorders>
              <w:bottom w:val="single" w:sz="8" w:color="auto"/>
            </w:tcBorders>
          </w:tcPr>
          <w:p>
            <w:pPr>
              <w:spacing w:after="0"/>
              <w:rPr>
                <w:sz w:val="20"/>
                <w:szCs w:val="20"/>
                <w:color w:val="auto"/>
              </w:rPr>
            </w:pPr>
          </w:p>
        </w:tc>
        <w:tc>
          <w:tcPr>
            <w:tcW w:w="7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61" w:lineRule="exact"/>
        <w:rPr>
          <w:sz w:val="20"/>
          <w:szCs w:val="20"/>
          <w:color w:val="auto"/>
        </w:rPr>
      </w:pPr>
    </w:p>
    <w:p>
      <w:pPr>
        <w:jc w:val="both"/>
        <w:ind w:left="500" w:hanging="330"/>
        <w:spacing w:after="0" w:line="233"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2" w:lineRule="exact"/>
        <w:rPr>
          <w:rFonts w:ascii="Arial" w:cs="Arial" w:eastAsia="Arial" w:hAnsi="Arial"/>
          <w:sz w:val="22"/>
          <w:szCs w:val="22"/>
          <w:color w:val="auto"/>
          <w:vertAlign w:val="superscript"/>
        </w:rPr>
      </w:pPr>
    </w:p>
    <w:p>
      <w:pPr>
        <w:jc w:val="both"/>
        <w:ind w:left="500" w:hanging="330"/>
        <w:spacing w:after="0" w:line="241" w:lineRule="auto"/>
        <w:tabs>
          <w:tab w:leader="none" w:pos="500" w:val="left"/>
        </w:tabs>
        <w:numPr>
          <w:ilvl w:val="0"/>
          <w:numId w:val="28"/>
        </w:numPr>
        <w:rPr>
          <w:rFonts w:ascii="Arial" w:cs="Arial" w:eastAsia="Arial" w:hAnsi="Arial"/>
          <w:sz w:val="22"/>
          <w:szCs w:val="22"/>
          <w:color w:val="auto"/>
          <w:vertAlign w:val="superscript"/>
        </w:rPr>
      </w:pPr>
      <w:r>
        <w:rPr>
          <w:rFonts w:ascii="Arial" w:cs="Arial" w:eastAsia="Arial" w:hAnsi="Arial"/>
          <w:sz w:val="18"/>
          <w:szCs w:val="18"/>
          <w:color w:val="auto"/>
        </w:rPr>
        <w:t>Mileage credits can be redeemed at any time and do not expire as long as that AAdvantage member has any type of qualifying activity at least every 18 months. As of March 31, 2020 , American's current loyalty program liability was $3.1 billion and represents American's current estimate of revenue expected to be recognized in the next 12 months based on historical trends, with the balance reflected in long-term loyalty program liability expected to be recognized as revenue in periods thereafter. Given the inherent uncertainty of the current operating environment due to COVID-19, American will continue to monitor redemption patterns and may adjust its estimates in the future.</w:t>
      </w:r>
    </w:p>
    <w:p>
      <w:pPr>
        <w:spacing w:after="0" w:line="16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 Accordingly, any revenue associated with tickets sold for future travel will be recognized within 12 months. For the three months ended March 31, 2020 , $2.6 billion of revenue was recognized in passenger revenue that was included in American's air traffic liability at December 31, 2019 . In response to COVID-19, American extended the contract duration for certain tickets, principally those with travel scheduled March 1, 2020 through September 30, 2020. Accordingly, any revenue associated with these tickets will be recognized within 21 months. Additionally, given this change in contract duration, American's estimates of revenue from unused tickets may be subject to variability and differ from historical experience.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Pr>
          <w:p>
            <w:pPr>
              <w:spacing w:after="0"/>
              <w:rPr>
                <w:sz w:val="17"/>
                <w:szCs w:val="17"/>
                <w:color w:val="auto"/>
              </w:rPr>
            </w:pPr>
          </w:p>
        </w:tc>
        <w:tc>
          <w:tcPr>
            <w:tcW w:w="1540" w:type="dxa"/>
            <w:vAlign w:val="bottom"/>
          </w:tcPr>
          <w:p>
            <w:pPr>
              <w:jc w:val="right"/>
              <w:ind w:right="111"/>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7720" w:type="dxa"/>
            <w:vAlign w:val="bottom"/>
          </w:tcPr>
          <w:p>
            <w:pPr>
              <w:ind w:left="180"/>
              <w:spacing w:after="0"/>
              <w:rPr>
                <w:sz w:val="20"/>
                <w:szCs w:val="20"/>
                <w:color w:val="auto"/>
              </w:rPr>
            </w:pPr>
            <w:r>
              <w:rPr>
                <w:rFonts w:ascii="Arial" w:cs="Arial" w:eastAsia="Arial" w:hAnsi="Arial"/>
                <w:sz w:val="18"/>
                <w:szCs w:val="18"/>
                <w:color w:val="auto"/>
              </w:rPr>
              <w:t>2013 Credit Facilities, variable interest rate of 2.71%, installments through 2025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1,807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1,807</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Credit Facilities, variable interest rate of 2.69%, installments through 2027</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r>
      <w:tr>
        <w:trPr>
          <w:trHeight w:val="263"/>
        </w:trPr>
        <w:tc>
          <w:tcPr>
            <w:tcW w:w="7720" w:type="dxa"/>
            <w:vAlign w:val="bottom"/>
          </w:tcPr>
          <w:p>
            <w:pPr>
              <w:ind w:left="180"/>
              <w:spacing w:after="0"/>
              <w:rPr>
                <w:sz w:val="20"/>
                <w:szCs w:val="20"/>
                <w:color w:val="auto"/>
              </w:rPr>
            </w:pPr>
            <w:r>
              <w:rPr>
                <w:rFonts w:ascii="Arial" w:cs="Arial" w:eastAsia="Arial" w:hAnsi="Arial"/>
                <w:sz w:val="18"/>
                <w:szCs w:val="18"/>
                <w:color w:val="auto"/>
              </w:rPr>
              <w:t>April 2016 Credit Facilities, variable interest rate of 2.94%, installments through 2023</w:t>
            </w:r>
          </w:p>
        </w:tc>
        <w:tc>
          <w:tcPr>
            <w:tcW w:w="240" w:type="dxa"/>
            <w:vAlign w:val="bottom"/>
          </w:tcPr>
          <w:p>
            <w:pPr>
              <w:spacing w:after="0"/>
              <w:rPr>
                <w:sz w:val="22"/>
                <w:szCs w:val="22"/>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970</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2016 Credit Facilities, variable interest rate of 2.70%, installments through 2023</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Delayed Draw Term Loan Credit Facility, variable interest rate of 3.00%, interest only</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8"/>
                <w:szCs w:val="18"/>
                <w:color w:val="auto"/>
              </w:rPr>
              <w:t>payments until due March 2021</w:t>
            </w:r>
          </w:p>
        </w:tc>
        <w:tc>
          <w:tcPr>
            <w:tcW w:w="24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8.39%, averaging 4.03%, maturing from 2020 to 2032</w:t>
            </w: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11,933</w:t>
            </w:r>
          </w:p>
        </w:tc>
      </w:tr>
      <w:tr>
        <w:trPr>
          <w:trHeight w:val="229"/>
        </w:trPr>
        <w:tc>
          <w:tcPr>
            <w:tcW w:w="7720" w:type="dxa"/>
            <w:vAlign w:val="bottom"/>
          </w:tcPr>
          <w:p>
            <w:pPr>
              <w:ind w:left="180"/>
              <w:spacing w:after="0"/>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4"/>
        </w:trPr>
        <w:tc>
          <w:tcPr>
            <w:tcW w:w="7720" w:type="dxa"/>
            <w:vAlign w:val="bottom"/>
          </w:tcPr>
          <w:p>
            <w:pPr>
              <w:ind w:left="340"/>
              <w:spacing w:after="0"/>
              <w:rPr>
                <w:sz w:val="20"/>
                <w:szCs w:val="20"/>
                <w:color w:val="auto"/>
              </w:rPr>
            </w:pPr>
            <w:r>
              <w:rPr>
                <w:rFonts w:ascii="Arial" w:cs="Arial" w:eastAsia="Arial" w:hAnsi="Arial"/>
                <w:sz w:val="18"/>
                <w:szCs w:val="18"/>
                <w:color w:val="auto"/>
              </w:rPr>
              <w:t>1.87% to 7.31%, averaging 3.02%, maturing from 2020 to 2032</w:t>
            </w:r>
          </w:p>
        </w:tc>
        <w:tc>
          <w:tcPr>
            <w:tcW w:w="240" w:type="dxa"/>
            <w:vAlign w:val="bottom"/>
          </w:tcPr>
          <w:p>
            <w:pPr>
              <w:spacing w:after="0"/>
              <w:rPr>
                <w:sz w:val="19"/>
                <w:szCs w:val="19"/>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4,727</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facility revenue bonds, fixed interest rate of 5.00%, maturing from 2020 to 2031</w:t>
            </w:r>
          </w:p>
        </w:tc>
        <w:tc>
          <w:tcPr>
            <w:tcW w:w="2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23,402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22,577</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Total unamortized debt discount, premium and issuance costs</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63"/>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2,246</w:t>
            </w:r>
          </w:p>
        </w:tc>
      </w:tr>
      <w:tr>
        <w:trPr>
          <w:trHeight w:val="250"/>
        </w:trPr>
        <w:tc>
          <w:tcPr>
            <w:tcW w:w="7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net of current maturities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19,767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20,126</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table below shows the maximum availability under revolving credit facilities, all of which were undrawn, as of March 31, 2020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Revolving Facility</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50"/>
        </w:trPr>
        <w:tc>
          <w:tcPr>
            <w:tcW w:w="9540" w:type="dxa"/>
            <w:vAlign w:val="bottom"/>
          </w:tcPr>
          <w:p>
            <w:pPr>
              <w:ind w:left="40"/>
              <w:spacing w:after="0"/>
              <w:rPr>
                <w:sz w:val="20"/>
                <w:szCs w:val="20"/>
                <w:color w:val="auto"/>
              </w:rPr>
            </w:pPr>
            <w:r>
              <w:rPr>
                <w:rFonts w:ascii="Arial" w:cs="Arial" w:eastAsia="Arial" w:hAnsi="Arial"/>
                <w:sz w:val="18"/>
                <w:szCs w:val="18"/>
                <w:color w:val="auto"/>
              </w:rPr>
              <w:t>2014 Revolving Facility</w:t>
            </w:r>
          </w:p>
        </w:tc>
        <w:tc>
          <w:tcPr>
            <w:tcW w:w="6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1,643</w:t>
            </w:r>
          </w:p>
        </w:tc>
      </w:tr>
      <w:tr>
        <w:trPr>
          <w:trHeight w:val="263"/>
        </w:trPr>
        <w:tc>
          <w:tcPr>
            <w:tcW w:w="9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April 2016 Revolving Facility</w:t>
            </w:r>
          </w:p>
        </w:tc>
        <w:tc>
          <w:tcPr>
            <w:tcW w:w="6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50"/>
        </w:trPr>
        <w:tc>
          <w:tcPr>
            <w:tcW w:w="9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Short-term Revolving Facility</w:t>
            </w:r>
          </w:p>
        </w:tc>
        <w:tc>
          <w:tcPr>
            <w:tcW w:w="6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50"/>
        </w:trPr>
        <w:tc>
          <w:tcPr>
            <w:tcW w:w="9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3,243</w:t>
            </w:r>
          </w:p>
        </w:tc>
      </w:tr>
      <w:tr>
        <w:trPr>
          <w:trHeight w:val="20"/>
        </w:trPr>
        <w:tc>
          <w:tcPr>
            <w:tcW w:w="9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December 2016 Credit Facilities provide for a revolving credit facility that may be established thereunder in the future.</w:t>
      </w:r>
    </w:p>
    <w:p>
      <w:pPr>
        <w:spacing w:after="0" w:line="252"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In April 2020, American borrowed an aggregate of $2.7 billion under its revolving credit facilities. See Note 13 for further information related to this subsequent event.</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Secured financings are collateralized by assets, primarily aircraft, engines, simulators, aircraft spare parts, airport gate leasehold rights, route authorities, airport slots and certain pre-delivery payments.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2020 Financing Activities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2014 Credit Facilities</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January 2020, American and AAG entered into the Eighth Amendment to Amended and Restated Credit and Guaranty Agreement, amending the Amended and Restated Credit and Guaranty Agreement dated as of April 20, 2015 (as previously amended, the 2014 Credit Agreement; the revolving credit facility established thereunder, the 2014 Revolving Facility; the term loan facility established thereunder, the 2014 Term Loan Facility; and collectively, the 2014 Credit Facilities), pursuant to which American refinanced the 2014 Term Loan Facility, increasing the total aggregate principal amount outstanding to $1.22 billion , reducing the LIBOR margin from 2.00% to 1.75% , with a LIBOR floor of 0% , and reducing the base rate margin from 1.00% to 0.75% . In addition, the maturity date for the 2014 Term Loan Facility was extended to January 2027 from</w:t>
      </w:r>
    </w:p>
    <w:p>
      <w:pPr>
        <w:sectPr>
          <w:pgSz w:w="11900" w:h="16838" w:orient="portrait"/>
          <w:cols w:equalWidth="0" w:num="1">
            <w:col w:w="11240"/>
          </w:cols>
          <w:pgMar w:left="320" w:top="333" w:right="3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October 2021. The 2014 Revolving Facility remains unchanged and, as of March 31, 2020 , there were no borrowings or letters of credit outstanding thereunder.</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Delayed Draw Term Loan Credit Facility</w:t>
      </w:r>
    </w:p>
    <w:p>
      <w:pPr>
        <w:spacing w:after="0" w:line="10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March 2020, American and AAG entered into a Credit and Guaranty Agreement which provides for a 364 -day $1.0 billion senior secured delayed draw term loan credit facility (the Delayed Draw Term Loan Credit Facility), which will be due and payable in a single installment on the maturity date in March 2021. Borrowings under the Delayed Draw Term Loan Credit Facility bear interest at an index rate plus an applicable index margin or, at American's option, LIBOR (subject to a floor of 1.00% ) plus an applicable LIBOR margin for interest periods of one, three or six months (or, if available to all affected lenders, 12 months or a shorter period). Voluntary prepayments at par may be made by American at any time. As of March 31, 2020 , $1.0 billion in borrowings were outstanding under the Delayed Draw Term Loan Credit Facility. The proceeds of the term loans under the Delayed Draw Term Loan Credit Facility are being used for general corporate purposes.</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Subject to certain limitations and exceptions, the Delayed Draw Term Loan Credit Facility is secured by collateral, including certain slots, foreign gate leaseholds and route authorities (collectively, SGR) utilized by American in providing its scheduled air carrier services to and from Mexico and Central America and to London and certain cities in the European Union. The lien on Mexico and Central America SGR is a first-priority lien and the lien on London and European SGR is a second-priority lien. American has the ability to make future modifications to the collateral pledged, subject to certain restrictions. American's obligations under the Delayed Draw Term Loan Credit Facility are guaranteed by AAG. American is required to maintain a certain minimum ratio of appraised value of collateral to the outstanding term loans.</w:t>
      </w:r>
    </w:p>
    <w:p>
      <w:pPr>
        <w:spacing w:after="0" w:line="154"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The Delayed Draw Term Loan Credit Facility contains events of default customary for similar financings, including cross default to other material indebtedness. Upon the occurrence of an event of default, the outstanding obligations may be accelerated and become due and payable immediately. The Delayed Draw Term Loan Credit Facility also includes covenants that, among other things, require AAG to maintain a minimum aggregate liquidity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Equipment Notes and Other Notes Payable Issued in 2020</w:t>
      </w:r>
    </w:p>
    <w:p>
      <w:pPr>
        <w:spacing w:after="0" w:line="108"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In the three months ended March 31, 2020 , American entered into agreements under which it borrowed $197 million in connection with the financing or refinancing, as the case may be, of certain aircraft, of which $17 million was used to repay existing indebtedness. Debt incurred under these agreements matures in 2029 through 2032 and bears interest at variable rates (comprised of LIBOR plus an applicable margin) averaging 2.99% at March 31, 2020 .</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At December 31, 2019 , American had approximately $9.2 billion of federal net operating losses (NOLs) carried over from prior taxable years (NOL Carryforwards) to reduce future federal taxable income. American is a member of AAG’s consolidated federal and certain state income tax returns. The amount of federal NOL Carryforwards available in those returns is $9.1 billion to reduce AAG's future federal taxable income. The federal NOL Carryforwards will expire beginning in 2023 if unused. American also had approximately $2.9 billion of NOL Carryforwards to reduce future state taxable income at December 31, 2019 , which will expire in years 2020 through 2039 if unused.</w:t>
      </w:r>
    </w:p>
    <w:p>
      <w:pPr>
        <w:spacing w:after="0" w:line="15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At December 31, 2019 , American had an Alternative Minimum Tax (AMT) credit carryforward of approximately $226 million available for federal income tax purposes, which is presently expected to be fully refunded in 2020 as a result of the CARES Act enacted in March of 2020.</w:t>
      </w:r>
    </w:p>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the three months ended March 31, 2020 , American recorded an income tax benefit of $628 million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 w:right="6580" w:hanging="212"/>
        <w:spacing w:after="0" w:line="378" w:lineRule="auto"/>
        <w:tabs>
          <w:tab w:leader="none" w:pos="204"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jc w:val="both"/>
        <w:ind w:firstLine="216"/>
        <w:spacing w:after="0" w:line="254"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three months ended March 31, 2020 .</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Fair Value Measurements as of March 31, 2020</w:t>
            </w:r>
          </w:p>
        </w:tc>
        <w:tc>
          <w:tcPr>
            <w:tcW w:w="1080" w:type="dxa"/>
            <w:vAlign w:val="bottom"/>
            <w:tcBorders>
              <w:bottom w:val="single" w:sz="8" w:color="auto"/>
            </w:tcBorders>
          </w:tcPr>
          <w:p>
            <w:pPr>
              <w:spacing w:after="0"/>
              <w:rPr>
                <w:sz w:val="17"/>
                <w:szCs w:val="17"/>
                <w:color w:val="auto"/>
              </w:rPr>
            </w:pPr>
          </w:p>
        </w:tc>
      </w:tr>
      <w:tr>
        <w:trPr>
          <w:trHeight w:val="263"/>
        </w:trPr>
        <w:tc>
          <w:tcPr>
            <w:tcW w:w="208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2"/>
                <w:szCs w:val="22"/>
                <w:color w:val="auto"/>
              </w:rPr>
            </w:pPr>
          </w:p>
        </w:tc>
        <w:tc>
          <w:tcPr>
            <w:tcW w:w="108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70"/>
        </w:trPr>
        <w:tc>
          <w:tcPr>
            <w:tcW w:w="54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1"/>
                <w:szCs w:val="21"/>
                <w:color w:val="auto"/>
                <w:vertAlign w:val="superscript"/>
              </w:rPr>
              <w:t>(1), (2)</w:t>
            </w:r>
            <w:r>
              <w:rPr>
                <w:rFonts w:ascii="Arial" w:cs="Arial" w:eastAsia="Arial" w:hAnsi="Arial"/>
                <w:sz w:val="18"/>
                <w:szCs w:val="18"/>
                <w:color w:val="auto"/>
              </w:rPr>
              <w:t xml:space="preserve"> :</w:t>
            </w:r>
          </w:p>
        </w:tc>
        <w:tc>
          <w:tcPr>
            <w:tcW w:w="32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3"/>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7"/>
        </w:trPr>
        <w:tc>
          <w:tcPr>
            <w:tcW w:w="5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63"/>
        </w:trPr>
        <w:tc>
          <w:tcPr>
            <w:tcW w:w="5460" w:type="dxa"/>
            <w:vAlign w:val="bottom"/>
            <w:gridSpan w:val="2"/>
          </w:tcPr>
          <w:p>
            <w:pPr>
              <w:ind w:left="180"/>
              <w:spacing w:after="0"/>
              <w:rPr>
                <w:sz w:val="20"/>
                <w:szCs w:val="20"/>
                <w:color w:val="auto"/>
              </w:rPr>
            </w:pPr>
            <w:r>
              <w:rPr>
                <w:rFonts w:ascii="Arial" w:cs="Arial" w:eastAsia="Arial" w:hAnsi="Arial"/>
                <w:sz w:val="18"/>
                <w:szCs w:val="18"/>
                <w:color w:val="auto"/>
              </w:rPr>
              <w:t>Corporate obligations</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57"/>
        </w:trPr>
        <w:tc>
          <w:tcPr>
            <w:tcW w:w="2080" w:type="dxa"/>
            <w:vAlign w:val="bottom"/>
            <w:tcBorders>
              <w:top w:val="single" w:sz="8" w:color="CCEEFF"/>
            </w:tcBorders>
            <w:shd w:val="clear" w:color="auto" w:fill="CCEEFF"/>
          </w:tcPr>
          <w:p>
            <w:pPr>
              <w:spacing w:after="0"/>
              <w:rPr>
                <w:sz w:val="22"/>
                <w:szCs w:val="22"/>
                <w:color w:val="auto"/>
              </w:rPr>
            </w:pPr>
          </w:p>
        </w:tc>
        <w:tc>
          <w:tcPr>
            <w:tcW w:w="33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2,863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3,379</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r>
      <w:tr>
        <w:trPr>
          <w:trHeight w:val="20"/>
        </w:trPr>
        <w:tc>
          <w:tcPr>
            <w:tcW w:w="20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2080" w:type="dxa"/>
            <w:vAlign w:val="bottom"/>
            <w:tcBorders>
              <w:bottom w:val="single" w:sz="8" w:color="auto"/>
            </w:tcBorders>
          </w:tcPr>
          <w:p>
            <w:pPr>
              <w:spacing w:after="0"/>
              <w:rPr>
                <w:sz w:val="21"/>
                <w:szCs w:val="21"/>
                <w:color w:val="auto"/>
              </w:rPr>
            </w:pPr>
          </w:p>
        </w:tc>
        <w:tc>
          <w:tcPr>
            <w:tcW w:w="3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American’s short-term investments mature in one year or less except for $823 million of bank notes/certificates of deposit/time deposits and $115 million of corporate obligations.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30"/>
        </w:numPr>
        <w:rPr>
          <w:rFonts w:ascii="Arial" w:cs="Arial" w:eastAsia="Arial" w:hAnsi="Arial"/>
          <w:sz w:val="22"/>
          <w:szCs w:val="22"/>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2.2% equity interest, and are classified in other assets on the condensed consolidated balance sheet.</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March 31, 2020</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2019</w:t>
            </w:r>
          </w:p>
        </w:tc>
      </w:tr>
      <w:tr>
        <w:trPr>
          <w:trHeight w:val="175"/>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5"/>
                <w:szCs w:val="15"/>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5"/>
                <w:szCs w:val="15"/>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rPr>
              <w:t>Fair</w:t>
            </w:r>
          </w:p>
        </w:tc>
      </w:tr>
      <w:tr>
        <w:trPr>
          <w:trHeight w:val="196"/>
        </w:trPr>
        <w:tc>
          <w:tcPr>
            <w:tcW w:w="5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7"/>
                <w:szCs w:val="17"/>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7"/>
                <w:szCs w:val="17"/>
                <w:color w:val="auto"/>
              </w:rPr>
            </w:pPr>
          </w:p>
        </w:tc>
        <w:tc>
          <w:tcPr>
            <w:tcW w:w="1140" w:type="dxa"/>
            <w:vAlign w:val="bottom"/>
          </w:tcPr>
          <w:p>
            <w:pPr>
              <w:jc w:val="center"/>
              <w:ind w:right="242"/>
              <w:spacing w:after="0"/>
              <w:rPr>
                <w:sz w:val="20"/>
                <w:szCs w:val="20"/>
                <w:color w:val="auto"/>
              </w:rPr>
            </w:pPr>
            <w:r>
              <w:rPr>
                <w:rFonts w:ascii="Arial" w:cs="Arial" w:eastAsia="Arial" w:hAnsi="Arial"/>
                <w:sz w:val="14"/>
                <w:szCs w:val="14"/>
                <w:b w:val="1"/>
                <w:bCs w:val="1"/>
                <w:color w:val="auto"/>
              </w:rPr>
              <w:t>Value</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23,181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20,398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22,372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23,196</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35"/>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5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12"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net periodic benefit cost (income)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Retiree Medical and Other</w:t>
            </w:r>
          </w:p>
        </w:tc>
      </w:tr>
      <w:tr>
        <w:trPr>
          <w:trHeight w:val="196"/>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Postretirement Benefits</w:t>
            </w:r>
          </w:p>
        </w:tc>
      </w:tr>
      <w:tr>
        <w:trPr>
          <w:trHeight w:val="263"/>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56"/>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6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7"/>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Expected return on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(benefit)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5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Unrecognized net loss (gain)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periodic benefit cost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7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components of net periodic benefit cost (income) other than the service cost component are included in nonoperating other income (expense), net in the condensed consolidated statements of operations.</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Pursuant to the CARES Act, minimum required pension contributions to be made in the calendar year 2020 can be deferred to January 1, 2021, with interest accruing from the original due date to the new payment date. American expects to defer its $193 million 2020 minimum required contribution to January 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Pension, Retiree</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Medical and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Postretirement</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Unrealized Loss on</w:t>
            </w:r>
          </w:p>
        </w:tc>
        <w:tc>
          <w:tcPr>
            <w:tcW w:w="180" w:type="dxa"/>
            <w:vAlign w:val="bottom"/>
          </w:tcPr>
          <w:p>
            <w:pPr>
              <w:spacing w:after="0"/>
              <w:rPr>
                <w:sz w:val="14"/>
                <w:szCs w:val="14"/>
                <w:color w:val="auto"/>
              </w:rPr>
            </w:pPr>
          </w:p>
        </w:tc>
        <w:tc>
          <w:tcPr>
            <w:tcW w:w="1280" w:type="dxa"/>
            <w:vAlign w:val="bottom"/>
          </w:tcPr>
          <w:p>
            <w:pPr>
              <w:jc w:val="center"/>
              <w:ind w:right="137"/>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2"/>
        </w:trPr>
        <w:tc>
          <w:tcPr>
            <w:tcW w:w="2080" w:type="dxa"/>
            <w:vAlign w:val="bottom"/>
            <w:tcBorders>
              <w:bottom w:val="single" w:sz="8" w:color="CCEEFF"/>
            </w:tcBorders>
          </w:tcPr>
          <w:p>
            <w:pPr>
              <w:spacing w:after="0"/>
              <w:rPr>
                <w:sz w:val="17"/>
                <w:szCs w:val="17"/>
                <w:color w:val="auto"/>
              </w:rPr>
            </w:pPr>
          </w:p>
        </w:tc>
        <w:tc>
          <w:tcPr>
            <w:tcW w:w="2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Benefits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 xml:space="preserve">(Provision) </w:t>
            </w:r>
            <w:r>
              <w:rPr>
                <w:rFonts w:ascii="Arial" w:cs="Arial" w:eastAsia="Arial" w:hAnsi="Arial"/>
                <w:sz w:val="17"/>
                <w:szCs w:val="17"/>
                <w:b w:val="1"/>
                <w:bCs w:val="1"/>
                <w:color w:val="auto"/>
                <w:vertAlign w:val="superscript"/>
              </w:rPr>
              <w:t>(1)</w:t>
            </w:r>
          </w:p>
        </w:tc>
        <w:tc>
          <w:tcPr>
            <w:tcW w:w="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7"/>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AOCI</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jc w:val="right"/>
              <w:ind w:right="82"/>
              <w:spacing w:after="0"/>
              <w:rPr>
                <w:sz w:val="20"/>
                <w:szCs w:val="20"/>
                <w:color w:val="auto"/>
              </w:rPr>
            </w:pPr>
            <w:r>
              <w:rPr>
                <w:rFonts w:ascii="Arial" w:cs="Arial" w:eastAsia="Arial" w:hAnsi="Arial"/>
                <w:sz w:val="11"/>
                <w:szCs w:val="11"/>
                <w:color w:val="auto"/>
              </w:rPr>
              <w:t>(2)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24"/>
        </w:trPr>
        <w:tc>
          <w:tcPr>
            <w:tcW w:w="4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(loss)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5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2080" w:type="dxa"/>
            <w:vAlign w:val="bottom"/>
            <w:tcBorders>
              <w:bottom w:val="single" w:sz="8" w:color="auto"/>
            </w:tcBorders>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bl>
    <w:p>
      <w:pPr>
        <w:spacing w:after="0" w:line="296" w:lineRule="exact"/>
        <w:rPr>
          <w:sz w:val="20"/>
          <w:szCs w:val="20"/>
          <w:color w:val="auto"/>
        </w:rPr>
      </w:pPr>
    </w:p>
    <w:p>
      <w:pPr>
        <w:ind w:left="500" w:hanging="330"/>
        <w:spacing w:after="0" w:line="225" w:lineRule="auto"/>
        <w:tabs>
          <w:tab w:leader="none" w:pos="50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income until the obligations are fully extinguished.</w:t>
      </w:r>
    </w:p>
    <w:p>
      <w:pPr>
        <w:spacing w:after="0" w:line="162"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32"/>
        </w:numPr>
        <w:rPr>
          <w:rFonts w:ascii="Arial" w:cs="Arial" w:eastAsia="Arial" w:hAnsi="Arial"/>
          <w:sz w:val="22"/>
          <w:szCs w:val="22"/>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provision (benefit) on the condensed consolidated statement of operations.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Reclassifications out of AOCI are as follows (in millions):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Amounts reclassified from AOCI</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Affected line items on the condensed consolidated</w:t>
            </w: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AOCI Components</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28"/>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retiree medical</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and other postretirement benefits:</w:t>
            </w: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40" w:type="dxa"/>
            <w:vAlign w:val="bottom"/>
            <w:gridSpan w:val="2"/>
          </w:tcPr>
          <w:p>
            <w:pPr>
              <w:ind w:left="380"/>
              <w:spacing w:after="0"/>
              <w:rPr>
                <w:sz w:val="20"/>
                <w:szCs w:val="20"/>
                <w:color w:val="auto"/>
              </w:rPr>
            </w:pPr>
            <w:r>
              <w:rPr>
                <w:rFonts w:ascii="Arial" w:cs="Arial" w:eastAsia="Arial" w:hAnsi="Arial"/>
                <w:sz w:val="18"/>
                <w:szCs w:val="18"/>
                <w:color w:val="auto"/>
              </w:rPr>
              <w:t>Prior service benefit</w:t>
            </w:r>
          </w:p>
        </w:tc>
        <w:tc>
          <w:tcPr>
            <w:tcW w:w="1000" w:type="dxa"/>
            <w:vAlign w:val="bottom"/>
          </w:tcPr>
          <w:p>
            <w:pPr>
              <w:jc w:val="right"/>
              <w:ind w:right="781"/>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080" w:type="dxa"/>
            <w:vAlign w:val="bottom"/>
          </w:tcPr>
          <w:p>
            <w:pPr>
              <w:jc w:val="right"/>
              <w:ind w:right="856"/>
              <w:spacing w:after="0"/>
              <w:rPr>
                <w:sz w:val="20"/>
                <w:szCs w:val="20"/>
                <w:color w:val="auto"/>
              </w:rPr>
            </w:pPr>
            <w:r>
              <w:rPr>
                <w:rFonts w:ascii="Arial" w:cs="Arial" w:eastAsia="Arial" w:hAnsi="Arial"/>
                <w:sz w:val="18"/>
                <w:szCs w:val="18"/>
                <w:color w:val="auto"/>
              </w:rPr>
              <w:t>$</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(40)  Nonoperating other income (expense), net</w:t>
            </w:r>
          </w:p>
        </w:tc>
        <w:tc>
          <w:tcPr>
            <w:tcW w:w="0" w:type="dxa"/>
            <w:vAlign w:val="bottom"/>
          </w:tcPr>
          <w:p>
            <w:pPr>
              <w:spacing w:after="0"/>
              <w:rPr>
                <w:sz w:val="1"/>
                <w:szCs w:val="1"/>
                <w:color w:val="auto"/>
              </w:rPr>
            </w:pPr>
          </w:p>
        </w:tc>
      </w:tr>
      <w:tr>
        <w:trPr>
          <w:trHeight w:val="277"/>
        </w:trPr>
        <w:tc>
          <w:tcPr>
            <w:tcW w:w="4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Actuarial loss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24   Nonoperating other income (expense), net</w:t>
            </w:r>
          </w:p>
        </w:tc>
        <w:tc>
          <w:tcPr>
            <w:tcW w:w="0" w:type="dxa"/>
            <w:vAlign w:val="bottom"/>
          </w:tcPr>
          <w:p>
            <w:pPr>
              <w:spacing w:after="0"/>
              <w:rPr>
                <w:sz w:val="1"/>
                <w:szCs w:val="1"/>
                <w:color w:val="auto"/>
              </w:rPr>
            </w:pPr>
          </w:p>
        </w:tc>
      </w:tr>
      <w:tr>
        <w:trPr>
          <w:trHeight w:val="209"/>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for the period,</w:t>
            </w:r>
          </w:p>
        </w:tc>
        <w:tc>
          <w:tcPr>
            <w:tcW w:w="1000" w:type="dxa"/>
            <w:vAlign w:val="bottom"/>
            <w:tcBorders>
              <w:top w:val="single" w:sz="8" w:color="auto"/>
            </w:tcBorders>
            <w:vMerge w:val="restart"/>
          </w:tcPr>
          <w:p>
            <w:pPr>
              <w:jc w:val="right"/>
              <w:ind w:right="781"/>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80" w:type="dxa"/>
            <w:vAlign w:val="bottom"/>
            <w:tcBorders>
              <w:top w:val="single" w:sz="8" w:color="auto"/>
            </w:tcBorders>
            <w:vMerge w:val="restart"/>
          </w:tcPr>
          <w:p>
            <w:pPr>
              <w:jc w:val="right"/>
              <w:ind w:right="856"/>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100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112"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Expenses associated with American Eagle operations are classified as regional expenses on the condensed consolidated statements of operations. Regional expenses consist of the following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63"/>
        </w:trPr>
        <w:tc>
          <w:tcPr>
            <w:tcW w:w="77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r>
      <w:tr>
        <w:trPr>
          <w:trHeight w:val="25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0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Capacity purchases from third-party regional carriers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2"/>
                <w:szCs w:val="22"/>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7"/>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r>
      <w:tr>
        <w:trPr>
          <w:trHeight w:val="250"/>
        </w:trPr>
        <w:tc>
          <w:tcPr>
            <w:tcW w:w="7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108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1,791</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201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500" w:right="20" w:hanging="330"/>
        <w:spacing w:after="0" w:line="233" w:lineRule="auto"/>
        <w:tabs>
          <w:tab w:leader="none" w:pos="500" w:val="left"/>
        </w:tabs>
        <w:numPr>
          <w:ilvl w:val="1"/>
          <w:numId w:val="33"/>
        </w:numPr>
        <w:rPr>
          <w:rFonts w:ascii="Arial" w:cs="Arial" w:eastAsia="Arial" w:hAnsi="Arial"/>
          <w:sz w:val="22"/>
          <w:szCs w:val="22"/>
          <w:color w:val="auto"/>
          <w:vertAlign w:val="superscript"/>
        </w:rPr>
      </w:pPr>
      <w:r>
        <w:rPr>
          <w:rFonts w:ascii="Arial" w:cs="Arial" w:eastAsia="Arial" w:hAnsi="Arial"/>
          <w:sz w:val="18"/>
          <w:szCs w:val="18"/>
          <w:color w:val="auto"/>
        </w:rPr>
        <w:t>During the three months ended March 31, 2020 and 2019 , American recognized $150 million and $143 million , respectively, of expense under its capacity purchase agreement with Republic Airline Inc. (Republic). American holds a 25% equity interest in Republic Airways Holdings Inc., the parent company of Republic.</w:t>
      </w:r>
    </w:p>
    <w:p>
      <w:pPr>
        <w:spacing w:after="0" w:line="221"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7"/>
                <w:szCs w:val="17"/>
                <w:color w:val="auto"/>
              </w:rPr>
            </w:pPr>
          </w:p>
        </w:tc>
        <w:tc>
          <w:tcPr>
            <w:tcW w:w="162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5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21"/>
                <w:szCs w:val="21"/>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14,957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14,597</w:t>
            </w:r>
          </w:p>
        </w:tc>
      </w:tr>
      <w:tr>
        <w:trPr>
          <w:trHeight w:val="270"/>
        </w:trPr>
        <w:tc>
          <w:tcPr>
            <w:tcW w:w="75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1"/>
                <w:szCs w:val="2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r>
      <w:tr>
        <w:trPr>
          <w:trHeight w:val="243"/>
        </w:trPr>
        <w:tc>
          <w:tcPr>
            <w:tcW w:w="7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12,815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12,451</w:t>
            </w:r>
          </w:p>
        </w:tc>
      </w:tr>
      <w:tr>
        <w:trPr>
          <w:trHeight w:val="20"/>
        </w:trPr>
        <w:tc>
          <w:tcPr>
            <w:tcW w:w="20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44"/>
        </w:trPr>
        <w:tc>
          <w:tcPr>
            <w:tcW w:w="2080" w:type="dxa"/>
            <w:vAlign w:val="bottom"/>
            <w:tcBorders>
              <w:bottom w:val="single" w:sz="8" w:color="auto"/>
            </w:tcBorders>
          </w:tcPr>
          <w:p>
            <w:pPr>
              <w:spacing w:after="0"/>
              <w:rPr>
                <w:sz w:val="21"/>
                <w:szCs w:val="21"/>
                <w:color w:val="auto"/>
              </w:rPr>
            </w:pPr>
          </w:p>
        </w:tc>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bl>
    <w:p>
      <w:pPr>
        <w:spacing w:after="0" w:line="377" w:lineRule="exact"/>
        <w:rPr>
          <w:sz w:val="20"/>
          <w:szCs w:val="20"/>
          <w:color w:val="auto"/>
        </w:rPr>
      </w:pPr>
    </w:p>
    <w:p>
      <w:pPr>
        <w:ind w:left="500" w:right="20" w:hanging="330"/>
        <w:spacing w:after="0" w:line="225" w:lineRule="auto"/>
        <w:tabs>
          <w:tab w:leader="none" w:pos="50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162" w:lineRule="exact"/>
        <w:rPr>
          <w:rFonts w:ascii="Arial" w:cs="Arial" w:eastAsia="Arial" w:hAnsi="Arial"/>
          <w:sz w:val="22"/>
          <w:szCs w:val="22"/>
          <w:color w:val="auto"/>
          <w:vertAlign w:val="superscript"/>
        </w:rPr>
      </w:pPr>
    </w:p>
    <w:p>
      <w:pPr>
        <w:jc w:val="both"/>
        <w:ind w:left="500" w:right="20"/>
        <w:spacing w:after="0" w:line="256" w:lineRule="auto"/>
        <w:rPr>
          <w:rFonts w:ascii="Arial" w:cs="Arial" w:eastAsia="Arial" w:hAnsi="Arial"/>
          <w:sz w:val="22"/>
          <w:szCs w:val="22"/>
          <w:color w:val="auto"/>
          <w:vertAlign w:val="superscript"/>
        </w:rPr>
      </w:pPr>
      <w:r>
        <w:rPr>
          <w:rFonts w:ascii="Arial" w:cs="Arial" w:eastAsia="Arial" w:hAnsi="Arial"/>
          <w:sz w:val="18"/>
          <w:szCs w:val="18"/>
          <w:color w:val="auto"/>
        </w:rPr>
        <w:t>AAG has suspended its capital return program, including share repurchases and the payment of future dividends. In connection with AAG's receipt of financial support under the Payroll Support Program, AAG agreed not to repurchase shares of or make dividend payments in respect of AAG common stock through September 30, 2021. If AAG receives</w:t>
      </w:r>
    </w:p>
    <w:p>
      <w:pPr>
        <w:sectPr>
          <w:pgSz w:w="11900" w:h="16838" w:orient="portrait"/>
          <w:cols w:equalWidth="0" w:num="1">
            <w:col w:w="11240"/>
          </w:cols>
          <w:pgMar w:left="320" w:top="333" w:right="339" w:bottom="1103"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103"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a secured loan from Treasury pursuant to the CARES Act, it will be prohibited from repurchasing shares of AAG common stock through the date that is one year after such secured loan is fully repaid.</w:t>
      </w:r>
    </w:p>
    <w:p>
      <w:pPr>
        <w:spacing w:after="0" w:line="144" w:lineRule="exact"/>
        <w:rPr>
          <w:sz w:val="20"/>
          <w:szCs w:val="20"/>
          <w:color w:val="auto"/>
        </w:rPr>
      </w:pPr>
    </w:p>
    <w:p>
      <w:pPr>
        <w:ind w:left="500" w:hanging="330"/>
        <w:spacing w:after="0" w:line="225" w:lineRule="auto"/>
        <w:tabs>
          <w:tab w:leader="none" w:pos="500" w:val="left"/>
        </w:tabs>
        <w:numPr>
          <w:ilvl w:val="1"/>
          <w:numId w:val="36"/>
        </w:numPr>
        <w:rPr>
          <w:rFonts w:ascii="Arial" w:cs="Arial" w:eastAsia="Arial" w:hAnsi="Arial"/>
          <w:sz w:val="22"/>
          <w:szCs w:val="22"/>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21" w:lineRule="exact"/>
        <w:rPr>
          <w:rFonts w:ascii="Arial" w:cs="Arial" w:eastAsia="Arial" w:hAnsi="Arial"/>
          <w:sz w:val="22"/>
          <w:szCs w:val="22"/>
          <w:color w:val="auto"/>
          <w:vertAlign w:val="superscript"/>
        </w:rPr>
      </w:pPr>
    </w:p>
    <w:p>
      <w:pPr>
        <w:ind w:left="300" w:hanging="292"/>
        <w:spacing w:after="0"/>
        <w:tabs>
          <w:tab w:leader="none" w:pos="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by AAG from time to time in its quarterly and annual reports, including for calculating earnings per common share. As disputed claims are resolved, the claimants receive distributions of shares from the Disputed Claims Reserve. American is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AAG but rather will be distributed to former AMR stockholders and former convertible noteholders treated as stockholders under the Plan. In the first quarter of 2020 , 2.2 million shares of AAG common stock were distributed from the Disputed Claims Reserve. After giving effect to this distribution, as of March 31, 2020 , the Disputed Claims Reserve held 4.8 million shares of AAG common stock.</w:t>
      </w:r>
    </w:p>
    <w:p>
      <w:pPr>
        <w:spacing w:after="0" w:line="13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the Merger </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they are awaiting the Bankruptcy Court's decision. American believes this lawsuit is without merit and intends to vigorously defend against the allegations.</w:t>
      </w:r>
    </w:p>
    <w:p>
      <w:pPr>
        <w:spacing w:after="0" w:line="13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any of the four American defined benefit pension plans who elected to receive an optional form of benefit other than a lump sum distribution of a participant’s vested benefit. Under the Employee Retirement Income Security Act,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court has denied American's motion to dismiss the complaint. American believes this lawsuit is without merit and intends to vigorously defend against the allegations.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jc w:val="both"/>
        <w:ind w:firstLine="216"/>
        <w:spacing w:after="0" w:line="25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6" w:lineRule="exact"/>
        <w:rPr>
          <w:sz w:val="20"/>
          <w:szCs w:val="20"/>
          <w:color w:val="auto"/>
        </w:rPr>
      </w:pPr>
    </w:p>
    <w:p>
      <w:pPr>
        <w:ind w:left="220" w:right="9460" w:hanging="212"/>
        <w:spacing w:after="0" w:line="357" w:lineRule="auto"/>
        <w:tabs>
          <w:tab w:leader="none" w:pos="304"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Impairment </w:t>
      </w:r>
      <w:r>
        <w:rPr>
          <w:rFonts w:ascii="Arial" w:cs="Arial" w:eastAsia="Arial" w:hAnsi="Arial"/>
          <w:sz w:val="18"/>
          <w:szCs w:val="18"/>
          <w:b w:val="1"/>
          <w:bCs w:val="1"/>
          <w:i w:val="1"/>
          <w:iCs w:val="1"/>
          <w:u w:val="single" w:color="auto"/>
          <w:color w:val="auto"/>
        </w:rPr>
        <w:t>Long-lived Assets</w:t>
      </w:r>
    </w:p>
    <w:p>
      <w:pPr>
        <w:jc w:val="both"/>
        <w:ind w:firstLine="216"/>
        <w:spacing w:after="0" w:line="254" w:lineRule="auto"/>
        <w:rPr>
          <w:sz w:val="20"/>
          <w:szCs w:val="20"/>
          <w:color w:val="auto"/>
        </w:rPr>
      </w:pPr>
      <w:r>
        <w:rPr>
          <w:rFonts w:ascii="Arial" w:cs="Arial" w:eastAsia="Arial" w:hAnsi="Arial"/>
          <w:sz w:val="18"/>
          <w:szCs w:val="18"/>
          <w:color w:val="auto"/>
        </w:rPr>
        <w:t>Accounting Standards Codification (ASC) 360 - Property, Plant, and Equipment (ASC 360) requires long-lived assets to be assessed for impairment when events and circumstances indicate that the assets may be impaired. Long-lived assets consist of owned flight and ground equipment, ROU assets and definite-lived intangible assets such as certain domestic airport slots and gate leasehold rights, customer relationships and marketing agreements.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previously discussed, in the first quarter of 2020 , American's operations, liquidity and stock price were significantly impacted by decreased passenger demand and U.S. government travel restrictions due to COVID-19. Additionally, American decided to retire certain mainline aircraft earlier than planned including Boeing 757, Boeing 767, Airbus A330-300 and Embraer 190 aircraft as well as regional aircraft, including certain Embraer 140 and Bombardier CRJ200 aircraft. As a result of these events and circumstances, American performed impairment tests on its long-lived assets in connection with the preparation of American's financial statements.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accordance with ASC 360, an impairment of a long-lived asset or group of long-lived assets exists only when the sum of the estimated undiscounted future cash flows expected to be generated directly by the assets are less than the carrying value of the assets. American groups assets principally by fleet-type when estimating future cash flows, which is generally the lowest level for which identifiable cash flows exist. Estimates of future cash flows are based on historical results adjusted to reflect management’s best estimate of future market and operating conditions, including American's current fleet plan.</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a result of the impairment tests performed on American's long-lived assets, American determined the sum of the estimated undiscounted future cash flows exceeded the $44.1 billion carrying value for its long-lived assets except for the aircraft being retired earlier than planned as discussed above. For those aircraft and certain related spare parts, American recorded an $815 million impairment charge reflecting the difference between the carrying values of these assets and their fair values. Fair value reflects management’s best estimate including inputs from published pricing guides and bids from third parties as well as contracted sales agreements when applicable. Due to the inherent uncertainties of the current operating environment, American will continue to evaluate its current fleet and may decide to permanently retire additional aircraft.</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ASC 350 - Intangibles - Goodwill and Other (ASC 350) requires goodwill and indefinite-lived intangible assets to be assessed for impairment annually or more frequently if events or circumstances indicate that the fair values of goodwill and indefinite-lived intangible assets may be lower than their carrying values. Goodwill represents the purchase price in excess of the fair value of the net assets acquired and liabilities assumed in connection with the merger of AAG with US Airways Group, Inc. American has one reporting unit. Indefinite-lived intangible assets consist of certain domestic airport slots and international slots and route authorities.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first quarter of 2020 , American performed an interim impairment test on its goodwill and indefinite-lived intangible assets as a result of the events and circumstances previously discussed due to the impact of COVID-19 on its business. In accordance with ASC 350, for goodwill, American performed a quantitative analysis by using a market approach. Under the market approach, the fair value of the reporting unit was determined based on quoted market prices for equity and the fair value of debt as described in Note 6. The fair value exceeded the carrying value of the reporting unit, and American's $4.1 billion of goodwill was not impaired.</w:t>
      </w:r>
    </w:p>
    <w:p>
      <w:pPr>
        <w:spacing w:after="0" w:line="15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Additionally, in the first quarter of 2020 , American performed an interim qualitative impairment test on its $1.8 billion of indefinite-lived intangible assets and determined there was no material impairment.</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As discussed above, due to the inherent uncertainties of the current operating environment, American will continue to evaluate its goodwill and indefinite-lived intangible assets for events or circumstances that indicate that their fair values may be lower than their carrying values.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2013 Revolving Facility, 2014 Revolving Facility and April 2016 Revolving Facility Borrowings</w:t>
      </w:r>
    </w:p>
    <w:p>
      <w:pPr>
        <w:spacing w:after="0" w:line="19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April 2020 , American borrowed $750 million under the 2013 Revolving Facility, $1.5 billion under the 2014 Revolving Facility and $450 million under the April 2016 Revolving Facility. Following the April 2020 draw, American had no remaining borrowing capacity available under the 2013 Revolving Facility or the April 2016 Revolving Facility and had $110 million in remaining borrowing capacity available under the 2014 Revolving Facility.</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Payroll Support Program</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On April 20, 2020 (the PSP Closing Date), American, Envoy Air Inc. (Envoy), Piedmont Airlines, Inc. (Piedmont) and PSA Airlines, Inc. (PSA and together with American, Envoy and Piedmont, the Subsidiaries), each a wholly-owned subsidiary of AAG, entered into a Payroll Support Program Agreement (the PSP Agreement) with Treasury, with respect to the Payroll Support Program provided pursuant to the CARES Act. In connection with the Subsidiaries' entry into the PSP Agreement, on the PSP Closing Date, AAG also entered into a Warrant Agreement (the Warrant Agreement) with Treasury, and AAG issued a promissory note to Treasury (the Promissory Note), with the Subsidiaries as guarantors (the Guarantors).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 Agreement</w:t>
      </w:r>
    </w:p>
    <w:p>
      <w:pPr>
        <w:spacing w:after="0" w:line="10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Pursuant to the PSP Agreement, Treasury is to provide to AAG and the Subsidiaries financial assistance to be paid in installments (each, an Installment) expected to total in the aggregate approximately $5.8 billion . The first Installment, in the amount of approximately $2.9 billion (representing 50% of the current expected total) was disbursed by Treasury on April 21, 2020, and AAG currently anticipates receiving three additional Installments from May to July 2020.</w:t>
      </w:r>
    </w:p>
    <w:p>
      <w:pPr>
        <w:spacing w:after="0" w:line="15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connection with the Payroll Support Program, AAG and the Subsidiaries are required to comply with the relevant provisions of the CARES Act, including the requirement that funds provided pursuant to the PSP Agreement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and the provisions that prohibit the repurchase of AAG common stock, and the payment of common stock dividends through September 30, 2021, as well as those that restrict the payment of certain executive compensation until March 24, 2022. The PSP Agreement also imposes substantial reporting obligations on AAG and the Subsidiaries.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 Promissory Note</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compensation to the U.S. Government for the provision of financial assistance under the PSP Agreement, AAG issued the Promissory Note to Treasury, which provides for AAG's unconditional promise to pay to Treasury the initial principal sum of approximately $842 million , subject to an increase equal to 30% of the amount of each additional Installment disbursed under the PSP Agreement after the PSP Closing Date, and the guarantee of AAG's obligations by the Guarantors. Assuming the total Installments to be paid pursuant to the PSP Agreement aggregate approximately $5.8 billion , the Promissory Note will have a total principal sum of approximately $1.7 billion .</w:t>
      </w:r>
    </w:p>
    <w:p>
      <w:pPr>
        <w:spacing w:after="0" w:line="151"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8"/>
          <w:szCs w:val="18"/>
          <w:color w:val="auto"/>
        </w:rPr>
        <w:t>The Promissory Note bears interest on the outstanding principal amount at a rate equal to 1.00% per annum until the fifth anniversary of the PSP Closing Date and 2.00% plus an interest rate based on the secured overnight financing rate per annum or other benchmark replacement rate consistent with customary market conventions (but not to be less than 0.00% ) thereafter until the tenth anniversary of the PSP Closing Date (the Maturity Date), and interest accrued thereon will be payable in arrears on the last business day of March and September of each year, beginning on September 30, 2020. The aggregate principal amount outstanding under the Promissory Note, together with all accrued and unpaid interest thereon and all other amounts payable under the Promissory Note, will be due and payable on the Maturity Date.</w:t>
      </w:r>
    </w:p>
    <w:p>
      <w:pPr>
        <w:spacing w:after="0" w:line="15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AAG may, at any time and from time to time, voluntarily prepay amounts outstanding under the Promissory Note, in whole or in part, without penalty or premium. Within 30 days of the occurrence of certain change of control triggering events, AAG is required to prepay the aggregate outstanding principal amount of the Promissory Note at such time, together with any accrued interest or other amounts owing under the Promissory Note at such time .</w:t>
      </w:r>
    </w:p>
    <w:p>
      <w:pPr>
        <w:spacing w:after="0" w:line="150"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Promissory Note is AAG's senior unsecured obligation and each guarantee of the Promissory Note is the senior unsecured obligation of each of the Guarantors, respectively .</w:t>
      </w:r>
    </w:p>
    <w:p>
      <w:pPr>
        <w:spacing w:after="0" w:line="14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Promissory Note contains events of default, including cross-default with respect to acceleration or failure to pay at maturity other material indebtedness. Upon the occurrence of an event of default and subject to certain grace periods, the</w:t>
      </w:r>
    </w:p>
    <w:p>
      <w:pPr>
        <w:sectPr>
          <w:pgSz w:w="11900" w:h="16838" w:orient="portrait"/>
          <w:cols w:equalWidth="0" w:num="1">
            <w:col w:w="11240"/>
          </w:cols>
          <w:pgMar w:left="320" w:top="333"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outstanding obligations under the Promissory Note may, and in certain circumstances will automatically, be accelerated and become due and payable immediately.</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Payroll Support Program Warrant Agreement and Warrants</w:t>
      </w:r>
    </w:p>
    <w:p>
      <w:pPr>
        <w:spacing w:after="0" w:line="1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compensation to the U.S. Government for the provision of financial assistance under the PSP Agreement, and pursuant to the Warrant Agreement, AAG has agreed to issue warrants (each a PSP Warrant and, collectively, the PSP Warrants) to Treasury to purchase up to an aggregate of approximately 13.7 million shares (the Warrant Shares) of AAG common stock. The exercise price of the Warrant Shares is $12.51 per share (which was the closing price of AAG common stock on The Nasdaq Global Select Market on April 9, 2020) (the Exercise Price) subject to certain anti-dilution provisions provided for in the PSP Warrant.</w:t>
      </w:r>
    </w:p>
    <w:p>
      <w:pPr>
        <w:spacing w:after="0" w:line="15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Pursuant to the Warrant Agreement, (a) on the PSP Closing Date, AAG issued to Treasury a PSP Warrant to purchase up to an aggregate of approximately 6.7 million shares of AAG common stock based on the terms described herein and (b) on the date of each increase of the principal amount of the Promissory Note in connection with the disbursement of an additional Installment under the PSP Agreement, AAG will issue to Treasury an additional PSP Warrant for a number of shares of AAG common stock equal to 10% of such increase of the principal amount of the Promissory Note, divided by the Exercise Price. Assuming the total Installments to be paid pursuant to the PSP Agreement aggregate approximately $5.8 billion , the total number of Warrant Shares issuable is approximately 13.7 million , subject to certain anti-dilution provisions, including, among others, for below market issuances and payment of dividends, provided for in the PSP Warrants.</w:t>
      </w:r>
    </w:p>
    <w:p>
      <w:pPr>
        <w:spacing w:after="0" w:line="151"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PSP Warrant does not have any voting rights and is freely transferrable, with registration rights. Each PSP Warrant expires on the fifth anniversary of the date of issuance of such PSP Warrant. The PSP Warrants will be exercisable either through net share settlement or cash, at AAG's option.</w:t>
      </w:r>
    </w:p>
    <w:p>
      <w:pPr>
        <w:spacing w:after="0" w:line="14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PSP Warrant was issued solely as compensation to the U.S. Government related to entry into the PSP Agreement. No separate proceeds (apart from the financial assistance Installments described above) were received upon issuance of the PSP Warrant or will be received upon exercise thereof.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2"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2019 (the 2019 Form 10-K). The information contained herein is not a comprehensive discussion and analysis of the financial condition and results of operations of AAG and American, but rather updates disclosures made in the 2019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closing of borders, “shelter in place” orders and business closures . As a result, we have experienced an unprecedented decline in the demand for air travel, which has resulted in a material deterioration in our revenues. While our business performed largely as expected in January and February of 2020, a severe reduction in air travel during March 2020 resulted in our total operating revenues decreasing nearly 20% in the first quarter of 2020 as compared to the first quarter of 2019 . While the length and severity of the reduction in demand due to COVID-19 is uncertain, we presently expect the deterioration to increase in the second quarter of 2020 and our results of operations for the remainder of 2020 to be severely impacted.</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have taken aggressive actions to mitigate the effect of COVID-19 on our business including deep capacity reductions, structural changes to our fleet, cost reductions, and steps to preserve cash and improve our overall liquidity position. We remain extremely focused on taking all self-help measures available to manage our business during this unprecedented time, consistent with the terms of the financial support we have received from the U.S. Government under the Coronavirus Aid, Relief, and Economic Security (CARES) Act which, among other things, includes obligations regarding minimum air service and restrictions on involuntary workforce actions. See Note 14 to AAG’s Condensed Consolidated Financial Statements in Part I, Item 1A for further information.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Capacity Reductions</w:t>
      </w:r>
    </w:p>
    <w:p>
      <w:pPr>
        <w:spacing w:after="0" w:line="10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significantly reduced our capacity (as measured by available seat miles), with April and May 2020 flying expected to decrease by approximately 80% year-over-year and June 2020 flying expected to decrease by approximately 70% year-over-year. Given the fluidity of the environment, we will continue to evaluate these targets and make further demand-driven adjustments to our capacity as needed.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Fleet</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To better align our network with lower passenger demand, we have accelerated the retirement of Boeing 757, Boeing 767, Airbus A330-300 and Embraer 190 fleets as well as certain regional aircraft. These retirements remove complexity from our operation and bring forward cost savings and efficiencies associated with operating fewer aircraft types. See Note 13 to AAG’s Condensed Consolidated Financial Statements in Part I, Item 1A for further information on the accounting for our fleet retirements. Due to the inherent uncertainties of the current operating environment, we will continue to evaluate our current fleet and may decide to permanently retire additional aircraft.</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Cost Reductions</w:t>
      </w:r>
    </w:p>
    <w:p>
      <w:pPr>
        <w:spacing w:after="0" w:line="10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moving quickly to align our costs with our reduced schedule. In aggregate, we estimate that we have reduced our 2020 operating and capital expenditures by more than $12 billion . These savings have been achieved through lower fuel expense and a series of actions, including the capacity reductions and accelerated fleet retirements discussed above as well as reductions in heavy maintenance expense, the deferral of marketing expenditures, consolidation of space at airport facilities and reductions in contractor, event and training expenses. We have also suspended all non-essential hiring, paused non-contractual pay rate increases, reduced executive and board of director compensation and implemented voluntary leave and early retirement programs to reduce our labor costs consistent with our obligations under the CARES Act. In total, nearly 39,000 team members have opted for early retirement, a reduced work schedule or a partially-paid leave status . Our average estimated second quarter 2020 cash burn rate is currently expected to be approximately $70 million per day, and we presently expect this amount to decrease over time to approximately $50 million per day for the month of June 2020 as these cost-savings initiatives gain traction and assuming no material, unforecasted revenue reductions, costs or other events.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ind w:left="220"/>
        <w:spacing w:after="0"/>
        <w:rPr>
          <w:sz w:val="20"/>
          <w:szCs w:val="20"/>
          <w:color w:val="auto"/>
        </w:rPr>
      </w:pPr>
      <w:r>
        <w:rPr>
          <w:rFonts w:ascii="Arial" w:cs="Arial" w:eastAsia="Arial" w:hAnsi="Arial"/>
          <w:sz w:val="18"/>
          <w:szCs w:val="18"/>
          <w:i w:val="1"/>
          <w:iCs w:val="1"/>
          <w:u w:val="single" w:color="auto"/>
          <w:color w:val="auto"/>
        </w:rPr>
        <w:t>Liquidity</w:t>
      </w:r>
    </w:p>
    <w:p>
      <w:pPr>
        <w:spacing w:after="0" w:line="108" w:lineRule="exact"/>
        <w:rPr>
          <w:sz w:val="20"/>
          <w:szCs w:val="20"/>
          <w:color w:val="auto"/>
        </w:rPr>
      </w:pPr>
    </w:p>
    <w:p>
      <w:pPr>
        <w:ind w:right="20" w:firstLine="216"/>
        <w:spacing w:after="0" w:line="261" w:lineRule="auto"/>
        <w:rPr>
          <w:sz w:val="20"/>
          <w:szCs w:val="20"/>
          <w:color w:val="auto"/>
        </w:rPr>
      </w:pPr>
      <w:r>
        <w:rPr>
          <w:rFonts w:ascii="Arial" w:cs="Arial" w:eastAsia="Arial" w:hAnsi="Arial"/>
          <w:sz w:val="18"/>
          <w:szCs w:val="18"/>
          <w:color w:val="auto"/>
        </w:rPr>
        <w:t>At March 31, 2020 , we had $6.8 billion in total available liquidity, consisting of $3.6 billion in unrestricted cash and short-term investments and $3.2 billion in undrawn capacity under our revolving credit facilities, of which we borrowed $2.7 billion in April 2020.</w:t>
      </w:r>
    </w:p>
    <w:p>
      <w:pPr>
        <w:spacing w:after="0" w:line="144"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During the first quarter of 2020 , we completed the following financing transactions (see Note 6 to AAG’s Condensed Consolidated Financial Statements in Part I, Item 1A for further information):</w:t>
      </w:r>
    </w:p>
    <w:p>
      <w:pPr>
        <w:spacing w:after="0" w:line="144" w:lineRule="exact"/>
        <w:rPr>
          <w:sz w:val="20"/>
          <w:szCs w:val="20"/>
          <w:color w:val="auto"/>
        </w:rPr>
      </w:pPr>
    </w:p>
    <w:p>
      <w:pPr>
        <w:ind w:left="660" w:hanging="40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refinanced the $1.2 billion 2014 Term Loan Facility at a lower interest rate and extended the maturity from 2021 to 2027;</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raised $1.0 billion from a 364-day senior secured delayed draw term loan credit facility;</w:t>
      </w:r>
    </w:p>
    <w:p>
      <w:pPr>
        <w:spacing w:after="0" w:line="171" w:lineRule="exact"/>
        <w:rPr>
          <w:rFonts w:ascii="Arial" w:cs="Arial" w:eastAsia="Arial" w:hAnsi="Arial"/>
          <w:sz w:val="18"/>
          <w:szCs w:val="18"/>
          <w:color w:val="auto"/>
        </w:rPr>
      </w:pPr>
    </w:p>
    <w:p>
      <w:pPr>
        <w:ind w:left="660" w:right="20" w:hanging="409"/>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$500 million in aggregate principal amount of 3.75% unsecured senior notes due 2025 (the 3.75% senior notes) and repaid $500 million of 4.625% unsecured senior notes that matured in March 2020;</w:t>
      </w:r>
    </w:p>
    <w:p>
      <w:pPr>
        <w:spacing w:after="0" w:line="143" w:lineRule="exact"/>
        <w:rPr>
          <w:rFonts w:ascii="Arial" w:cs="Arial" w:eastAsia="Arial" w:hAnsi="Arial"/>
          <w:sz w:val="18"/>
          <w:szCs w:val="18"/>
          <w:color w:val="auto"/>
        </w:rPr>
      </w:pPr>
    </w:p>
    <w:p>
      <w:pPr>
        <w:ind w:left="660" w:hanging="40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raised $280 million from aircraft sale-leaseback transactions; and</w:t>
      </w:r>
    </w:p>
    <w:p>
      <w:pPr>
        <w:spacing w:after="0" w:line="171" w:lineRule="exact"/>
        <w:rPr>
          <w:rFonts w:ascii="Arial" w:cs="Arial" w:eastAsia="Arial" w:hAnsi="Arial"/>
          <w:sz w:val="18"/>
          <w:szCs w:val="18"/>
          <w:color w:val="auto"/>
        </w:rPr>
      </w:pPr>
    </w:p>
    <w:p>
      <w:pPr>
        <w:ind w:left="660" w:hanging="409"/>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raised $197 million from aircraft financings, of which $17 million was used to repay existing indebtedness.</w:t>
      </w:r>
    </w:p>
    <w:p>
      <w:pPr>
        <w:spacing w:after="0" w:line="171"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8"/>
          <w:szCs w:val="18"/>
          <w:color w:val="auto"/>
        </w:rPr>
        <w:t>We have been approved to receive an aggregate of $5.8 billion in financial assistance to be paid in installments through the payroll support program (Payroll Support Program) under the CARES Act of which we received an initial disbursement of $2.9 billion in April 2020 (representing 50% of the current expected total). We currently anticipate receiving three additional installments from May to July 2020. As partial compensation to the U.S. Government for the provision of financial assistance under the Payroll Support Program, we expect to issue an aggregate principal amount of approximately $1.7 billion under a promissory note and warrants to purchase up to 13.7 million shares of AAG common stock (assuming the full $5.8 billion of financial assistance is received). As of the date of this report, the principal amount of this promissory note is $842 million and a warrant to purchase up to 6.7 million shares of AAG common stock has been issued. The principal amount of this promissory note will increase by an amount equal to 30% of each additional installment disbursed under the PSP Agreement, and we will issue a warrant for a number of shares of AAG common stock equal to 10% of each such increase in the principal amount of this promissory note, divided by $12.51 per share (the exercise price per share of such warrants). See Note 14 to AAG’s Condensed Consolidated Financial Statements in Part I, Item 1A for further information on the Payroll Support Program. We also applied for a secured loan from the U.S. Department of the Treasury (Treasury) of approximately $4.75 billion under the CARES Act, which if granted will involve the issuance of additional warrants to purchase approximately 38.0 million shares of AAG common stock. As of the date of this report, the secured loan application has not been acted on. Also, we are permitted to, and will, defer payment of the employer portion of social security taxes through the end of 2020 (with 50% of the deferred amount due December 31, 2021 and the remaining 50% due December 31, 2022). This deferral is expected to provide approximately $300 million in additional liquidity during 2020 . Additionally, we have suspended our capital return program, including share repurchases and the payment of future dividends for at least the period that the restrictions imposed by the CARES Act are applicable .</w:t>
      </w:r>
    </w:p>
    <w:p>
      <w:pPr>
        <w:spacing w:after="0" w:line="154"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color w:val="auto"/>
        </w:rPr>
        <w:t>Based on our current forecast, we expect to have approximately $11 billion of liquidity at the end of the second quarter, assuming no material, unforecasted revenue reductions, costs or other events.</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continue to evaluate future financing opportunities and have engaged third-party appraisers to evaluate some of our unencumbered assets. We expect to pledge a portion of these unencumbered assets as collateral for future financings, including as part of the approximately $4.75 billion secured loan we have applied for under the CARES Act.</w:t>
      </w:r>
    </w:p>
    <w:p>
      <w:pPr>
        <w:spacing w:after="0" w:line="14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Certain of our debt financing agreements contain covenants requiring us to maintain an aggregate of at least $ 2.0 billion of unrestricted cash and cash equivalents and amounts available to be drawn under revolving credit facilities and/or contain loan to value ratio covenants.</w:t>
      </w:r>
    </w:p>
    <w:p>
      <w:pPr>
        <w:spacing w:after="0" w:line="14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Given the above actions and our assumptions about the future impact of COVID-19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provided pursuant to the CARES Act) and projected cash flows from operations .</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AAG’s First Quarter 2020 Results</w:t>
      </w:r>
    </w:p>
    <w:p>
      <w:pPr>
        <w:spacing w:after="0" w:line="112"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center"/>
              <w:ind w:left="3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vMerge w:val="restart"/>
          </w:tcPr>
          <w:p>
            <w:pPr>
              <w:jc w:val="right"/>
              <w:ind w:right="172"/>
              <w:spacing w:after="0" w:line="135" w:lineRule="exact"/>
              <w:rPr>
                <w:sz w:val="20"/>
                <w:szCs w:val="20"/>
                <w:color w:val="auto"/>
              </w:rPr>
            </w:pPr>
            <w:r>
              <w:rPr>
                <w:rFonts w:ascii="Arial" w:cs="Arial" w:eastAsia="Arial" w:hAnsi="Arial"/>
                <w:sz w:val="14"/>
                <w:szCs w:val="14"/>
                <w:b w:val="1"/>
                <w:bCs w:val="1"/>
                <w:color w:val="auto"/>
              </w:rPr>
              <w:t>Increase</w:t>
            </w:r>
          </w:p>
        </w:tc>
        <w:tc>
          <w:tcPr>
            <w:tcW w:w="1340" w:type="dxa"/>
            <w:vAlign w:val="bottom"/>
            <w:vMerge w:val="restart"/>
          </w:tcPr>
          <w:p>
            <w:pPr>
              <w:jc w:val="center"/>
              <w:ind w:left="35"/>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(Decrease)</w:t>
            </w:r>
          </w:p>
        </w:tc>
        <w:tc>
          <w:tcPr>
            <w:tcW w:w="13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960" w:type="dxa"/>
            <w:vAlign w:val="bottom"/>
            <w:gridSpan w:val="7"/>
          </w:tcPr>
          <w:p>
            <w:pPr>
              <w:jc w:val="right"/>
              <w:ind w:right="92"/>
              <w:spacing w:after="0"/>
              <w:rPr>
                <w:sz w:val="20"/>
                <w:szCs w:val="20"/>
                <w:color w:val="auto"/>
              </w:rPr>
            </w:pPr>
            <w:r>
              <w:rPr>
                <w:rFonts w:ascii="Arial" w:cs="Arial" w:eastAsia="Arial" w:hAnsi="Arial"/>
                <w:sz w:val="14"/>
                <w:szCs w:val="14"/>
                <w:b w:val="1"/>
                <w:bCs w:val="1"/>
                <w:color w:val="auto"/>
              </w:rPr>
              <w:t>(In millions, except percentage changes)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Cargo revenue</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13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revenue</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8,515</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(2,069)</w:t>
            </w:r>
          </w:p>
        </w:tc>
        <w:tc>
          <w:tcPr>
            <w:tcW w:w="13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(2,549)</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(2,924)</w:t>
            </w:r>
          </w:p>
        </w:tc>
        <w:tc>
          <w:tcPr>
            <w:tcW w:w="1340" w:type="dxa"/>
            <w:vAlign w:val="bottom"/>
          </w:tcPr>
          <w:p>
            <w:pPr>
              <w:jc w:val="right"/>
              <w:ind w:right="15"/>
              <w:spacing w:after="0" w:line="269" w:lineRule="exact"/>
              <w:rPr>
                <w:sz w:val="20"/>
                <w:szCs w:val="20"/>
                <w:color w:val="auto"/>
              </w:rPr>
            </w:pPr>
            <w:r>
              <w:rPr>
                <w:rFonts w:ascii="Arial" w:cs="Arial" w:eastAsia="Arial" w:hAnsi="Arial"/>
                <w:sz w:val="31"/>
                <w:szCs w:val="31"/>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(loss)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4"/>
        </w:trPr>
        <w:tc>
          <w:tcPr>
            <w:tcW w:w="5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(loss) – GAAP</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1,373</w:t>
            </w:r>
          </w:p>
        </w:tc>
        <w:tc>
          <w:tcPr>
            <w:tcW w:w="1340" w:type="dxa"/>
            <w:vAlign w:val="bottom"/>
            <w:tcBorders>
              <w:bottom w:val="single" w:sz="8" w:color="CCEEFF"/>
            </w:tcBorders>
          </w:tcPr>
          <w:p>
            <w:pPr>
              <w:jc w:val="right"/>
              <w:ind w:right="1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(loss) excluding net special items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-2750820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-2750820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-2750820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13544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00" w:hanging="330"/>
        <w:spacing w:after="0" w:line="235" w:lineRule="auto"/>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125"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Not meaningful.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(Loss) and Net Income (Loss)</w:t>
      </w:r>
    </w:p>
    <w:p>
      <w:pPr>
        <w:spacing w:after="0" w:line="10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Pre-tax loss and net loss were $2.9 billion and $ 2.2 billion , respectively, in the first quarter of 2020 . This compares to first quarter 2019 pre-tax income and net income of $245 million and $185 million , respectively. The quarter-over-quarter decrease in our pre-tax income was principally driven by lower revenues as a result of a decline in passenger demand and U.S. government travel restrictions related to the outbreak and spread of COVID-19 and an increase in our pre-tax net special items, offset in part by a decrease in fuel costs. See Note 2 to AAG’s Condensed Consolidated Financial Statements in Part I, Item 1A for further information on net special items.</w:t>
      </w:r>
    </w:p>
    <w:p>
      <w:pPr>
        <w:spacing w:after="0" w:line="15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Excluding the effects of pre-tax net special items, pre-tax loss was $1.4 billion in the first quarter of 2020 and pre-tax income was $314 million in the first quarter of 2019 . The quarter-over-quarter decrease in our pre-tax income excluding pre-tax net special items was principally driven by lower revenues as described above, offset in part by a decrease in fuel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the first quarter of 2020 , we reported total operating revenues of $8.5 billion , a decrease of $2.1 billion , or 19.6 %, as compared to the first quarter of 2019 . While our business performed largely as expected in January and February of 2020, passenger revenue was $7.7 billion in the first quarter of 2020 , a decrease of $2.0 billion , or 20.5 %, as compared to the first quarter of 2019 due to severe reductions in air travel during March 2020. The decrease in passenger revenue in the first quarter of 2020 was due to a decline in passenger demand and U.S. government travel restrictions related to COVID-19, resulting in a 17.6% quarter-over-quarter decrease in revenue passenger miles (RPMs) and a 9.5 point decrease in passenger load factor.</w:t>
      </w:r>
    </w:p>
    <w:p>
      <w:pPr>
        <w:spacing w:after="0" w:line="15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Cargo revenue decrease d $71 million , or 32.7 %, as compared to the first quarter of 2019 , primarily due to a 30.2% decrease in cargo ton miles reflecting declines in freight volumes, principally as a result of international schedule reductions.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ind w:firstLine="216"/>
        <w:spacing w:after="0" w:line="261" w:lineRule="auto"/>
        <w:rPr>
          <w:sz w:val="20"/>
          <w:szCs w:val="20"/>
          <w:color w:val="auto"/>
        </w:rPr>
      </w:pPr>
      <w:r>
        <w:rPr>
          <w:rFonts w:ascii="Arial" w:cs="Arial" w:eastAsia="Arial" w:hAnsi="Arial"/>
          <w:sz w:val="18"/>
          <w:szCs w:val="18"/>
          <w:color w:val="auto"/>
        </w:rPr>
        <w:t>Other operating revenue decreased $21 million , or 2.9 %, as compared to the first quarter of 2019 , driven primarily by lower revenue associated with our loyalty program and airport clubs.</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Our total revenue per available seat mile (TRASM) was 13.71 cents in the first quarter of 2020 , a 13.6 % decrease as compared to 15.87 cents in the first quarter of 2019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mainline and regional fuel expense totaled $1.8 billion in the first quarter of 2020 , which was $365 million , or 17.0 %, lower as compared to the first quarter of 2019 . This decrease was primarily driven by a 10.1 % decrease in the average price per gallon of aircraft fuel including related taxes to $ 1.83 in the first quarter of 2020 from $2.04 in the first quarter of 2019 , as well as a 7.6 % decrease in gallons of fuel consumed as a result of lower capacity.</w:t>
      </w:r>
    </w:p>
    <w:p>
      <w:pPr>
        <w:spacing w:after="0" w:line="15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As of March 31, 2020 , we did not have any fuel hedging contracts outstanding to hedge our fuel consumption. Our current policy is not to enter into transactions to hedge our fuel consumption, although we review that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As such, and assuming we do not enter into any future transactions to hedge our fuel consumption, we will continue to be fully exposed to fluctuations in fuel prices.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10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COVID-19 pandemic has resulted in a very rapid deterioration in general economic conditions.</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2020 first quarter total cost per available seat mile (CASM) was 17.82 cents, an increase of 16.3 %, from 15.31 cents in the first quarter of 2019 . The increase was driven in part by an increase in net special items. See Note 2 to AAG’s Condensed Consolidated Financial Statements in Part I, Item 1A for further information on net special items. Higher maintenance and depreciation expenses, costs associated with increased regional capacity and lower than planned overall capacity in the first quarter of 2020 due to decreased passenger demand and U.S. government travel restrictions related to COVID-19 also contributed to the increase in CASM.</w:t>
      </w:r>
    </w:p>
    <w:p>
      <w:pPr>
        <w:spacing w:after="0" w:line="15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2020 first quarter CASM excluding net special items and fuel was 12.97 cents, an increase of 9.2 %, as compared to the first quarter of 2019 . The increase was primarily driven by higher maintenance and depreciation expenses, regional costs and lower than planned capacity in the first quarter of 2020 as described above.</w:t>
      </w:r>
    </w:p>
    <w:p>
      <w:pPr>
        <w:spacing w:after="0" w:line="130" w:lineRule="exact"/>
        <w:rPr>
          <w:sz w:val="20"/>
          <w:szCs w:val="20"/>
          <w:color w:val="auto"/>
        </w:rPr>
      </w:pPr>
    </w:p>
    <w:p>
      <w:pPr>
        <w:jc w:val="both"/>
        <w:ind w:right="20" w:firstLine="216"/>
        <w:spacing w:after="0" w:line="282" w:lineRule="auto"/>
        <w:rPr>
          <w:sz w:val="20"/>
          <w:szCs w:val="20"/>
          <w:color w:val="auto"/>
        </w:rPr>
      </w:pPr>
      <w:r>
        <w:rPr>
          <w:rFonts w:ascii="Arial" w:cs="Arial" w:eastAsia="Arial" w:hAnsi="Arial"/>
          <w:sz w:val="18"/>
          <w:szCs w:val="18"/>
          <w:color w:val="auto"/>
        </w:rPr>
        <w:t xml:space="preserve">For a reconciliation of CASM to total CASM excluding net special items and fuel, see below </w:t>
      </w:r>
      <w:r>
        <w:rPr>
          <w:rFonts w:ascii="Arial" w:cs="Arial" w:eastAsia="Arial" w:hAnsi="Arial"/>
          <w:sz w:val="18"/>
          <w:szCs w:val="18"/>
          <w:i w:val="1"/>
          <w:iCs w:val="1"/>
          <w:color w:val="auto"/>
        </w:rPr>
        <w:t>“Reconciliation of GAAP to Non-GAAP</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Measures.”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following table presents the reconciliation of pre-tax income (loss) (GAAP measure) to pre-tax income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218"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26035</wp:posOffset>
            </wp:positionV>
            <wp:extent cx="23145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03" w:lineRule="exact"/>
        <w:rPr>
          <w:sz w:val="20"/>
          <w:szCs w:val="20"/>
          <w:color w:val="auto"/>
        </w:rPr>
      </w:pPr>
    </w:p>
    <w:p>
      <w:pPr>
        <w:ind w:left="8020"/>
        <w:spacing w:after="0"/>
        <w:tabs>
          <w:tab w:leader="none" w:pos="98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26035</wp:posOffset>
            </wp:positionV>
            <wp:extent cx="23145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9"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94372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Pre-Tax Income (Loss) Excluding Net Special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6291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00" w:type="dxa"/>
            <w:vAlign w:val="bottom"/>
          </w:tcPr>
          <w:p>
            <w:pPr>
              <w:ind w:left="40"/>
              <w:spacing w:after="0"/>
              <w:rPr>
                <w:sz w:val="20"/>
                <w:szCs w:val="20"/>
                <w:color w:val="auto"/>
              </w:rPr>
            </w:pPr>
            <w:r>
              <w:rPr>
                <w:rFonts w:ascii="Arial" w:cs="Arial" w:eastAsia="Arial" w:hAnsi="Arial"/>
                <w:sz w:val="18"/>
                <w:szCs w:val="18"/>
                <w:color w:val="auto"/>
              </w:rPr>
              <w:t>Pre-tax income (loss) - GAAP</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w:t>
            </w:r>
          </w:p>
        </w:tc>
      </w:tr>
      <w:tr>
        <w:trPr>
          <w:trHeight w:val="277"/>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t>
            </w:r>
          </w:p>
        </w:tc>
        <w:tc>
          <w:tcPr>
            <w:tcW w:w="6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3"/>
        </w:trPr>
        <w:tc>
          <w:tcPr>
            <w:tcW w:w="7300" w:type="dxa"/>
            <w:vAlign w:val="bottom"/>
          </w:tcPr>
          <w:p>
            <w:pPr>
              <w:ind w:left="380"/>
              <w:spacing w:after="0"/>
              <w:rPr>
                <w:sz w:val="20"/>
                <w:szCs w:val="20"/>
                <w:color w:val="auto"/>
              </w:rPr>
            </w:pPr>
            <w:r>
              <w:rPr>
                <w:rFonts w:ascii="Arial" w:cs="Arial" w:eastAsia="Arial" w:hAnsi="Arial"/>
                <w:sz w:val="18"/>
                <w:szCs w:val="18"/>
                <w:color w:val="auto"/>
              </w:rPr>
              <w:t>Operating special items, net</w:t>
            </w:r>
          </w:p>
        </w:tc>
        <w:tc>
          <w:tcPr>
            <w:tcW w:w="64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Nonoperating special items, net</w:t>
            </w:r>
          </w:p>
        </w:tc>
        <w:tc>
          <w:tcPr>
            <w:tcW w:w="6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pre-tax net special items</w:t>
            </w:r>
          </w:p>
        </w:tc>
        <w:tc>
          <w:tcPr>
            <w:tcW w:w="6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Pre-tax income (loss) excluding net special items</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r>
      <w:tr>
        <w:trPr>
          <w:trHeight w:val="20"/>
        </w:trPr>
        <w:tc>
          <w:tcPr>
            <w:tcW w:w="7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544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4" w:lineRule="exact"/>
        <w:rPr>
          <w:sz w:val="20"/>
          <w:szCs w:val="20"/>
          <w:color w:val="auto"/>
        </w:rPr>
      </w:pPr>
    </w:p>
    <w:p>
      <w:pPr>
        <w:ind w:left="580" w:hanging="329"/>
        <w:spacing w:after="0"/>
        <w:tabs>
          <w:tab w:leader="none" w:pos="58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15" w:lineRule="exact"/>
        <w:rPr>
          <w:rFonts w:ascii="Arial" w:cs="Arial" w:eastAsia="Arial" w:hAnsi="Arial"/>
          <w:sz w:val="22"/>
          <w:szCs w:val="22"/>
          <w:color w:val="auto"/>
          <w:vertAlign w:val="superscript"/>
        </w:rPr>
      </w:pPr>
    </w:p>
    <w:p>
      <w:pPr>
        <w:ind w:left="5520"/>
        <w:spacing w:after="0"/>
        <w:rPr>
          <w:rFonts w:ascii="Arial" w:cs="Arial" w:eastAsia="Arial" w:hAnsi="Arial"/>
          <w:sz w:val="22"/>
          <w:szCs w:val="22"/>
          <w:color w:val="auto"/>
          <w:vertAlign w:val="superscript"/>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both"/>
        <w:ind w:firstLine="216"/>
        <w:spacing w:after="0" w:line="253" w:lineRule="auto"/>
        <w:rPr>
          <w:sz w:val="20"/>
          <w:szCs w:val="20"/>
          <w:color w:val="auto"/>
        </w:rPr>
      </w:pPr>
      <w:r>
        <w:rPr>
          <w:rFonts w:ascii="Arial" w:cs="Arial" w:eastAsia="Arial" w:hAnsi="Arial"/>
          <w:sz w:val="18"/>
          <w:szCs w:val="18"/>
          <w:color w:val="auto"/>
        </w:rPr>
        <w:t>Additionally, the table below presents the reconciliation of total operating expenses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 have no control, impacts the comparability of period-to-period financial performance. The adjustment to exclude aircraft fuel and net special items allows management an additional tool to understand and analyze our non-fuel costs and core operating performance. Amounts may not recalculate due to rounding.</w:t>
      </w:r>
    </w:p>
    <w:p>
      <w:pPr>
        <w:spacing w:after="0" w:line="220"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26035</wp:posOffset>
            </wp:positionV>
            <wp:extent cx="23145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r>
      <w:tr>
        <w:trPr>
          <w:trHeight w:val="193"/>
        </w:trPr>
        <w:tc>
          <w:tcPr>
            <w:tcW w:w="7300" w:type="dxa"/>
            <w:vAlign w:val="bottom"/>
            <w:shd w:val="clear" w:color="auto" w:fill="CCEEFF"/>
          </w:tcPr>
          <w:p>
            <w:pPr>
              <w:ind w:left="40"/>
              <w:spacing w:after="0" w:line="193" w:lineRule="exact"/>
              <w:rPr>
                <w:sz w:val="20"/>
                <w:szCs w:val="20"/>
                <w:color w:val="auto"/>
              </w:rPr>
            </w:pPr>
            <w:r>
              <w:rPr>
                <w:rFonts w:ascii="Arial" w:cs="Arial" w:eastAsia="Arial" w:hAnsi="Arial"/>
                <w:sz w:val="18"/>
                <w:szCs w:val="18"/>
                <w:b w:val="1"/>
                <w:bCs w:val="1"/>
                <w:color w:val="auto"/>
              </w:rPr>
              <w:t>Reconciliation of Total Operating Costs per Available Seat</w:t>
            </w: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46"/>
        </w:trPr>
        <w:tc>
          <w:tcPr>
            <w:tcW w:w="7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Mile (CASM) Excluding Net Special Items and Fuel:</w:t>
            </w:r>
          </w:p>
        </w:tc>
        <w:tc>
          <w:tcPr>
            <w:tcW w:w="10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04"/>
        </w:trPr>
        <w:tc>
          <w:tcPr>
            <w:tcW w:w="7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53"/>
        </w:trPr>
        <w:tc>
          <w:tcPr>
            <w:tcW w:w="7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70"/>
        </w:trPr>
        <w:tc>
          <w:tcPr>
            <w:tcW w:w="7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 - GAAP</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11,064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10,209</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Operating net special items:</w:t>
            </w: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63"/>
        </w:trPr>
        <w:tc>
          <w:tcPr>
            <w:tcW w:w="7300" w:type="dxa"/>
            <w:vAlign w:val="bottom"/>
          </w:tcPr>
          <w:p>
            <w:pPr>
              <w:ind w:left="380"/>
              <w:spacing w:after="0"/>
              <w:rPr>
                <w:sz w:val="20"/>
                <w:szCs w:val="20"/>
                <w:color w:val="auto"/>
              </w:rPr>
            </w:pPr>
            <w:r>
              <w:rPr>
                <w:rFonts w:ascii="Arial" w:cs="Arial" w:eastAsia="Arial" w:hAnsi="Arial"/>
                <w:sz w:val="18"/>
                <w:szCs w:val="18"/>
                <w:color w:val="auto"/>
              </w:rPr>
              <w:t>Regional operating special items, net</w:t>
            </w:r>
          </w:p>
        </w:tc>
        <w:tc>
          <w:tcPr>
            <w:tcW w:w="10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w:t>
            </w:r>
          </w:p>
        </w:tc>
        <w:tc>
          <w:tcPr>
            <w:tcW w:w="1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63"/>
        </w:trPr>
        <w:tc>
          <w:tcPr>
            <w:tcW w:w="7300" w:type="dxa"/>
            <w:vAlign w:val="bottom"/>
          </w:tcPr>
          <w:p>
            <w:pPr>
              <w:ind w:left="380"/>
              <w:spacing w:after="0"/>
              <w:rPr>
                <w:sz w:val="20"/>
                <w:szCs w:val="20"/>
                <w:color w:val="auto"/>
              </w:rPr>
            </w:pPr>
            <w:r>
              <w:rPr>
                <w:rFonts w:ascii="Arial" w:cs="Arial" w:eastAsia="Arial" w:hAnsi="Arial"/>
                <w:sz w:val="18"/>
                <w:szCs w:val="18"/>
                <w:color w:val="auto"/>
              </w:rPr>
              <w:t>Aircraft fuel and related taxes - mainline</w:t>
            </w:r>
          </w:p>
        </w:tc>
        <w:tc>
          <w:tcPr>
            <w:tcW w:w="10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(1,726)</w:t>
            </w:r>
          </w:p>
        </w:tc>
      </w:tr>
      <w:tr>
        <w:trPr>
          <w:trHeight w:val="277"/>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 - regional</w:t>
            </w:r>
          </w:p>
        </w:tc>
        <w:tc>
          <w:tcPr>
            <w:tcW w:w="10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83"/>
        </w:trPr>
        <w:tc>
          <w:tcPr>
            <w:tcW w:w="7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 excluding net special items and fuel</w:t>
            </w:r>
          </w:p>
        </w:tc>
        <w:tc>
          <w:tcPr>
            <w:tcW w:w="1080" w:type="dxa"/>
            <w:vAlign w:val="bottom"/>
            <w:tcBorders>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8,055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7,922</w:t>
            </w:r>
          </w:p>
        </w:tc>
      </w:tr>
      <w:tr>
        <w:trPr>
          <w:trHeight w:val="257"/>
        </w:trPr>
        <w:tc>
          <w:tcPr>
            <w:tcW w:w="7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7300" w:type="dxa"/>
            <w:vAlign w:val="bottom"/>
          </w:tcPr>
          <w:p>
            <w:pPr>
              <w:ind w:left="40"/>
              <w:spacing w:after="0"/>
              <w:rPr>
                <w:sz w:val="20"/>
                <w:szCs w:val="20"/>
                <w:color w:val="auto"/>
              </w:rPr>
            </w:pPr>
            <w:r>
              <w:rPr>
                <w:rFonts w:ascii="Arial" w:cs="Arial" w:eastAsia="Arial" w:hAnsi="Arial"/>
                <w:sz w:val="18"/>
                <w:szCs w:val="18"/>
                <w:color w:val="auto"/>
              </w:rPr>
              <w:t>Total Available Seat Miles (ASM)</w:t>
            </w:r>
          </w:p>
        </w:tc>
        <w:tc>
          <w:tcPr>
            <w:tcW w:w="108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62,099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66,674</w:t>
            </w:r>
          </w:p>
        </w:tc>
      </w:tr>
      <w:tr>
        <w:trPr>
          <w:trHeight w:val="277"/>
        </w:trPr>
        <w:tc>
          <w:tcPr>
            <w:tcW w:w="7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 cents)</w:t>
            </w:r>
          </w:p>
        </w:tc>
        <w:tc>
          <w:tcPr>
            <w:tcW w:w="10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3"/>
        </w:trPr>
        <w:tc>
          <w:tcPr>
            <w:tcW w:w="7300" w:type="dxa"/>
            <w:vAlign w:val="bottom"/>
          </w:tcPr>
          <w:p>
            <w:pPr>
              <w:ind w:left="40"/>
              <w:spacing w:after="0"/>
              <w:rPr>
                <w:sz w:val="20"/>
                <w:szCs w:val="20"/>
                <w:color w:val="auto"/>
              </w:rPr>
            </w:pPr>
            <w:r>
              <w:rPr>
                <w:rFonts w:ascii="Arial" w:cs="Arial" w:eastAsia="Arial" w:hAnsi="Arial"/>
                <w:sz w:val="18"/>
                <w:szCs w:val="18"/>
                <w:color w:val="auto"/>
              </w:rPr>
              <w:t>Total operating CASM</w:t>
            </w:r>
          </w:p>
        </w:tc>
        <w:tc>
          <w:tcPr>
            <w:tcW w:w="108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15.31</w:t>
            </w:r>
          </w:p>
        </w:tc>
      </w:tr>
      <w:tr>
        <w:trPr>
          <w:trHeight w:val="257"/>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net special items per ASM:</w:t>
            </w:r>
          </w:p>
        </w:tc>
        <w:tc>
          <w:tcPr>
            <w:tcW w:w="10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70"/>
        </w:trPr>
        <w:tc>
          <w:tcPr>
            <w:tcW w:w="7300" w:type="dxa"/>
            <w:vAlign w:val="bottom"/>
          </w:tcPr>
          <w:p>
            <w:pPr>
              <w:ind w:left="380"/>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1"/>
                <w:szCs w:val="21"/>
                <w:color w:val="auto"/>
                <w:vertAlign w:val="superscript"/>
              </w:rPr>
              <w:t>(1)</w:t>
            </w:r>
          </w:p>
        </w:tc>
        <w:tc>
          <w:tcPr>
            <w:tcW w:w="10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0"/>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operating special items, net</w:t>
            </w: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40"/>
              <w:spacing w:after="0"/>
              <w:rPr>
                <w:sz w:val="20"/>
                <w:szCs w:val="20"/>
                <w:color w:val="auto"/>
              </w:rPr>
            </w:pPr>
            <w:r>
              <w:rPr>
                <w:rFonts w:ascii="Arial" w:cs="Arial" w:eastAsia="Arial" w:hAnsi="Arial"/>
                <w:sz w:val="18"/>
                <w:szCs w:val="18"/>
                <w:color w:val="auto"/>
              </w:rPr>
              <w:t>Fuel per ASM:</w:t>
            </w: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Aircraft fuel and related taxes - mainline</w:t>
            </w:r>
          </w:p>
        </w:tc>
        <w:tc>
          <w:tcPr>
            <w:tcW w:w="10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63"/>
        </w:trPr>
        <w:tc>
          <w:tcPr>
            <w:tcW w:w="73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Aircraft fuel and related taxes - regional</w:t>
            </w:r>
          </w:p>
        </w:tc>
        <w:tc>
          <w:tcPr>
            <w:tcW w:w="10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r>
      <w:tr>
        <w:trPr>
          <w:trHeight w:val="250"/>
        </w:trPr>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CASM, excluding net special items and fuel</w:t>
            </w:r>
          </w:p>
        </w:tc>
        <w:tc>
          <w:tcPr>
            <w:tcW w:w="10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11.88</w:t>
            </w:r>
          </w:p>
        </w:tc>
      </w:tr>
      <w:tr>
        <w:trPr>
          <w:trHeight w:val="20"/>
        </w:trPr>
        <w:tc>
          <w:tcPr>
            <w:tcW w:w="7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-3771265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544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94" w:lineRule="exact"/>
        <w:rPr>
          <w:sz w:val="20"/>
          <w:szCs w:val="20"/>
          <w:color w:val="auto"/>
        </w:rPr>
      </w:pPr>
    </w:p>
    <w:p>
      <w:pPr>
        <w:ind w:left="580" w:hanging="329"/>
        <w:spacing w:after="0"/>
        <w:tabs>
          <w:tab w:leader="none" w:pos="580"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w:t>
      </w:r>
    </w:p>
    <w:p>
      <w:pPr>
        <w:spacing w:after="0" w:line="215" w:lineRule="exact"/>
        <w:rPr>
          <w:rFonts w:ascii="Arial" w:cs="Arial" w:eastAsia="Arial" w:hAnsi="Arial"/>
          <w:sz w:val="22"/>
          <w:szCs w:val="22"/>
          <w:color w:val="auto"/>
          <w:vertAlign w:val="superscript"/>
        </w:rPr>
      </w:pPr>
    </w:p>
    <w:p>
      <w:pPr>
        <w:ind w:left="5520"/>
        <w:spacing w:after="0"/>
        <w:rPr>
          <w:rFonts w:ascii="Arial" w:cs="Arial" w:eastAsia="Arial" w:hAnsi="Arial"/>
          <w:sz w:val="22"/>
          <w:szCs w:val="22"/>
          <w:color w:val="auto"/>
          <w:vertAlign w:val="superscript"/>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AAG’s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sets forth selected operating data for the three months ended March 31, 2020 and 2019 .</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874"/>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7"/>
        </w:trPr>
        <w:tc>
          <w:tcPr>
            <w:tcW w:w="68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56"/>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1"/>
                <w:szCs w:val="21"/>
                <w:color w:val="auto"/>
                <w:vertAlign w:val="superscript"/>
              </w:rPr>
              <w:t>(a)</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45,171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54,802</w:t>
            </w:r>
          </w:p>
        </w:tc>
        <w:tc>
          <w:tcPr>
            <w:tcW w:w="1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0"/>
        </w:trPr>
        <w:tc>
          <w:tcPr>
            <w:tcW w:w="6820" w:type="dxa"/>
            <w:vAlign w:val="bottom"/>
          </w:tcPr>
          <w:p>
            <w:pPr>
              <w:ind w:left="20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1"/>
                <w:szCs w:val="21"/>
                <w:color w:val="auto"/>
                <w:vertAlign w:val="superscript"/>
              </w:rPr>
              <w:t>(b)</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62,099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66,674</w:t>
            </w:r>
          </w:p>
        </w:tc>
        <w:tc>
          <w:tcPr>
            <w:tcW w:w="1680" w:type="dxa"/>
            <w:vAlign w:val="bottom"/>
            <w:gridSpan w:val="2"/>
          </w:tcPr>
          <w:p>
            <w:pPr>
              <w:jc w:val="right"/>
              <w:ind w:right="4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1"/>
                <w:szCs w:val="21"/>
                <w:color w:val="auto"/>
                <w:vertAlign w:val="superscript"/>
              </w:rPr>
              <w:t>(c)</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(9.5)pts</w:t>
            </w:r>
          </w:p>
        </w:tc>
        <w:tc>
          <w:tcPr>
            <w:tcW w:w="0" w:type="dxa"/>
            <w:vAlign w:val="bottom"/>
          </w:tcPr>
          <w:p>
            <w:pPr>
              <w:spacing w:after="0"/>
              <w:rPr>
                <w:sz w:val="1"/>
                <w:szCs w:val="1"/>
                <w:color w:val="auto"/>
              </w:rPr>
            </w:pPr>
          </w:p>
        </w:tc>
      </w:tr>
      <w:tr>
        <w:trPr>
          <w:trHeight w:val="270"/>
        </w:trPr>
        <w:tc>
          <w:tcPr>
            <w:tcW w:w="6820" w:type="dxa"/>
            <w:vAlign w:val="bottom"/>
          </w:tcPr>
          <w:p>
            <w:pPr>
              <w:ind w:left="20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21"/>
                <w:szCs w:val="21"/>
                <w:color w:val="auto"/>
                <w:vertAlign w:val="superscript"/>
              </w:rPr>
              <w:t>(d)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17.62</w:t>
            </w:r>
          </w:p>
        </w:tc>
        <w:tc>
          <w:tcPr>
            <w:tcW w:w="1680" w:type="dxa"/>
            <w:vAlign w:val="bottom"/>
            <w:gridSpan w:val="2"/>
          </w:tcPr>
          <w:p>
            <w:pPr>
              <w:jc w:val="right"/>
              <w:ind w:right="4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1"/>
                <w:szCs w:val="21"/>
                <w:color w:val="auto"/>
                <w:vertAlign w:val="superscript"/>
              </w:rPr>
              <w:t>(e)</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14.49</w:t>
            </w:r>
          </w:p>
        </w:tc>
        <w:tc>
          <w:tcPr>
            <w:tcW w:w="1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6820" w:type="dxa"/>
            <w:vAlign w:val="bottom"/>
          </w:tcPr>
          <w:p>
            <w:pPr>
              <w:ind w:left="20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1"/>
                <w:szCs w:val="21"/>
                <w:color w:val="auto"/>
                <w:vertAlign w:val="superscript"/>
              </w:rPr>
              <w:t>(f)</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15.87</w:t>
            </w:r>
          </w:p>
        </w:tc>
        <w:tc>
          <w:tcPr>
            <w:tcW w:w="1680" w:type="dxa"/>
            <w:vAlign w:val="bottom"/>
            <w:gridSpan w:val="2"/>
          </w:tcPr>
          <w:p>
            <w:pPr>
              <w:jc w:val="right"/>
              <w:ind w:right="4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1"/>
                <w:szCs w:val="21"/>
                <w:color w:val="auto"/>
                <w:vertAlign w:val="superscript"/>
              </w:rPr>
              <w:t>(g)</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1,564</w:t>
            </w:r>
          </w:p>
        </w:tc>
        <w:tc>
          <w:tcPr>
            <w:tcW w:w="1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63"/>
        </w:trPr>
        <w:tc>
          <w:tcPr>
            <w:tcW w:w="6820" w:type="dxa"/>
            <w:vAlign w:val="bottom"/>
          </w:tcPr>
          <w:p>
            <w:pPr>
              <w:ind w:left="200"/>
              <w:spacing w:after="0"/>
              <w:rPr>
                <w:sz w:val="20"/>
                <w:szCs w:val="20"/>
                <w:color w:val="auto"/>
              </w:rPr>
            </w:pPr>
            <w:r>
              <w:rPr>
                <w:rFonts w:ascii="Arial" w:cs="Arial" w:eastAsia="Arial" w:hAnsi="Arial"/>
                <w:sz w:val="18"/>
                <w:szCs w:val="18"/>
                <w:color w:val="auto"/>
              </w:rPr>
              <w:t>Fuel consumption (gallons in millions)</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1,053</w:t>
            </w:r>
          </w:p>
        </w:tc>
        <w:tc>
          <w:tcPr>
            <w:tcW w:w="1680" w:type="dxa"/>
            <w:vAlign w:val="bottom"/>
            <w:gridSpan w:val="2"/>
          </w:tcPr>
          <w:p>
            <w:pPr>
              <w:jc w:val="right"/>
              <w:ind w:right="4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7"/>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aircraft fuel price including related taxes (dollars per gallon)</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c>
          <w:tcPr>
            <w:tcW w:w="16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63"/>
        </w:trPr>
        <w:tc>
          <w:tcPr>
            <w:tcW w:w="6820" w:type="dxa"/>
            <w:vAlign w:val="bottom"/>
          </w:tcPr>
          <w:p>
            <w:pPr>
              <w:ind w:left="200"/>
              <w:spacing w:after="0"/>
              <w:rPr>
                <w:sz w:val="20"/>
                <w:szCs w:val="20"/>
                <w:color w:val="auto"/>
              </w:rPr>
            </w:pPr>
            <w:r>
              <w:rPr>
                <w:rFonts w:ascii="Arial" w:cs="Arial" w:eastAsia="Arial" w:hAnsi="Arial"/>
                <w:sz w:val="18"/>
                <w:szCs w:val="18"/>
                <w:color w:val="auto"/>
              </w:rPr>
              <w:t>Full-time equivalent employees at end of period</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131,500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129,800</w:t>
            </w:r>
          </w:p>
        </w:tc>
        <w:tc>
          <w:tcPr>
            <w:tcW w:w="1680" w:type="dxa"/>
            <w:vAlign w:val="bottom"/>
            <w:gridSpan w:val="2"/>
          </w:tcPr>
          <w:p>
            <w:pPr>
              <w:jc w:val="right"/>
              <w:ind w:right="10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21"/>
                <w:szCs w:val="21"/>
                <w:color w:val="auto"/>
                <w:vertAlign w:val="superscript"/>
              </w:rPr>
              <w:t>(h)</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15.31</w:t>
            </w:r>
          </w:p>
        </w:tc>
        <w:tc>
          <w:tcPr>
            <w:tcW w:w="16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201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9"/>
          <w:szCs w:val="9"/>
          <w:color w:val="auto"/>
        </w:rPr>
        <w:t>(a)</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(b)</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0"/>
          <w:szCs w:val="10"/>
          <w:color w:val="auto"/>
        </w:rPr>
        <w:t>(c)</w:t>
      </w:r>
    </w:p>
    <w:p>
      <w:pPr>
        <w:spacing w:after="0" w:line="263" w:lineRule="exact"/>
        <w:rPr>
          <w:sz w:val="20"/>
          <w:szCs w:val="20"/>
          <w:color w:val="auto"/>
        </w:rPr>
      </w:pPr>
    </w:p>
    <w:p>
      <w:pPr>
        <w:ind w:left="180"/>
        <w:spacing w:after="0"/>
        <w:rPr>
          <w:sz w:val="20"/>
          <w:szCs w:val="20"/>
          <w:color w:val="auto"/>
        </w:rPr>
      </w:pPr>
      <w:r>
        <w:rPr>
          <w:rFonts w:ascii="Arial" w:cs="Arial" w:eastAsia="Arial" w:hAnsi="Arial"/>
          <w:sz w:val="9"/>
          <w:szCs w:val="9"/>
          <w:color w:val="auto"/>
        </w:rPr>
        <w:t>(d)</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9"/>
          <w:szCs w:val="9"/>
          <w:color w:val="auto"/>
        </w:rPr>
        <w:t>(e)</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1"/>
          <w:szCs w:val="11"/>
          <w:color w:val="auto"/>
        </w:rPr>
        <w:t>(f)</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Revenue passenger mile (RPM) – A basic measure of sales volume. One RPM represents one passenger flown one mile.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 (ASM) – A basic measure of production. One ASM represents one seat flown one mile.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 The percentage of available seats that are filled with revenue passengers.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Yield – A measure of airline revenue derived by dividing passenger revenue by RPMs.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Passenger revenue per available seat mile (PRASM) – Passenger revenue divided by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revenue per available seat mile (TRASM) – Total revenues divided by ASMs.</w:t>
      </w:r>
    </w:p>
    <w:p>
      <w:pPr>
        <w:spacing w:after="0" w:line="171" w:lineRule="exact"/>
        <w:rPr>
          <w:sz w:val="20"/>
          <w:szCs w:val="20"/>
          <w:color w:val="auto"/>
        </w:rPr>
      </w:pPr>
    </w:p>
    <w:p>
      <w:pPr>
        <w:sectPr>
          <w:pgSz w:w="11900" w:h="16838" w:orient="portrait"/>
          <w:cols w:equalWidth="0" w:num="2">
            <w:col w:w="300" w:space="200"/>
            <w:col w:w="10740"/>
          </w:cols>
          <w:pgMar w:left="320" w:top="792" w:right="339" w:bottom="1440" w:gutter="0" w:footer="0" w:header="0"/>
          <w:type w:val="continuous"/>
        </w:sectPr>
      </w:pPr>
    </w:p>
    <w:p>
      <w:pPr>
        <w:jc w:val="both"/>
        <w:ind w:left="500" w:hanging="330"/>
        <w:spacing w:after="0" w:line="233" w:lineRule="auto"/>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49 regional aircraft that are in temporary storage as follows: 17 Embraer 145, 15 Embraer 175, nine Embraer 140 and eight Bombardier CRJ200 aircraft.</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Operating cost per available seat mile (CASM) – Operating expenses divided by ASMs.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3"/>
          </w:tcPr>
          <w:p>
            <w:pPr>
              <w:jc w:val="center"/>
              <w:ind w:left="538"/>
              <w:spacing w:after="0" w:line="148" w:lineRule="exact"/>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7,681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Cargo</w:t>
            </w:r>
          </w:p>
        </w:tc>
        <w:tc>
          <w:tcPr>
            <w:tcW w:w="38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44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548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8,515</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w:t>
            </w:r>
          </w:p>
        </w:tc>
        <w:tc>
          <w:tcPr>
            <w:tcW w:w="14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8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49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-1207770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-1207770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-1207770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51" w:name="page52"/>
    <w:bookmarkEnd w:id="51"/>
    <w:p>
      <w:pPr>
        <w:ind w:left="22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Decrease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vs. Three Months Ended March 31, 2019</w:t>
            </w:r>
          </w:p>
        </w:tc>
        <w:tc>
          <w:tcPr>
            <w:tcW w:w="1020" w:type="dxa"/>
            <w:vAlign w:val="bottom"/>
            <w:tcBorders>
              <w:bottom w:val="single" w:sz="8" w:color="auto"/>
            </w:tcBorders>
          </w:tcPr>
          <w:p>
            <w:pPr>
              <w:spacing w:after="0"/>
              <w:rPr>
                <w:sz w:val="17"/>
                <w:szCs w:val="17"/>
                <w:color w:val="auto"/>
              </w:rPr>
            </w:pPr>
          </w:p>
        </w:tc>
      </w:tr>
      <w:tr>
        <w:trPr>
          <w:trHeight w:val="175"/>
        </w:trPr>
        <w:tc>
          <w:tcPr>
            <w:tcW w:w="3900" w:type="dxa"/>
            <w:vAlign w:val="bottom"/>
          </w:tcPr>
          <w:p>
            <w:pPr>
              <w:spacing w:after="0"/>
              <w:rPr>
                <w:sz w:val="15"/>
                <w:szCs w:val="15"/>
                <w:color w:val="auto"/>
              </w:rPr>
            </w:pPr>
          </w:p>
        </w:tc>
        <w:tc>
          <w:tcPr>
            <w:tcW w:w="1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360"/>
              <w:spacing w:after="0"/>
              <w:rPr>
                <w:sz w:val="20"/>
                <w:szCs w:val="20"/>
                <w:color w:val="auto"/>
              </w:rPr>
            </w:pPr>
            <w:r>
              <w:rPr>
                <w:rFonts w:ascii="Arial" w:cs="Arial" w:eastAsia="Arial" w:hAnsi="Arial"/>
                <w:sz w:val="14"/>
                <w:szCs w:val="14"/>
                <w:b w:val="1"/>
                <w:bCs w:val="1"/>
                <w:color w:val="auto"/>
              </w:rPr>
              <w:t>Load</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Passenger</w:t>
            </w:r>
          </w:p>
        </w:tc>
        <w:tc>
          <w:tcPr>
            <w:tcW w:w="1020" w:type="dxa"/>
            <w:vAlign w:val="bottom"/>
          </w:tcPr>
          <w:p>
            <w:pPr>
              <w:spacing w:after="0"/>
              <w:rPr>
                <w:sz w:val="15"/>
                <w:szCs w:val="15"/>
                <w:color w:val="auto"/>
              </w:rPr>
            </w:pPr>
          </w:p>
        </w:tc>
      </w:tr>
      <w:tr>
        <w:trPr>
          <w:trHeight w:val="196"/>
        </w:trPr>
        <w:tc>
          <w:tcPr>
            <w:tcW w:w="3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RPMs</w:t>
            </w:r>
          </w:p>
        </w:tc>
        <w:tc>
          <w:tcPr>
            <w:tcW w:w="120" w:type="dxa"/>
            <w:vAlign w:val="bottom"/>
          </w:tcPr>
          <w:p>
            <w:pPr>
              <w:spacing w:after="0"/>
              <w:rPr>
                <w:sz w:val="17"/>
                <w:szCs w:val="17"/>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ASMs</w:t>
            </w:r>
          </w:p>
        </w:tc>
        <w:tc>
          <w:tcPr>
            <w:tcW w:w="120" w:type="dxa"/>
            <w:vAlign w:val="bottom"/>
          </w:tcPr>
          <w:p>
            <w:pPr>
              <w:spacing w:after="0"/>
              <w:rPr>
                <w:sz w:val="17"/>
                <w:szCs w:val="17"/>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Factor</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PRASM</w:t>
            </w:r>
          </w:p>
        </w:tc>
      </w:tr>
      <w:tr>
        <w:trPr>
          <w:trHeight w:val="250"/>
        </w:trPr>
        <w:tc>
          <w:tcPr>
            <w:tcW w:w="3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 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7,681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(9.5)pts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bl>
    <w:p>
      <w:pPr>
        <w:spacing w:after="0" w:line="16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Passenger revenue decrease d $2.0 billion , or 20.5 %, in the first quarter of 2020 from the first quarter of 2019 primarily due to a decline in passenger demand and U.S. government travel restrictions related to COVID-19 resulting in a 17.6 % quarter-over-quarter decrease in RPMs and a 9.5 point decrease in passenger load factor.</w:t>
      </w:r>
    </w:p>
    <w:p>
      <w:pPr>
        <w:spacing w:after="0" w:line="14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Cargo revenue decrease d $71 million , or 32.7 %, in the first quarter of 2020 from the first quarter of 2019 primarily due to a 30.2 % decrease in cargo ton miles reflecting declines in freight volumes, principally as a result of international schedule reductions.</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Total operating revenues in the first quarter of 2020 decrease d $2.1 billion , or 19.6 %, from the first quarter of 2019 , driven principally by a 20.5 % decrease in passenger revenue as described above. TRASM was 13.71 cents in the first quarter of 2020 , a 13.6 % decrease as compared to 15.87 cents in the first quarter of 2019 .</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3"/>
          </w:tcPr>
          <w:p>
            <w:pPr>
              <w:jc w:val="center"/>
              <w:ind w:left="574"/>
              <w:spacing w:after="0" w:line="148" w:lineRule="exact"/>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3"/>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4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4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994</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195</w:t>
            </w:r>
          </w:p>
        </w:tc>
        <w:tc>
          <w:tcPr>
            <w:tcW w:w="14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11,064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10,209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855</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-2399665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-2399665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-2399665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Total operating expenses increase d $855 million , or 8.4 %, in the first quarter of 2020 from the first quarter of 2019 . See detailed explanations below relating to changes in total CASM.</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Total CASM</w:t>
      </w:r>
    </w:p>
    <w:p>
      <w:pPr>
        <w:spacing w:after="0" w:line="10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table below presents the reconciliation of total operating expenses (GAAP measure) to total operating costs excluding net special items and fuel (non-GAAP measure). Management uses total operating costs excluding net special items and fuel to evaluate our current operating performance and for period-to-period comparisons. The price of fuel, over which we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2" w:name="page53"/>
    <w:bookmarkEnd w:id="52"/>
    <w:p>
      <w:pPr>
        <w:spacing w:after="0" w:line="261" w:lineRule="auto"/>
        <w:rPr>
          <w:sz w:val="20"/>
          <w:szCs w:val="20"/>
          <w:color w:val="auto"/>
        </w:rPr>
      </w:pPr>
      <w:r>
        <w:rPr>
          <w:rFonts w:ascii="Arial" w:cs="Arial" w:eastAsia="Arial" w:hAnsi="Arial"/>
          <w:sz w:val="18"/>
          <w:szCs w:val="18"/>
          <w:color w:val="auto"/>
        </w:rPr>
        <w:t>have no control, impacts the comparability of period-to-period financial performance. The adjustment to exclude aircraft fuel and net special items allows management an additional tool to understand and analyze our non-fuel costs and core operating performance.</w:t>
      </w:r>
    </w:p>
    <w:p>
      <w:pPr>
        <w:spacing w:after="0" w:line="144" w:lineRule="exact"/>
        <w:rPr>
          <w:sz w:val="20"/>
          <w:szCs w:val="20"/>
          <w:color w:val="auto"/>
        </w:rPr>
      </w:pPr>
    </w:p>
    <w:p>
      <w:pPr>
        <w:ind w:right="20" w:firstLine="216"/>
        <w:spacing w:after="0" w:line="261" w:lineRule="auto"/>
        <w:rPr>
          <w:sz w:val="20"/>
          <w:szCs w:val="20"/>
          <w:color w:val="auto"/>
        </w:rPr>
      </w:pPr>
      <w:r>
        <w:rPr>
          <w:rFonts w:ascii="Arial" w:cs="Arial" w:eastAsia="Arial" w:hAnsi="Arial"/>
          <w:sz w:val="18"/>
          <w:szCs w:val="18"/>
          <w:color w:val="auto"/>
        </w:rPr>
        <w:t>The major components of our total CASM and our total CASM excluding net special items and fuel for the three months ended March 31, 2020 and 2019 are as follows (amounts may not recalculate due to rounding):</w:t>
      </w:r>
    </w:p>
    <w:p>
      <w:pPr>
        <w:sectPr>
          <w:pgSz w:w="11900" w:h="16838" w:orient="portrait"/>
          <w:cols w:equalWidth="0" w:num="1">
            <w:col w:w="11240"/>
          </w:cols>
          <w:pgMar w:left="320" w:top="7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Salaries, wages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Maintenance, materials and repairs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rent and landing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Mainline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Regional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Mainline operating special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Regional operating special items, net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Aircraft fuel and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mainline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Aircraft fuel and related taxes - regional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CASM, excluding net special items and fuel</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Significant changes in the components of total CASM are as follows: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1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2060" w:type="dxa"/>
            <w:vAlign w:val="bottom"/>
            <w:gridSpan w:val="3"/>
          </w:tcPr>
          <w:p>
            <w:pPr>
              <w:jc w:val="center"/>
              <w:ind w:left="1033"/>
              <w:spacing w:after="0" w:line="148" w:lineRule="exact"/>
              <w:rPr>
                <w:sz w:val="20"/>
                <w:szCs w:val="20"/>
                <w:color w:val="auto"/>
              </w:rPr>
            </w:pPr>
            <w:r>
              <w:rPr>
                <w:rFonts w:ascii="Arial" w:cs="Arial" w:eastAsia="Arial" w:hAnsi="Arial"/>
                <w:sz w:val="14"/>
                <w:szCs w:val="14"/>
                <w:b w:val="1"/>
                <w:bCs w:val="1"/>
                <w:color w:val="auto"/>
              </w:rPr>
              <w:t>March 31,</w:t>
            </w:r>
          </w:p>
        </w:tc>
        <w:tc>
          <w:tcPr>
            <w:tcW w:w="10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80" w:type="dxa"/>
            <w:vAlign w:val="bottom"/>
            <w:vMerge w:val="restart"/>
          </w:tcPr>
          <w:p>
            <w:pPr>
              <w:jc w:val="center"/>
              <w:ind w:left="13"/>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6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4"/>
        </w:trPr>
        <w:tc>
          <w:tcPr>
            <w:tcW w:w="4820" w:type="dxa"/>
            <w:vAlign w:val="bottom"/>
            <w:gridSpan w:val="5"/>
          </w:tcPr>
          <w:p>
            <w:pPr>
              <w:jc w:val="right"/>
              <w:ind w:right="1013"/>
              <w:spacing w:after="0"/>
              <w:rPr>
                <w:sz w:val="20"/>
                <w:szCs w:val="20"/>
                <w:color w:val="auto"/>
              </w:rPr>
            </w:pPr>
            <w:r>
              <w:rPr>
                <w:rFonts w:ascii="Arial" w:cs="Arial" w:eastAsia="Arial" w:hAnsi="Arial"/>
                <w:sz w:val="14"/>
                <w:szCs w:val="14"/>
                <w:b w:val="1"/>
                <w:bCs w:val="1"/>
                <w:color w:val="auto"/>
              </w:rPr>
              <w:t>(In cents, except percentage changes)</w:t>
            </w:r>
          </w:p>
        </w:tc>
        <w:tc>
          <w:tcPr>
            <w:tcW w:w="0" w:type="dxa"/>
            <w:vAlign w:val="bottom"/>
          </w:tcPr>
          <w:p>
            <w:pPr>
              <w:spacing w:after="0"/>
              <w:rPr>
                <w:sz w:val="1"/>
                <w:szCs w:val="1"/>
                <w:color w:val="auto"/>
              </w:rPr>
            </w:pPr>
          </w:p>
        </w:tc>
      </w:tr>
      <w:tr>
        <w:trPr>
          <w:trHeight w:val="538"/>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6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0.84</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16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0.72</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540"/>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1480" w:type="dxa"/>
            <w:vAlign w:val="bottom"/>
          </w:tcPr>
          <w:p>
            <w:pPr>
              <w:jc w:val="right"/>
              <w:ind w:right="33"/>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(0.21)</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540"/>
        </w:trPr>
        <w:tc>
          <w:tcPr>
            <w:tcW w:w="14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w:t>
            </w:r>
          </w:p>
        </w:tc>
        <w:tc>
          <w:tcPr>
            <w:tcW w:w="16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14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11.88</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6" w:lineRule="exact"/>
        <w:rPr>
          <w:sz w:val="20"/>
          <w:szCs w:val="20"/>
          <w:color w:val="auto"/>
        </w:rPr>
      </w:pPr>
    </w:p>
    <w:p>
      <w:pPr>
        <w:sectPr>
          <w:pgSz w:w="11900" w:h="16838" w:orient="portrait"/>
          <w:cols w:equalWidth="0" w:num="2">
            <w:col w:w="5700" w:space="720"/>
            <w:col w:w="4820"/>
          </w:cols>
          <w:pgMar w:left="320" w:top="733" w:right="339" w:bottom="1440" w:gutter="0" w:footer="0" w:header="0"/>
          <w:type w:val="continuous"/>
        </w:sectPr>
      </w:pPr>
    </w:p>
    <w:p>
      <w:pPr>
        <w:spacing w:after="0" w:line="10" w:lineRule="exact"/>
        <w:rPr>
          <w:sz w:val="20"/>
          <w:szCs w:val="20"/>
          <w:color w:val="auto"/>
        </w:rPr>
      </w:pPr>
    </w:p>
    <w:p>
      <w:pPr>
        <w:jc w:val="both"/>
        <w:ind w:left="540" w:hanging="316"/>
        <w:spacing w:after="0" w:line="25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Mainline aircraft fuel and related taxes per ASM decrease d 13.2% in the first quarter of 2020 as compared to the first quarter of 2019 due to a 10.5 % decrease in gallons consumed and a 9.7 % decrease in the average price per gallon of fuel including related taxes to $ 1.83 in the first quarter of 2020 from $ 2.02 in the first quarter of 2019 .</w:t>
      </w:r>
    </w:p>
    <w:p>
      <w:pPr>
        <w:spacing w:after="0" w:line="147" w:lineRule="exact"/>
        <w:rPr>
          <w:rFonts w:ascii="Arial" w:cs="Arial" w:eastAsia="Arial" w:hAnsi="Arial"/>
          <w:sz w:val="18"/>
          <w:szCs w:val="18"/>
          <w:color w:val="auto"/>
        </w:rPr>
      </w:pPr>
    </w:p>
    <w:p>
      <w:pPr>
        <w:jc w:val="both"/>
        <w:ind w:left="540" w:hanging="316"/>
        <w:spacing w:after="0" w:line="25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Salaries, wages and benefits per ASM increased 9.1 % in the first quarter of 2020 as compared to the first quarter of 2019 , primarily due to an 8.8 % decrease in capacity as a result of a decline in passenger demand and U.S. government travel restrictions related to COVID-19.</w:t>
      </w:r>
    </w:p>
    <w:p>
      <w:pPr>
        <w:spacing w:after="0" w:line="147" w:lineRule="exact"/>
        <w:rPr>
          <w:rFonts w:ascii="Arial" w:cs="Arial" w:eastAsia="Arial" w:hAnsi="Arial"/>
          <w:sz w:val="18"/>
          <w:szCs w:val="18"/>
          <w:color w:val="auto"/>
        </w:rPr>
      </w:pPr>
    </w:p>
    <w:p>
      <w:pPr>
        <w:jc w:val="both"/>
        <w:ind w:left="540" w:hanging="316"/>
        <w:spacing w:after="0" w:line="25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Maintenance, materials and repairs per ASM increase d 20.3 % in the first quarter of 2020 as compared to the first quarter of 2019 , due to an 8.8 % decrease in capacity as described above as well as an increase in the volume of aircraft engine and component part repairs in the first quarter of 2020 .</w:t>
      </w:r>
    </w:p>
    <w:p>
      <w:pPr>
        <w:spacing w:after="0" w:line="147"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Aircraft rent per ASM increased 9.9 % in the first quarter of 2020 as compared to the first quarter of 2019 , primarily due to an 8.8 % decrease in capacity as described above.</w:t>
      </w:r>
    </w:p>
    <w:p>
      <w:pPr>
        <w:spacing w:after="0" w:line="143"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expenses per ASM decrease d 11.6 % in the first quarter of 2020 as compared to the first quarter of 2019 primarily due to lower commission expense and credit card fees driven by the overall decrease in revenues.</w:t>
      </w:r>
    </w:p>
    <w:p>
      <w:pPr>
        <w:spacing w:after="0" w:line="143" w:lineRule="exact"/>
        <w:rPr>
          <w:rFonts w:ascii="Arial" w:cs="Arial" w:eastAsia="Arial" w:hAnsi="Arial"/>
          <w:sz w:val="18"/>
          <w:szCs w:val="18"/>
          <w:color w:val="auto"/>
        </w:rPr>
      </w:pPr>
    </w:p>
    <w:p>
      <w:pPr>
        <w:jc w:val="both"/>
        <w:ind w:left="540" w:hanging="316"/>
        <w:spacing w:after="0" w:line="254"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Depreciation and amortization per ASM increased 25.3 % in the first quarter of 2020 as compared to the first quarter of 2019 due in part to an 8.8 % decrease in capacity as described above as well as accelerated depreciation for certain aircraft and related equipment expected to be retired earlier than planned. Depreciation associated with facility improvements also contributed to the increase.</w:t>
      </w:r>
    </w:p>
    <w:p>
      <w:pPr>
        <w:sectPr>
          <w:pgSz w:w="11900" w:h="16838" w:orient="portrait"/>
          <w:cols w:equalWidth="0" w:num="1">
            <w:col w:w="11240"/>
          </w:cols>
          <w:pgMar w:left="320" w:top="733" w:right="33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type w:val="continuous"/>
        </w:sectPr>
      </w:pPr>
    </w:p>
    <w:bookmarkStart w:id="53" w:name="page54"/>
    <w:bookmarkEnd w:id="53"/>
    <w:p>
      <w:pPr>
        <w:jc w:val="both"/>
        <w:ind w:left="540" w:hanging="316"/>
        <w:spacing w:after="0" w:line="25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Regional aircraft fuel and related taxes per ASM decrease d 1.3% in the first quarter of 2020 as compared to the first quarter of 2019 primarily due to a 12.1 % decrease in the average price per gallon of fuel including related taxes to $1.86 in the first quarter of 2020 from $2.12 in the first quarter of 2019 . This decrease was offset in part by a 4.5 % increase in gallons of fuel consumed, principally due to increased regional capacity.</w:t>
      </w:r>
    </w:p>
    <w:p>
      <w:pPr>
        <w:spacing w:after="0" w:line="149"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Regional other operating expenses per ASM increase d 23.0 % in the first quarter of 2020 as compared to the first quarter of 2019 primarily driven by a 6.7% increase in regional capacity and $93 million of regional operating net special items described below.</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3"/>
        </w:trPr>
        <w:tc>
          <w:tcPr>
            <w:tcW w:w="77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09"/>
        </w:trPr>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(2)</w:t>
            </w:r>
          </w:p>
        </w:tc>
        <w:tc>
          <w:tcPr>
            <w:tcW w:w="108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10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Merger integration expenses</w:t>
            </w:r>
          </w:p>
        </w:tc>
        <w:tc>
          <w:tcPr>
            <w:tcW w:w="10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7720" w:type="dxa"/>
            <w:vAlign w:val="bottom"/>
          </w:tcPr>
          <w:p>
            <w:pPr>
              <w:ind w:left="180"/>
              <w:spacing w:after="0"/>
              <w:rPr>
                <w:sz w:val="20"/>
                <w:szCs w:val="20"/>
                <w:color w:val="auto"/>
              </w:rPr>
            </w:pPr>
            <w:r>
              <w:rPr>
                <w:rFonts w:ascii="Arial" w:cs="Arial" w:eastAsia="Arial" w:hAnsi="Arial"/>
                <w:sz w:val="18"/>
                <w:szCs w:val="18"/>
                <w:color w:val="auto"/>
              </w:rPr>
              <w:t>Mainline operating special items, net</w:t>
            </w:r>
          </w:p>
        </w:tc>
        <w:tc>
          <w:tcPr>
            <w:tcW w:w="108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(6)</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Total operating special items, net</w:t>
            </w:r>
          </w:p>
        </w:tc>
        <w:tc>
          <w:tcPr>
            <w:tcW w:w="108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-1885315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201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9"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Fleet impairment primarily includes a $676 million non-cash write-down of aircraft and spare parts and $68 million in write-offs of right-of-use (ROU) assets and lease return costs associated with our mainline fleet, principally Boeing 757, Boeing 767, Airbus A330-300 and Embraer 190 aircraft, which are being retired earlier than previously planned as a result of the decline in demand for air travel due to COVID-19. See Note 13 to AAG’s Condensed Consolidated Financial Statements in Part I, Item 1A for further information related to these charges.</w:t>
      </w:r>
    </w:p>
    <w:p>
      <w:pPr>
        <w:spacing w:after="0" w:line="165"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Transport Workers Union and International Association of Machinists &amp; Aerospace Workers (the TWU-IAM Association) for our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a voluntary early retirement program offered as a result of reductions to our operation due to COVID-19.</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1"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46"/>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primarily includes an $88 million non-cash write-down of regional aircraft, principally certain Embraer 140 and certain Bombardier CRJ200 aircraft, which are being retired earlier than previously planned as a result of the decline in demand for air travel due to COVID-19. See Note 13 to AAG’s Condensed Consolidated Financial Statements in Part I, Item 1A for further information related to this charge.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4" w:name="page55"/>
    <w:bookmarkEnd w:id="54"/>
    <w:p>
      <w:pPr>
        <w:ind w:left="3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52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gridSpan w:val="3"/>
          </w:tcPr>
          <w:p>
            <w:pPr>
              <w:jc w:val="center"/>
              <w:ind w:right="319"/>
              <w:spacing w:after="0" w:line="148"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14</w:t>
            </w:r>
          </w:p>
        </w:tc>
        <w:tc>
          <w:tcPr>
            <w:tcW w:w="14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-856615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-856615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-856615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the first quarter of 2020 , other nonoperating expense, net included $180 million of net special charges principally for mark-to-market unrealized losses primarily associated with our equity investment in China Southern Airlines Company Limited (China Southern Airlines) and certain treasury rate lock derivative instruments, offset in part by $108 million of non-service related pension and other postretirement benefit plan income.</w:t>
      </w:r>
    </w:p>
    <w:p>
      <w:pPr>
        <w:spacing w:after="0" w:line="15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first quarter of 2019 , other nonoperating income, net included $69 million of net special credits principally for mark-to-market unrealized gains primarily associated with our equity investment in China Southern Airlines and $46 million of non-service related pension and other postretirement benefit plan income.</w:t>
      </w:r>
    </w:p>
    <w:p>
      <w:pPr>
        <w:spacing w:after="0" w:line="14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first quarter of 2020 as compared to the first quarter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the first quarter of 2020 , we recorded an income tax benefit of $649 million . Substantially all of our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7 to AAG’s Condensed Consolidated Financial Statements in Part I, Item 1A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vMerge w:val="restart"/>
          </w:tcPr>
          <w:p>
            <w:pPr>
              <w:jc w:val="center"/>
              <w:ind w:left="3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gridSpan w:val="5"/>
          </w:tcPr>
          <w:p>
            <w:pPr>
              <w:jc w:val="center"/>
              <w:ind w:right="400"/>
              <w:spacing w:after="0" w:line="148"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6"/>
              <w:spacing w:after="0" w:line="135"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7,681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9,658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22"/>
                <w:szCs w:val="22"/>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56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0"/>
        </w:trPr>
        <w:tc>
          <w:tcPr>
            <w:tcW w:w="51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8,514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10,581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w:t>
            </w:r>
          </w:p>
        </w:tc>
        <w:tc>
          <w:tcPr>
            <w:tcW w:w="15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-856615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-856615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-856615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Passenger revenue decrease d $2.0 billion , or 20.5 %, in the first quarter of 2020 from the first quarter of 2019 primarily due to a decline in passenger demand and U.S. government travel restrictions related to COVID-19 resulting in a quarter-over-quarter decrease in RPMs and passenger load factor.</w:t>
      </w:r>
    </w:p>
    <w:p>
      <w:pPr>
        <w:spacing w:after="0" w:line="14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Cargo revenue decrease d $71 million , or 32.7 %, in the first quarter of 2020 from the first quarter of 2019 primarily due to a decrease in cargo ton miles reflecting declines in freight volumes, principally as a result of international schedule reductions.</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Total operating revenues in the first quarter of 2020 decrease d $2.1 billion , or 19.5 %, from the first quarter of 2019 , driven principally by a 20.5% decrease in passenger revenue as described above.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55" w:name="page56"/>
    <w:bookmarkEnd w:id="55"/>
    <w:p>
      <w:pPr>
        <w:ind w:left="22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6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40" w:type="dxa"/>
            <w:vAlign w:val="bottom"/>
            <w:gridSpan w:val="5"/>
          </w:tcPr>
          <w:p>
            <w:pPr>
              <w:jc w:val="center"/>
              <w:ind w:right="400"/>
              <w:spacing w:after="0" w:line="148"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vMerge w:val="restart"/>
          </w:tcPr>
          <w:p>
            <w:pPr>
              <w:jc w:val="right"/>
              <w:ind w:right="353"/>
              <w:spacing w:after="0" w:line="135" w:lineRule="exact"/>
              <w:rPr>
                <w:sz w:val="20"/>
                <w:szCs w:val="20"/>
                <w:color w:val="auto"/>
              </w:rPr>
            </w:pPr>
            <w:r>
              <w:rPr>
                <w:rFonts w:ascii="Arial" w:cs="Arial" w:eastAsia="Arial" w:hAnsi="Arial"/>
                <w:sz w:val="14"/>
                <w:szCs w:val="14"/>
                <w:b w:val="1"/>
                <w:bCs w:val="1"/>
                <w:color w:val="auto"/>
              </w:rPr>
              <w:t>Increase</w:t>
            </w:r>
          </w:p>
        </w:tc>
        <w:tc>
          <w:tcPr>
            <w:tcW w:w="1560" w:type="dxa"/>
            <w:vAlign w:val="bottom"/>
            <w:vMerge w:val="restart"/>
          </w:tcPr>
          <w:p>
            <w:pPr>
              <w:jc w:val="center"/>
              <w:ind w:left="14"/>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(Decrease)</w:t>
            </w:r>
          </w:p>
        </w:tc>
        <w:tc>
          <w:tcPr>
            <w:tcW w:w="15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1,726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49</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Other rent and landing fees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5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994</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Regional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134</w:t>
            </w:r>
          </w:p>
        </w:tc>
        <w:tc>
          <w:tcPr>
            <w:tcW w:w="15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10,236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814</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-2399665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-2399665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-2399665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operating expenses increase d $814 million , or 8.0 %, in the first quarter of 2020 from the first quarter of 2019 .</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Significant changes in the components of American's total operating expenses are as follows:</w:t>
      </w:r>
    </w:p>
    <w:p>
      <w:pPr>
        <w:spacing w:after="0" w:line="171" w:lineRule="exact"/>
        <w:rPr>
          <w:sz w:val="20"/>
          <w:szCs w:val="20"/>
          <w:color w:val="auto"/>
        </w:rPr>
      </w:pPr>
    </w:p>
    <w:p>
      <w:pPr>
        <w:jc w:val="both"/>
        <w:ind w:left="580" w:hanging="329"/>
        <w:spacing w:after="0" w:line="256"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Mainline aircraft fuel and related taxes decrease d 19.2% in the first quarter of 2020 as compared to the first quarter of 2019 due to a 10.5 % decrease in gallons consumed and a 9.7 % decrease in the average price per gallon of fuel including related taxes to $ 1.83 in the first quarter of 2020 from $ 2.02 in the first quarter of 2019 .</w:t>
      </w:r>
    </w:p>
    <w:p>
      <w:pPr>
        <w:spacing w:after="0" w:line="147" w:lineRule="exact"/>
        <w:rPr>
          <w:rFonts w:ascii="Arial" w:cs="Arial" w:eastAsia="Arial" w:hAnsi="Arial"/>
          <w:sz w:val="18"/>
          <w:szCs w:val="18"/>
          <w:color w:val="auto"/>
        </w:rPr>
      </w:pPr>
    </w:p>
    <w:p>
      <w:pPr>
        <w:ind w:left="580" w:hanging="329"/>
        <w:spacing w:after="0" w:line="261"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Maintenance, materials and repairs increased 12.1 % in the first quarter of 2020 as compared to the first quarter of 2019 , primarily due to an increase in the volume of aircraft engine and component part repairs in the first quarter of 2020 .</w:t>
      </w:r>
    </w:p>
    <w:p>
      <w:pPr>
        <w:spacing w:after="0" w:line="143" w:lineRule="exact"/>
        <w:rPr>
          <w:rFonts w:ascii="Arial" w:cs="Arial" w:eastAsia="Arial" w:hAnsi="Arial"/>
          <w:sz w:val="18"/>
          <w:szCs w:val="18"/>
          <w:color w:val="auto"/>
        </w:rPr>
      </w:pPr>
    </w:p>
    <w:p>
      <w:pPr>
        <w:ind w:left="580" w:hanging="329"/>
        <w:spacing w:after="0" w:line="261"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expenses decreased 17.7 % in the first quarter of 2020 as compared to the first quarter of 2019 primarily due to lower commission expense and credit card fees driven by the overall decrease in revenues.</w:t>
      </w:r>
    </w:p>
    <w:p>
      <w:pPr>
        <w:spacing w:after="0" w:line="143" w:lineRule="exact"/>
        <w:rPr>
          <w:rFonts w:ascii="Arial" w:cs="Arial" w:eastAsia="Arial" w:hAnsi="Arial"/>
          <w:sz w:val="18"/>
          <w:szCs w:val="18"/>
          <w:color w:val="auto"/>
        </w:rPr>
      </w:pPr>
    </w:p>
    <w:p>
      <w:pPr>
        <w:jc w:val="both"/>
        <w:ind w:left="580" w:hanging="329"/>
        <w:spacing w:after="0" w:line="256"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Depreciation and amortization increased 16.7 % in the first quarter of 2020 as compared to the first quarter of 2019 due in part to accelerated depreciation for certain aircraft and related equipment expected to be retired earlier than planned. Depreciation associated with facility improvements also contributed to the increase.</w:t>
      </w:r>
    </w:p>
    <w:p>
      <w:pPr>
        <w:spacing w:after="0" w:line="147" w:lineRule="exact"/>
        <w:rPr>
          <w:rFonts w:ascii="Arial" w:cs="Arial" w:eastAsia="Arial" w:hAnsi="Arial"/>
          <w:sz w:val="18"/>
          <w:szCs w:val="18"/>
          <w:color w:val="auto"/>
        </w:rPr>
      </w:pPr>
    </w:p>
    <w:p>
      <w:pPr>
        <w:jc w:val="both"/>
        <w:ind w:left="580" w:hanging="329"/>
        <w:spacing w:after="0" w:line="254"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Regional aircraft fuel and related taxes decrease d 8.1% in the first quarter of 2020 as compared to the first quarter of 2019 primarily due to a 12.1 % decrease in the average price per gallon of fuel including related taxes to $1.86 in the first quarter of 2020 from $2.12 in the first quarter of 2019 . This decrease was offset in part by a 4.5 % increase in gallons of fuel consumed, principally due to increased regional capacity.</w:t>
      </w:r>
    </w:p>
    <w:p>
      <w:pPr>
        <w:spacing w:after="0" w:line="149" w:lineRule="exact"/>
        <w:rPr>
          <w:rFonts w:ascii="Arial" w:cs="Arial" w:eastAsia="Arial" w:hAnsi="Arial"/>
          <w:sz w:val="18"/>
          <w:szCs w:val="18"/>
          <w:color w:val="auto"/>
        </w:rPr>
      </w:pPr>
    </w:p>
    <w:p>
      <w:pPr>
        <w:ind w:left="580" w:hanging="329"/>
        <w:spacing w:after="0" w:line="261"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Regional other operating expenses increased 9.8 % in the first quarter of 2020 as compared to the first quarter of 2019 primarily driven by an increase in regional capacity and $93 million of regional operating net special items described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ind w:left="22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64"/>
        </w:trPr>
        <w:tc>
          <w:tcPr>
            <w:tcW w:w="772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r>
      <w:tr>
        <w:trPr>
          <w:trHeight w:val="209"/>
        </w:trPr>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00" w:type="dxa"/>
            <w:vAlign w:val="bottom"/>
            <w:gridSpan w:val="3"/>
          </w:tcPr>
          <w:p>
            <w:pPr>
              <w:jc w:val="right"/>
              <w:ind w:right="716"/>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8"/>
                <w:szCs w:val="18"/>
                <w:color w:val="auto"/>
              </w:rPr>
            </w:pPr>
          </w:p>
        </w:tc>
      </w:tr>
      <w:tr>
        <w:trPr>
          <w:trHeight w:val="276"/>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1"/>
                <w:szCs w:val="21"/>
                <w:color w:val="auto"/>
                <w:vertAlign w:val="superscript"/>
              </w:rPr>
              <w:t>(1)</w:t>
            </w:r>
          </w:p>
        </w:tc>
        <w:tc>
          <w:tcPr>
            <w:tcW w:w="10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1"/>
                <w:szCs w:val="21"/>
                <w:color w:val="auto"/>
                <w:vertAlign w:val="superscript"/>
              </w:rPr>
              <w:t>(2)</w:t>
            </w:r>
          </w:p>
        </w:tc>
        <w:tc>
          <w:tcPr>
            <w:tcW w:w="108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tcPr>
          <w:p>
            <w:pPr>
              <w:ind w:left="40"/>
              <w:spacing w:after="0"/>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1"/>
                <w:szCs w:val="21"/>
                <w:color w:val="auto"/>
                <w:vertAlign w:val="superscript"/>
              </w:rPr>
              <w:t>(4)</w:t>
            </w:r>
          </w:p>
        </w:tc>
        <w:tc>
          <w:tcPr>
            <w:tcW w:w="10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Fleet restructuring expenses </w:t>
            </w:r>
            <w:r>
              <w:rPr>
                <w:rFonts w:ascii="Arial" w:cs="Arial" w:eastAsia="Arial" w:hAnsi="Arial"/>
                <w:sz w:val="21"/>
                <w:szCs w:val="21"/>
                <w:color w:val="auto"/>
                <w:vertAlign w:val="superscript"/>
              </w:rPr>
              <w:t>(5)</w:t>
            </w:r>
          </w:p>
        </w:tc>
        <w:tc>
          <w:tcPr>
            <w:tcW w:w="10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63"/>
        </w:trPr>
        <w:tc>
          <w:tcPr>
            <w:tcW w:w="7720" w:type="dxa"/>
            <w:vAlign w:val="bottom"/>
          </w:tcPr>
          <w:p>
            <w:pPr>
              <w:ind w:left="40"/>
              <w:spacing w:after="0"/>
              <w:rPr>
                <w:sz w:val="20"/>
                <w:szCs w:val="20"/>
                <w:color w:val="auto"/>
              </w:rPr>
            </w:pPr>
            <w:r>
              <w:rPr>
                <w:rFonts w:ascii="Arial" w:cs="Arial" w:eastAsia="Arial" w:hAnsi="Arial"/>
                <w:sz w:val="18"/>
                <w:szCs w:val="18"/>
                <w:color w:val="auto"/>
              </w:rPr>
              <w:t>Merger integration expenses</w:t>
            </w:r>
          </w:p>
        </w:tc>
        <w:tc>
          <w:tcPr>
            <w:tcW w:w="108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0"/>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operating charges, net</w:t>
            </w:r>
          </w:p>
        </w:tc>
        <w:tc>
          <w:tcPr>
            <w:tcW w:w="10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7720" w:type="dxa"/>
            <w:vAlign w:val="bottom"/>
          </w:tcPr>
          <w:p>
            <w:pPr>
              <w:ind w:left="180"/>
              <w:spacing w:after="0"/>
              <w:rPr>
                <w:sz w:val="20"/>
                <w:szCs w:val="20"/>
                <w:color w:val="auto"/>
              </w:rPr>
            </w:pPr>
            <w:r>
              <w:rPr>
                <w:rFonts w:ascii="Arial" w:cs="Arial" w:eastAsia="Arial" w:hAnsi="Arial"/>
                <w:sz w:val="18"/>
                <w:szCs w:val="18"/>
                <w:color w:val="auto"/>
              </w:rPr>
              <w:t>Mainline operating special items, net</w:t>
            </w:r>
          </w:p>
        </w:tc>
        <w:tc>
          <w:tcPr>
            <w:tcW w:w="108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Regional operating special items, net </w:t>
            </w:r>
            <w:r>
              <w:rPr>
                <w:rFonts w:ascii="Arial" w:cs="Arial" w:eastAsia="Arial" w:hAnsi="Arial"/>
                <w:sz w:val="21"/>
                <w:szCs w:val="21"/>
                <w:color w:val="auto"/>
                <w:vertAlign w:val="superscript"/>
              </w:rPr>
              <w:t>(6)</w:t>
            </w:r>
          </w:p>
        </w:tc>
        <w:tc>
          <w:tcPr>
            <w:tcW w:w="10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720" w:type="dxa"/>
            <w:vAlign w:val="bottom"/>
          </w:tcPr>
          <w:p>
            <w:pPr>
              <w:ind w:left="280"/>
              <w:spacing w:after="0"/>
              <w:rPr>
                <w:sz w:val="20"/>
                <w:szCs w:val="20"/>
                <w:color w:val="auto"/>
              </w:rPr>
            </w:pPr>
            <w:r>
              <w:rPr>
                <w:rFonts w:ascii="Arial" w:cs="Arial" w:eastAsia="Arial" w:hAnsi="Arial"/>
                <w:sz w:val="18"/>
                <w:szCs w:val="18"/>
                <w:color w:val="auto"/>
              </w:rPr>
              <w:t>Total operating special items, net</w:t>
            </w:r>
          </w:p>
        </w:tc>
        <w:tc>
          <w:tcPr>
            <w:tcW w:w="108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right"/>
              <w:ind w:right="9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r>
      <w:tr>
        <w:trPr>
          <w:trHeight w:val="20"/>
        </w:trPr>
        <w:tc>
          <w:tcPr>
            <w:tcW w:w="7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-1885315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3201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330" w:lineRule="exact"/>
        <w:rPr>
          <w:sz w:val="20"/>
          <w:szCs w:val="20"/>
          <w:color w:val="auto"/>
        </w:rPr>
      </w:pPr>
    </w:p>
    <w:p>
      <w:pPr>
        <w:jc w:val="both"/>
        <w:ind w:left="500" w:hanging="330"/>
        <w:spacing w:after="0" w:line="239"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Fleet impairment primarily includes a $676 million non-cash write-down of aircraft and spare parts and $68 million in write-offs of ROU assets and lease return costs associated with American's mainline fleet, principally Boeing 757, Boeing 767, Airbus A330-300 and Embraer 190 aircraft, which are being retired earlier than previously planned as a result of the decline in demand for air travel due to COVID-19. See Note 12 to American’s Condensed Consolidated Financial Statements in Part I, Item 1B for further information related to these charges.</w:t>
      </w:r>
    </w:p>
    <w:p>
      <w:pPr>
        <w:spacing w:after="0" w:line="165" w:lineRule="exact"/>
        <w:rPr>
          <w:rFonts w:ascii="Arial" w:cs="Arial" w:eastAsia="Arial" w:hAnsi="Arial"/>
          <w:sz w:val="22"/>
          <w:szCs w:val="22"/>
          <w:color w:val="auto"/>
          <w:vertAlign w:val="superscript"/>
        </w:rPr>
      </w:pPr>
    </w:p>
    <w:p>
      <w:pPr>
        <w:jc w:val="both"/>
        <w:ind w:left="500" w:hanging="330"/>
        <w:spacing w:after="0" w:line="233"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Labor contract expenses primarily relate to one-time charges resulting from the ratification of a new contract with the TWU-IAM Association for American's maintenance and fleet service team members, including signing bonuses and adjustments to vacation accruals resulting from pay rate increases.</w:t>
      </w:r>
    </w:p>
    <w:p>
      <w:pPr>
        <w:spacing w:after="0" w:line="162"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Severance expenses principally include salary and medical costs associated with certain team members who opted in to a voluntary early retirement program offered as a result of reductions to American's operation due to COVID-19.</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1"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Fleet restructuring expenses principally included accelerated depreciation and rent expense for aircraft and related equipment expected to be retired earlier than planned.</w:t>
      </w:r>
    </w:p>
    <w:p>
      <w:pPr>
        <w:spacing w:after="0" w:line="162"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8"/>
          <w:szCs w:val="18"/>
          <w:color w:val="auto"/>
        </w:rPr>
        <w:t>Regional operating special items, net primarily includes an $88 million non-cash write-down of regional aircraft, principally certain Embraer 140 and certain Bombardier CRJ200 aircraft, which are being retired earlier than previously planned as a result of the decline in demand for air travel due to COVID-19. See Note 12 to American’s Condensed Consolidated Financial Statements in Part I, Item 1B for further information related to this charge.</w:t>
      </w:r>
    </w:p>
    <w:p>
      <w:pPr>
        <w:spacing w:after="0" w:line="226"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52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gridSpan w:val="3"/>
          </w:tcPr>
          <w:p>
            <w:pPr>
              <w:jc w:val="center"/>
              <w:ind w:right="319"/>
              <w:spacing w:after="0" w:line="148" w:lineRule="exact"/>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right"/>
              <w:ind w:right="316"/>
              <w:spacing w:after="0" w:line="135" w:lineRule="exact"/>
              <w:rPr>
                <w:sz w:val="20"/>
                <w:szCs w:val="20"/>
                <w:color w:val="auto"/>
              </w:rPr>
            </w:pPr>
            <w:r>
              <w:rPr>
                <w:rFonts w:ascii="Arial" w:cs="Arial" w:eastAsia="Arial" w:hAnsi="Arial"/>
                <w:sz w:val="14"/>
                <w:szCs w:val="14"/>
                <w:b w:val="1"/>
                <w:bCs w:val="1"/>
                <w:color w:val="auto"/>
              </w:rPr>
              <w:t>Increase</w:t>
            </w:r>
          </w:p>
        </w:tc>
        <w:tc>
          <w:tcPr>
            <w:tcW w:w="1440" w:type="dxa"/>
            <w:vAlign w:val="bottom"/>
            <w:vMerge w:val="restart"/>
          </w:tcPr>
          <w:p>
            <w:pPr>
              <w:jc w:val="center"/>
              <w:ind w:left="18"/>
              <w:spacing w:after="0" w:line="13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61"/>
        </w:trPr>
        <w:tc>
          <w:tcPr>
            <w:tcW w:w="528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(Decrease)</w:t>
            </w:r>
          </w:p>
        </w:tc>
        <w:tc>
          <w:tcPr>
            <w:tcW w:w="144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 except percentage changes)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3"/>
        </w:trPr>
        <w:tc>
          <w:tcPr>
            <w:tcW w:w="52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17</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-856615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-856615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-856615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the first quarter of 2020 , other nonoperating expense, net included $180 million of net special charges principally for mark-to-market unrealized losses primarily associated with American's equity investment in China Southern Airlines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7" w:name="page58"/>
    <w:bookmarkEnd w:id="57"/>
    <w:p>
      <w:pPr>
        <w:jc w:val="both"/>
        <w:spacing w:after="0" w:line="261" w:lineRule="auto"/>
        <w:rPr>
          <w:sz w:val="20"/>
          <w:szCs w:val="20"/>
          <w:color w:val="auto"/>
        </w:rPr>
      </w:pPr>
      <w:r>
        <w:rPr>
          <w:rFonts w:ascii="Arial" w:cs="Arial" w:eastAsia="Arial" w:hAnsi="Arial"/>
          <w:sz w:val="18"/>
          <w:szCs w:val="18"/>
          <w:color w:val="auto"/>
        </w:rPr>
        <w:t>certain treasury rate lock derivative instruments, offset in part by $108 million of non-service related pension and other postretirement benefit plan income.</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In the first quarter of 2019 , other nonoperating income, net included $69 million of net special credits principally for mark-to-market unrealized gains primarily associated with American's equity investment in China Southern Airlines and $46 million of non-service related pension and other postretirement benefit plan income.</w:t>
      </w:r>
    </w:p>
    <w:p>
      <w:pPr>
        <w:spacing w:after="0" w:line="14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The increase in non-service related pension and other postretirement benefit plan income in the first quarter of 2020 as compared to the first quarter of 2019 is principally due to an increase in the expected return on pension plan assets.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 is part of the AAG consolidated income tax return.</w:t>
      </w:r>
    </w:p>
    <w:p>
      <w:pPr>
        <w:spacing w:after="0" w:line="17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the first quarter of 2020 , American recorded an income tax benefit of $628 million . Substantially all of American’s income or loss before income taxes is attributable to the United States.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As of March 31, 2020 , AAG had approximately $6.8 billion in total available liquidity and $157 million in restricted cash and short-term investments. Additional detail regarding our available liquidity is provided in the table below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AAG</w:t>
            </w:r>
          </w:p>
        </w:tc>
        <w:tc>
          <w:tcPr>
            <w:tcW w:w="1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1334"/>
              <w:spacing w:after="0"/>
              <w:rPr>
                <w:sz w:val="20"/>
                <w:szCs w:val="20"/>
                <w:color w:val="auto"/>
              </w:rPr>
            </w:pPr>
            <w:r>
              <w:rPr>
                <w:rFonts w:ascii="Arial" w:cs="Arial" w:eastAsia="Arial" w:hAnsi="Arial"/>
                <w:sz w:val="14"/>
                <w:szCs w:val="14"/>
                <w:b w:val="1"/>
                <w:bCs w:val="1"/>
                <w:color w:val="auto"/>
              </w:rPr>
              <w:t>American</w:t>
            </w:r>
          </w:p>
        </w:tc>
      </w:tr>
      <w:tr>
        <w:trPr>
          <w:trHeight w:val="263"/>
        </w:trPr>
        <w:tc>
          <w:tcPr>
            <w:tcW w:w="4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3,543</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Undrawn revolving credit facilities</w:t>
            </w: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3,243</w:t>
            </w: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Total available liquidity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6,819</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6,807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7,053</w:t>
            </w: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Given the actions we have taken in response to COVID-19 and our assumptions about its future impact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funds from government assistance to be provided pursuant to the CARES Act) and projected cash flows from operations .</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 and Cash Dividends</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During the three months ended March 31, 2020 , we repurchased 6.4 million shares of AAG common stock for $145 million at a weighted average cost per share of $22.77 .</w:t>
      </w:r>
    </w:p>
    <w:p>
      <w:pPr>
        <w:spacing w:after="0" w:line="144"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January 2020 , our Board of Directors declared a cash dividend of $0.10 per share for stockholders of record as of February 5, 2020 and paid on February 19, 2020 , totaling $43 million .</w:t>
      </w:r>
    </w:p>
    <w:p>
      <w:pPr>
        <w:spacing w:after="0" w:line="14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suspended our capital return program, including share repurchases and the payment of future dividends. In connection with our receipt of financial support under the Payroll Support Program, we agreed not to repurchase shares of or make dividend payments in respect of AAG common stock through September 30, 2021. If we receive a secured loan from Treasury pursuant to the CARES Act, we will be prohibited from repurchasing shares of AAG common stock through the date that is one year after such secured loan is fully repaid.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Certain of our debt financing agreements (including our term loans, revolving credit facilities and spare engine EETCs) contain loan to value ratio covenants and require us to appraise the related collateral annually. Pursuant to such agreements, if the loan to value ratio exceeds a specified threshold or the value of the appraised collateral fails to meet a specified threshold, as the case may be, we are required, as applicable, to pledge additional qualifying collateral (which in some cases may include cash or investment securities), or pay down such financing, in whole or in part. As of the most recent applicable measurement dates, we were in compliance with each of the foregoing collateral coverage tests. Additionally, certain of our debt financing agreements contain covenants requiring us to maintain an aggregate of at least $2.0 billion of unrestricted cash and cash equivalents and amounts available to be drawn under revolving credit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AAG</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net cash used in operating activities was $ 168 million for the first quarter of 2020 as compared to net cash provided by operating activities of $ 1.7 billion for the first quarter of 2019 . The $1.8 billion quarter-over-quarter decrease in operating cash flows was primarily due to a net loss in the first quarter of 2020 driven by lower revenues as a result of declining passenger demand and U.S. government travel restrictions related to COVID-19.</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net cash used in investing activities was $162 million and $480 million for the first quarter of 2020 and 2019 ,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investing activities in the first quarter of 2020 included expenditures of $845 million for property and equipment, including five Airbus 321neo aircraft, three Embraer 175 aircraft and three Bombardier CRJ900 aircraft. These cash outflows were offset in part by $417 million in net sales of short-term investments and $280 million of proceeds from aircraft sale-leaseback transactions.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principal investing activities in the first quarter of 2019 included expenditures of $1.3 billion for property and equipment, including seven Embraer 175 aircraft, four Boeing 737 MAX aircraft, two Boeing 787 Family aircraft and two Airbus 321neo aircraft. These cash outflows were offset in part by $481 million in net sales of short-term investments and $352 million of proceeds from aircraft sale-leaseback transactions.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Our net cash provided by financing activities was $526 million for the first quarter of 2020 as compared to net cash used in financing activities of $1.1 billion for the first quarter of 2019 .</w:t>
      </w:r>
    </w:p>
    <w:p>
      <w:pPr>
        <w:spacing w:after="0" w:line="14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principal financing activities in the first quarter of 2020 included $1.7 billion in proceeds from the issuance of debt, including $1.0 billion provided under the senior secured delayed draw term loan credit facility, $500 million aggregate principal amount of 3.75% senior notes and $ 197 million in other aircraft financings. These cash inflows were offset in part by $ 926 million primarily in scheduled debt repayments, including repayment of $500 million of 4.625% senior notes, $171 million in share repurchases and $43 million in dividend payments.</w:t>
      </w:r>
    </w:p>
    <w:p>
      <w:pPr>
        <w:spacing w:after="0" w:line="15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principal financing activities in the first quarter of 2019 included $849 million in scheduled debt repayments, $608 million in share repurchases and $46 million in dividend payments. These cash outflows were offset in part by $400 million in proceeds from the issuance of debt for the financing of certain aircraft.</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American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Activities</w:t>
      </w:r>
    </w:p>
    <w:p>
      <w:pPr>
        <w:spacing w:after="0" w:line="10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net cash used in operating activities was $401 million for the first quarter of 2020 as compared to net cash provided by operating activities of $956 million for the first quarter of 2019 . The $1.4 billion quarter-over-quarter decrease in operating cash flows was primarily due to a net loss in the first quarter of 2020 driven by lower revenues as a result of declining passenger demand and U.S. government travel restrictions related to COVID-19.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ind w:left="220"/>
        <w:spacing w:after="0"/>
        <w:rPr>
          <w:sz w:val="20"/>
          <w:szCs w:val="20"/>
          <w:color w:val="auto"/>
        </w:rPr>
      </w:pPr>
      <w:r>
        <w:rPr>
          <w:rFonts w:ascii="Arial" w:cs="Arial" w:eastAsia="Arial" w:hAnsi="Arial"/>
          <w:sz w:val="18"/>
          <w:szCs w:val="18"/>
          <w:i w:val="1"/>
          <w:iCs w:val="1"/>
          <w:color w:val="auto"/>
        </w:rPr>
        <w:t>Investing Activities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American’s net cash used in investing activities was $147 million and $438 million for the first quarter of 2020 and 2019 , respectively.</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investing activities in the first quarter of 2020 included expenditures of $829 million for property and equipment, including five Airbus 321neo aircraft, three Embraer 175 aircraft and three Bombardier CRJ900 aircraft. These cash outflows were offset in part by $417 million in net sales of short-term investments and $280 million of proceeds from aircraft sale-leaseback transactions.</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American’s principal investing activities in the first quarter of 2019 included expenditures of $1.3 billion for property and equipment, including seven Embraer 175 aircraft, four Boeing 737 MAX aircraft, two Boeing 787 Family aircraft and two Airbus 321neo aircraft. These cash outflows were offset in part by $481 million in net sales of short-term investments and $352 million of proceeds from aircraft sale-leaseback transactions.</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Financing Activities</w:t>
      </w:r>
    </w:p>
    <w:p>
      <w:pPr>
        <w:spacing w:after="0" w:line="10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American’s net cash provided by financing activities was $747 million for the first quarter of 2020 as compared to net cash used in financing activities of $455 million for the first quarter of 2019 .</w:t>
      </w:r>
    </w:p>
    <w:p>
      <w:pPr>
        <w:spacing w:after="0" w:line="14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American’s principal financing activities in the first quarter of 2020 included $1.2 billion in proceeds from the issuance of debt, including $1.0 billion provided under the senior secured delayed draw term loan credit facility and $197 million in other aircraft financings, offset in part by $426 million primarily in scheduled debt repayments.</w:t>
      </w:r>
    </w:p>
    <w:p>
      <w:pPr>
        <w:spacing w:after="0" w:line="148"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American’s principal financing activities in the first quarter of 2019 included $849 million in scheduled debt repayments. These cash outflows were offset in part by $400 million in proceeds from the issuance of debt for the financing of certain aircraft.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As of March 31, 2020 , AAG had $24.7 billion in long-term debt, including current maturities of $3.4 billion . As of March 31, 2020 , American had $23.4 billion in long-term debt, including current maturities of $3.4 billion . During the three months ended March 31, 2020 , there have been no material changes in our significant indebtedness as discussed in our 2019 Form 10-K, except as discussed in Note 6 to AAG’s Condensed Consolidated Financial Statements in Part I, Item 1A and Note 4 to American’s Condensed Consolidated Financial Statements in Part I, Item 1B.</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2" w:lineRule="exact"/>
        <w:rPr>
          <w:sz w:val="20"/>
          <w:szCs w:val="20"/>
          <w:color w:val="auto"/>
        </w:rPr>
      </w:pPr>
    </w:p>
    <w:p>
      <w:pPr>
        <w:jc w:val="both"/>
        <w:ind w:firstLine="216"/>
        <w:spacing w:after="0" w:line="281" w:lineRule="auto"/>
        <w:rPr>
          <w:sz w:val="20"/>
          <w:szCs w:val="20"/>
          <w:color w:val="auto"/>
        </w:rPr>
      </w:pPr>
      <w:r>
        <w:rPr>
          <w:rFonts w:ascii="Arial" w:cs="Arial" w:eastAsia="Arial" w:hAnsi="Arial"/>
          <w:sz w:val="18"/>
          <w:szCs w:val="18"/>
          <w:color w:val="auto"/>
        </w:rPr>
        <w:t xml:space="preserve">As of March 31, 2020 , we had definitive purchase agreements with Airbus, Boeing and Embraer for the acquisition of the following mainline and regional aircraft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Remainder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2025 and</w:t>
            </w:r>
          </w:p>
        </w:tc>
        <w:tc>
          <w:tcPr>
            <w:tcW w:w="100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of 2020</w:t>
            </w:r>
          </w:p>
        </w:tc>
        <w:tc>
          <w:tcPr>
            <w:tcW w:w="1020" w:type="dxa"/>
            <w:vAlign w:val="bottom"/>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tcPr>
          <w:p>
            <w:pPr>
              <w:jc w:val="right"/>
              <w:ind w:right="253"/>
              <w:spacing w:after="0"/>
              <w:rPr>
                <w:sz w:val="20"/>
                <w:szCs w:val="20"/>
                <w:color w:val="auto"/>
              </w:rPr>
            </w:pPr>
            <w:r>
              <w:rPr>
                <w:rFonts w:ascii="Arial" w:cs="Arial" w:eastAsia="Arial" w:hAnsi="Arial"/>
                <w:sz w:val="14"/>
                <w:szCs w:val="14"/>
                <w:b w:val="1"/>
                <w:bCs w:val="1"/>
                <w:color w:val="auto"/>
              </w:rPr>
              <w:t>Total</w:t>
            </w:r>
          </w:p>
        </w:tc>
      </w:tr>
      <w:tr>
        <w:trPr>
          <w:trHeight w:val="188"/>
        </w:trPr>
        <w:tc>
          <w:tcPr>
            <w:tcW w:w="4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Airbus</w:t>
            </w:r>
          </w:p>
        </w:tc>
        <w:tc>
          <w:tcPr>
            <w:tcW w:w="12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r>
      <w:tr>
        <w:trPr>
          <w:trHeight w:val="270"/>
        </w:trPr>
        <w:tc>
          <w:tcPr>
            <w:tcW w:w="40" w:type="dxa"/>
            <w:vAlign w:val="bottom"/>
          </w:tcPr>
          <w:p>
            <w:pPr>
              <w:spacing w:after="0"/>
              <w:rPr>
                <w:sz w:val="23"/>
                <w:szCs w:val="23"/>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 xml:space="preserve">A320 Family </w:t>
            </w:r>
            <w:r>
              <w:rPr>
                <w:rFonts w:ascii="Arial" w:cs="Arial" w:eastAsia="Arial" w:hAnsi="Arial"/>
                <w:sz w:val="21"/>
                <w:szCs w:val="21"/>
                <w:color w:val="auto"/>
                <w:vertAlign w:val="superscript"/>
              </w:rPr>
              <w:t>(2)</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103</w:t>
            </w:r>
          </w:p>
        </w:tc>
      </w:tr>
      <w:tr>
        <w:trPr>
          <w:trHeight w:val="203"/>
        </w:trPr>
        <w:tc>
          <w:tcPr>
            <w:tcW w:w="40" w:type="dxa"/>
            <w:vAlign w:val="bottom"/>
            <w:shd w:val="clear" w:color="auto" w:fill="CCEEFF"/>
          </w:tcPr>
          <w:p>
            <w:pPr>
              <w:spacing w:after="0"/>
              <w:rPr>
                <w:sz w:val="17"/>
                <w:szCs w:val="17"/>
                <w:color w:val="auto"/>
              </w:rPr>
            </w:pPr>
          </w:p>
        </w:tc>
        <w:tc>
          <w:tcPr>
            <w:tcW w:w="31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Boeing</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70"/>
        </w:trPr>
        <w:tc>
          <w:tcPr>
            <w:tcW w:w="40" w:type="dxa"/>
            <w:vAlign w:val="bottom"/>
          </w:tcPr>
          <w:p>
            <w:pPr>
              <w:spacing w:after="0"/>
              <w:rPr>
                <w:sz w:val="23"/>
                <w:szCs w:val="23"/>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 xml:space="preserve">737 MAX Family </w:t>
            </w:r>
            <w:r>
              <w:rPr>
                <w:rFonts w:ascii="Arial" w:cs="Arial" w:eastAsia="Arial" w:hAnsi="Arial"/>
                <w:sz w:val="21"/>
                <w:szCs w:val="21"/>
                <w:color w:val="auto"/>
                <w:vertAlign w:val="superscript"/>
              </w:rPr>
              <w:t>(3)</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76</w:t>
            </w:r>
          </w:p>
        </w:tc>
      </w:tr>
      <w:tr>
        <w:trPr>
          <w:trHeight w:val="270"/>
        </w:trPr>
        <w:tc>
          <w:tcPr>
            <w:tcW w:w="40" w:type="dxa"/>
            <w:vAlign w:val="bottom"/>
            <w:shd w:val="clear" w:color="auto" w:fill="CCEEFF"/>
          </w:tcPr>
          <w:p>
            <w:pPr>
              <w:spacing w:after="0"/>
              <w:rPr>
                <w:sz w:val="23"/>
                <w:szCs w:val="23"/>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787 Family</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r>
      <w:tr>
        <w:trPr>
          <w:trHeight w:val="202"/>
        </w:trPr>
        <w:tc>
          <w:tcPr>
            <w:tcW w:w="40" w:type="dxa"/>
            <w:vAlign w:val="bottom"/>
          </w:tcPr>
          <w:p>
            <w:pPr>
              <w:spacing w:after="0"/>
              <w:rPr>
                <w:sz w:val="17"/>
                <w:szCs w:val="17"/>
                <w:color w:val="auto"/>
              </w:rPr>
            </w:pPr>
          </w:p>
        </w:tc>
        <w:tc>
          <w:tcPr>
            <w:tcW w:w="31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Embraer</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E175</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40" w:type="dxa"/>
            <w:vAlign w:val="bottom"/>
          </w:tcPr>
          <w:p>
            <w:pPr>
              <w:spacing w:after="0"/>
              <w:rPr>
                <w:sz w:val="20"/>
                <w:szCs w:val="20"/>
                <w:color w:val="auto"/>
              </w:rPr>
            </w:pPr>
          </w:p>
        </w:tc>
        <w:tc>
          <w:tcPr>
            <w:tcW w:w="3120" w:type="dxa"/>
            <w:vAlign w:val="bottom"/>
            <w:gridSpan w:val="4"/>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201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80" w:right="20" w:hanging="329"/>
        <w:spacing w:after="0" w:line="225" w:lineRule="auto"/>
        <w:tabs>
          <w:tab w:leader="none" w:pos="580" w:val="left"/>
        </w:tabs>
        <w:numPr>
          <w:ilvl w:val="0"/>
          <w:numId w:val="49"/>
        </w:numPr>
        <w:rPr>
          <w:rFonts w:ascii="Arial" w:cs="Arial" w:eastAsia="Arial" w:hAnsi="Arial"/>
          <w:sz w:val="22"/>
          <w:szCs w:val="22"/>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based on many potential factors including production delays by the manufacturer.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jc w:val="both"/>
        <w:ind w:left="580" w:hanging="329"/>
        <w:spacing w:after="0" w:line="239" w:lineRule="auto"/>
        <w:tabs>
          <w:tab w:leader="none" w:pos="58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 xml:space="preserve">In October 2019, the Office of the U.S. Trade Representative announced a 10% tariff on new Airbus aircraft imported from Europe. Effective March 18, 2020, this tariff rate increased to 15%. We continue to take every effort to mitigate the effect of these tariffs on our Airbus deliveries. See Part II, Item 1A. Risk Factors - “ </w:t>
      </w:r>
      <w:r>
        <w:rPr>
          <w:rFonts w:ascii="Arial" w:cs="Arial" w:eastAsia="Arial" w:hAnsi="Arial"/>
          <w:sz w:val="18"/>
          <w:szCs w:val="18"/>
          <w:i w:val="1"/>
          <w:iCs w:val="1"/>
          <w:color w:val="auto"/>
        </w:rPr>
        <w:t>We operate a global business with international operations that are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w:t>
      </w:r>
    </w:p>
    <w:p>
      <w:pPr>
        <w:spacing w:after="0" w:line="165" w:lineRule="exact"/>
        <w:rPr>
          <w:rFonts w:ascii="Arial" w:cs="Arial" w:eastAsia="Arial" w:hAnsi="Arial"/>
          <w:sz w:val="22"/>
          <w:szCs w:val="22"/>
          <w:color w:val="auto"/>
          <w:vertAlign w:val="superscript"/>
        </w:rPr>
      </w:pPr>
    </w:p>
    <w:p>
      <w:pPr>
        <w:jc w:val="both"/>
        <w:ind w:left="580" w:hanging="329"/>
        <w:spacing w:after="0" w:line="244" w:lineRule="auto"/>
        <w:tabs>
          <w:tab w:leader="none" w:pos="580" w:val="left"/>
        </w:tabs>
        <w:numPr>
          <w:ilvl w:val="0"/>
          <w:numId w:val="50"/>
        </w:numPr>
        <w:rPr>
          <w:rFonts w:ascii="Arial" w:cs="Arial" w:eastAsia="Arial" w:hAnsi="Arial"/>
          <w:sz w:val="22"/>
          <w:szCs w:val="22"/>
          <w:color w:val="auto"/>
          <w:vertAlign w:val="superscript"/>
        </w:rPr>
      </w:pPr>
      <w:r>
        <w:rPr>
          <w:rFonts w:ascii="Arial" w:cs="Arial" w:eastAsia="Arial" w:hAnsi="Arial"/>
          <w:sz w:val="18"/>
          <w:szCs w:val="18"/>
          <w:color w:val="auto"/>
        </w:rPr>
        <w:t>On March 13, 2019, a directive from the Federal Aviation Administration (FAA) grounded all U.S.-registered Boeing 737 MAX aircraft. Our fleet currently includes 24 Boeing 737 MAX aircraft with an additional 76 on order. We have removed all Boeing 737 MAX aircraft flying from our flight schedule through August 17, 2020 and continue to assess this timeline. In addition, we have not taken delivery of any Boeing 737 MAX Family aircraft since the grounding. The extent of the delay to the scheduled deliveries of the Boeing 737 MAX aircraft included in the table above is expected to be impacted by the length of time the FAA order remains in place, Boeing's production rate and the pace at which Boeing can deliver aircraft following the lifting of the FAA order, among other factors. The above table reflects our estimate of future Boeing 737 MAX aircraft deliveries based on information currently available to us; however, the actual delivery schedule may differ from the table above, potentially materially.</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also have agreements for 32 spare engines to be delivered in 2020 and beyond.</w:t>
      </w:r>
    </w:p>
    <w:p>
      <w:pPr>
        <w:spacing w:after="0" w:line="171"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We currently have financing commitments in place for all aircraft on order and scheduled to be delivered through 2020 with the exception of two Boeing 737 MAX Family aircraft and four Airbus 320 Family aircraft. Additionally, we have financing commitments in place for 22 aircraft scheduled to be delivered in 2021 : 10 Boeing 787 Family aircraft, seven Boeing 737 MAX Family aircraft and five Embraer 175 aircraft. Our ability to draw on the financing commitments we have in place is subject to (1) the satisfaction of various terms and conditions, including in some cases, on our acquisition of the aircraft by a certain date and the lifting of the grounding directive from the FAA of the Boeing 737 MAX aircraft by a certain date and (2) the performance by the counterparty providing such financing commitments of its obligations thereunder. We do not have financing commitments in place for the remaining 12 aircraft scheduled to be delivered in 2021 .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2019 Form 10-K.</w:t>
      </w:r>
    </w:p>
    <w:p>
      <w:pPr>
        <w:spacing w:after="0" w:line="23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Labor Contracts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On March 26, 2020, a new five-year joint collective bargaining agreement was ratified between us and the TWU-IAM Association. The new agreement will significantly increase the cost of providing compensation and benefits to our mainline maintenance and fleet service team members.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following table provides details of our future cash contractual obligations as of March 31, 2020 (in millions). Except to the extent set forth in the applicable accompanying footnotes, the table does not include commitments that are contingent on events or other factors that are uncertain or unknown at this time.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75"/>
        </w:trPr>
        <w:tc>
          <w:tcPr>
            <w:tcW w:w="20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Remainder</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2025 and</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96"/>
        </w:trPr>
        <w:tc>
          <w:tcPr>
            <w:tcW w:w="20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 2020</w:t>
            </w: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180" w:type="dxa"/>
            <w:vAlign w:val="bottom"/>
          </w:tcPr>
          <w:p>
            <w:pPr>
              <w:spacing w:after="0"/>
              <w:rPr>
                <w:sz w:val="17"/>
                <w:szCs w:val="17"/>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0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American</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7"/>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 (c)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23,402</w:t>
            </w:r>
          </w:p>
        </w:tc>
      </w:tr>
      <w:tr>
        <w:trPr>
          <w:trHeight w:val="270"/>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 (c)</w:t>
            </w:r>
          </w:p>
        </w:tc>
        <w:tc>
          <w:tcPr>
            <w:tcW w:w="2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3,489</w:t>
            </w: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r>
      <w:tr>
        <w:trPr>
          <w:trHeight w:val="226"/>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Aircraft and engine purchase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4020" w:type="dxa"/>
            <w:vAlign w:val="bottom"/>
            <w:gridSpan w:val="2"/>
          </w:tcPr>
          <w:p>
            <w:pPr>
              <w:ind w:left="200"/>
              <w:spacing w:after="0" w:line="233"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21"/>
                <w:szCs w:val="21"/>
                <w:color w:val="auto"/>
                <w:vertAlign w:val="superscript"/>
              </w:rPr>
              <w:t>(d)</w:t>
            </w: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12,429</w:t>
            </w: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12,751</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1"/>
                <w:szCs w:val="21"/>
                <w:color w:val="auto"/>
                <w:vertAlign w:val="superscript"/>
              </w:rPr>
              <w:t>(e)</w:t>
            </w:r>
          </w:p>
        </w:tc>
        <w:tc>
          <w:tcPr>
            <w:tcW w:w="2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8,295</w:t>
            </w: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(f)</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2,978</w:t>
            </w:r>
          </w:p>
        </w:tc>
      </w:tr>
      <w:tr>
        <w:trPr>
          <w:trHeight w:val="26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Retiree medical and other postretirement benefits</w:t>
            </w: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365</w:t>
            </w:r>
          </w:p>
        </w:tc>
      </w:tr>
      <w:tr>
        <w:trPr>
          <w:trHeight w:val="27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1"/>
                <w:szCs w:val="21"/>
                <w:color w:val="auto"/>
                <w:vertAlign w:val="superscript"/>
              </w:rPr>
              <w:t>(g)</w:t>
            </w:r>
          </w:p>
        </w:tc>
        <w:tc>
          <w:tcPr>
            <w:tcW w:w="2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7,576</w:t>
            </w: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 American Contractual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7,825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11,144</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8,791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7,828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26,466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72,048</w:t>
            </w:r>
          </w:p>
        </w:tc>
      </w:tr>
      <w:tr>
        <w:trPr>
          <w:trHeight w:val="277"/>
        </w:trPr>
        <w:tc>
          <w:tcPr>
            <w:tcW w:w="20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i w:val="1"/>
                <w:iCs w:val="1"/>
                <w:color w:val="auto"/>
              </w:rPr>
              <w:t>AAG Parent and Other AAG Subsidiaries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2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r>
      <w:tr>
        <w:trPr>
          <w:trHeight w:val="270"/>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1,279</w:t>
            </w:r>
          </w:p>
        </w:tc>
      </w:tr>
      <w:tr>
        <w:trPr>
          <w:trHeight w:val="270"/>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6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Operating lease commitments</w:t>
            </w:r>
          </w:p>
        </w:tc>
        <w:tc>
          <w:tcPr>
            <w:tcW w:w="2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75</w:t>
            </w:r>
          </w:p>
        </w:tc>
      </w:tr>
      <w:tr>
        <w:trPr>
          <w:trHeight w:val="277"/>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1"/>
                <w:szCs w:val="21"/>
                <w:color w:val="auto"/>
                <w:vertAlign w:val="superscript"/>
              </w:rPr>
              <w:t>(f)</w:t>
            </w:r>
          </w:p>
        </w:tc>
        <w:tc>
          <w:tcPr>
            <w:tcW w:w="2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43"/>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Total AAG Contractual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11,227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27,027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73,634</w:t>
            </w:r>
          </w:p>
        </w:tc>
      </w:tr>
      <w:tr>
        <w:trPr>
          <w:trHeight w:val="20"/>
        </w:trPr>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2080" w:type="dxa"/>
            <w:vAlign w:val="bottom"/>
            <w:tcBorders>
              <w:bottom w:val="single" w:sz="8" w:color="auto"/>
            </w:tcBorders>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296" w:lineRule="exact"/>
        <w:rPr>
          <w:sz w:val="20"/>
          <w:szCs w:val="20"/>
          <w:color w:val="auto"/>
        </w:rPr>
      </w:pPr>
    </w:p>
    <w:p>
      <w:pPr>
        <w:jc w:val="both"/>
        <w:ind w:left="500" w:hanging="330"/>
        <w:spacing w:after="0" w:line="233" w:lineRule="auto"/>
        <w:tabs>
          <w:tab w:leader="none" w:pos="50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Amounts represent contractual amounts due. Excludes $221 million and $12 million of unamortized debt discount, premium and issuance costs as of March 31, 2020 for American and AAG Parent, respectively. For additional information, see Note 6 and Note 4 to AAG’s and American’s Condensed Consolidated Financial Statements in Part I, Items 1A and 1B, respectively.</w:t>
      </w:r>
    </w:p>
    <w:p>
      <w:pPr>
        <w:spacing w:after="0" w:line="126" w:lineRule="exact"/>
        <w:rPr>
          <w:rFonts w:ascii="Arial" w:cs="Arial" w:eastAsia="Arial" w:hAnsi="Arial"/>
          <w:sz w:val="22"/>
          <w:szCs w:val="22"/>
          <w:color w:val="auto"/>
          <w:vertAlign w:val="superscript"/>
        </w:rPr>
      </w:pPr>
    </w:p>
    <w:p>
      <w:pPr>
        <w:ind w:left="500" w:hanging="330"/>
        <w:spacing w:after="0"/>
        <w:tabs>
          <w:tab w:leader="none" w:pos="50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For variable-rate debt, future interest obligations are estimated using the current forward rates at March 31, 2020 .</w:t>
      </w:r>
    </w:p>
    <w:p>
      <w:pPr>
        <w:spacing w:after="0" w:line="161" w:lineRule="exact"/>
        <w:rPr>
          <w:rFonts w:ascii="Arial" w:cs="Arial" w:eastAsia="Arial" w:hAnsi="Arial"/>
          <w:sz w:val="22"/>
          <w:szCs w:val="22"/>
          <w:color w:val="auto"/>
          <w:vertAlign w:val="superscript"/>
        </w:rPr>
      </w:pPr>
    </w:p>
    <w:p>
      <w:pPr>
        <w:ind w:left="500" w:right="20" w:hanging="330"/>
        <w:spacing w:after="0" w:line="225" w:lineRule="auto"/>
        <w:tabs>
          <w:tab w:leader="none" w:pos="50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Includes $11.7 billion of future principal payments and $2.2 billion of future interest payments as of March 31, 2020 , related to EETCs associated with mortgage financings of certain aircraft and spare engines.</w:t>
      </w:r>
    </w:p>
    <w:p>
      <w:pPr>
        <w:spacing w:after="0" w:line="144" w:lineRule="exact"/>
        <w:rPr>
          <w:rFonts w:ascii="Arial" w:cs="Arial" w:eastAsia="Arial" w:hAnsi="Arial"/>
          <w:sz w:val="22"/>
          <w:szCs w:val="22"/>
          <w:color w:val="auto"/>
          <w:vertAlign w:val="superscript"/>
        </w:rPr>
      </w:pPr>
    </w:p>
    <w:p>
      <w:pPr>
        <w:jc w:val="both"/>
        <w:ind w:left="500" w:hanging="330"/>
        <w:spacing w:after="0" w:line="246" w:lineRule="auto"/>
        <w:tabs>
          <w:tab w:leader="none" w:pos="500" w:val="left"/>
        </w:tabs>
        <w:numPr>
          <w:ilvl w:val="0"/>
          <w:numId w:val="51"/>
        </w:numPr>
        <w:rPr>
          <w:rFonts w:ascii="Arial" w:cs="Arial" w:eastAsia="Arial" w:hAnsi="Arial"/>
          <w:sz w:val="22"/>
          <w:szCs w:val="22"/>
          <w:color w:val="auto"/>
          <w:vertAlign w:val="superscript"/>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xml:space="preserve"> "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current best estimate, including with respect to the delivery of Boeing 737 MAX and Embraer 175 aircraft; however, the actual delivery schedule may differ from the table above, potentially materially. Additionally, the amounts in the table exclude 21 787-8 aircraft to be delivered in 2020 and 2021 for which we have obtained committed lease financing. This financing is reflected in the operating lease commitments line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2" w:name="page63"/>
    <w:bookmarkEnd w:id="62"/>
    <w:p>
      <w:pPr>
        <w:jc w:val="both"/>
        <w:ind w:left="500" w:hanging="330"/>
        <w:spacing w:after="0" w:line="237" w:lineRule="auto"/>
        <w:tabs>
          <w:tab w:leader="none" w:pos="50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163" w:lineRule="exact"/>
        <w:rPr>
          <w:rFonts w:ascii="Arial" w:cs="Arial" w:eastAsia="Arial" w:hAnsi="Arial"/>
          <w:sz w:val="22"/>
          <w:szCs w:val="22"/>
          <w:color w:val="auto"/>
          <w:vertAlign w:val="superscript"/>
        </w:rPr>
      </w:pPr>
    </w:p>
    <w:p>
      <w:pPr>
        <w:jc w:val="both"/>
        <w:ind w:left="500" w:hanging="330"/>
        <w:spacing w:after="0" w:line="237" w:lineRule="auto"/>
        <w:tabs>
          <w:tab w:leader="none" w:pos="50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Includes minimum pension contributions based on actuarially determined estimates as of December 31, 2019 and is based on estimated payments through 2029. Pursuant to the CARES Act passed in March 2020, minimum required pension contributions to be made in the calendar year 2020 can be deferred to January 1, 2021, with interest accruing from the original due date to the new payment date. We expect to defer our $196 million 2020 minimum required contribution to January 1, 2021.</w:t>
      </w:r>
    </w:p>
    <w:p>
      <w:pPr>
        <w:spacing w:after="0" w:line="163" w:lineRule="exact"/>
        <w:rPr>
          <w:rFonts w:ascii="Arial" w:cs="Arial" w:eastAsia="Arial" w:hAnsi="Arial"/>
          <w:sz w:val="22"/>
          <w:szCs w:val="22"/>
          <w:color w:val="auto"/>
          <w:vertAlign w:val="superscript"/>
        </w:rPr>
      </w:pPr>
    </w:p>
    <w:p>
      <w:pPr>
        <w:ind w:left="500" w:hanging="330"/>
        <w:spacing w:after="0" w:line="225" w:lineRule="auto"/>
        <w:tabs>
          <w:tab w:leader="none" w:pos="500" w:val="left"/>
        </w:tabs>
        <w:numPr>
          <w:ilvl w:val="0"/>
          <w:numId w:val="52"/>
        </w:numPr>
        <w:rPr>
          <w:rFonts w:ascii="Arial" w:cs="Arial" w:eastAsia="Arial" w:hAnsi="Arial"/>
          <w:sz w:val="22"/>
          <w:szCs w:val="22"/>
          <w:color w:val="auto"/>
          <w:vertAlign w:val="superscript"/>
        </w:rPr>
      </w:pPr>
      <w:r>
        <w:rPr>
          <w:rFonts w:ascii="Arial" w:cs="Arial" w:eastAsia="Arial" w:hAnsi="Arial"/>
          <w:sz w:val="18"/>
          <w:szCs w:val="18"/>
          <w:color w:val="auto"/>
        </w:rPr>
        <w:t>Includes purchase commitments for aircraft fuel, construction projects, flight equipment maintenance and information technology support.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In light of the cash needs imposed by the current operating losses due to reduced demand in response to COVID-19 as well as our significant financial commitments related to, among other things, new flight equipment, the servicing and amortization of existing debt and equipment leasing arrangements, and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global outbreak of COVID-19), natural disasters or other causes could reduce the demand for air travel, which would reduce the amount of cash generated by operations. See Part II, Item 1A. Risk Factors – </w:t>
      </w:r>
      <w:r>
        <w:rPr>
          <w:rFonts w:ascii="Arial" w:cs="Arial" w:eastAsia="Arial" w:hAnsi="Arial"/>
          <w:sz w:val="18"/>
          <w:szCs w:val="18"/>
          <w:i w:val="1"/>
          <w:iCs w:val="1"/>
          <w:color w:val="auto"/>
        </w:rPr>
        <w:t>"The outbreak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An increase in costs, either due to 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6 and Note 4 to AAG's and American's Condensed Consolidated Financial Statements in Part I, Items 1A and 1B, respectively.</w:t>
      </w:r>
    </w:p>
    <w:p>
      <w:pPr>
        <w:spacing w:after="0" w:line="154" w:lineRule="exact"/>
        <w:rPr>
          <w:sz w:val="20"/>
          <w:szCs w:val="20"/>
          <w:color w:val="auto"/>
        </w:rPr>
      </w:pPr>
    </w:p>
    <w:p>
      <w:pPr>
        <w:jc w:val="both"/>
        <w:ind w:right="20" w:firstLine="216"/>
        <w:spacing w:after="0" w:line="256"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2019 Form 10-K and Note 13 and Note 12 to AAG’s and American’s Condensed Consolidated Financial Statements in Part I, Items 1A and 1B,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Accounting Standards Update (ASU) 2016-13: Financial Instruments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Credit Losses (Topic 326)</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 rather than a reduction to the carrying value of the asset. We adopted this accounting standard prospectively as of January 1, 2020, and it did not have a material impact on our condensed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63" w:name="page64"/>
    <w:bookmarkEnd w:id="63"/>
    <w:p>
      <w:pPr>
        <w:ind w:right="4240"/>
        <w:spacing w:after="0" w:line="357" w:lineRule="auto"/>
        <w:rPr>
          <w:sz w:val="20"/>
          <w:szCs w:val="20"/>
          <w:color w:val="auto"/>
        </w:rPr>
      </w:pPr>
      <w:r>
        <w:rPr>
          <w:rFonts w:ascii="Arial" w:cs="Arial" w:eastAsia="Arial" w:hAnsi="Arial"/>
          <w:sz w:val="18"/>
          <w:szCs w:val="18"/>
          <w:b w:val="1"/>
          <w:bCs w:val="1"/>
          <w:color w:val="auto"/>
        </w:rPr>
        <w:t>ITEM 3. QUANTITATIVE AND QUALITATIVE DISCLOSURES ABOUT MARKET RISK AAG and American’s Market Risk Sensitive Instruments and Positions</w:t>
      </w:r>
    </w:p>
    <w:p>
      <w:pPr>
        <w:jc w:val="both"/>
        <w:ind w:firstLine="216"/>
        <w:spacing w:after="0" w:line="261"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2019 Form 10-K except as updated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As of March 31, 2020 ,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Based on our 2020 forecasted fuel consumption, we estimate that a one cent per gallon increase in the price of aircraft fuel would increase our 2020 annual fuel expense by $30 million .</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2"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sterling, Euro, Canadian dollar and various Latin American currencies, primarily the Brazilian real. We do not currently have a foreign currency hedge program.</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 bearing investments. If annual interest rates increase 100 basis points, based on our March 31, 2020 variable-rate debt and short-term investments balances, annual interest expense on variable rate debt would increase by approximately $105 million and annual interest income on short-term investments would increase by approximately $35 million .</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5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March 31, 2020 , we had $10.7 billion of borrowings based on LIBOR. The replacement of LIBOR with a comparable or successor rate could cause the amount of interest payable on our long-term debt to be different or higher than expected.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March 31, 2020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March 31, 2020 at the reasonable assurance level.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2"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For the quarter ended March 31, 2020 , there have been no changes in AAG’s or American’s internal control over financial reporting that has materially affected, or is reasonably likely to materially affect, AAG’s and American’s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March 31, 2020 .</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(US Airways Group) by AMR (the Merger).</w:t>
      </w:r>
    </w:p>
    <w:p>
      <w:pPr>
        <w:spacing w:after="0" w:line="151"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claims. The shares of AAG common stock issued to the Disputed Claims Reserve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Disputed Claims Reserve. We are not required to distribute additional shares above the limits contemplated by the Plan, even if the shares remaining for distribution in the Disputed Claims Reserve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In the first quarter of 2020</w:t>
      </w:r>
    </w:p>
    <w:p>
      <w:pPr>
        <w:spacing w:after="0" w:line="4" w:lineRule="exact"/>
        <w:rPr>
          <w:sz w:val="20"/>
          <w:szCs w:val="20"/>
          <w:color w:val="auto"/>
        </w:rPr>
      </w:pPr>
    </w:p>
    <w:p>
      <w:pPr>
        <w:ind w:firstLine="8"/>
        <w:spacing w:after="0" w:line="261" w:lineRule="auto"/>
        <w:tabs>
          <w:tab w:leader="none" w:pos="1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2.2 million shares of AAG common stock were distributed from the Disputed Claims Reserve. After giving effect to this distribution, as of March 31, 2020 , the Disputed Claims Reserve held 4.8 million shares of AAG common stock.</w:t>
      </w:r>
    </w:p>
    <w:p>
      <w:pPr>
        <w:spacing w:after="0" w:line="126"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135"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i w:val="1"/>
          <w:iCs w:val="1"/>
          <w:color w:val="auto"/>
        </w:rPr>
        <w:t xml:space="preserve">Private Party Antitrust Action Related to the Merger </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US Airways, Inc. (US Airways),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The parties submitted proposed findings of fact and conclusions of law and made closing arguments in April 2019, and we are awaiting the Bankruptcy Court's decision. We believe this lawsuit is without merit and intend to vigorously defend against the allegations.</w:t>
      </w:r>
    </w:p>
    <w:p>
      <w:pPr>
        <w:spacing w:after="0" w:line="13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i w:val="1"/>
          <w:iCs w:val="1"/>
          <w:color w:val="auto"/>
        </w:rPr>
        <w:t xml:space="preserve">Pension Benefits Action. </w:t>
      </w:r>
      <w:r>
        <w:rPr>
          <w:rFonts w:ascii="Arial" w:cs="Arial" w:eastAsia="Arial" w:hAnsi="Arial"/>
          <w:sz w:val="18"/>
          <w:szCs w:val="18"/>
          <w:color w:val="auto"/>
        </w:rPr>
        <w:t>On December 11, 2018, a lawsuit captioned Torres, et al. v. American Airlines, Inc., The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John/Jane Does 1-5, was filed in the United States District Court for the Northern District of Texas. The plaintiffs in this lawsuit purport to represent a class consisting of all participants in and beneficiaries under any of the four American defined benefit pension plans who elected to receive an optional form of benefit other than a lump sum distribution of a participant’s vested benefit. Under the Employee Retirement Income Security Act, participants covered by defined benefit plans accrue retirement benefits in the form of a single life annuity payable upon retirement on a monthly basis until the employee’s death, and may elect certain alternative forms of benefit payments. Plaintiffs contend that the mortality tables used by American for purposes of calculations related to these alternative forms of benefits are outdated and that more recent mortality tables would have provided more generous benefits and should have been used to make those calculations. The court has denied our motion to dismiss the complaint. We believe this lawsuit is without merit and intend to vigorously defend against the allegations.</w:t>
      </w:r>
    </w:p>
    <w:p>
      <w:pPr>
        <w:spacing w:after="0" w:line="13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18"/>
          <w:szCs w:val="18"/>
          <w:color w:val="auto"/>
        </w:rPr>
        <w:t xml:space="preserve">ultimate resolution and potential financial and other impacts on us are uncertain but could be material. See Part II, Item 1A. Risk Factors – </w:t>
      </w:r>
      <w:r>
        <w:rPr>
          <w:rFonts w:ascii="Arial" w:cs="Arial" w:eastAsia="Arial" w:hAnsi="Arial"/>
          <w:sz w:val="18"/>
          <w:szCs w:val="18"/>
          <w:i w:val="1"/>
          <w:iCs w:val="1"/>
          <w:color w:val="auto"/>
        </w:rPr>
        <w:t xml:space="preserve">“We may be a party to litigation in the normal course of business or otherwise, which could affect our financial position and liquidity”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0" w:lineRule="exact"/>
        <w:rPr>
          <w:sz w:val="20"/>
          <w:szCs w:val="20"/>
          <w:color w:val="auto"/>
        </w:rPr>
      </w:pPr>
    </w:p>
    <w:p>
      <w:pPr>
        <w:jc w:val="both"/>
        <w:ind w:left="260"/>
        <w:spacing w:after="0" w:line="262"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6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ranging from travel restrictions, “shelter in place” and quarantine orders, limitations on public gatherings to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determined to retire certain mainline aircraft earlier than planned including Boeing 757, Boeing 767, Airbus A330-300 and Embraer 190 aircraft as well as regional aircraft, including certain Embraer 140 and Bombardier CRJ200 aircraft, which we expect will allow us to be more efficient by reducing the number of sub-fleets we operate. We have moved quickly to attempt to align our costs with our reduced schedule and made other cost-saving initiatives (including reductions in heavy maintenance expense, the deferral of marketing expenditures and reductions in contractor, event and training expenses and management compensation). Nonetheless, we are presently incurring significant negative cash flow and we expect this circumstance to continue until there is a significant recovery in demand for air travel. The duration and severity of the COVID-19 pandemic remain uncertain, and there can be no assurance that these actions will suffice to sustain our business and operations through this pandemic.</w:t>
      </w:r>
    </w:p>
    <w:p>
      <w:pPr>
        <w:spacing w:after="0" w:line="15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We expect to receive approximately $5.8 billion from Treasury through the Payroll Support Program. In connection with the financial assistance we have received and expect to receive under this legislation, we will be required to comply with certain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AAG’s common stock and the payment of common stock dividends through September 30, 2021; and restrictions on the payment of certain executive compensation until March 24, 2022. Additionally, under the Payroll Support Program , we and certain of our subsidiaries are subject to substantial and continuing reporting obligations. If we receive a secured loan from the U.S. Treasury Department pursuant to the CARES Act, the stock repurchase, dividend and executive compensation restrictions will remain in place through the date that is one year after such secured loan is fully repaid. The substance and duration of these restrictions may materially affect our operations, and we may not be successful in managing these impacts.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67" w:name="page68"/>
    <w:bookmarkEnd w:id="67"/>
    <w:p>
      <w:pPr>
        <w:jc w:val="both"/>
        <w:ind w:firstLine="216"/>
        <w:spacing w:after="0" w:line="251" w:lineRule="auto"/>
        <w:rPr>
          <w:sz w:val="20"/>
          <w:szCs w:val="20"/>
          <w:color w:val="auto"/>
        </w:rPr>
      </w:pPr>
      <w:r>
        <w:rPr>
          <w:rFonts w:ascii="Arial" w:cs="Arial" w:eastAsia="Arial" w:hAnsi="Arial"/>
          <w:sz w:val="18"/>
          <w:szCs w:val="18"/>
          <w:color w:val="auto"/>
        </w:rPr>
        <w:t>We may also pursue the issuance of additional unsecured and secured debt securities, equity securities and equity-linked securities, the sale of assets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of significant additional indebtedness and could impose significant covenants and restrictions to which we are not currently subject. The measures we have taken to reduce our expenditures and to improve our liquidity, and any other strategic actions that we may take in the future in response to COVID-19 may not be effective in offsetting decreased demand, and we will not be permitted to take certain strategic actions, such as prescribed levels of furloughs and lay-offs or reductions in capacity as a result of the restrictions imposed by the CARES Act, which could result in a material adverse effect on our business, operating results and financial condition.</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full extent of the ongoing impact of COVID-19 on our longer-term operational and financial performance will depend on future developments, many of which are outside our control, including the effectiveness of the mitigation strategies discussed above, the duration and spread of COVID-19, including any recurrence of the pandemic, and related travel advisories and restrictions, the impact of COVID-19 on overall long-term demand for air travel, the impact on demand and capacity which could result from government mandates on air service including, for instance, any requirement for passengers to wear masks while traveling or have their temperature checked or have administered other tests or examinations prior to entering an airport or boarding an airplane, or which would limit the number of seats that can be occupied on an aircraft to allow for social distancing, the impact of COVID-19 on the financial health and operations of our business partners and future governmental actions, all of which are highly uncertain and cannot be predicted.</w:t>
      </w:r>
    </w:p>
    <w:p>
      <w:pPr>
        <w:spacing w:after="0" w:line="15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 severe and prolonged effect on the global economy generally and, in turn, is expected to depress demand for air travel into the foreseeable future. Due to the uncertainty surrounding the duration and severity of this pandemic, we can provide no assurance as to when and at what pace demand for air travel will return to pre-pandemic levels, if at all. Accordingly, we cannot predict the ultimate impact of COVID-19 on our business, financial condition and results of operations. See also </w:t>
      </w:r>
      <w:r>
        <w:rPr>
          <w:rFonts w:ascii="Arial" w:cs="Arial" w:eastAsia="Arial" w:hAnsi="Arial"/>
          <w:sz w:val="18"/>
          <w:szCs w:val="18"/>
          <w:i w:val="1"/>
          <w:iCs w:val="1"/>
          <w:color w:val="auto"/>
        </w:rPr>
        <w:t>“The outbreak and global spread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COVID-19 has resulted in a severe decline in demand for air travel which has adversely impacted our and other airlines’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business plan contemplates continued significant investments related to modernizing our fleet, improving the experience of our customers and updating our facilities. Significant capital resources will be required to execute this plan. We estimate that, based on our commitments as of March 31, 2020 , our planned aggregate expenditures for aircraft purchase commitments and certain engines on a consolidated basis for calendar years 2020-2024 would be approximately $8.4 billion . We may also require financing to refinance maturing obligations and to provide liquidity to fund other corporate requirements, in particular given the severe decline in revenue we have experienced as a result of COVID-19. If needed to meet our liquidity needs, it may be difficult for us to raise additional capital on acceptable terms, or at all, due to, among other factors: our substantial level of existing indebtedness, particularly following the additional liquidity transactions completed and contemplated in response to the impact of COVID-19; our non-investment grade credit rating; market conditions; the availability of assets to use as collateral for loans or other indebtedness, which has been reduced as a result of certain financing transactions we have undertaken since the beginning of 2020 and may be further reduced as we continue to seek significant additional liquidity; and the effect the COVID-19 pandemic has had on the global economy generally and the air transportation industry in particular. Accordingly, we will need substantial financing or other capital</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68" w:name="page69"/>
    <w:bookmarkEnd w:id="68"/>
    <w:p>
      <w:pPr>
        <w:jc w:val="both"/>
        <w:spacing w:after="0" w:line="251" w:lineRule="auto"/>
        <w:rPr>
          <w:sz w:val="20"/>
          <w:szCs w:val="20"/>
          <w:color w:val="auto"/>
        </w:rPr>
      </w:pPr>
      <w:r>
        <w:rPr>
          <w:rFonts w:ascii="Arial" w:cs="Arial" w:eastAsia="Arial" w:hAnsi="Arial"/>
          <w:sz w:val="18"/>
          <w:szCs w:val="18"/>
          <w:color w:val="auto"/>
        </w:rPr>
        <w:t>resources to finance such aircraft and engines and meet such other liquidity needs. If we are unable to arrange such financing at customary advance rates and on terms and conditions acceptable to us, we may need to use cash from operations or cash on hand to purchase such aircraft and engines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17"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substantial portion of our assets are pledged to secure our indebtedness. Our substantial indebtedness and other obligations, which are generally greater than the indebtedness and other obligations of our competitors, could have important consequences. For example, they:</w:t>
      </w:r>
    </w:p>
    <w:p>
      <w:pPr>
        <w:spacing w:after="0" w:line="151"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7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143" w:lineRule="exact"/>
        <w:rPr>
          <w:rFonts w:ascii="Arial" w:cs="Arial" w:eastAsia="Arial" w:hAnsi="Arial"/>
          <w:sz w:val="18"/>
          <w:szCs w:val="18"/>
          <w:color w:val="auto"/>
        </w:rPr>
      </w:pPr>
    </w:p>
    <w:p>
      <w:pPr>
        <w:jc w:val="both"/>
        <w:ind w:left="1300" w:hanging="644"/>
        <w:spacing w:after="0" w:line="256"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47"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71" w:lineRule="exact"/>
        <w:rPr>
          <w:rFonts w:ascii="Arial" w:cs="Arial" w:eastAsia="Arial" w:hAnsi="Arial"/>
          <w:sz w:val="18"/>
          <w:szCs w:val="18"/>
          <w:color w:val="auto"/>
        </w:rPr>
      </w:pPr>
    </w:p>
    <w:p>
      <w:pPr>
        <w:ind w:left="1960" w:hanging="656"/>
        <w:spacing w:after="0" w:line="261" w:lineRule="auto"/>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43" w:lineRule="exact"/>
        <w:rPr>
          <w:rFonts w:ascii="Arial" w:cs="Arial" w:eastAsia="Arial" w:hAnsi="Arial"/>
          <w:sz w:val="18"/>
          <w:szCs w:val="18"/>
          <w:color w:val="auto"/>
        </w:rPr>
      </w:pPr>
    </w:p>
    <w:p>
      <w:pPr>
        <w:ind w:left="1960" w:hanging="656"/>
        <w:spacing w:after="0"/>
        <w:tabs>
          <w:tab w:leader="none" w:pos="19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7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in response to the travel restrictions, decreased demand and other effects the COVID-19 pandemic has had and is expected to have on our business, we currently anticipate that it will be necessary to obtain a significant amount of additional financing in the near-term from a variety of sources. Such financing may include the issuance of additional unsecured or secured debt securities, equity securities and equity-linked securities, the sale of assets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of significant additional indebtedness and could impose significant covenants and restrictions to which we are not currently subject. In particular, in connection with the financial assistance we have received and expect to receive through the Payroll Support and Loan Programs under the CARES Act, we will be required to comply with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9" w:name="page70"/>
    <w:bookmarkEnd w:id="69"/>
    <w:p>
      <w:pPr>
        <w:jc w:val="both"/>
        <w:spacing w:after="0" w:line="251" w:lineRule="auto"/>
        <w:rPr>
          <w:sz w:val="20"/>
          <w:szCs w:val="20"/>
          <w:color w:val="auto"/>
        </w:rPr>
      </w:pPr>
      <w:r>
        <w:rPr>
          <w:rFonts w:ascii="Arial" w:cs="Arial" w:eastAsia="Arial" w:hAnsi="Arial"/>
          <w:sz w:val="18"/>
          <w:szCs w:val="18"/>
          <w:color w:val="auto"/>
        </w:rPr>
        <w:t>relevant provisions of the CARES Act, including the requirement that funds provided pursuant to the Payroll Support Program be used exclusively for the continuation of payment of employee wages, salaries and benefits; the requirement against involuntary furloughs and reductions in employee pay rates and benefits through September 30, 2020; the requirement that certain levels of commercial air service be maintained; provisions prohibiting the repurchase of AAG common stock and the payment of common stock dividends through September 30, 2021; and restrictions on the payment of certain executive compensation until March 24, 2022. Additionally, under the Payroll Support Program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5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The obligations discussed above, including those imposed as a result of the CARES Act and any additional financings we may be required to undertake as a result of the impact of COVID-19, could also impact our ability to obtain additional financing, if needed, and our flexibility in the conduct of our business, and could materially adversely affect our liquidity, results of operations and financial condition.</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is considering replacing U.S. dollar LIBOR with a newly created index, calculated based on repurchase agreements backed by treasury securities, we cannot currently predict whether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5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March 31, 2020 , we had $10.7 billion of borrowings based on LIBOR. The replacement of LIBOR with a comparable or successor rate could cause the amount of interest payable on our long-term debt to be different or higher than expected.</w:t>
      </w:r>
    </w:p>
    <w:p>
      <w:pPr>
        <w:spacing w:after="0" w:line="209"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40"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Among other things, the CARES Act imposes significant restrictions on executive compensation which, assuming we receive a secured loan from the U.S. Treasury Department, will remain in place through the date that is one year after such secured loan is fully repaid. Such restrictions, over time, will likely result in lower executive compensation in the airline industry than is prevailing in other industries which may present retention challenges in the case of executives presented with alternative, non-airline opportunities. Any inability to retain or attract significant numbers of qualified management and other personnel would have a material adverse effect on our business,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0" w:name="page71"/>
    <w:bookmarkEnd w:id="70"/>
    <w:p>
      <w:pPr>
        <w:ind w:left="2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structures intended to achieve near-term survival rather than long-term viability.</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The actions of existing or future low-cost carriers, including those described above, could have a material adverse effect on our operations and financial performance.</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provide air travel internationally, directly as well as through joint business, alliance,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5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providing international air transportation, we compete to provide scheduled passenger and cargo service between the U.S. and various overseas locations with U.S. airlines, foreign investor-owned airlines and foreign state-owned or state-affiliated airlines. Competition is increasing from foreign state-owned and state-affiliated airlines in the Gulf region. These carriers have large numbers of international widebody aircraft in service and on order and are increasing service to the U.S. from locations both in and outside the Middle East. Service to and from locations outside of the Middle East is provided by some of these carriers under so-called “fifth freedom” rights permitted under international treaties which allow service to and from stopover points between an airline’s home country and the ultimate destination. Such flights, such as a stopover in Europe on flights to the United States, allow the carrier to sell tickets for travel between the stopover point and the United States in competition with service provided by us. We believe these state-owned and state-affiliated carriers in the Gulf region, including their affiliated carriers, benefit from significant government subsidies, which have allowed them to grow quickly, reinvest in their product and expand their global presence.</w:t>
      </w:r>
    </w:p>
    <w:p>
      <w:pPr>
        <w:spacing w:after="0" w:line="15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may result in increases in our costs, disruptions to our operations, limits on our operating flexibility, reductions in the demand for air travel, and competitive disadvantages.”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both"/>
        <w:ind w:firstLine="216"/>
        <w:spacing w:after="0" w:line="252"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American has established a transatlantic joint business agreement (JBA) with British Airways, Iberia and Finnair, a transpacific JBA with Japan Airlines and a JBA relating to Australia and New Zealand with Qantas Airways, each of which has been granted antitrust immunity. The transatlantic JBA relationship benefits from a grant of antitrust immunity from the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are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JBA. We continue to fully cooperate with the CMA. An application for antitrust immunity is also pending with the DOT to add Aer Lingus, which is owned by the parent company of British Airways and Iberia, to the transatlantic JBA. The foregoing arrangements are important aspects of our international network and we are dependent on the performance and continued cooperation of the other airlines party to those agreements. No assurances can be given as to any benefits that we may derive from such arrangements or any other arrangements that may ultimately be implemented, or whether or not regulators will, or if granted continue to, approve or impose material conditions on our business activities.</w:t>
      </w:r>
    </w:p>
    <w:p>
      <w:pPr>
        <w:spacing w:after="0" w:line="15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15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These competitive factors affect our ability to attract and retain customers, increase usage of our loyalty program and maximize the revenue generated by our loyalty program.</w:t>
      </w:r>
    </w:p>
    <w:p>
      <w:pPr>
        <w:spacing w:after="0" w:line="210"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58"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4" w:lineRule="exact"/>
        <w:rPr>
          <w:sz w:val="20"/>
          <w:szCs w:val="20"/>
          <w:color w:val="auto"/>
        </w:rPr>
      </w:pPr>
    </w:p>
    <w:p>
      <w:pPr>
        <w:ind w:left="1300" w:hanging="644"/>
        <w:spacing w:after="0" w:line="261"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7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potential disruptions to the United States National Airspace System (the ATC system);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7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2" w:name="page73"/>
    <w:bookmarkEnd w:id="72"/>
    <w:p>
      <w:pPr>
        <w:jc w:val="both"/>
        <w:ind w:firstLine="216"/>
        <w:spacing w:after="0" w:line="251" w:lineRule="auto"/>
        <w:rPr>
          <w:sz w:val="20"/>
          <w:szCs w:val="20"/>
          <w:color w:val="auto"/>
        </w:rPr>
      </w:pPr>
      <w:r>
        <w:rPr>
          <w:rFonts w:ascii="Arial" w:cs="Arial" w:eastAsia="Arial" w:hAnsi="Arial"/>
          <w:sz w:val="18"/>
          <w:szCs w:val="18"/>
          <w:color w:val="auto"/>
        </w:rPr>
        <w:t xml:space="preserve">In particular, an outbreak of a contagious disease such as the Ebola virus, Middle East Respiratory Syndrome, Severe Acute Respiratory Syndrome, H1N1 influenza virus, avian flu, Zika virus, COVID-19 or any other similar illness, 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 outbreak and global spread of COVID-19 has resulted in a severe decline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 these or other conditions beyond our control, our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16"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5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14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56"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Although spot prices for oil and jet fuel are presently very low by historical standards, we do not currently view the market opportunities to hedge fuel prices as attractive because, among other things, the forward curve for the purchase of such products, or hedges related to such products, is very steep, any hedging would potentially require significant capital or collateral to be placed at risk, and our future fuel needs remain unclear due to uncertainties regarding air travel demand. Accordingly, as of March 31, 2020 , we did not have any fuel hedging contracts outstanding to hedge our fuel consumption. As such, and assuming we do not enter into any future transactions to hedge our fuel consumption, we will continue to be fully exposed to fluctuations in fuel prices and, while the price of fuel has been at historically low levels during the COVID-19 pandemic, there is no assurance that it will remain so and any increase in fuel prices, coupled with the severe reduction in demand we are experiencing, during the COVID-19 pandemic will materially affect our business in an adverse manner.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3" w:name="page74"/>
    <w:bookmarkEnd w:id="73"/>
    <w:p>
      <w:pPr>
        <w:ind w:left="260"/>
        <w:spacing w:after="0" w:line="287"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2019 Form 10-K.</w:t>
      </w:r>
    </w:p>
    <w:p>
      <w:pPr>
        <w:spacing w:after="0" w:line="151"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2019 Form 10-K.</w:t>
      </w:r>
    </w:p>
    <w:p>
      <w:pPr>
        <w:spacing w:after="0" w:line="20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of December 31, 2019 , approximately 85% of our employees were represented for collective bargaining purposes by labor unions. Currently, we believe our labor costs are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10"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addition, we have significant obligations for retiree medical and other postretirement benefits. Additionally, we participate in the International Association of Machinists &amp; Aerospace Workers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Damage to our reputation or brand image or loss of customer confidence in our services could adversely affect our business and financial results, as well as require additional resources to rebuild our reputation.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4" w:name="page75"/>
    <w:bookmarkEnd w:id="74"/>
    <w:p>
      <w:pPr>
        <w:jc w:val="both"/>
        <w:ind w:firstLine="243"/>
        <w:spacing w:after="0" w:line="254"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 and in particular airline travel, and these negative perceptions could continue even after the pandemic subsides. Actual or perceived risk of infection on our flights could have a material adverse effect on the public's perception of us, which could harm our reputation and business. We have taken various measures to reassure our team members and the traveling public of the safety of air travel, including the provision of protective equipment and enhanced cleaning procedures onboard aircraft and in airports. We expect that we will continue to incur COVID-19 related costs as we sanitize aircraft, implement additional hygiene-related protocols and take other actions to limit the threat of infection among our employees and passengers. However, we cannot assure that these or any other actions we might take in response to COVID-19 will be sufficient to restore the confidence of consumers in the safety of air travel.</w:t>
      </w:r>
    </w:p>
    <w:p>
      <w:pPr>
        <w:spacing w:after="0" w:line="210"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58"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more than 131,000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16"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the DOT, the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grounding of aircraft types altogether (including the March 2019 grounding of all Boeing 737 MAX aircraft, including the 24 aircraft in our fleet, which remains in place as of the date of this report),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w:t>
      </w:r>
    </w:p>
    <w:p>
      <w:pPr>
        <w:spacing w:after="0" w:line="15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2020, the DOT is expected to implement a number of new regulations that will impact us, including disability rules for accessible lavatories and refunds for checked bag fees in the event of certain delays in delivery.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75" w:name="page76"/>
    <w:bookmarkEnd w:id="75"/>
    <w:p>
      <w:pPr>
        <w:jc w:val="both"/>
        <w:ind w:firstLine="216"/>
        <w:spacing w:after="0" w:line="254"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0"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4" w:lineRule="exact"/>
        <w:rPr>
          <w:sz w:val="20"/>
          <w:szCs w:val="20"/>
          <w:color w:val="auto"/>
        </w:rPr>
      </w:pPr>
    </w:p>
    <w:p>
      <w:pPr>
        <w:ind w:left="1300" w:hanging="644"/>
        <w:spacing w:after="0" w:line="261"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71"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w:t>
      </w:r>
    </w:p>
    <w:p>
      <w:pPr>
        <w:spacing w:after="0" w:line="171"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48"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Failure to update the ATC system in a timely manner and the substantial costs that may be imposed on airlines in order to fund a modernized ATC system may have a material adverse effect on our business.</w:t>
      </w:r>
    </w:p>
    <w:p>
      <w:pPr>
        <w:spacing w:after="0" w:line="151"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ATC and security screening resources and related travel delays, as well as disruption in the ability of the FAA to grant required regulatory approvals, such as those that are involved when a new aircraft is first placed into service.</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many countries,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6" w:name="page77"/>
    <w:bookmarkEnd w:id="76"/>
    <w:p>
      <w:pPr>
        <w:jc w:val="both"/>
        <w:spacing w:after="0" w:line="251" w:lineRule="auto"/>
        <w:rPr>
          <w:sz w:val="20"/>
          <w:szCs w:val="20"/>
          <w:color w:val="auto"/>
        </w:rPr>
      </w:pPr>
      <w:r>
        <w:rPr>
          <w:rFonts w:ascii="Arial" w:cs="Arial" w:eastAsia="Arial" w:hAnsi="Arial"/>
          <w:sz w:val="18"/>
          <w:szCs w:val="18"/>
          <w:color w:val="auto"/>
        </w:rPr>
        <w:t>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 result in the impairment of material amounts of our related tangible and intangible assets. In addition, competition from foreign airlines, revenue-sharing joint ventures, JBAs, and other alliance arrangements by and among other airlines could impair the value of our business and assets on the open skies routes.</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However, Brexit will mandate further modification in the current regulatory regime, including in relation to commercial air service.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3"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5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has severely impacted the demand for international travel and has resulted in the imposition of significant governmental restrictions on commercial air service to or from certain regions. We have responded by suspending a significant majority of our international flights through at least June 2020 and have announced plans to delay the introduction of certain new international routes. We can provide no assurance as to when such restrictions will be eased or lifted, when demand for international travel will return to pre-pandemic levels, if at all, or whether certain international destinations we previously served will be economical in the future.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5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48"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7" w:name="page78"/>
    <w:bookmarkEnd w:id="77"/>
    <w:p>
      <w:pPr>
        <w:jc w:val="both"/>
        <w:spacing w:after="0" w:line="251" w:lineRule="auto"/>
        <w:rPr>
          <w:sz w:val="20"/>
          <w:szCs w:val="20"/>
          <w:color w:val="auto"/>
        </w:rPr>
      </w:pPr>
      <w:r>
        <w:rPr>
          <w:rFonts w:ascii="Arial" w:cs="Arial" w:eastAsia="Arial" w:hAnsi="Arial"/>
          <w:sz w:val="18"/>
          <w:szCs w:val="18"/>
          <w:color w:val="auto"/>
        </w:rPr>
        <w:t>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In October 2019, the USTR imposed tariffs on certain imports from the EU, including certain Airbus aircraft that we previously contracted to purchase, which were initially subject to an ad valorem duty of 10%. On February 14, 2020, the USTR increased such duty to 15% effective March 18, 2020. While the scope and rate of these tariffs are subject to change, if and to the extent these tariffs are imposed on us without any available means for us to mitigate or pass on the burden of these tariffs to Airbus, the effective cost of new Airbus aircraft required to implement our fleet plan would increase.</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Brexit occurred on January 31, 2020 under the terms of the Withdrawal Agreement. There will now be a transition period during which the United Kingdom and the EU will seek to negotiate an agreement governing their future relationship, including in relation to air services. Under the Withdrawal Agreement, this transition period is scheduled to end on December 31, 2020, with a potential extension of up to two years, although the United Kingdom government has passed legislation preventing any such extension of the transition period. We face risks associated with Brexit, notably given the extent of our passenger and cargo traffic and that of our joint business partners that flows through LHR in the United Kingdom. During the transition period, our current air services may continue as we currently conduct them. The precise scope of traffic rights between the EU and the United Kingdom remains uncertain and therefore the continuation of our current services, and those of our partners, is not assured and could be subject to disruption. During the transition period, the United Kingdom and the EU will seek to implement a new air services agreement. We cannot predict the terms of any such successor air services agreement or whether changes in the relationship between the United Kingdom and the EU, including whether or not an agreement governing their future relationship is reached before the end of the transition period, could materially adversely affect our business, results of operations and financial condition.</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JBA. We continue to fully cooperate with the CMA.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215"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increasingly-complex security and customs requirements will continue to result in increased costs for us and our passengers, and have caused and likely will continue to cause periodic service disruptions and delays. We have at times found it necessary or desirable to make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78" w:name="page79"/>
    <w:bookmarkEnd w:id="78"/>
    <w:p>
      <w:pPr>
        <w:jc w:val="both"/>
        <w:spacing w:after="0" w:line="253" w:lineRule="auto"/>
        <w:rPr>
          <w:sz w:val="20"/>
          <w:szCs w:val="20"/>
          <w:color w:val="auto"/>
        </w:rPr>
      </w:pPr>
      <w:r>
        <w:rPr>
          <w:rFonts w:ascii="Arial" w:cs="Arial" w:eastAsia="Arial" w:hAnsi="Arial"/>
          <w:sz w:val="18"/>
          <w:szCs w:val="18"/>
          <w:color w:val="auto"/>
        </w:rPr>
        <w:t>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166" w:lineRule="exact"/>
        <w:rPr>
          <w:sz w:val="20"/>
          <w:szCs w:val="20"/>
          <w:color w:val="auto"/>
        </w:rPr>
      </w:pPr>
    </w:p>
    <w:p>
      <w:pPr>
        <w:ind w:left="260"/>
        <w:spacing w:after="0" w:line="280" w:lineRule="auto"/>
        <w:rPr>
          <w:sz w:val="20"/>
          <w:szCs w:val="20"/>
          <w:color w:val="auto"/>
        </w:rPr>
      </w:pPr>
      <w:r>
        <w:rPr>
          <w:rFonts w:ascii="Arial" w:cs="Arial" w:eastAsia="Arial" w:hAnsi="Arial"/>
          <w:sz w:val="18"/>
          <w:szCs w:val="18"/>
          <w:b w:val="1"/>
          <w:bCs w:val="1"/>
          <w:i w:val="1"/>
          <w:iCs w:val="1"/>
          <w:color w:val="auto"/>
        </w:rPr>
        <w:t xml:space="preserve">We are subject to risks associated with climate change, including increased regulation of our CO </w:t>
      </w:r>
      <w:r>
        <w:rPr>
          <w:rFonts w:ascii="Arial" w:cs="Arial" w:eastAsia="Arial" w:hAnsi="Arial"/>
          <w:sz w:val="21"/>
          <w:szCs w:val="21"/>
          <w:b w:val="1"/>
          <w:bCs w:val="1"/>
          <w:i w:val="1"/>
          <w:iCs w:val="1"/>
          <w:color w:val="auto"/>
          <w:vertAlign w:val="subscript"/>
        </w:rPr>
        <w:t>2</w:t>
      </w:r>
      <w:r>
        <w:rPr>
          <w:rFonts w:ascii="Arial" w:cs="Arial" w:eastAsia="Arial" w:hAnsi="Arial"/>
          <w:sz w:val="18"/>
          <w:szCs w:val="18"/>
          <w:b w:val="1"/>
          <w:bCs w:val="1"/>
          <w:i w:val="1"/>
          <w:iCs w:val="1"/>
          <w:color w:val="auto"/>
        </w:rPr>
        <w:t xml:space="preserve"> emissions and the potential increased impacts of severe weather events on our operations and infrastructure.</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8"/>
          <w:szCs w:val="18"/>
          <w:color w:val="auto"/>
        </w:rPr>
        <w:t xml:space="preserve">There is increasing global regulatory focus on climate change and greenhouse gas (GHG) emissions, including carbon dioxide (CO </w:t>
      </w:r>
      <w:r>
        <w:rPr>
          <w:rFonts w:ascii="Arial" w:cs="Arial" w:eastAsia="Arial" w:hAnsi="Arial"/>
          <w:sz w:val="21"/>
          <w:szCs w:val="21"/>
          <w:color w:val="auto"/>
          <w:vertAlign w:val="subscript"/>
        </w:rPr>
        <w:t>2</w:t>
      </w:r>
      <w:r>
        <w:rPr>
          <w:rFonts w:ascii="Arial" w:cs="Arial" w:eastAsia="Arial" w:hAnsi="Arial"/>
          <w:sz w:val="18"/>
          <w:szCs w:val="18"/>
          <w:color w:val="auto"/>
        </w:rPr>
        <w:t xml:space="preserve"> ). In particular, the International Civil Aviation Organization is in the process of adopting rules, including the Carbon Offsetting and Reduction Scheme for International Aviation (CORSIA), that will require American to limit the CO </w:t>
      </w:r>
      <w:r>
        <w:rPr>
          <w:rFonts w:ascii="Arial" w:cs="Arial" w:eastAsia="Arial" w:hAnsi="Arial"/>
          <w:sz w:val="21"/>
          <w:szCs w:val="21"/>
          <w:color w:val="auto"/>
          <w:vertAlign w:val="subscript"/>
        </w:rPr>
        <w:t>2</w:t>
      </w:r>
      <w:r>
        <w:rPr>
          <w:rFonts w:ascii="Arial" w:cs="Arial" w:eastAsia="Arial" w:hAnsi="Arial"/>
          <w:sz w:val="18"/>
          <w:szCs w:val="18"/>
          <w:color w:val="auto"/>
        </w:rPr>
        <w:t xml:space="preserve"> emissions of a significant majority of our international flights to a baseline level equal to our 2019-2020 average emissions from such flights.</w:t>
      </w:r>
    </w:p>
    <w:p>
      <w:pPr>
        <w:spacing w:after="0" w:line="154" w:lineRule="exact"/>
        <w:rPr>
          <w:sz w:val="20"/>
          <w:szCs w:val="20"/>
          <w:color w:val="auto"/>
        </w:rPr>
      </w:pPr>
    </w:p>
    <w:p>
      <w:pPr>
        <w:jc w:val="both"/>
        <w:ind w:firstLine="243"/>
        <w:spacing w:after="0" w:line="245" w:lineRule="auto"/>
        <w:rPr>
          <w:sz w:val="20"/>
          <w:szCs w:val="20"/>
          <w:color w:val="auto"/>
        </w:rPr>
      </w:pPr>
      <w:r>
        <w:rPr>
          <w:rFonts w:ascii="Arial" w:cs="Arial" w:eastAsia="Arial" w:hAnsi="Arial"/>
          <w:sz w:val="18"/>
          <w:szCs w:val="18"/>
          <w:color w:val="auto"/>
        </w:rPr>
        <w:t xml:space="preserve">At this time, the costs of our obligations under CORSIA are uncertain and cannot be fully predicted. For example, we will not directly control our CORSIA compliance costs during the CORSIA Pilot and First Phases because such phases include a sharing mechanism for the growth in emissions for the global aviation sector. In addition, there is uncertainty with respect to the future supply, demand and price of sustainable or lower carbon aircraft fuel, carbon offset credits and technologies that could allow airlines to reduce their emissions of CO </w:t>
      </w:r>
      <w:r>
        <w:rPr>
          <w:rFonts w:ascii="Arial" w:cs="Arial" w:eastAsia="Arial" w:hAnsi="Arial"/>
          <w:sz w:val="21"/>
          <w:szCs w:val="21"/>
          <w:color w:val="auto"/>
          <w:vertAlign w:val="subscript"/>
        </w:rPr>
        <w:t>2</w:t>
      </w:r>
      <w:r>
        <w:rPr>
          <w:rFonts w:ascii="Arial" w:cs="Arial" w:eastAsia="Arial" w:hAnsi="Arial"/>
          <w:sz w:val="18"/>
          <w:szCs w:val="18"/>
          <w:color w:val="auto"/>
        </w:rPr>
        <w:t xml:space="preserve"> .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6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will often affect global competitors differently and frequently offer no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to regulate domestic GHG emissions. Finally, certain airports have adopted, and others could in the future adopt, GHG emission or climate-neutral goals that could impact our operations or require us to make changes or investments in our infrastructure.</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modernize certain aspects of our operations, purchase carbon offset credits, or otherwise incur additional costs related to our emissions. Such activity may also impact us indirectly by increasing our operating costs, including fuel costs.</w:t>
      </w:r>
    </w:p>
    <w:p>
      <w:pPr>
        <w:spacing w:after="0" w:line="15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Finally, the potential physical effects of climate change, such as increased frequency and severity of storms, floods, fires, sea-level rise and other climate-related events, could affect our operations, infrastructure and financial results. Operational impacts, such as the canceling of flights, could result in loss of revenue. We could incur significant costs to improve the climate resiliency of our infrastructure and otherwise prepare for, respond to, and mitigate such physical effects of climate change. We are not able to accurately predict the materiality of any potential losses or costs associated with the physical effects of climate change.</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5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9" w:name="page80"/>
    <w:bookmarkEnd w:id="79"/>
    <w:p>
      <w:pPr>
        <w:jc w:val="both"/>
        <w:spacing w:after="0" w:line="261" w:lineRule="auto"/>
        <w:rPr>
          <w:sz w:val="20"/>
          <w:szCs w:val="20"/>
          <w:color w:val="auto"/>
        </w:rPr>
      </w:pPr>
      <w:r>
        <w:rPr>
          <w:rFonts w:ascii="Arial" w:cs="Arial" w:eastAsia="Arial" w:hAnsi="Arial"/>
          <w:sz w:val="18"/>
          <w:szCs w:val="18"/>
          <w:color w:val="auto"/>
        </w:rPr>
        <w:t>the amount of waste directly attributable to us. We have liability for investigation and remediation costs at various sites, although such costs currently are not expected to have a material adverse effect on our business.</w:t>
      </w:r>
    </w:p>
    <w:p>
      <w:pPr>
        <w:spacing w:after="0" w:line="14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51"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under our current fleet plan, by the end of 2020 all of our mainline aircraft will have been manufactured by either Airbus or Boeing and all of our regional aircraft will have been manufactured by either Bombardier or Embraer. Further, our supplier base continues to consolidate as evidenced by the recent acquisition of Rockwell Collins by United Technologies, the recent transactions involving Airbus and Bombardier and the pending transactions involving Boeing and Embraer,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In particular, in March 2019, the FAA ordered the grounding of all Boeing 737 MAX aircraft, which remains in place as of the date of this report.</w:t>
      </w:r>
    </w:p>
    <w:p>
      <w:pPr>
        <w:spacing w:after="0" w:line="217"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0"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aircraft, including the 24 aircraft in our fleet. For the duration of the Boeing 737 MAX grounding, we have been unable to take delivery of the Boeing 737 MAX aircraft we have on order from Boeing and have in some instances been required to extend the service lives of older, less efficient aircraft and delay service that we planned to offer. Further, deliveries of Boeing 737 MAX aircraft have remained suspended following the grounding, and Boeing is not currently manufacturing new 737 MAX aircraft. Depending on the ultimate duration of the grounding, various Boeing 737 MAX aircraft financings and financing commitments we previously obtained may be terminated and, as a result, we may be required to obtain alternate financing and financing commitments for these aircraft, which may not be available on terms and conditions as favorable as the previously obtained financings and financing commitments. Further, once the grounding has been lifted, we are likely to be subject to training requirements. Boeing has recommended that pilots receive special flight simulator training before operating the Boeing 737 MAX aircraft, and although the FAA is ultimately responsible for establishing training requirements for operating the Boeing 737 MAX, such additional training would further delay the aircraft’s return to service and impose restrictions on our ability to optimize our fleet. This and other operational requirements and uncertainties regarding the timing of the delivery of Boeing 737 MAX aircraft we have on order and how rapidly we will be able to take delivery of and integrate such Boeing 737 MAX aircraft into our fleet could potentially result in further significant constraints on our operating efficiency, capacity and growth plans. In addition, the timing of the 737 MAX’s recertification and return to service, and the resumption of deliveries, could be significantly impacted by the COVID-19 pandemic.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0" w:name="page81"/>
    <w:bookmarkEnd w:id="80"/>
    <w:p>
      <w:pPr>
        <w:ind w:left="260"/>
        <w:spacing w:after="0" w:line="28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While we have to date successfully integrated many of our computer, communication and other technology systems in connection with the merger of US Airways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09"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58"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have been the target of cybersecurity attacks in the past and expect that we will continue to be in the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both"/>
        <w:ind w:firstLine="243"/>
        <w:spacing w:after="0" w:line="252"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new General Data Protection Regulation, commonly referred to as GDPR, came into effect, which imposes a host of new data privacy and security requirements, imposing significant costs on us and carrying substantial penalties for non-compliance.</w:t>
      </w:r>
    </w:p>
    <w:p>
      <w:pPr>
        <w:spacing w:after="0" w:line="1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5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2" w:name="page83"/>
    <w:bookmarkEnd w:id="82"/>
    <w:p>
      <w:pPr>
        <w:ind w:left="260"/>
        <w:spacing w:after="0" w:line="28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significant decline in demand for air travel resulting from the COVID-19 pandemic and related governmental restrictions on travel have materially impacted demand for services provided by our regional carriers and, as a result, we have significantly reduced our regional capacity and expect to maintain these reduced levels of capacity for the foreseeable future. We expect the disruption to services resulting from the COVID-19 pandemic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15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2"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We rely on third-party distribution channels, including those provided by or through global distribution systems (GDSs) (e.g., Amadeus, Sabre and Travelport), conventional travel agents ,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8"/>
          <w:szCs w:val="18"/>
          <w:i w:val="1"/>
          <w:iCs w:val="1"/>
          <w:color w:val="auto"/>
        </w:rPr>
        <w:t>www.aa.com</w:t>
      </w:r>
      <w:r>
        <w:rPr>
          <w:rFonts w:ascii="Arial" w:cs="Arial" w:eastAsia="Arial" w:hAnsi="Arial"/>
          <w:sz w:val="18"/>
          <w:szCs w:val="18"/>
          <w:color w:val="auto"/>
        </w:rPr>
        <w:t xml:space="preserve"> .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such as the proposed acquisition of Farelogix by Sabre.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3" w:name="page84"/>
    <w:bookmarkEnd w:id="83"/>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58"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5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Los Angeles International Airport (LAX), LaGuardia Airport (LGA) and Ronald Reagan Washington National Airport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 .</w:t>
      </w:r>
    </w:p>
    <w:p>
      <w:pPr>
        <w:spacing w:after="0" w:line="151"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John F. Kennedy International Airport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we cannot predict whether such exemptions will continue to be granted or whether we ultimately could be at risk of losing valuable operating rights. We cannot provide any assurance that regulatory changes regarding the allocation of slots, the continued enforcement of a perimeter rule or similar regulatory authority will not have a material adverse impact on our operations.</w:t>
      </w:r>
    </w:p>
    <w:p>
      <w:pPr>
        <w:spacing w:after="0" w:line="15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 and other facilities are currently inadequate to accommodate all of the service that we would like to provide, or airports such as Dallas Love Field Airport where we have no access to gates at all.</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1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operate principally through our hubs and gateways in Charlotte, Chicago, Dallas/Fort Worth, London Heathrow, Los Angeles, Miami, New York, Philadelphia, Phoenix and Washington, D.C.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 (such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4" w:name="page85"/>
    <w:bookmarkEnd w:id="84"/>
    <w:p>
      <w:pPr>
        <w:jc w:val="both"/>
        <w:spacing w:after="0" w:line="254" w:lineRule="auto"/>
        <w:rPr>
          <w:sz w:val="20"/>
          <w:szCs w:val="20"/>
          <w:color w:val="auto"/>
        </w:rPr>
      </w:pPr>
      <w:r>
        <w:rPr>
          <w:rFonts w:ascii="Arial" w:cs="Arial" w:eastAsia="Arial" w:hAnsi="Arial"/>
          <w:sz w:val="18"/>
          <w:szCs w:val="18"/>
          <w:color w:val="auto"/>
        </w:rPr>
        <w:t>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09"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0"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We have recently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increasing other pre-existing fees, reconfiguration of our aircraft cabins, and efforts to optimize our network including by focusing growth on a limited number of large hubs.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6" w:lineRule="exact"/>
        <w:rPr>
          <w:sz w:val="20"/>
          <w:szCs w:val="20"/>
          <w:color w:val="auto"/>
        </w:rPr>
      </w:pPr>
    </w:p>
    <w:p>
      <w:pPr>
        <w:ind w:left="240"/>
        <w:spacing w:after="0" w:line="28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212"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14"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58" w:lineRule="exact"/>
        <w:rPr>
          <w:sz w:val="20"/>
          <w:szCs w:val="20"/>
          <w:color w:val="auto"/>
        </w:rPr>
      </w:pPr>
    </w:p>
    <w:p>
      <w:pPr>
        <w:ind w:right="20" w:firstLine="243"/>
        <w:spacing w:after="0" w:line="261"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5" w:name="page86"/>
    <w:bookmarkEnd w:id="85"/>
    <w:p>
      <w:pPr>
        <w:jc w:val="both"/>
        <w:spacing w:after="0" w:line="251" w:lineRule="auto"/>
        <w:rPr>
          <w:sz w:val="20"/>
          <w:szCs w:val="20"/>
          <w:color w:val="auto"/>
        </w:rPr>
      </w:pPr>
      <w:r>
        <w:rPr>
          <w:rFonts w:ascii="Arial" w:cs="Arial" w:eastAsia="Arial" w:hAnsi="Arial"/>
          <w:sz w:val="18"/>
          <w:szCs w:val="18"/>
          <w:color w:val="auto"/>
        </w:rPr>
        <w:t>certification standards, and our pilots and other crew members must adhere to flight time and rest requirements. Commencing in 2013, the minimum flight hour requirement to achieve a commercial pilot’s license in the United States (an Air Transport Pilot’s certificate)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2"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2"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5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2019 , we had available NOL Carryforwards of approximately $9.1 billion for regular federal income tax purposes that will expire, if unused, beginning in 2023, and approximately $3.0 billion for state income tax purposes that will expire, if unused, between 2020 and 2039. Our NOL Carryforwards are subject to adjustment on audit by the Internal Revenue Service and the respective state taxing authorities.</w:t>
      </w:r>
    </w:p>
    <w:p>
      <w:pPr>
        <w:spacing w:after="0" w:line="15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6" w:name="page87"/>
    <w:bookmarkEnd w:id="86"/>
    <w:p>
      <w:pPr>
        <w:jc w:val="both"/>
        <w:spacing w:after="0" w:line="251" w:lineRule="auto"/>
        <w:rPr>
          <w:sz w:val="20"/>
          <w:szCs w:val="20"/>
          <w:color w:val="auto"/>
        </w:rPr>
      </w:pPr>
      <w:r>
        <w:rPr>
          <w:rFonts w:ascii="Arial" w:cs="Arial" w:eastAsia="Arial" w:hAnsi="Arial"/>
          <w:sz w:val="18"/>
          <w:szCs w:val="18"/>
          <w:color w:val="auto"/>
        </w:rPr>
        <w:t>undergoes an “ownership change” as defined in Section 382 (generally where cumulative stock ownership changes among material stockholders exceed 50 percent during a rolling three-year period). In 2013,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$7.3 billion of unlimited NOL still remaining at December 31, 2019 )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a government acquisition of warrants, stock options, common or preferred stock or other equity acquired in relation to the program does not result in an ownership change for purposes of section 382. This exception does not apply for companies issuing warrants, stock options, common or preferred stock or other equity pursuant to the Payroll Support Program and accordingly will not apply to the warrants issued by us under that program.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55"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 xml:space="preserve">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 </w:t>
      </w:r>
      <w:r>
        <w:rPr>
          <w:rFonts w:ascii="Arial" w:cs="Arial" w:eastAsia="Arial" w:hAnsi="Arial"/>
          <w:sz w:val="18"/>
          <w:szCs w:val="18"/>
          <w:i w:val="1"/>
          <w:iCs w:val="1"/>
          <w:color w:val="auto"/>
        </w:rPr>
        <w:t>Certain provisions of AAG’s Certificate of Incorporation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Bylaws make it difficult for stockholders to change the composition of our Board of Directors and may discourage takeover attempts that some of our stockholders might consider beneficial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p>
    <w:p>
      <w:pPr>
        <w:spacing w:after="0" w:line="151"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03"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 may not produce the returns or results we expect.</w:t>
      </w:r>
    </w:p>
    <w:p>
      <w:pPr>
        <w:spacing w:after="0" w:line="4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one recent instance involving China Southern Airlines, by making a significant equity investment in another airline in connection with initiating such a commercial relationship. We may explore similar non-controlling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 as a result of the global spread of COVID-19, the industry has experienced a precipitous decline in demand for air travel both internationally and domestically, which is expected to continue into the foreseeable future and could materially disrupt the timely execution of our strategic operating plans, including the finalization, approval and implementation of new strategic relationships or the expansion of existing relationships . These events could have a material adverse effect on our business, results of operations and financial condition.</w:t>
      </w:r>
    </w:p>
    <w:p>
      <w:pPr>
        <w:spacing w:after="0" w:line="215" w:lineRule="exact"/>
        <w:rPr>
          <w:sz w:val="20"/>
          <w:szCs w:val="20"/>
          <w:color w:val="auto"/>
        </w:rPr>
      </w:pPr>
    </w:p>
    <w:p>
      <w:pPr>
        <w:ind w:left="260" w:right="20"/>
        <w:spacing w:after="0" w:line="287"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7" w:name="page88"/>
    <w:bookmarkEnd w:id="87"/>
    <w:p>
      <w:pPr>
        <w:jc w:val="both"/>
        <w:spacing w:after="0" w:line="252" w:lineRule="auto"/>
        <w:rPr>
          <w:sz w:val="20"/>
          <w:szCs w:val="20"/>
          <w:color w:val="auto"/>
        </w:rPr>
      </w:pPr>
      <w:r>
        <w:rPr>
          <w:rFonts w:ascii="Arial" w:cs="Arial" w:eastAsia="Arial" w:hAnsi="Arial"/>
          <w:sz w:val="18"/>
          <w:szCs w:val="18"/>
          <w:color w:val="auto"/>
        </w:rPr>
        <w:t>financial condition. In light of the effect COVID-19 is having on demand for air travel and, in turn, capacity, we have seen an increase in demand from consumers for refunds on their tickets, and we anticipate this will continue to be the case for the near future. Requests for refunds may reduce our liquidity and risk triggering liquidity covenants in these processing agreements and, in doing so, could force us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 .</w:t>
      </w:r>
    </w:p>
    <w:p>
      <w:pPr>
        <w:spacing w:after="0" w:line="210"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the first quarter of 2020, we recorded an $815 million impairment charge associated with our decision to retire certain mainline aircraft, principally Boeing 757, Boeing 767, Airbus A330-300 and Embraer 190 aircraft as well as regional aircraft, including certain Embraer 140 and Bombardier CRJ200 aircraft, earlier than previously planned as a result of the decline in demand for air travel due to COVID-19. We can provide no assurance that a material impairment loss of tangible or intangible assets will not occur in a future period, and the risk of future material impairments has been significantly heightened as result of the effects of the COVID-19 pandemic on our flight schedules and business. Such impairment charges could have a material adverse effect on our business, results of operations and financial condition.</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12"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The market price of AAG common stock has fluctuated in the past, and may fluctuate substantially in the future, due to a variety of factors, many of which are beyond our control, including:</w:t>
      </w:r>
    </w:p>
    <w:p>
      <w:pPr>
        <w:spacing w:after="0" w:line="144"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71"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w:t>
      </w:r>
    </w:p>
    <w:p>
      <w:pPr>
        <w:spacing w:after="0" w:line="149"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8" w:name="page89"/>
    <w:bookmarkEnd w:id="88"/>
    <w:p>
      <w:pPr>
        <w:jc w:val="both"/>
        <w:ind w:left="1300" w:hanging="644"/>
        <w:spacing w:after="0" w:line="256"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w:t>
      </w:r>
    </w:p>
    <w:p>
      <w:pPr>
        <w:spacing w:after="0" w:line="147"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trading volume.</w:t>
      </w:r>
    </w:p>
    <w:p>
      <w:pPr>
        <w:spacing w:after="0" w:line="230"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Following the end of those restrictions, if we do decide to make repurchases of or pay dividends on our common stock, we cannot guarantee that we will continue to do so or that our capital deployment program will enhance long-term stockholder value. Our capital deployment program could increase the volatility of the price of our common stock and diminish our cash reserves.</w:t>
      </w:r>
    </w:p>
    <w:p>
      <w:pPr>
        <w:spacing w:after="0" w:line="66"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Since July 2014, as part of our capital deployment program, our Board of Directors has approved seven share repurchase programs aggregating $13.0 billion of authority. As of March 31, 2020 , there was $420 million of remaining authority to repurchase shares under our current $2.0 billion share repurchase program. In connection with our receipt of payroll support under the CARES Act, we agreed not to repurchase shares of AAG common stock through September 30, 2021. If we receive a secured loan from the U.S. Treasury Department pursuant to the CARES Act, we will be prohibited from repurchasing shares of AAG common stock through the date that is one year after such secured loan is fully repaid.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and other relevant factors. Our repurchase of AAG common stock may be limited, suspended or discontinued at any time at our discretion and without prior notice.</w:t>
      </w:r>
    </w:p>
    <w:p>
      <w:pPr>
        <w:spacing w:after="0" w:line="156" w:lineRule="exact"/>
        <w:rPr>
          <w:sz w:val="20"/>
          <w:szCs w:val="20"/>
          <w:color w:val="auto"/>
        </w:rPr>
      </w:pPr>
    </w:p>
    <w:p>
      <w:pPr>
        <w:jc w:val="both"/>
        <w:ind w:firstLine="229"/>
        <w:spacing w:after="0" w:line="251" w:lineRule="auto"/>
        <w:rPr>
          <w:sz w:val="20"/>
          <w:szCs w:val="20"/>
          <w:color w:val="auto"/>
        </w:rPr>
      </w:pPr>
      <w:r>
        <w:rPr>
          <w:rFonts w:ascii="Arial" w:cs="Arial" w:eastAsia="Arial" w:hAnsi="Arial"/>
          <w:sz w:val="18"/>
          <w:szCs w:val="18"/>
          <w:color w:val="auto"/>
        </w:rPr>
        <w:t>Our Board of Directors commenced declaring quarterly cash dividends in July 2014 as part of our capital deployment program. In connection with our receipt of payroll support under the CARES Act, we agreed not to pay dividends on AAG common stock through September 30, 2021. If we receive a secured loan from the U.S. Treasury Department pursuant to the CARES Act, we will be prohibited from paying dividends on AAG common stock through the date that is one year after such secured loan is fully repaid.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12"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 xml:space="preserve">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 </w:t>
      </w:r>
      <w:r>
        <w:rPr>
          <w:rFonts w:ascii="Arial" w:cs="Arial" w:eastAsia="Arial" w:hAnsi="Arial"/>
          <w:sz w:val="18"/>
          <w:szCs w:val="18"/>
          <w:i w:val="1"/>
          <w:iCs w:val="1"/>
          <w:color w:val="auto"/>
        </w:rPr>
        <w:t>Ownership Restrictions</w:t>
      </w:r>
      <w:r>
        <w:rPr>
          <w:rFonts w:ascii="Arial" w:cs="Arial" w:eastAsia="Arial" w:hAnsi="Arial"/>
          <w:sz w:val="18"/>
          <w:szCs w:val="18"/>
          <w:color w:val="auto"/>
        </w:rPr>
        <w:t xml:space="preserve"> " in our 2019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89" w:name="page90"/>
    <w:bookmarkEnd w:id="89"/>
    <w:p>
      <w:pPr>
        <w:ind w:left="260"/>
        <w:spacing w:after="0" w:line="287"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48"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71"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3"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3"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71"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In April 2018, we announced that our Board of Directors authorized a $2.0 billion share repurchase program that will expire on December 31, 2020. Since July 2014, our Board of Directors has approved seven share repurchase programs aggregating $13.0 billion of authority. As of March 31, 2020, there was $420 million of remaining authority to repurchase shares under our current $2.0 billion share repurchase program. In connection with our receipt of financial support under the Payroll Support Program, we agreed not to repurchase shares of AAG common stock through September 30, 2021.</w:t>
      </w:r>
    </w:p>
    <w:p>
      <w:pPr>
        <w:spacing w:after="0" w:line="178" w:lineRule="exact"/>
        <w:rPr>
          <w:sz w:val="20"/>
          <w:szCs w:val="20"/>
          <w:color w:val="auto"/>
        </w:rPr>
      </w:pPr>
    </w:p>
    <w:p>
      <w:pPr>
        <w:jc w:val="both"/>
        <w:ind w:firstLine="216"/>
        <w:spacing w:after="0" w:line="324" w:lineRule="auto"/>
        <w:rPr>
          <w:sz w:val="20"/>
          <w:szCs w:val="20"/>
          <w:color w:val="auto"/>
        </w:rPr>
      </w:pPr>
      <w:r>
        <w:rPr>
          <w:rFonts w:ascii="Arial" w:cs="Arial" w:eastAsia="Arial" w:hAnsi="Arial"/>
          <w:sz w:val="18"/>
          <w:szCs w:val="18"/>
          <w:color w:val="auto"/>
        </w:rPr>
        <w:t>The following table displays information with respect to our purchases of shares of AAG common stock during the three months ended March 31, 2020 .</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Maximum dollar value of shares</w:t>
            </w: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purchased as part of</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that may be purchased under</w:t>
            </w: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Total number of</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price</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publicly announced</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the plan or program</w:t>
            </w:r>
          </w:p>
        </w:tc>
      </w:tr>
      <w:tr>
        <w:trPr>
          <w:trHeight w:val="196"/>
        </w:trPr>
        <w:tc>
          <w:tcPr>
            <w:tcW w:w="258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CCEEFF"/>
            </w:tcBorders>
          </w:tcPr>
          <w:p>
            <w:pPr>
              <w:spacing w:after="0"/>
              <w:rPr>
                <w:sz w:val="17"/>
                <w:szCs w:val="17"/>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 or program</w:t>
            </w:r>
          </w:p>
        </w:tc>
        <w:tc>
          <w:tcPr>
            <w:tcW w:w="120" w:type="dxa"/>
            <w:vAlign w:val="bottom"/>
            <w:tcBorders>
              <w:bottom w:val="single" w:sz="8" w:color="CCEEFF"/>
            </w:tcBorders>
          </w:tcPr>
          <w:p>
            <w:pPr>
              <w:spacing w:after="0"/>
              <w:rPr>
                <w:sz w:val="17"/>
                <w:szCs w:val="17"/>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1,129,820</w:t>
            </w:r>
          </w:p>
        </w:tc>
        <w:tc>
          <w:tcPr>
            <w:tcW w:w="340" w:type="dxa"/>
            <w:vAlign w:val="bottom"/>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22"/>
                <w:szCs w:val="22"/>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1,129,820</w:t>
            </w:r>
          </w:p>
        </w:tc>
        <w:tc>
          <w:tcPr>
            <w:tcW w:w="120" w:type="dxa"/>
            <w:vAlign w:val="bottom"/>
            <w:shd w:val="clear" w:color="auto" w:fill="CCEEFF"/>
          </w:tcPr>
          <w:p>
            <w:pPr>
              <w:spacing w:after="0"/>
              <w:rPr>
                <w:sz w:val="22"/>
                <w:szCs w:val="22"/>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$534</w:t>
            </w:r>
          </w:p>
        </w:tc>
      </w:tr>
      <w:tr>
        <w:trPr>
          <w:trHeight w:val="263"/>
        </w:trPr>
        <w:tc>
          <w:tcPr>
            <w:tcW w:w="2700" w:type="dxa"/>
            <w:vAlign w:val="bottom"/>
            <w:gridSpan w:val="2"/>
          </w:tcPr>
          <w:p>
            <w:pPr>
              <w:ind w:left="40"/>
              <w:spacing w:after="0"/>
              <w:rPr>
                <w:sz w:val="20"/>
                <w:szCs w:val="20"/>
                <w:color w:val="auto"/>
              </w:rPr>
            </w:pPr>
            <w:r>
              <w:rPr>
                <w:rFonts w:ascii="Arial" w:cs="Arial" w:eastAsia="Arial" w:hAnsi="Arial"/>
                <w:sz w:val="18"/>
                <w:szCs w:val="18"/>
                <w:color w:val="auto"/>
              </w:rPr>
              <w:t>February 2020</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2,912,400</w:t>
            </w:r>
          </w:p>
        </w:tc>
        <w:tc>
          <w:tcPr>
            <w:tcW w:w="34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2"/>
                <w:szCs w:val="22"/>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2,912,400</w:t>
            </w:r>
          </w:p>
        </w:tc>
        <w:tc>
          <w:tcPr>
            <w:tcW w:w="120" w:type="dxa"/>
            <w:vAlign w:val="bottom"/>
          </w:tcPr>
          <w:p>
            <w:pPr>
              <w:spacing w:after="0"/>
              <w:rPr>
                <w:sz w:val="22"/>
                <w:szCs w:val="22"/>
                <w:color w:val="auto"/>
              </w:rPr>
            </w:pPr>
          </w:p>
        </w:tc>
        <w:tc>
          <w:tcPr>
            <w:tcW w:w="2660" w:type="dxa"/>
            <w:vAlign w:val="bottom"/>
          </w:tcPr>
          <w:p>
            <w:pPr>
              <w:jc w:val="center"/>
              <w:spacing w:after="0"/>
              <w:rPr>
                <w:sz w:val="20"/>
                <w:szCs w:val="20"/>
                <w:color w:val="auto"/>
              </w:rPr>
            </w:pPr>
            <w:r>
              <w:rPr>
                <w:rFonts w:ascii="Arial" w:cs="Arial" w:eastAsia="Arial" w:hAnsi="Arial"/>
                <w:sz w:val="18"/>
                <w:szCs w:val="18"/>
                <w:color w:val="auto"/>
                <w:w w:val="99"/>
              </w:rPr>
              <w:t>$460</w:t>
            </w:r>
          </w:p>
        </w:tc>
      </w:tr>
      <w:tr>
        <w:trPr>
          <w:trHeight w:val="277"/>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2020</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2,335,805</w:t>
            </w:r>
          </w:p>
        </w:tc>
        <w:tc>
          <w:tcPr>
            <w:tcW w:w="34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2,335,805</w:t>
            </w:r>
          </w:p>
        </w:tc>
        <w:tc>
          <w:tcPr>
            <w:tcW w:w="120" w:type="dxa"/>
            <w:vAlign w:val="bottom"/>
            <w:shd w:val="clear" w:color="auto" w:fill="CCEEFF"/>
          </w:tcPr>
          <w:p>
            <w:pPr>
              <w:spacing w:after="0"/>
              <w:rPr>
                <w:sz w:val="24"/>
                <w:szCs w:val="24"/>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ind w:left="152"/>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112"/>
        <w:spacing w:after="0"/>
        <w:rPr>
          <w:sz w:val="20"/>
          <w:szCs w:val="20"/>
          <w:color w:val="auto"/>
        </w:rPr>
      </w:pPr>
      <w:r>
        <w:rPr>
          <w:rFonts w:ascii="Arial" w:cs="Arial" w:eastAsia="Arial" w:hAnsi="Arial"/>
          <w:sz w:val="14"/>
          <w:szCs w:val="14"/>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88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89" w:lineRule="exact"/>
        <w:rPr>
          <w:sz w:val="20"/>
          <w:szCs w:val="20"/>
          <w:color w:val="auto"/>
        </w:rPr>
      </w:pPr>
    </w:p>
    <w:p>
      <w:pPr>
        <w:sectPr>
          <w:pgSz w:w="11900" w:h="16838" w:orient="portrait"/>
          <w:cols w:equalWidth="0" w:num="2">
            <w:col w:w="4832" w:space="720"/>
            <w:col w:w="5680"/>
          </w:cols>
          <w:pgMar w:left="328" w:top="882" w:right="339" w:bottom="1440" w:gutter="0" w:footer="0" w:header="0"/>
        </w:sectPr>
      </w:pPr>
    </w:p>
    <w:p>
      <w:pPr>
        <w:jc w:val="both"/>
        <w:ind w:left="812" w:right="140" w:hanging="782"/>
        <w:spacing w:after="0"/>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92">
        <w:r>
          <w:rPr>
            <w:rFonts w:ascii="Arial" w:cs="Arial" w:eastAsia="Arial" w:hAnsi="Arial"/>
            <w:sz w:val="18"/>
            <w:szCs w:val="18"/>
            <w:u w:val="single" w:color="auto"/>
            <w:color w:val="0000FF"/>
          </w:rPr>
          <w:t>Indenture, dated as of February 25, 2020, by and among American Airlines Group Inc., the Guarantor (as defined therein) and</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Wilmington Trust, National Association, as trustee (incorporated by reference to Exhibit 4.1 to AAG's Current Report on Form 8-K</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filed on February 26, 2020 (Commission File No. 1-8400)).</w:t>
        </w:r>
      </w:hyperlink>
    </w:p>
    <w:p>
      <w:pPr>
        <w:spacing w:after="0" w:line="41" w:lineRule="exact"/>
        <w:rPr>
          <w:rFonts w:ascii="Arial" w:cs="Arial" w:eastAsia="Arial" w:hAnsi="Arial"/>
          <w:sz w:val="18"/>
          <w:szCs w:val="18"/>
          <w:u w:val="single" w:color="auto"/>
          <w:color w:val="0000FF"/>
        </w:rPr>
      </w:pPr>
    </w:p>
    <w:p>
      <w:pPr>
        <w:jc w:val="both"/>
        <w:ind w:left="812" w:right="140" w:hanging="782"/>
        <w:spacing w:after="0" w:line="246" w:lineRule="auto"/>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92">
        <w:r>
          <w:rPr>
            <w:rFonts w:ascii="Arial" w:cs="Arial" w:eastAsia="Arial" w:hAnsi="Arial"/>
            <w:sz w:val="18"/>
            <w:szCs w:val="18"/>
            <w:u w:val="single" w:color="auto"/>
            <w:color w:val="0000FF"/>
          </w:rPr>
          <w:t>Form of 3.75% Senior Notes due 2025 (incorporated by reference to Exhibit A to Exhibit 4.1 to AAG's Current Report on Form 8-</w:t>
        </w:r>
      </w:hyperlink>
      <w:hyperlink r:id="rId192">
        <w:r>
          <w:rPr>
            <w:rFonts w:ascii="Arial" w:cs="Arial" w:eastAsia="Arial" w:hAnsi="Arial"/>
            <w:sz w:val="18"/>
            <w:szCs w:val="18"/>
            <w:u w:val="single" w:color="auto"/>
            <w:color w:val="0000FF"/>
          </w:rPr>
          <w:t>K filed on February 26, 2020 (Commission File No. 1-8400)).</w:t>
        </w:r>
      </w:hyperlink>
    </w:p>
    <w:p>
      <w:pPr>
        <w:spacing w:after="0" w:line="35" w:lineRule="exact"/>
        <w:rPr>
          <w:sz w:val="20"/>
          <w:szCs w:val="20"/>
          <w:color w:val="auto"/>
        </w:rPr>
      </w:pPr>
    </w:p>
    <w:p>
      <w:pPr>
        <w:jc w:val="both"/>
        <w:ind w:left="812" w:right="140" w:hanging="782"/>
        <w:spacing w:after="0" w:line="246" w:lineRule="auto"/>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w:anchor="page93">
        <w:r>
          <w:rPr>
            <w:rFonts w:ascii="Arial" w:cs="Arial" w:eastAsia="Arial" w:hAnsi="Arial"/>
            <w:sz w:val="18"/>
            <w:szCs w:val="18"/>
            <w:u w:val="single" w:color="auto"/>
            <w:color w:val="0000FF"/>
          </w:rPr>
          <w:t>Warrant Agreement, dated as of April 20, 2020, between American Airlines Group, Inc. and the United States Department of the</w:t>
        </w:r>
      </w:hyperlink>
      <w:r>
        <w:rPr>
          <w:rFonts w:ascii="Arial" w:cs="Arial" w:eastAsia="Arial" w:hAnsi="Arial"/>
          <w:sz w:val="18"/>
          <w:szCs w:val="18"/>
          <w:u w:val="single" w:color="auto"/>
          <w:color w:val="0000FF"/>
        </w:rPr>
        <w:t xml:space="preserve"> </w:t>
      </w:r>
      <w:hyperlink w:anchor="page93">
        <w:r>
          <w:rPr>
            <w:rFonts w:ascii="Arial" w:cs="Arial" w:eastAsia="Arial" w:hAnsi="Arial"/>
            <w:sz w:val="18"/>
            <w:szCs w:val="18"/>
            <w:u w:val="single" w:color="auto"/>
            <w:color w:val="0000FF"/>
          </w:rPr>
          <w:t>Treasury.</w:t>
        </w:r>
      </w:hyperlink>
    </w:p>
    <w:p>
      <w:pPr>
        <w:spacing w:after="0" w:line="35" w:lineRule="exact"/>
        <w:rPr>
          <w:sz w:val="20"/>
          <w:szCs w:val="20"/>
          <w:color w:val="auto"/>
        </w:rPr>
      </w:pPr>
    </w:p>
    <w:p>
      <w:pPr>
        <w:ind w:left="32"/>
        <w:spacing w:after="0"/>
        <w:tabs>
          <w:tab w:leader="none" w:pos="792" w:val="left"/>
        </w:tabs>
        <w:rPr>
          <w:rFonts w:ascii="Arial" w:cs="Arial" w:eastAsia="Arial" w:hAnsi="Arial"/>
          <w:sz w:val="17"/>
          <w:szCs w:val="17"/>
          <w:u w:val="single" w:color="auto"/>
          <w:color w:val="0000FF"/>
        </w:rPr>
      </w:pPr>
      <w:r>
        <w:rPr>
          <w:rFonts w:ascii="Arial" w:cs="Arial" w:eastAsia="Arial" w:hAnsi="Arial"/>
          <w:sz w:val="18"/>
          <w:szCs w:val="18"/>
          <w:color w:val="auto"/>
        </w:rPr>
        <w:t>4.4</w:t>
      </w:r>
      <w:r>
        <w:rPr>
          <w:sz w:val="20"/>
          <w:szCs w:val="20"/>
          <w:color w:val="auto"/>
        </w:rPr>
        <w:tab/>
      </w:r>
      <w:hyperlink w:anchor="page93">
        <w:r>
          <w:rPr>
            <w:rFonts w:ascii="Arial" w:cs="Arial" w:eastAsia="Arial" w:hAnsi="Arial"/>
            <w:sz w:val="17"/>
            <w:szCs w:val="17"/>
            <w:u w:val="single" w:color="auto"/>
            <w:color w:val="0000FF"/>
          </w:rPr>
          <w:t>Form of Warrant (incorporated by reference to Annex B to Exhibit 4.3).</w:t>
        </w:r>
      </w:hyperlink>
    </w:p>
    <w:p>
      <w:pPr>
        <w:spacing w:after="0" w:line="45" w:lineRule="exact"/>
        <w:rPr>
          <w:sz w:val="20"/>
          <w:szCs w:val="20"/>
          <w:color w:val="auto"/>
        </w:rPr>
      </w:pPr>
    </w:p>
    <w:p>
      <w:pPr>
        <w:ind w:left="32"/>
        <w:spacing w:after="0"/>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143">
        <w:r>
          <w:rPr>
            <w:rFonts w:ascii="Arial" w:cs="Arial" w:eastAsia="Arial" w:hAnsi="Arial"/>
            <w:sz w:val="18"/>
            <w:szCs w:val="18"/>
            <w:u w:val="single" w:color="auto"/>
            <w:color w:val="0000FF"/>
          </w:rPr>
          <w:t>Supplemental Agreement No. 14, dated as of February 24, 2020, to Purchase Agreement No. 3219 dated as of October 15,</w:t>
        </w:r>
      </w:hyperlink>
    </w:p>
    <w:p>
      <w:pPr>
        <w:ind w:left="812"/>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2008, by and between American Airlines, Inc. and The Boeing Company.*</w:t>
        </w:r>
      </w:hyperlink>
    </w:p>
    <w:p>
      <w:pPr>
        <w:spacing w:after="0" w:line="50" w:lineRule="exact"/>
        <w:rPr>
          <w:sz w:val="20"/>
          <w:szCs w:val="20"/>
          <w:color w:val="auto"/>
        </w:rPr>
      </w:pPr>
    </w:p>
    <w:p>
      <w:pPr>
        <w:jc w:val="both"/>
        <w:ind w:left="812" w:right="140" w:hanging="782"/>
        <w:spacing w:after="0" w:line="246" w:lineRule="auto"/>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w:anchor="page147">
        <w:r>
          <w:rPr>
            <w:rFonts w:ascii="Arial" w:cs="Arial" w:eastAsia="Arial" w:hAnsi="Arial"/>
            <w:sz w:val="18"/>
            <w:szCs w:val="18"/>
            <w:u w:val="single" w:color="auto"/>
            <w:color w:val="0000FF"/>
          </w:rPr>
          <w:t>Supplemental Agreement No. 15, dated as of March 16, 2020, to Purchase Agreement No. 3219 dated as of October 15, 2008,</w:t>
        </w:r>
      </w:hyperlink>
      <w:r>
        <w:rPr>
          <w:rFonts w:ascii="Arial" w:cs="Arial" w:eastAsia="Arial" w:hAnsi="Arial"/>
          <w:sz w:val="18"/>
          <w:szCs w:val="18"/>
          <w:u w:val="single" w:color="auto"/>
          <w:color w:val="0000FF"/>
        </w:rPr>
        <w:t xml:space="preserve"> </w:t>
      </w:r>
      <w:hyperlink w:anchor="page147">
        <w:r>
          <w:rPr>
            <w:rFonts w:ascii="Arial" w:cs="Arial" w:eastAsia="Arial" w:hAnsi="Arial"/>
            <w:sz w:val="18"/>
            <w:szCs w:val="18"/>
            <w:u w:val="single" w:color="auto"/>
            <w:color w:val="0000FF"/>
          </w:rPr>
          <w:t>by and between American Airlines, Inc. and The Boeing Company.*</w:t>
        </w:r>
      </w:hyperlink>
    </w:p>
    <w:p>
      <w:pPr>
        <w:spacing w:after="0" w:line="35" w:lineRule="exact"/>
        <w:rPr>
          <w:sz w:val="20"/>
          <w:szCs w:val="20"/>
          <w:color w:val="auto"/>
        </w:rPr>
      </w:pPr>
    </w:p>
    <w:p>
      <w:pPr>
        <w:jc w:val="both"/>
        <w:ind w:left="812" w:right="140" w:hanging="782"/>
        <w:spacing w:after="0" w:line="238" w:lineRule="auto"/>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w:anchor="page170">
        <w:r>
          <w:rPr>
            <w:rFonts w:ascii="Arial" w:cs="Arial" w:eastAsia="Arial" w:hAnsi="Arial"/>
            <w:sz w:val="18"/>
            <w:szCs w:val="18"/>
            <w:u w:val="single" w:color="auto"/>
            <w:color w:val="0000FF"/>
          </w:rPr>
          <w:t>Eighth Amendment to the Amended and Restated Credit and Guaranty Agreement, dated as of January 29, 2020, amending the</w:t>
        </w:r>
      </w:hyperlink>
      <w:r>
        <w:rPr>
          <w:rFonts w:ascii="Arial" w:cs="Arial" w:eastAsia="Arial" w:hAnsi="Arial"/>
          <w:sz w:val="18"/>
          <w:szCs w:val="18"/>
          <w:u w:val="single" w:color="auto"/>
          <w:color w:val="0000FF"/>
        </w:rPr>
        <w:t xml:space="preserve"> </w:t>
      </w:r>
      <w:hyperlink w:anchor="page170">
        <w:r>
          <w:rPr>
            <w:rFonts w:ascii="Arial" w:cs="Arial" w:eastAsia="Arial" w:hAnsi="Arial"/>
            <w:sz w:val="18"/>
            <w:szCs w:val="18"/>
            <w:u w:val="single" w:color="auto"/>
            <w:color w:val="0000FF"/>
          </w:rPr>
          <w:t>Amended and Restated Credit and Guaranty Agreement, dated as of April 20, 2015, among American Airlines, Inc., American</w:t>
        </w:r>
      </w:hyperlink>
      <w:r>
        <w:rPr>
          <w:rFonts w:ascii="Arial" w:cs="Arial" w:eastAsia="Arial" w:hAnsi="Arial"/>
          <w:sz w:val="18"/>
          <w:szCs w:val="18"/>
          <w:u w:val="single" w:color="auto"/>
          <w:color w:val="0000FF"/>
        </w:rPr>
        <w:t xml:space="preserve"> </w:t>
      </w:r>
      <w:hyperlink w:anchor="page170">
        <w:r>
          <w:rPr>
            <w:rFonts w:ascii="Arial" w:cs="Arial" w:eastAsia="Arial" w:hAnsi="Arial"/>
            <w:sz w:val="18"/>
            <w:szCs w:val="18"/>
            <w:u w:val="single" w:color="auto"/>
            <w:color w:val="0000FF"/>
          </w:rPr>
          <w:t>Airlines Group Inc., the lenders from time to time party thereto, Citibank N.A., as administrative agent, and certain other parties</w:t>
        </w:r>
      </w:hyperlink>
      <w:r>
        <w:rPr>
          <w:rFonts w:ascii="Arial" w:cs="Arial" w:eastAsia="Arial" w:hAnsi="Arial"/>
          <w:sz w:val="18"/>
          <w:szCs w:val="18"/>
          <w:u w:val="single" w:color="auto"/>
          <w:color w:val="0000FF"/>
        </w:rPr>
        <w:t xml:space="preserve"> </w:t>
      </w:r>
      <w:hyperlink w:anchor="page170">
        <w:r>
          <w:rPr>
            <w:rFonts w:ascii="Arial" w:cs="Arial" w:eastAsia="Arial" w:hAnsi="Arial"/>
            <w:sz w:val="18"/>
            <w:szCs w:val="18"/>
            <w:u w:val="single" w:color="auto"/>
            <w:color w:val="0000FF"/>
          </w:rPr>
          <w:t>thereto.</w:t>
        </w:r>
      </w:hyperlink>
    </w:p>
    <w:p>
      <w:pPr>
        <w:spacing w:after="0" w:line="43" w:lineRule="exact"/>
        <w:rPr>
          <w:rFonts w:ascii="Arial" w:cs="Arial" w:eastAsia="Arial" w:hAnsi="Arial"/>
          <w:sz w:val="18"/>
          <w:szCs w:val="18"/>
          <w:u w:val="single" w:color="auto"/>
          <w:color w:val="0000FF"/>
        </w:rPr>
      </w:pPr>
    </w:p>
    <w:p>
      <w:pPr>
        <w:jc w:val="both"/>
        <w:ind w:left="812" w:right="140" w:hanging="782"/>
        <w:spacing w:after="0"/>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w:anchor="page188">
        <w:r>
          <w:rPr>
            <w:rFonts w:ascii="Arial" w:cs="Arial" w:eastAsia="Arial" w:hAnsi="Arial"/>
            <w:sz w:val="18"/>
            <w:szCs w:val="18"/>
            <w:u w:val="single" w:color="auto"/>
            <w:color w:val="0000FF"/>
          </w:rPr>
          <w:t>Credit and Guaranty Agreement, dated as of March 18, 2020, among American Airlines, Inc., as the borrower, American Airlines</w:t>
        </w:r>
      </w:hyperlink>
      <w:r>
        <w:rPr>
          <w:rFonts w:ascii="Arial" w:cs="Arial" w:eastAsia="Arial" w:hAnsi="Arial"/>
          <w:sz w:val="18"/>
          <w:szCs w:val="18"/>
          <w:u w:val="single" w:color="auto"/>
          <w:color w:val="0000FF"/>
        </w:rPr>
        <w:t xml:space="preserve"> </w:t>
      </w:r>
      <w:hyperlink w:anchor="page188">
        <w:r>
          <w:rPr>
            <w:rFonts w:ascii="Arial" w:cs="Arial" w:eastAsia="Arial" w:hAnsi="Arial"/>
            <w:sz w:val="18"/>
            <w:szCs w:val="18"/>
            <w:u w:val="single" w:color="auto"/>
            <w:color w:val="0000FF"/>
          </w:rPr>
          <w:t>Group Inc., as parent and guarantor, the lenders party thereto, Citibank N.A., as administrative agent and collateral agent and</w:t>
        </w:r>
      </w:hyperlink>
      <w:r>
        <w:rPr>
          <w:rFonts w:ascii="Arial" w:cs="Arial" w:eastAsia="Arial" w:hAnsi="Arial"/>
          <w:sz w:val="18"/>
          <w:szCs w:val="18"/>
          <w:u w:val="single" w:color="auto"/>
          <w:color w:val="0000FF"/>
        </w:rPr>
        <w:t xml:space="preserve"> </w:t>
      </w:r>
      <w:hyperlink w:anchor="page188">
        <w:r>
          <w:rPr>
            <w:rFonts w:ascii="Arial" w:cs="Arial" w:eastAsia="Arial" w:hAnsi="Arial"/>
            <w:sz w:val="18"/>
            <w:szCs w:val="18"/>
            <w:u w:val="single" w:color="auto"/>
            <w:color w:val="0000FF"/>
          </w:rPr>
          <w:t>certain other parties thereto.*</w:t>
        </w:r>
      </w:hyperlink>
    </w:p>
    <w:p>
      <w:pPr>
        <w:spacing w:after="0" w:line="41" w:lineRule="exact"/>
        <w:rPr>
          <w:rFonts w:ascii="Arial" w:cs="Arial" w:eastAsia="Arial" w:hAnsi="Arial"/>
          <w:sz w:val="18"/>
          <w:szCs w:val="18"/>
          <w:u w:val="single" w:color="auto"/>
          <w:color w:val="0000FF"/>
        </w:rPr>
      </w:pPr>
    </w:p>
    <w:p>
      <w:pPr>
        <w:jc w:val="both"/>
        <w:ind w:left="812" w:right="140" w:hanging="782"/>
        <w:spacing w:after="0" w:line="246" w:lineRule="auto"/>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w:anchor="page635">
        <w:r>
          <w:rPr>
            <w:rFonts w:ascii="Arial" w:cs="Arial" w:eastAsia="Arial" w:hAnsi="Arial"/>
            <w:sz w:val="18"/>
            <w:szCs w:val="18"/>
            <w:u w:val="single" w:color="auto"/>
            <w:color w:val="0000FF"/>
          </w:rPr>
          <w:t>Payroll Support Program Agreement, dated as of April 20, 2020, between American Airlines, Inc. and the United States</w:t>
        </w:r>
      </w:hyperlink>
      <w:r>
        <w:rPr>
          <w:rFonts w:ascii="Arial" w:cs="Arial" w:eastAsia="Arial" w:hAnsi="Arial"/>
          <w:sz w:val="18"/>
          <w:szCs w:val="18"/>
          <w:u w:val="single" w:color="auto"/>
          <w:color w:val="0000FF"/>
        </w:rPr>
        <w:t xml:space="preserve"> </w:t>
      </w:r>
      <w:hyperlink w:anchor="page635">
        <w:r>
          <w:rPr>
            <w:rFonts w:ascii="Arial" w:cs="Arial" w:eastAsia="Arial" w:hAnsi="Arial"/>
            <w:sz w:val="18"/>
            <w:szCs w:val="18"/>
            <w:u w:val="single" w:color="auto"/>
            <w:color w:val="0000FF"/>
          </w:rPr>
          <w:t>Department of the Treasury.</w:t>
        </w:r>
      </w:hyperlink>
    </w:p>
    <w:p>
      <w:pPr>
        <w:spacing w:after="0" w:line="35" w:lineRule="exact"/>
        <w:rPr>
          <w:sz w:val="20"/>
          <w:szCs w:val="20"/>
          <w:color w:val="auto"/>
        </w:rPr>
      </w:pPr>
    </w:p>
    <w:p>
      <w:pPr>
        <w:jc w:val="both"/>
        <w:ind w:left="812" w:right="140" w:hanging="782"/>
        <w:spacing w:after="0"/>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w:anchor="page651">
        <w:r>
          <w:rPr>
            <w:rFonts w:ascii="Arial" w:cs="Arial" w:eastAsia="Arial" w:hAnsi="Arial"/>
            <w:sz w:val="18"/>
            <w:szCs w:val="18"/>
            <w:u w:val="single" w:color="auto"/>
            <w:color w:val="0000FF"/>
          </w:rPr>
          <w:t>Promissory Note, dated as of April 20, 2020, issued by American Airlines Group Inc. in the name of the United States</w:t>
        </w:r>
      </w:hyperlink>
      <w:r>
        <w:rPr>
          <w:rFonts w:ascii="Arial" w:cs="Arial" w:eastAsia="Arial" w:hAnsi="Arial"/>
          <w:sz w:val="18"/>
          <w:szCs w:val="18"/>
          <w:u w:val="single" w:color="auto"/>
          <w:color w:val="0000FF"/>
        </w:rPr>
        <w:t xml:space="preserve"> </w:t>
      </w:r>
      <w:hyperlink w:anchor="page651">
        <w:r>
          <w:rPr>
            <w:rFonts w:ascii="Arial" w:cs="Arial" w:eastAsia="Arial" w:hAnsi="Arial"/>
            <w:sz w:val="18"/>
            <w:szCs w:val="18"/>
            <w:u w:val="single" w:color="auto"/>
            <w:color w:val="0000FF"/>
          </w:rPr>
          <w:t>Department of the Treasury and guaranteed by American Airlines, Inc., Envoy Air Inc., Piedmont Airlines, Inc. and PSA Airlines,</w:t>
        </w:r>
      </w:hyperlink>
      <w:r>
        <w:rPr>
          <w:rFonts w:ascii="Arial" w:cs="Arial" w:eastAsia="Arial" w:hAnsi="Arial"/>
          <w:sz w:val="18"/>
          <w:szCs w:val="18"/>
          <w:u w:val="single" w:color="auto"/>
          <w:color w:val="0000FF"/>
        </w:rPr>
        <w:t xml:space="preserve"> </w:t>
      </w:r>
      <w:hyperlink w:anchor="page651">
        <w:r>
          <w:rPr>
            <w:rFonts w:ascii="Arial" w:cs="Arial" w:eastAsia="Arial" w:hAnsi="Arial"/>
            <w:sz w:val="18"/>
            <w:szCs w:val="18"/>
            <w:u w:val="single" w:color="auto"/>
            <w:color w:val="0000FF"/>
          </w:rPr>
          <w:t>Inc.</w:t>
        </w:r>
      </w:hyperlink>
    </w:p>
    <w:p>
      <w:pPr>
        <w:spacing w:after="0" w:line="41" w:lineRule="exact"/>
        <w:rPr>
          <w:rFonts w:ascii="Arial" w:cs="Arial" w:eastAsia="Arial" w:hAnsi="Arial"/>
          <w:sz w:val="18"/>
          <w:szCs w:val="18"/>
          <w:u w:val="single" w:color="auto"/>
          <w:color w:val="0000FF"/>
        </w:rPr>
      </w:pPr>
    </w:p>
    <w:p>
      <w:pPr>
        <w:ind w:left="32"/>
        <w:spacing w:after="0"/>
        <w:tabs>
          <w:tab w:leader="none" w:pos="792"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668">
        <w:r>
          <w:rPr>
            <w:rFonts w:ascii="Arial" w:cs="Arial" w:eastAsia="Arial" w:hAnsi="Arial"/>
            <w:sz w:val="17"/>
            <w:szCs w:val="17"/>
            <w:u w:val="single" w:color="auto"/>
            <w:color w:val="0000FF"/>
          </w:rPr>
          <w:t>Certification of AAG Chief Executive Officer pursuant to Rule 13a-14(a).</w:t>
        </w:r>
      </w:hyperlink>
    </w:p>
    <w:p>
      <w:pPr>
        <w:spacing w:after="0" w:line="50" w:lineRule="exact"/>
        <w:rPr>
          <w:rFonts w:ascii="Arial" w:cs="Arial" w:eastAsia="Arial" w:hAnsi="Arial"/>
          <w:sz w:val="18"/>
          <w:szCs w:val="18"/>
          <w:u w:val="single" w:color="auto"/>
          <w:color w:val="0000FF"/>
        </w:rPr>
      </w:pPr>
    </w:p>
    <w:p>
      <w:pPr>
        <w:ind w:left="32"/>
        <w:spacing w:after="0"/>
        <w:tabs>
          <w:tab w:leader="none" w:pos="792"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669">
        <w:r>
          <w:rPr>
            <w:rFonts w:ascii="Arial" w:cs="Arial" w:eastAsia="Arial" w:hAnsi="Arial"/>
            <w:sz w:val="17"/>
            <w:szCs w:val="17"/>
            <w:u w:val="single" w:color="auto"/>
            <w:color w:val="0000FF"/>
          </w:rPr>
          <w:t>Certification of AAG Chief Financial Officer pursuant to Rule 13a-14(a).</w:t>
        </w:r>
      </w:hyperlink>
    </w:p>
    <w:p>
      <w:pPr>
        <w:spacing w:after="0" w:line="50" w:lineRule="exact"/>
        <w:rPr>
          <w:rFonts w:ascii="Arial" w:cs="Arial" w:eastAsia="Arial" w:hAnsi="Arial"/>
          <w:sz w:val="18"/>
          <w:szCs w:val="18"/>
          <w:u w:val="single" w:color="auto"/>
          <w:color w:val="0000FF"/>
        </w:rPr>
      </w:pPr>
    </w:p>
    <w:p>
      <w:pPr>
        <w:ind w:left="32"/>
        <w:spacing w:after="0"/>
        <w:tabs>
          <w:tab w:leader="none" w:pos="792" w:val="left"/>
        </w:tabs>
        <w:rPr>
          <w:rFonts w:ascii="Arial" w:cs="Arial" w:eastAsia="Arial" w:hAnsi="Arial"/>
          <w:sz w:val="17"/>
          <w:szCs w:val="17"/>
          <w:u w:val="single" w:color="auto"/>
          <w:color w:val="0000FF"/>
        </w:rPr>
      </w:pPr>
      <w:r>
        <w:rPr>
          <w:rFonts w:ascii="Arial" w:cs="Arial" w:eastAsia="Arial" w:hAnsi="Arial"/>
          <w:sz w:val="18"/>
          <w:szCs w:val="18"/>
          <w:color w:val="auto"/>
        </w:rPr>
        <w:t>31.3</w:t>
      </w:r>
      <w:r>
        <w:rPr>
          <w:sz w:val="20"/>
          <w:szCs w:val="20"/>
          <w:color w:val="auto"/>
        </w:rPr>
        <w:tab/>
      </w:r>
      <w:hyperlink w:anchor="page670">
        <w:r>
          <w:rPr>
            <w:rFonts w:ascii="Arial" w:cs="Arial" w:eastAsia="Arial" w:hAnsi="Arial"/>
            <w:sz w:val="17"/>
            <w:szCs w:val="17"/>
            <w:u w:val="single" w:color="auto"/>
            <w:color w:val="0000FF"/>
          </w:rPr>
          <w:t>Certification of American Chief Executive Officer pursuant to Rule 13a-14(a).</w:t>
        </w:r>
      </w:hyperlink>
    </w:p>
    <w:p>
      <w:pPr>
        <w:spacing w:after="0" w:line="50" w:lineRule="exact"/>
        <w:rPr>
          <w:rFonts w:ascii="Arial" w:cs="Arial" w:eastAsia="Arial" w:hAnsi="Arial"/>
          <w:sz w:val="18"/>
          <w:szCs w:val="18"/>
          <w:u w:val="single" w:color="auto"/>
          <w:color w:val="0000FF"/>
        </w:rPr>
      </w:pPr>
    </w:p>
    <w:p>
      <w:pPr>
        <w:ind w:left="32"/>
        <w:spacing w:after="0"/>
        <w:tabs>
          <w:tab w:leader="none" w:pos="792"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hyperlink w:anchor="page671">
        <w:r>
          <w:rPr>
            <w:rFonts w:ascii="Arial" w:cs="Arial" w:eastAsia="Arial" w:hAnsi="Arial"/>
            <w:sz w:val="17"/>
            <w:szCs w:val="17"/>
            <w:u w:val="single" w:color="auto"/>
            <w:color w:val="0000FF"/>
          </w:rPr>
          <w:t>Certification of American Chief Financial Officer pursuant to Rule 13a-14(a)</w:t>
        </w:r>
        <w:r>
          <w:rPr>
            <w:rFonts w:ascii="Arial" w:cs="Arial" w:eastAsia="Arial" w:hAnsi="Arial"/>
            <w:sz w:val="17"/>
            <w:szCs w:val="17"/>
            <w:color w:val="0000FF"/>
          </w:rPr>
          <w:t>.</w:t>
        </w:r>
      </w:hyperlink>
    </w:p>
    <w:p>
      <w:pPr>
        <w:spacing w:after="0" w:line="50" w:lineRule="exact"/>
        <w:rPr>
          <w:rFonts w:ascii="Arial" w:cs="Arial" w:eastAsia="Arial" w:hAnsi="Arial"/>
          <w:sz w:val="18"/>
          <w:szCs w:val="18"/>
          <w:u w:val="single" w:color="auto"/>
          <w:color w:val="0000FF"/>
        </w:rPr>
      </w:pPr>
    </w:p>
    <w:p>
      <w:pPr>
        <w:jc w:val="both"/>
        <w:ind w:left="812" w:right="140" w:hanging="782"/>
        <w:spacing w:after="0" w:line="246" w:lineRule="auto"/>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672">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672">
        <w:r>
          <w:rPr>
            <w:rFonts w:ascii="Arial" w:cs="Arial" w:eastAsia="Arial" w:hAnsi="Arial"/>
            <w:sz w:val="18"/>
            <w:szCs w:val="18"/>
            <w:u w:val="single" w:color="auto"/>
            <w:color w:val="0000FF"/>
          </w:rPr>
          <w:t>section 1350, chapter 63 of title 18, United States Code).</w:t>
        </w:r>
      </w:hyperlink>
    </w:p>
    <w:p>
      <w:pPr>
        <w:spacing w:after="0" w:line="35" w:lineRule="exact"/>
        <w:rPr>
          <w:sz w:val="20"/>
          <w:szCs w:val="20"/>
          <w:color w:val="auto"/>
        </w:rPr>
      </w:pPr>
    </w:p>
    <w:p>
      <w:pPr>
        <w:jc w:val="both"/>
        <w:ind w:left="812" w:right="140" w:hanging="782"/>
        <w:spacing w:after="0" w:line="246" w:lineRule="auto"/>
        <w:tabs>
          <w:tab w:leader="none" w:pos="792"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673">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673">
        <w:r>
          <w:rPr>
            <w:rFonts w:ascii="Arial" w:cs="Arial" w:eastAsia="Arial" w:hAnsi="Arial"/>
            <w:sz w:val="18"/>
            <w:szCs w:val="18"/>
            <w:u w:val="single" w:color="auto"/>
            <w:color w:val="0000FF"/>
          </w:rPr>
          <w:t>section 1350, chapter 63 of title 18, United States Code).</w:t>
        </w:r>
      </w:hyperlink>
    </w:p>
    <w:p>
      <w:pPr>
        <w:spacing w:after="0" w:line="35" w:lineRule="exact"/>
        <w:rPr>
          <w:sz w:val="20"/>
          <w:szCs w:val="20"/>
          <w:color w:val="auto"/>
        </w:rPr>
      </w:pPr>
    </w:p>
    <w:p>
      <w:pPr>
        <w:jc w:val="both"/>
        <w:ind w:left="812" w:right="140" w:hanging="782"/>
        <w:spacing w:after="0" w:line="246" w:lineRule="auto"/>
        <w:tabs>
          <w:tab w:leader="none" w:pos="79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Interactive data files pursuant to Rule 405 of Regulation S-T, formatted in Inline XBRL (eXtensible Business Reporting Language).</w:t>
      </w:r>
    </w:p>
    <w:p>
      <w:pPr>
        <w:spacing w:after="0" w:line="35" w:lineRule="exact"/>
        <w:rPr>
          <w:sz w:val="20"/>
          <w:szCs w:val="20"/>
          <w:color w:val="auto"/>
        </w:rPr>
      </w:pPr>
    </w:p>
    <w:p>
      <w:pPr>
        <w:ind w:left="32"/>
        <w:spacing w:after="0"/>
        <w:tabs>
          <w:tab w:leader="none" w:pos="792"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00" w:lineRule="exact"/>
        <w:rPr>
          <w:sz w:val="20"/>
          <w:szCs w:val="20"/>
          <w:color w:val="auto"/>
        </w:rPr>
      </w:pPr>
    </w:p>
    <w:p>
      <w:pPr>
        <w:spacing w:after="0" w:line="363" w:lineRule="exact"/>
        <w:rPr>
          <w:sz w:val="20"/>
          <w:szCs w:val="20"/>
          <w:color w:val="auto"/>
        </w:rPr>
      </w:pPr>
    </w:p>
    <w:p>
      <w:pPr>
        <w:ind w:left="-8" w:firstLine="8"/>
        <w:spacing w:after="0" w:line="225" w:lineRule="auto"/>
        <w:tabs>
          <w:tab w:leader="none" w:pos="64" w:val="left"/>
        </w:tabs>
        <w:numPr>
          <w:ilvl w:val="0"/>
          <w:numId w:val="60"/>
        </w:numPr>
        <w:rPr>
          <w:rFonts w:ascii="Arial" w:cs="Arial" w:eastAsia="Arial" w:hAnsi="Arial"/>
          <w:sz w:val="22"/>
          <w:szCs w:val="22"/>
          <w:color w:val="auto"/>
          <w:vertAlign w:val="superscript"/>
        </w:rPr>
      </w:pPr>
      <w:r>
        <w:rPr>
          <w:rFonts w:ascii="Arial" w:cs="Arial" w:eastAsia="Arial" w:hAnsi="Arial"/>
          <w:sz w:val="18"/>
          <w:szCs w:val="18"/>
          <w:color w:val="auto"/>
        </w:rPr>
        <w:t>Certain confidential information contained in this agreement has been omitted because it (i) is not material and (ii) would be competitively harmful if publicly disclosed.</w:t>
      </w: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82" w:right="339" w:bottom="1440" w:gutter="0" w:footer="0" w:header="0"/>
          <w:type w:val="continuous"/>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Group Inc.</w:t>
      </w:r>
    </w:p>
    <w:p>
      <w:pPr>
        <w:spacing w:after="0" w:line="396" w:lineRule="exact"/>
        <w:rPr>
          <w:sz w:val="20"/>
          <w:szCs w:val="20"/>
          <w:color w:val="auto"/>
        </w:rPr>
      </w:pPr>
    </w:p>
    <w:p>
      <w:pPr>
        <w:ind w:left="40"/>
        <w:spacing w:after="0"/>
        <w:tabs>
          <w:tab w:leader="none" w:pos="4800" w:val="left"/>
          <w:tab w:leader="none" w:pos="544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14605</wp:posOffset>
            </wp:positionV>
            <wp:extent cx="3437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39" w:lineRule="exact"/>
        <w:rPr>
          <w:sz w:val="20"/>
          <w:szCs w:val="20"/>
          <w:color w:val="auto"/>
        </w:rPr>
      </w:pPr>
    </w:p>
    <w:p>
      <w:pPr>
        <w:ind w:firstLine="21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American Airlines, Inc.</w:t>
      </w:r>
    </w:p>
    <w:p>
      <w:pPr>
        <w:spacing w:after="0" w:line="396" w:lineRule="exact"/>
        <w:rPr>
          <w:sz w:val="20"/>
          <w:szCs w:val="20"/>
          <w:color w:val="auto"/>
        </w:rPr>
      </w:pPr>
    </w:p>
    <w:p>
      <w:pPr>
        <w:ind w:left="40"/>
        <w:spacing w:after="0"/>
        <w:tabs>
          <w:tab w:leader="none" w:pos="4800" w:val="left"/>
          <w:tab w:leader="none" w:pos="5440" w:val="left"/>
        </w:tabs>
        <w:rPr>
          <w:sz w:val="20"/>
          <w:szCs w:val="20"/>
          <w:color w:val="auto"/>
        </w:rPr>
      </w:pPr>
      <w:r>
        <w:rPr>
          <w:rFonts w:ascii="Arial" w:cs="Arial" w:eastAsia="Arial" w:hAnsi="Arial"/>
          <w:sz w:val="18"/>
          <w:szCs w:val="18"/>
          <w:color w:val="auto"/>
        </w:rPr>
        <w:t>Date: April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14605</wp:posOffset>
            </wp:positionV>
            <wp:extent cx="3437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549"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4.3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1804670</wp:posOffset>
            </wp:positionV>
            <wp:extent cx="65151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1821815</wp:posOffset>
            </wp:positionV>
            <wp:extent cx="65151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34290</wp:posOffset>
            </wp:positionV>
            <wp:extent cx="65151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-396875</wp:posOffset>
            </wp:positionH>
            <wp:positionV relativeFrom="paragraph">
              <wp:posOffset>51435</wp:posOffset>
            </wp:positionV>
            <wp:extent cx="65151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93" w:name="page94"/>
    <w:bookmarkEnd w:id="93"/>
    <w:p>
      <w:pPr>
        <w:ind w:left="4460"/>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right"/>
        <w:ind w:right="399"/>
        <w:spacing w:after="0"/>
        <w:rPr>
          <w:sz w:val="20"/>
          <w:szCs w:val="20"/>
          <w:color w:val="auto"/>
        </w:rPr>
      </w:pPr>
      <w:r>
        <w:rPr>
          <w:rFonts w:ascii="Arial" w:cs="Arial" w:eastAsia="Arial" w:hAnsi="Arial"/>
          <w:sz w:val="22"/>
          <w:szCs w:val="22"/>
          <w:b w:val="1"/>
          <w:bCs w:val="1"/>
          <w:color w:val="auto"/>
        </w:rPr>
        <w:t>Page</w:t>
      </w:r>
    </w:p>
    <w:p>
      <w:pPr>
        <w:spacing w:after="0" w:line="226"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Closing</w:t>
      </w:r>
    </w:p>
    <w:p>
      <w:pPr>
        <w:spacing w:after="0" w:line="4" w:lineRule="exact"/>
        <w:rPr>
          <w:sz w:val="20"/>
          <w:szCs w:val="20"/>
          <w:color w:val="auto"/>
        </w:rPr>
      </w:pPr>
    </w:p>
    <w:p>
      <w:pPr>
        <w:spacing w:after="0"/>
        <w:tabs>
          <w:tab w:leader="none" w:pos="640" w:val="left"/>
          <w:tab w:leader="dot" w:pos="86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Issuance</w:t>
      </w:r>
      <w:r>
        <w:rPr>
          <w:sz w:val="20"/>
          <w:szCs w:val="20"/>
          <w:color w:val="auto"/>
        </w:rPr>
        <w:tab/>
      </w:r>
      <w:r>
        <w:rPr>
          <w:rFonts w:ascii="Arial" w:cs="Arial" w:eastAsia="Arial" w:hAnsi="Arial"/>
          <w:sz w:val="17"/>
          <w:szCs w:val="17"/>
          <w:color w:val="auto"/>
        </w:rPr>
        <w:t>1</w:t>
      </w:r>
    </w:p>
    <w:p>
      <w:pPr>
        <w:spacing w:after="0" w:line="94" w:lineRule="exact"/>
        <w:rPr>
          <w:sz w:val="20"/>
          <w:szCs w:val="20"/>
          <w:color w:val="auto"/>
        </w:rPr>
      </w:pPr>
    </w:p>
    <w:p>
      <w:pPr>
        <w:spacing w:after="0"/>
        <w:tabs>
          <w:tab w:leader="none" w:pos="640" w:val="left"/>
          <w:tab w:leader="dot" w:pos="86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Initial Closing; Warrant Closing Date.</w:t>
      </w:r>
      <w:r>
        <w:rPr>
          <w:sz w:val="20"/>
          <w:szCs w:val="20"/>
          <w:color w:val="auto"/>
        </w:rPr>
        <w:tab/>
      </w:r>
      <w:r>
        <w:rPr>
          <w:rFonts w:ascii="Arial" w:cs="Arial" w:eastAsia="Arial" w:hAnsi="Arial"/>
          <w:sz w:val="21"/>
          <w:szCs w:val="21"/>
          <w:color w:val="auto"/>
        </w:rPr>
        <w:t>1</w:t>
      </w:r>
    </w:p>
    <w:p>
      <w:pPr>
        <w:spacing w:after="0" w:line="112" w:lineRule="exact"/>
        <w:rPr>
          <w:sz w:val="20"/>
          <w:szCs w:val="20"/>
          <w:color w:val="auto"/>
        </w:rPr>
      </w:pPr>
    </w:p>
    <w:p>
      <w:pPr>
        <w:spacing w:after="0"/>
        <w:tabs>
          <w:tab w:leader="none" w:pos="640" w:val="left"/>
          <w:tab w:leader="dot" w:pos="86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Interpretation</w:t>
      </w:r>
      <w:r>
        <w:rPr>
          <w:sz w:val="20"/>
          <w:szCs w:val="20"/>
          <w:color w:val="auto"/>
        </w:rPr>
        <w:tab/>
      </w:r>
      <w:r>
        <w:rPr>
          <w:rFonts w:ascii="Arial" w:cs="Arial" w:eastAsia="Arial" w:hAnsi="Arial"/>
          <w:sz w:val="17"/>
          <w:szCs w:val="17"/>
          <w:color w:val="auto"/>
        </w:rPr>
        <w:t>2</w:t>
      </w:r>
    </w:p>
    <w:p>
      <w:pPr>
        <w:spacing w:after="0" w:line="36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Representations and Warranties</w:t>
      </w:r>
    </w:p>
    <w:p>
      <w:pPr>
        <w:spacing w:after="0" w:line="4" w:lineRule="exact"/>
        <w:rPr>
          <w:sz w:val="20"/>
          <w:szCs w:val="20"/>
          <w:color w:val="auto"/>
        </w:rPr>
      </w:pPr>
    </w:p>
    <w:p>
      <w:pPr>
        <w:spacing w:after="0"/>
        <w:tabs>
          <w:tab w:leader="none" w:pos="640" w:val="left"/>
          <w:tab w:leader="dot" w:pos="8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Representations and Warranties of the Company</w:t>
      </w:r>
      <w:r>
        <w:rPr>
          <w:sz w:val="20"/>
          <w:szCs w:val="20"/>
          <w:color w:val="auto"/>
        </w:rPr>
        <w:tab/>
      </w:r>
      <w:r>
        <w:rPr>
          <w:rFonts w:ascii="Arial" w:cs="Arial" w:eastAsia="Arial" w:hAnsi="Arial"/>
          <w:sz w:val="17"/>
          <w:szCs w:val="17"/>
          <w:color w:val="auto"/>
        </w:rPr>
        <w:t>3</w:t>
      </w:r>
    </w:p>
    <w:p>
      <w:pPr>
        <w:spacing w:after="0" w:line="350"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Covenants</w:t>
      </w:r>
    </w:p>
    <w:p>
      <w:pPr>
        <w:spacing w:after="0" w:line="4" w:lineRule="exact"/>
        <w:rPr>
          <w:sz w:val="20"/>
          <w:szCs w:val="20"/>
          <w:color w:val="auto"/>
        </w:rPr>
      </w:pPr>
    </w:p>
    <w:p>
      <w:pPr>
        <w:spacing w:after="0"/>
        <w:tabs>
          <w:tab w:leader="none" w:pos="640" w:val="left"/>
          <w:tab w:leader="dot" w:pos="86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Commercially Reasonable Efforts</w:t>
      </w:r>
      <w:r>
        <w:rPr>
          <w:sz w:val="20"/>
          <w:szCs w:val="20"/>
          <w:color w:val="auto"/>
        </w:rPr>
        <w:tab/>
      </w:r>
      <w:r>
        <w:rPr>
          <w:rFonts w:ascii="Arial" w:cs="Arial" w:eastAsia="Arial" w:hAnsi="Arial"/>
          <w:sz w:val="17"/>
          <w:szCs w:val="17"/>
          <w:color w:val="auto"/>
        </w:rPr>
        <w:t>6</w:t>
      </w:r>
    </w:p>
    <w:p>
      <w:pPr>
        <w:spacing w:after="0" w:line="94" w:lineRule="exact"/>
        <w:rPr>
          <w:sz w:val="20"/>
          <w:szCs w:val="20"/>
          <w:color w:val="auto"/>
        </w:rPr>
      </w:pPr>
    </w:p>
    <w:p>
      <w:pPr>
        <w:spacing w:after="0"/>
        <w:tabs>
          <w:tab w:leader="none" w:pos="640" w:val="left"/>
          <w:tab w:leader="dot" w:pos="85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Expenses</w:t>
      </w:r>
      <w:r>
        <w:rPr>
          <w:sz w:val="20"/>
          <w:szCs w:val="20"/>
          <w:color w:val="auto"/>
        </w:rPr>
        <w:tab/>
      </w:r>
      <w:r>
        <w:rPr>
          <w:rFonts w:ascii="Arial" w:cs="Arial" w:eastAsia="Arial" w:hAnsi="Arial"/>
          <w:sz w:val="21"/>
          <w:szCs w:val="21"/>
          <w:color w:val="auto"/>
        </w:rPr>
        <w:t>7</w:t>
      </w:r>
    </w:p>
    <w:p>
      <w:pPr>
        <w:spacing w:after="0" w:line="112" w:lineRule="exact"/>
        <w:rPr>
          <w:sz w:val="20"/>
          <w:szCs w:val="20"/>
          <w:color w:val="auto"/>
        </w:rPr>
      </w:pPr>
    </w:p>
    <w:p>
      <w:pPr>
        <w:spacing w:after="0"/>
        <w:tabs>
          <w:tab w:leader="none" w:pos="640" w:val="left"/>
          <w:tab w:leader="dot" w:pos="86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Sufficiency of Authorized Common Stock; Exchange Listing</w:t>
      </w:r>
      <w:r>
        <w:rPr>
          <w:sz w:val="20"/>
          <w:szCs w:val="20"/>
          <w:color w:val="auto"/>
        </w:rPr>
        <w:tab/>
      </w:r>
      <w:r>
        <w:rPr>
          <w:rFonts w:ascii="Arial" w:cs="Arial" w:eastAsia="Arial" w:hAnsi="Arial"/>
          <w:sz w:val="21"/>
          <w:szCs w:val="21"/>
          <w:color w:val="auto"/>
        </w:rPr>
        <w:t>8</w:t>
      </w:r>
    </w:p>
    <w:p>
      <w:pPr>
        <w:spacing w:after="0" w:line="200" w:lineRule="exact"/>
        <w:rPr>
          <w:sz w:val="20"/>
          <w:szCs w:val="20"/>
          <w:color w:val="auto"/>
        </w:rPr>
      </w:pPr>
    </w:p>
    <w:p>
      <w:pPr>
        <w:spacing w:after="0" w:line="27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Additional Agreements</w:t>
      </w:r>
    </w:p>
    <w:p>
      <w:pPr>
        <w:spacing w:after="0" w:line="4" w:lineRule="exact"/>
        <w:rPr>
          <w:sz w:val="20"/>
          <w:szCs w:val="20"/>
          <w:color w:val="auto"/>
        </w:rPr>
      </w:pPr>
    </w:p>
    <w:p>
      <w:pPr>
        <w:spacing w:after="0"/>
        <w:tabs>
          <w:tab w:leader="none" w:pos="640" w:val="left"/>
          <w:tab w:leader="dot" w:pos="86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Investment</w:t>
      </w:r>
      <w:r>
        <w:rPr>
          <w:sz w:val="20"/>
          <w:szCs w:val="20"/>
          <w:color w:val="auto"/>
        </w:rPr>
        <w:tab/>
      </w:r>
      <w:r>
        <w:rPr>
          <w:rFonts w:ascii="Arial" w:cs="Arial" w:eastAsia="Arial" w:hAnsi="Arial"/>
          <w:sz w:val="17"/>
          <w:szCs w:val="17"/>
          <w:color w:val="auto"/>
        </w:rPr>
        <w:t>8</w:t>
      </w:r>
    </w:p>
    <w:p>
      <w:pPr>
        <w:spacing w:after="0" w:line="94" w:lineRule="exact"/>
        <w:rPr>
          <w:sz w:val="20"/>
          <w:szCs w:val="20"/>
          <w:color w:val="auto"/>
        </w:rPr>
      </w:pPr>
    </w:p>
    <w:p>
      <w:pPr>
        <w:spacing w:after="0"/>
        <w:tabs>
          <w:tab w:leader="none" w:pos="640" w:val="left"/>
          <w:tab w:leader="dot" w:pos="860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color w:val="auto"/>
        </w:rPr>
        <w:t>Legends</w:t>
      </w:r>
      <w:r>
        <w:rPr>
          <w:sz w:val="20"/>
          <w:szCs w:val="20"/>
          <w:color w:val="auto"/>
        </w:rPr>
        <w:tab/>
      </w:r>
      <w:r>
        <w:rPr>
          <w:rFonts w:ascii="Arial" w:cs="Arial" w:eastAsia="Arial" w:hAnsi="Arial"/>
          <w:sz w:val="21"/>
          <w:szCs w:val="21"/>
          <w:color w:val="auto"/>
        </w:rPr>
        <w:t>8</w:t>
      </w:r>
    </w:p>
    <w:p>
      <w:pPr>
        <w:spacing w:after="0" w:line="112" w:lineRule="exact"/>
        <w:rPr>
          <w:sz w:val="20"/>
          <w:szCs w:val="20"/>
          <w:color w:val="auto"/>
        </w:rPr>
      </w:pPr>
    </w:p>
    <w:p>
      <w:pPr>
        <w:spacing w:after="0"/>
        <w:tabs>
          <w:tab w:leader="none" w:pos="640" w:val="left"/>
          <w:tab w:leader="dot" w:pos="86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color w:val="auto"/>
        </w:rPr>
        <w:t>Certain Transactions</w:t>
      </w:r>
      <w:r>
        <w:rPr>
          <w:sz w:val="20"/>
          <w:szCs w:val="20"/>
          <w:color w:val="auto"/>
        </w:rPr>
        <w:tab/>
      </w:r>
      <w:r>
        <w:rPr>
          <w:rFonts w:ascii="Arial" w:cs="Arial" w:eastAsia="Arial" w:hAnsi="Arial"/>
          <w:sz w:val="17"/>
          <w:szCs w:val="17"/>
          <w:color w:val="auto"/>
        </w:rPr>
        <w:t>9</w:t>
      </w:r>
    </w:p>
    <w:p>
      <w:pPr>
        <w:spacing w:after="0" w:line="112" w:lineRule="exact"/>
        <w:rPr>
          <w:sz w:val="20"/>
          <w:szCs w:val="20"/>
          <w:color w:val="auto"/>
        </w:rPr>
      </w:pPr>
    </w:p>
    <w:p>
      <w:pPr>
        <w:spacing w:after="0"/>
        <w:tabs>
          <w:tab w:leader="none" w:pos="640" w:val="left"/>
          <w:tab w:leader="dot" w:pos="860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2"/>
          <w:szCs w:val="22"/>
          <w:color w:val="auto"/>
        </w:rPr>
        <w:t>Transfer of Warrants and Warrant Shares</w:t>
      </w:r>
      <w:r>
        <w:rPr>
          <w:sz w:val="20"/>
          <w:szCs w:val="20"/>
          <w:color w:val="auto"/>
        </w:rPr>
        <w:tab/>
      </w:r>
      <w:r>
        <w:rPr>
          <w:rFonts w:ascii="Arial" w:cs="Arial" w:eastAsia="Arial" w:hAnsi="Arial"/>
          <w:sz w:val="17"/>
          <w:szCs w:val="17"/>
          <w:color w:val="auto"/>
        </w:rPr>
        <w:t>9</w:t>
      </w:r>
    </w:p>
    <w:p>
      <w:pPr>
        <w:spacing w:after="0" w:line="112" w:lineRule="exact"/>
        <w:rPr>
          <w:sz w:val="20"/>
          <w:szCs w:val="20"/>
          <w:color w:val="auto"/>
        </w:rPr>
      </w:pPr>
    </w:p>
    <w:p>
      <w:pPr>
        <w:spacing w:after="0"/>
        <w:tabs>
          <w:tab w:leader="none" w:pos="640" w:val="left"/>
          <w:tab w:leader="dot" w:pos="85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2"/>
          <w:szCs w:val="22"/>
          <w:color w:val="auto"/>
        </w:rPr>
        <w:t>Registration Rights</w:t>
      </w:r>
      <w:r>
        <w:rPr>
          <w:sz w:val="20"/>
          <w:szCs w:val="20"/>
          <w:color w:val="auto"/>
        </w:rPr>
        <w:tab/>
      </w:r>
      <w:r>
        <w:rPr>
          <w:rFonts w:ascii="Arial" w:cs="Arial" w:eastAsia="Arial" w:hAnsi="Arial"/>
          <w:sz w:val="17"/>
          <w:szCs w:val="17"/>
          <w:color w:val="auto"/>
        </w:rPr>
        <w:t>9</w:t>
      </w:r>
    </w:p>
    <w:p>
      <w:pPr>
        <w:spacing w:after="0" w:line="112" w:lineRule="exact"/>
        <w:rPr>
          <w:sz w:val="20"/>
          <w:szCs w:val="20"/>
          <w:color w:val="auto"/>
        </w:rPr>
      </w:pPr>
    </w:p>
    <w:p>
      <w:pPr>
        <w:spacing w:after="0"/>
        <w:tabs>
          <w:tab w:leader="none" w:pos="640" w:val="left"/>
          <w:tab w:leader="dot" w:pos="83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2"/>
          <w:szCs w:val="22"/>
          <w:color w:val="auto"/>
        </w:rPr>
        <w:t>Voting of Warrant Shares</w:t>
      </w:r>
      <w:r>
        <w:rPr>
          <w:sz w:val="20"/>
          <w:szCs w:val="20"/>
          <w:color w:val="auto"/>
        </w:rPr>
        <w:tab/>
      </w:r>
      <w:r>
        <w:rPr>
          <w:rFonts w:ascii="Arial" w:cs="Arial" w:eastAsia="Arial" w:hAnsi="Arial"/>
          <w:sz w:val="19"/>
          <w:szCs w:val="19"/>
          <w:color w:val="auto"/>
        </w:rPr>
        <w:t>21</w:t>
      </w:r>
    </w:p>
    <w:p>
      <w:pPr>
        <w:spacing w:after="0" w:line="200" w:lineRule="exact"/>
        <w:rPr>
          <w:sz w:val="20"/>
          <w:szCs w:val="20"/>
          <w:color w:val="auto"/>
        </w:rPr>
      </w:pPr>
    </w:p>
    <w:p>
      <w:pPr>
        <w:spacing w:after="0" w:line="276"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Miscellaneous</w:t>
      </w:r>
    </w:p>
    <w:p>
      <w:pPr>
        <w:spacing w:after="0" w:line="4" w:lineRule="exact"/>
        <w:rPr>
          <w:sz w:val="20"/>
          <w:szCs w:val="20"/>
          <w:color w:val="auto"/>
        </w:rPr>
      </w:pPr>
    </w:p>
    <w:p>
      <w:pPr>
        <w:spacing w:after="0"/>
        <w:tabs>
          <w:tab w:leader="none" w:pos="640" w:val="left"/>
          <w:tab w:leader="dot" w:pos="83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Survival of Representations and Warranties</w:t>
      </w:r>
      <w:r>
        <w:rPr>
          <w:sz w:val="20"/>
          <w:szCs w:val="20"/>
          <w:color w:val="auto"/>
        </w:rPr>
        <w:tab/>
      </w:r>
      <w:r>
        <w:rPr>
          <w:rFonts w:ascii="Arial" w:cs="Arial" w:eastAsia="Arial" w:hAnsi="Arial"/>
          <w:sz w:val="19"/>
          <w:szCs w:val="19"/>
          <w:color w:val="auto"/>
        </w:rPr>
        <w:t>21</w:t>
      </w:r>
    </w:p>
    <w:p>
      <w:pPr>
        <w:spacing w:after="0" w:line="94" w:lineRule="exact"/>
        <w:rPr>
          <w:sz w:val="20"/>
          <w:szCs w:val="20"/>
          <w:color w:val="auto"/>
        </w:rPr>
      </w:pPr>
    </w:p>
    <w:p>
      <w:pPr>
        <w:spacing w:after="0"/>
        <w:tabs>
          <w:tab w:leader="none" w:pos="640" w:val="left"/>
          <w:tab w:leader="dot" w:pos="830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Amendment</w:t>
      </w:r>
      <w:r>
        <w:rPr>
          <w:sz w:val="20"/>
          <w:szCs w:val="20"/>
          <w:color w:val="auto"/>
        </w:rPr>
        <w:tab/>
      </w:r>
      <w:r>
        <w:rPr>
          <w:rFonts w:ascii="Arial" w:cs="Arial" w:eastAsia="Arial" w:hAnsi="Arial"/>
          <w:sz w:val="17"/>
          <w:szCs w:val="17"/>
          <w:color w:val="auto"/>
        </w:rPr>
        <w:t>21</w:t>
      </w:r>
    </w:p>
    <w:p>
      <w:pPr>
        <w:spacing w:after="0" w:line="112" w:lineRule="exact"/>
        <w:rPr>
          <w:sz w:val="20"/>
          <w:szCs w:val="20"/>
          <w:color w:val="auto"/>
        </w:rPr>
      </w:pPr>
    </w:p>
    <w:p>
      <w:pPr>
        <w:spacing w:after="0"/>
        <w:tabs>
          <w:tab w:leader="none" w:pos="640" w:val="left"/>
          <w:tab w:leader="dot" w:pos="83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Waiver of Conditions</w:t>
      </w:r>
      <w:r>
        <w:rPr>
          <w:sz w:val="20"/>
          <w:szCs w:val="20"/>
          <w:color w:val="auto"/>
        </w:rPr>
        <w:tab/>
      </w:r>
      <w:r>
        <w:rPr>
          <w:rFonts w:ascii="Arial" w:cs="Arial" w:eastAsia="Arial" w:hAnsi="Arial"/>
          <w:sz w:val="19"/>
          <w:szCs w:val="19"/>
          <w:color w:val="auto"/>
        </w:rPr>
        <w:t>21</w:t>
      </w:r>
    </w:p>
    <w:p>
      <w:pPr>
        <w:spacing w:after="0" w:line="106" w:lineRule="exact"/>
        <w:rPr>
          <w:sz w:val="20"/>
          <w:szCs w:val="20"/>
          <w:color w:val="auto"/>
        </w:rPr>
      </w:pPr>
    </w:p>
    <w:p>
      <w:pPr>
        <w:spacing w:after="0"/>
        <w:tabs>
          <w:tab w:leader="none" w:pos="640" w:val="left"/>
          <w:tab w:leader="dot" w:pos="83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b w:val="1"/>
          <w:bCs w:val="1"/>
          <w:color w:val="auto"/>
        </w:rPr>
        <w:t>Governing Law: Submission to Jurisdiction, Etc.</w:t>
      </w:r>
      <w:r>
        <w:rPr>
          <w:sz w:val="20"/>
          <w:szCs w:val="20"/>
          <w:color w:val="auto"/>
        </w:rPr>
        <w:tab/>
      </w:r>
      <w:r>
        <w:rPr>
          <w:rFonts w:ascii="Arial" w:cs="Arial" w:eastAsia="Arial" w:hAnsi="Arial"/>
          <w:sz w:val="19"/>
          <w:szCs w:val="19"/>
          <w:color w:val="auto"/>
        </w:rPr>
        <w:t>21</w:t>
      </w:r>
    </w:p>
    <w:p>
      <w:pPr>
        <w:spacing w:after="0" w:line="118" w:lineRule="exact"/>
        <w:rPr>
          <w:sz w:val="20"/>
          <w:szCs w:val="20"/>
          <w:color w:val="auto"/>
        </w:rPr>
      </w:pPr>
    </w:p>
    <w:p>
      <w:pPr>
        <w:spacing w:after="0"/>
        <w:tabs>
          <w:tab w:leader="none" w:pos="640" w:val="left"/>
          <w:tab w:leader="dot" w:pos="83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color w:val="auto"/>
        </w:rPr>
        <w:t>Notices</w:t>
      </w:r>
      <w:r>
        <w:rPr>
          <w:sz w:val="20"/>
          <w:szCs w:val="20"/>
          <w:color w:val="auto"/>
        </w:rPr>
        <w:tab/>
      </w:r>
      <w:r>
        <w:rPr>
          <w:rFonts w:ascii="Arial" w:cs="Arial" w:eastAsia="Arial" w:hAnsi="Arial"/>
          <w:sz w:val="19"/>
          <w:szCs w:val="19"/>
          <w:color w:val="auto"/>
        </w:rPr>
        <w:t>21</w:t>
      </w:r>
    </w:p>
    <w:p>
      <w:pPr>
        <w:spacing w:after="0" w:line="112" w:lineRule="exact"/>
        <w:rPr>
          <w:sz w:val="20"/>
          <w:szCs w:val="20"/>
          <w:color w:val="auto"/>
        </w:rPr>
      </w:pPr>
    </w:p>
    <w:p>
      <w:pPr>
        <w:spacing w:after="0"/>
        <w:tabs>
          <w:tab w:leader="none" w:pos="640" w:val="left"/>
          <w:tab w:leader="dot" w:pos="830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22"/>
          <w:szCs w:val="22"/>
          <w:color w:val="auto"/>
        </w:rPr>
        <w:t>Definitions</w:t>
      </w:r>
      <w:r>
        <w:rPr>
          <w:sz w:val="20"/>
          <w:szCs w:val="20"/>
          <w:color w:val="auto"/>
        </w:rPr>
        <w:tab/>
      </w:r>
      <w:r>
        <w:rPr>
          <w:rFonts w:ascii="Arial" w:cs="Arial" w:eastAsia="Arial" w:hAnsi="Arial"/>
          <w:sz w:val="19"/>
          <w:szCs w:val="19"/>
          <w:color w:val="auto"/>
        </w:rPr>
        <w:t>22</w:t>
      </w:r>
    </w:p>
    <w:p>
      <w:pPr>
        <w:spacing w:after="0" w:line="112" w:lineRule="exact"/>
        <w:rPr>
          <w:sz w:val="20"/>
          <w:szCs w:val="20"/>
          <w:color w:val="auto"/>
        </w:rPr>
      </w:pPr>
    </w:p>
    <w:p>
      <w:pPr>
        <w:spacing w:after="0"/>
        <w:tabs>
          <w:tab w:leader="none" w:pos="640" w:val="left"/>
          <w:tab w:leader="dot" w:pos="83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2"/>
          <w:szCs w:val="22"/>
          <w:color w:val="auto"/>
        </w:rPr>
        <w:t>Assignment</w:t>
      </w:r>
      <w:r>
        <w:rPr>
          <w:sz w:val="20"/>
          <w:szCs w:val="20"/>
          <w:color w:val="auto"/>
        </w:rPr>
        <w:tab/>
      </w:r>
      <w:r>
        <w:rPr>
          <w:rFonts w:ascii="Arial" w:cs="Arial" w:eastAsia="Arial" w:hAnsi="Arial"/>
          <w:sz w:val="17"/>
          <w:szCs w:val="17"/>
          <w:color w:val="auto"/>
        </w:rPr>
        <w:t>23</w:t>
      </w:r>
    </w:p>
    <w:p>
      <w:pPr>
        <w:spacing w:after="0" w:line="112" w:lineRule="exact"/>
        <w:rPr>
          <w:sz w:val="20"/>
          <w:szCs w:val="20"/>
          <w:color w:val="auto"/>
        </w:rPr>
      </w:pPr>
    </w:p>
    <w:p>
      <w:pPr>
        <w:spacing w:after="0"/>
        <w:tabs>
          <w:tab w:leader="none" w:pos="640" w:val="left"/>
          <w:tab w:leader="dot" w:pos="830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22"/>
          <w:szCs w:val="22"/>
          <w:color w:val="auto"/>
        </w:rPr>
        <w:t>Severability</w:t>
      </w:r>
      <w:r>
        <w:rPr>
          <w:sz w:val="20"/>
          <w:szCs w:val="20"/>
          <w:color w:val="auto"/>
        </w:rPr>
        <w:tab/>
      </w:r>
      <w:r>
        <w:rPr>
          <w:rFonts w:ascii="Arial" w:cs="Arial" w:eastAsia="Arial" w:hAnsi="Arial"/>
          <w:sz w:val="19"/>
          <w:szCs w:val="19"/>
          <w:color w:val="auto"/>
        </w:rPr>
        <w:t>23</w:t>
      </w:r>
    </w:p>
    <w:p>
      <w:pPr>
        <w:spacing w:after="0" w:line="32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55" w:right="1440" w:bottom="1440" w:gutter="0" w:footer="0" w:header="0"/>
        </w:sectPr>
      </w:pPr>
    </w:p>
    <w:bookmarkStart w:id="94" w:name="page95"/>
    <w:bookmarkEnd w:id="94"/>
    <w:p>
      <w:pPr>
        <w:spacing w:after="0"/>
        <w:tabs>
          <w:tab w:leader="none" w:pos="64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color w:val="auto"/>
        </w:rPr>
        <w:t>No Third Party Beneficiaries............................................................................................... 23</w:t>
      </w:r>
    </w:p>
    <w:p>
      <w:pPr>
        <w:sectPr>
          <w:pgSz w:w="11900" w:h="16838" w:orient="portrait"/>
          <w:cols w:equalWidth="0" w:num="1">
            <w:col w:w="10139"/>
          </w:cols>
          <w:pgMar w:left="320" w:top="604" w:right="1440" w:bottom="1440" w:gutter="0" w:footer="0" w:header="0"/>
        </w:sectPr>
      </w:pPr>
    </w:p>
    <w:p>
      <w:pPr>
        <w:spacing w:after="0" w:line="328"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4" w:right="1440" w:bottom="1440" w:gutter="0" w:footer="0" w:header="0"/>
          <w:type w:val="continuous"/>
        </w:sectPr>
      </w:pPr>
    </w:p>
    <w:bookmarkStart w:id="95" w:name="page96"/>
    <w:bookmarkEnd w:id="95"/>
    <w:p>
      <w:pPr>
        <w:jc w:val="right"/>
        <w:ind w:right="3599"/>
        <w:spacing w:after="0"/>
        <w:rPr>
          <w:sz w:val="20"/>
          <w:szCs w:val="20"/>
          <w:color w:val="auto"/>
        </w:rPr>
      </w:pPr>
      <w:r>
        <w:rPr>
          <w:rFonts w:ascii="Arial" w:cs="Arial" w:eastAsia="Arial" w:hAnsi="Arial"/>
          <w:sz w:val="22"/>
          <w:szCs w:val="22"/>
          <w:color w:val="auto"/>
        </w:rPr>
        <w:t>LIST OF ANNEXES</w:t>
      </w:r>
    </w:p>
    <w:p>
      <w:pPr>
        <w:spacing w:after="0" w:line="22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A:</w:t>
      </w:r>
      <w:r>
        <w:rPr>
          <w:sz w:val="20"/>
          <w:szCs w:val="20"/>
          <w:color w:val="auto"/>
        </w:rPr>
        <w:tab/>
      </w:r>
      <w:r>
        <w:rPr>
          <w:rFonts w:ascii="Arial" w:cs="Arial" w:eastAsia="Arial" w:hAnsi="Arial"/>
          <w:sz w:val="19"/>
          <w:szCs w:val="19"/>
          <w:color w:val="auto"/>
        </w:rPr>
        <w:t>FORM OF OPINION</w:t>
      </w:r>
    </w:p>
    <w:p>
      <w:pPr>
        <w:spacing w:after="0" w:line="220"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color w:val="auto"/>
        </w:rPr>
        <w:t>ANNEX B:</w:t>
      </w:r>
      <w:r>
        <w:rPr>
          <w:sz w:val="20"/>
          <w:szCs w:val="20"/>
          <w:color w:val="auto"/>
        </w:rPr>
        <w:tab/>
      </w:r>
      <w:r>
        <w:rPr>
          <w:rFonts w:ascii="Arial" w:cs="Arial" w:eastAsia="Arial" w:hAnsi="Arial"/>
          <w:sz w:val="19"/>
          <w:szCs w:val="19"/>
          <w:color w:val="auto"/>
        </w:rPr>
        <w:t>FORM OF WARRANT</w:t>
      </w:r>
    </w:p>
    <w:p>
      <w:pPr>
        <w:spacing w:after="0" w:line="220"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WARRANT SHARES FORMULA</w:t>
      </w:r>
    </w:p>
    <w:p>
      <w:pPr>
        <w:spacing w:after="0" w:line="220"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21"/>
          <w:szCs w:val="21"/>
          <w:color w:val="auto"/>
        </w:rPr>
        <w:t>CAPITALIZATION</w:t>
      </w:r>
    </w:p>
    <w:p>
      <w:pPr>
        <w:spacing w:after="0" w:line="220" w:lineRule="exact"/>
        <w:rPr>
          <w:sz w:val="20"/>
          <w:szCs w:val="20"/>
          <w:color w:val="auto"/>
        </w:rPr>
      </w:pPr>
    </w:p>
    <w:p>
      <w:pPr>
        <w:spacing w:after="0"/>
        <w:tabs>
          <w:tab w:leader="none" w:pos="160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REQUIRED STOCKHOLDER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4" w:right="1440"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INDEX OF DEFINED TERMS</w:t>
      </w:r>
    </w:p>
    <w:p>
      <w:pPr>
        <w:spacing w:after="0" w:line="38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2080" w:type="dxa"/>
            <w:vAlign w:val="bottom"/>
          </w:tcPr>
          <w:p>
            <w:pPr>
              <w:ind w:left="40"/>
              <w:spacing w:after="0"/>
              <w:rPr>
                <w:sz w:val="20"/>
                <w:szCs w:val="20"/>
                <w:color w:val="auto"/>
              </w:rPr>
            </w:pPr>
            <w:r>
              <w:rPr>
                <w:rFonts w:ascii="Arial" w:cs="Arial" w:eastAsia="Arial" w:hAnsi="Arial"/>
                <w:sz w:val="18"/>
                <w:szCs w:val="18"/>
                <w:color w:val="auto"/>
              </w:rPr>
              <w:t>Location of Definition</w:t>
            </w:r>
          </w:p>
        </w:tc>
      </w:tr>
      <w:tr>
        <w:trPr>
          <w:trHeight w:val="27"/>
        </w:trPr>
        <w:tc>
          <w:tcPr>
            <w:tcW w:w="70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Affiliate</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Agreement</w:t>
            </w:r>
          </w:p>
        </w:tc>
        <w:tc>
          <w:tcPr>
            <w:tcW w:w="2080" w:type="dxa"/>
            <w:vAlign w:val="bottom"/>
          </w:tcPr>
          <w:p>
            <w:pPr>
              <w:ind w:left="40"/>
              <w:spacing w:after="0"/>
              <w:rPr>
                <w:sz w:val="20"/>
                <w:szCs w:val="20"/>
                <w:color w:val="auto"/>
              </w:rPr>
            </w:pPr>
            <w:r>
              <w:rPr>
                <w:rFonts w:ascii="Arial" w:cs="Arial" w:eastAsia="Arial" w:hAnsi="Arial"/>
                <w:sz w:val="18"/>
                <w:szCs w:val="18"/>
                <w:color w:val="auto"/>
              </w:rPr>
              <w:t>Recitals</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Appraisal Procedure</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Board of Directors</w:t>
            </w:r>
          </w:p>
        </w:tc>
        <w:tc>
          <w:tcPr>
            <w:tcW w:w="2080" w:type="dxa"/>
            <w:vAlign w:val="bottom"/>
          </w:tcPr>
          <w:p>
            <w:pPr>
              <w:ind w:left="40"/>
              <w:spacing w:after="0"/>
              <w:rPr>
                <w:sz w:val="20"/>
                <w:szCs w:val="20"/>
                <w:color w:val="auto"/>
              </w:rPr>
            </w:pPr>
            <w:r>
              <w:rPr>
                <w:rFonts w:ascii="Arial" w:cs="Arial" w:eastAsia="Arial" w:hAnsi="Arial"/>
                <w:sz w:val="18"/>
                <w:szCs w:val="18"/>
                <w:color w:val="auto"/>
              </w:rPr>
              <w:t>2.1(i)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Business Combination</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Business Day</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Capitalization Date</w:t>
            </w:r>
          </w:p>
        </w:tc>
        <w:tc>
          <w:tcPr>
            <w:tcW w:w="2080" w:type="dxa"/>
            <w:vAlign w:val="bottom"/>
          </w:tcPr>
          <w:p>
            <w:pPr>
              <w:ind w:left="40"/>
              <w:spacing w:after="0"/>
              <w:rPr>
                <w:sz w:val="20"/>
                <w:szCs w:val="20"/>
                <w:color w:val="auto"/>
              </w:rPr>
            </w:pPr>
            <w:r>
              <w:rPr>
                <w:rFonts w:ascii="Arial" w:cs="Arial" w:eastAsia="Arial" w:hAnsi="Arial"/>
                <w:sz w:val="18"/>
                <w:szCs w:val="18"/>
                <w:color w:val="auto"/>
              </w:rPr>
              <w:t>2.1(b)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Closing</w:t>
            </w:r>
          </w:p>
        </w:tc>
        <w:tc>
          <w:tcPr>
            <w:tcW w:w="2080" w:type="dxa"/>
            <w:vAlign w:val="bottom"/>
          </w:tcPr>
          <w:p>
            <w:pPr>
              <w:ind w:left="40"/>
              <w:spacing w:after="0"/>
              <w:rPr>
                <w:sz w:val="20"/>
                <w:szCs w:val="20"/>
                <w:color w:val="auto"/>
              </w:rPr>
            </w:pPr>
            <w:r>
              <w:rPr>
                <w:rFonts w:ascii="Arial" w:cs="Arial" w:eastAsia="Arial" w:hAnsi="Arial"/>
                <w:sz w:val="18"/>
                <w:szCs w:val="18"/>
                <w:color w:val="auto"/>
              </w:rPr>
              <w:t>1.2(a)</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Common Stock</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080" w:type="dxa"/>
            <w:vAlign w:val="bottom"/>
          </w:tcPr>
          <w:p>
            <w:pPr>
              <w:ind w:left="40"/>
              <w:spacing w:after="0"/>
              <w:rPr>
                <w:sz w:val="20"/>
                <w:szCs w:val="20"/>
                <w:color w:val="auto"/>
              </w:rPr>
            </w:pPr>
            <w:r>
              <w:rPr>
                <w:rFonts w:ascii="Arial" w:cs="Arial" w:eastAsia="Arial" w:hAnsi="Arial"/>
                <w:sz w:val="18"/>
                <w:szCs w:val="18"/>
                <w:color w:val="auto"/>
              </w:rPr>
              <w:t>Recitals</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Company Reports</w:t>
            </w:r>
          </w:p>
        </w:tc>
        <w:tc>
          <w:tcPr>
            <w:tcW w:w="2080" w:type="dxa"/>
            <w:vAlign w:val="bottom"/>
          </w:tcPr>
          <w:p>
            <w:pPr>
              <w:ind w:left="40"/>
              <w:spacing w:after="0"/>
              <w:rPr>
                <w:sz w:val="20"/>
                <w:szCs w:val="20"/>
                <w:color w:val="auto"/>
              </w:rPr>
            </w:pPr>
            <w:r>
              <w:rPr>
                <w:rFonts w:ascii="Arial" w:cs="Arial" w:eastAsia="Arial" w:hAnsi="Arial"/>
                <w:sz w:val="18"/>
                <w:szCs w:val="18"/>
                <w:color w:val="auto"/>
              </w:rPr>
              <w:t>2.1(j)(i)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Exchange Act</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Governmental Authority</w:t>
            </w:r>
          </w:p>
        </w:tc>
        <w:tc>
          <w:tcPr>
            <w:tcW w:w="2080" w:type="dxa"/>
            <w:vAlign w:val="bottom"/>
          </w:tcPr>
          <w:p>
            <w:pPr>
              <w:ind w:left="40"/>
              <w:spacing w:after="0"/>
              <w:rPr>
                <w:sz w:val="20"/>
                <w:szCs w:val="20"/>
                <w:color w:val="auto"/>
              </w:rPr>
            </w:pPr>
            <w:r>
              <w:rPr>
                <w:rFonts w:ascii="Arial" w:cs="Arial" w:eastAsia="Arial" w:hAnsi="Arial"/>
                <w:sz w:val="18"/>
                <w:szCs w:val="18"/>
                <w:color w:val="auto"/>
              </w:rPr>
              <w:t>5.6(a)</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Holder</w:t>
            </w:r>
          </w:p>
        </w:tc>
        <w:tc>
          <w:tcPr>
            <w:tcW w:w="2080" w:type="dxa"/>
            <w:vAlign w:val="bottom"/>
          </w:tcPr>
          <w:p>
            <w:pPr>
              <w:ind w:left="40"/>
              <w:spacing w:after="0"/>
              <w:rPr>
                <w:sz w:val="20"/>
                <w:szCs w:val="20"/>
                <w:color w:val="auto"/>
              </w:rPr>
            </w:pPr>
            <w:r>
              <w:rPr>
                <w:rFonts w:ascii="Arial" w:cs="Arial" w:eastAsia="Arial" w:hAnsi="Arial"/>
                <w:sz w:val="18"/>
                <w:szCs w:val="18"/>
                <w:color w:val="auto"/>
              </w:rPr>
              <w:t>4.5(k)(i)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Indemnitee</w:t>
            </w:r>
          </w:p>
        </w:tc>
        <w:tc>
          <w:tcPr>
            <w:tcW w:w="2080" w:type="dxa"/>
            <w:vAlign w:val="bottom"/>
          </w:tcPr>
          <w:p>
            <w:pPr>
              <w:ind w:left="40"/>
              <w:spacing w:after="0"/>
              <w:rPr>
                <w:sz w:val="20"/>
                <w:szCs w:val="20"/>
                <w:color w:val="auto"/>
              </w:rPr>
            </w:pPr>
            <w:r>
              <w:rPr>
                <w:rFonts w:ascii="Arial" w:cs="Arial" w:eastAsia="Arial" w:hAnsi="Arial"/>
                <w:sz w:val="18"/>
                <w:szCs w:val="18"/>
                <w:color w:val="auto"/>
              </w:rPr>
              <w:t>4.5(g)(i)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Initial Closing</w:t>
            </w:r>
          </w:p>
        </w:tc>
        <w:tc>
          <w:tcPr>
            <w:tcW w:w="2080" w:type="dxa"/>
            <w:vAlign w:val="bottom"/>
          </w:tcPr>
          <w:p>
            <w:pPr>
              <w:ind w:left="40"/>
              <w:spacing w:after="0"/>
              <w:rPr>
                <w:sz w:val="20"/>
                <w:szCs w:val="20"/>
                <w:color w:val="auto"/>
              </w:rPr>
            </w:pPr>
            <w:r>
              <w:rPr>
                <w:rFonts w:ascii="Arial" w:cs="Arial" w:eastAsia="Arial" w:hAnsi="Arial"/>
                <w:sz w:val="18"/>
                <w:szCs w:val="18"/>
                <w:color w:val="auto"/>
              </w:rPr>
              <w:t>1.2(a)</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Lien</w:t>
            </w:r>
          </w:p>
        </w:tc>
        <w:tc>
          <w:tcPr>
            <w:tcW w:w="2080" w:type="dxa"/>
            <w:vAlign w:val="bottom"/>
          </w:tcPr>
          <w:p>
            <w:pPr>
              <w:ind w:left="40"/>
              <w:spacing w:after="0"/>
              <w:rPr>
                <w:sz w:val="20"/>
                <w:szCs w:val="20"/>
                <w:color w:val="auto"/>
              </w:rPr>
            </w:pPr>
            <w:r>
              <w:rPr>
                <w:rFonts w:ascii="Arial" w:cs="Arial" w:eastAsia="Arial" w:hAnsi="Arial"/>
                <w:sz w:val="18"/>
                <w:szCs w:val="18"/>
                <w:color w:val="auto"/>
              </w:rPr>
              <w:t>5.6(c)</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Material Adverse Effect</w:t>
            </w:r>
          </w:p>
        </w:tc>
        <w:tc>
          <w:tcPr>
            <w:tcW w:w="2080" w:type="dxa"/>
            <w:vAlign w:val="bottom"/>
          </w:tcPr>
          <w:p>
            <w:pPr>
              <w:ind w:left="40"/>
              <w:spacing w:after="0"/>
              <w:rPr>
                <w:sz w:val="20"/>
                <w:szCs w:val="20"/>
                <w:color w:val="auto"/>
              </w:rPr>
            </w:pPr>
            <w:r>
              <w:rPr>
                <w:rFonts w:ascii="Arial" w:cs="Arial" w:eastAsia="Arial" w:hAnsi="Arial"/>
                <w:sz w:val="18"/>
                <w:szCs w:val="18"/>
                <w:color w:val="auto"/>
              </w:rPr>
              <w:t>5.6(d)</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Organizational Documents</w:t>
            </w:r>
          </w:p>
        </w:tc>
        <w:tc>
          <w:tcPr>
            <w:tcW w:w="2080" w:type="dxa"/>
            <w:vAlign w:val="bottom"/>
          </w:tcPr>
          <w:p>
            <w:pPr>
              <w:ind w:left="40"/>
              <w:spacing w:after="0"/>
              <w:rPr>
                <w:sz w:val="20"/>
                <w:szCs w:val="20"/>
                <w:color w:val="auto"/>
              </w:rPr>
            </w:pPr>
            <w:r>
              <w:rPr>
                <w:rFonts w:ascii="Arial" w:cs="Arial" w:eastAsia="Arial" w:hAnsi="Arial"/>
                <w:sz w:val="18"/>
                <w:szCs w:val="18"/>
                <w:color w:val="auto"/>
              </w:rPr>
              <w:t>5.6(e)</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Pending Underwritten Offering</w:t>
            </w:r>
          </w:p>
        </w:tc>
        <w:tc>
          <w:tcPr>
            <w:tcW w:w="2080" w:type="dxa"/>
            <w:vAlign w:val="bottom"/>
          </w:tcPr>
          <w:p>
            <w:pPr>
              <w:ind w:left="40"/>
              <w:spacing w:after="0"/>
              <w:rPr>
                <w:sz w:val="20"/>
                <w:szCs w:val="20"/>
                <w:color w:val="auto"/>
              </w:rPr>
            </w:pPr>
            <w:r>
              <w:rPr>
                <w:rFonts w:ascii="Arial" w:cs="Arial" w:eastAsia="Arial" w:hAnsi="Arial"/>
                <w:sz w:val="18"/>
                <w:szCs w:val="18"/>
                <w:color w:val="auto"/>
              </w:rPr>
              <w:t>4.5(l)</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Piggyback Registration</w:t>
            </w:r>
          </w:p>
        </w:tc>
        <w:tc>
          <w:tcPr>
            <w:tcW w:w="2080" w:type="dxa"/>
            <w:vAlign w:val="bottom"/>
          </w:tcPr>
          <w:p>
            <w:pPr>
              <w:ind w:left="40"/>
              <w:spacing w:after="0"/>
              <w:rPr>
                <w:sz w:val="20"/>
                <w:szCs w:val="20"/>
                <w:color w:val="auto"/>
              </w:rPr>
            </w:pPr>
            <w:r>
              <w:rPr>
                <w:rFonts w:ascii="Arial" w:cs="Arial" w:eastAsia="Arial" w:hAnsi="Arial"/>
                <w:sz w:val="18"/>
                <w:szCs w:val="18"/>
                <w:color w:val="auto"/>
              </w:rPr>
              <w:t>4.5(a)(iv)</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Promissory Note</w:t>
            </w:r>
          </w:p>
        </w:tc>
        <w:tc>
          <w:tcPr>
            <w:tcW w:w="2080" w:type="dxa"/>
            <w:vAlign w:val="bottom"/>
          </w:tcPr>
          <w:p>
            <w:pPr>
              <w:ind w:left="40"/>
              <w:spacing w:after="0"/>
              <w:rPr>
                <w:sz w:val="20"/>
                <w:szCs w:val="20"/>
                <w:color w:val="auto"/>
              </w:rPr>
            </w:pPr>
            <w:r>
              <w:rPr>
                <w:rFonts w:ascii="Arial" w:cs="Arial" w:eastAsia="Arial" w:hAnsi="Arial"/>
                <w:sz w:val="18"/>
                <w:szCs w:val="18"/>
                <w:color w:val="auto"/>
              </w:rPr>
              <w:t>Recitals</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register; registered; registration</w:t>
            </w:r>
          </w:p>
        </w:tc>
        <w:tc>
          <w:tcPr>
            <w:tcW w:w="2080" w:type="dxa"/>
            <w:vAlign w:val="bottom"/>
          </w:tcPr>
          <w:p>
            <w:pPr>
              <w:ind w:left="40"/>
              <w:spacing w:after="0"/>
              <w:rPr>
                <w:sz w:val="20"/>
                <w:szCs w:val="20"/>
                <w:color w:val="auto"/>
              </w:rPr>
            </w:pPr>
            <w:r>
              <w:rPr>
                <w:rFonts w:ascii="Arial" w:cs="Arial" w:eastAsia="Arial" w:hAnsi="Arial"/>
                <w:sz w:val="18"/>
                <w:szCs w:val="18"/>
                <w:color w:val="auto"/>
              </w:rPr>
              <w:t>4.5(k)(ii)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Registrable Securities</w:t>
            </w:r>
          </w:p>
        </w:tc>
        <w:tc>
          <w:tcPr>
            <w:tcW w:w="2080" w:type="dxa"/>
            <w:vAlign w:val="bottom"/>
          </w:tcPr>
          <w:p>
            <w:pPr>
              <w:ind w:left="40"/>
              <w:spacing w:after="0"/>
              <w:rPr>
                <w:sz w:val="20"/>
                <w:szCs w:val="20"/>
                <w:color w:val="auto"/>
              </w:rPr>
            </w:pPr>
            <w:r>
              <w:rPr>
                <w:rFonts w:ascii="Arial" w:cs="Arial" w:eastAsia="Arial" w:hAnsi="Arial"/>
                <w:sz w:val="18"/>
                <w:szCs w:val="18"/>
                <w:color w:val="auto"/>
              </w:rPr>
              <w:t>4.5(k)(iii)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Registration Commencement Date</w:t>
            </w:r>
          </w:p>
        </w:tc>
        <w:tc>
          <w:tcPr>
            <w:tcW w:w="2080" w:type="dxa"/>
            <w:vAlign w:val="bottom"/>
          </w:tcPr>
          <w:p>
            <w:pPr>
              <w:ind w:left="40"/>
              <w:spacing w:after="0"/>
              <w:rPr>
                <w:sz w:val="20"/>
                <w:szCs w:val="20"/>
                <w:color w:val="auto"/>
              </w:rPr>
            </w:pPr>
            <w:r>
              <w:rPr>
                <w:rFonts w:ascii="Arial" w:cs="Arial" w:eastAsia="Arial" w:hAnsi="Arial"/>
                <w:sz w:val="18"/>
                <w:szCs w:val="18"/>
                <w:color w:val="auto"/>
              </w:rPr>
              <w:t>4.5(a)(i)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Registration Expenses</w:t>
            </w:r>
          </w:p>
        </w:tc>
        <w:tc>
          <w:tcPr>
            <w:tcW w:w="2080" w:type="dxa"/>
            <w:vAlign w:val="bottom"/>
          </w:tcPr>
          <w:p>
            <w:pPr>
              <w:ind w:left="40"/>
              <w:spacing w:after="0"/>
              <w:rPr>
                <w:sz w:val="20"/>
                <w:szCs w:val="20"/>
                <w:color w:val="auto"/>
              </w:rPr>
            </w:pPr>
            <w:r>
              <w:rPr>
                <w:rFonts w:ascii="Arial" w:cs="Arial" w:eastAsia="Arial" w:hAnsi="Arial"/>
                <w:sz w:val="18"/>
                <w:szCs w:val="18"/>
                <w:color w:val="auto"/>
              </w:rPr>
              <w:t>4.5(k)(iv)</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Rule 144; Rule 144A; Rule 159A; Rule 405; Rule 415</w:t>
            </w:r>
          </w:p>
        </w:tc>
        <w:tc>
          <w:tcPr>
            <w:tcW w:w="2080" w:type="dxa"/>
            <w:vAlign w:val="bottom"/>
          </w:tcPr>
          <w:p>
            <w:pPr>
              <w:ind w:left="40"/>
              <w:spacing w:after="0"/>
              <w:rPr>
                <w:sz w:val="20"/>
                <w:szCs w:val="20"/>
                <w:color w:val="auto"/>
              </w:rPr>
            </w:pPr>
            <w:r>
              <w:rPr>
                <w:rFonts w:ascii="Arial" w:cs="Arial" w:eastAsia="Arial" w:hAnsi="Arial"/>
                <w:sz w:val="18"/>
                <w:szCs w:val="18"/>
                <w:color w:val="auto"/>
              </w:rPr>
              <w:t>4.5(k)(v)</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SEC</w:t>
            </w:r>
          </w:p>
        </w:tc>
        <w:tc>
          <w:tcPr>
            <w:tcW w:w="2080" w:type="dxa"/>
            <w:vAlign w:val="bottom"/>
          </w:tcPr>
          <w:p>
            <w:pPr>
              <w:ind w:left="40"/>
              <w:spacing w:after="0"/>
              <w:rPr>
                <w:sz w:val="20"/>
                <w:szCs w:val="20"/>
                <w:color w:val="auto"/>
              </w:rPr>
            </w:pPr>
            <w:r>
              <w:rPr>
                <w:rFonts w:ascii="Arial" w:cs="Arial" w:eastAsia="Arial" w:hAnsi="Arial"/>
                <w:sz w:val="18"/>
                <w:szCs w:val="18"/>
                <w:color w:val="auto"/>
              </w:rPr>
              <w:t>2.1(c)</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Securities Act</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Selling Expenses</w:t>
            </w:r>
          </w:p>
        </w:tc>
        <w:tc>
          <w:tcPr>
            <w:tcW w:w="2080" w:type="dxa"/>
            <w:vAlign w:val="bottom"/>
          </w:tcPr>
          <w:p>
            <w:pPr>
              <w:ind w:left="40"/>
              <w:spacing w:after="0"/>
              <w:rPr>
                <w:sz w:val="20"/>
                <w:szCs w:val="20"/>
                <w:color w:val="auto"/>
              </w:rPr>
            </w:pPr>
            <w:r>
              <w:rPr>
                <w:rFonts w:ascii="Arial" w:cs="Arial" w:eastAsia="Arial" w:hAnsi="Arial"/>
                <w:sz w:val="18"/>
                <w:szCs w:val="18"/>
                <w:color w:val="auto"/>
              </w:rPr>
              <w:t>4.5(k)(vi)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Shelf Registration Statement</w:t>
            </w:r>
          </w:p>
        </w:tc>
        <w:tc>
          <w:tcPr>
            <w:tcW w:w="2080" w:type="dxa"/>
            <w:vAlign w:val="bottom"/>
          </w:tcPr>
          <w:p>
            <w:pPr>
              <w:ind w:left="40"/>
              <w:spacing w:after="0"/>
              <w:rPr>
                <w:sz w:val="20"/>
                <w:szCs w:val="20"/>
                <w:color w:val="auto"/>
              </w:rPr>
            </w:pPr>
            <w:r>
              <w:rPr>
                <w:rFonts w:ascii="Arial" w:cs="Arial" w:eastAsia="Arial" w:hAnsi="Arial"/>
                <w:sz w:val="18"/>
                <w:szCs w:val="18"/>
                <w:color w:val="auto"/>
              </w:rPr>
              <w:t>4.5(a)(ii)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Special Registration</w:t>
            </w:r>
          </w:p>
        </w:tc>
        <w:tc>
          <w:tcPr>
            <w:tcW w:w="2080" w:type="dxa"/>
            <w:vAlign w:val="bottom"/>
          </w:tcPr>
          <w:p>
            <w:pPr>
              <w:ind w:left="40"/>
              <w:spacing w:after="0"/>
              <w:rPr>
                <w:sz w:val="20"/>
                <w:szCs w:val="20"/>
                <w:color w:val="auto"/>
              </w:rPr>
            </w:pPr>
            <w:r>
              <w:rPr>
                <w:rFonts w:ascii="Arial" w:cs="Arial" w:eastAsia="Arial" w:hAnsi="Arial"/>
                <w:sz w:val="18"/>
                <w:szCs w:val="18"/>
                <w:color w:val="auto"/>
              </w:rPr>
              <w:t>4.5(i)</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Stockholder Proposals</w:t>
            </w:r>
          </w:p>
        </w:tc>
        <w:tc>
          <w:tcPr>
            <w:tcW w:w="2080" w:type="dxa"/>
            <w:vAlign w:val="bottom"/>
          </w:tcPr>
          <w:p>
            <w:pPr>
              <w:ind w:left="40"/>
              <w:spacing w:after="0"/>
              <w:rPr>
                <w:sz w:val="20"/>
                <w:szCs w:val="20"/>
                <w:color w:val="auto"/>
              </w:rPr>
            </w:pPr>
            <w:r>
              <w:rPr>
                <w:rFonts w:ascii="Arial" w:cs="Arial" w:eastAsia="Arial" w:hAnsi="Arial"/>
                <w:sz w:val="18"/>
                <w:szCs w:val="18"/>
                <w:color w:val="auto"/>
              </w:rPr>
              <w:t>3.1(b)</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Subsidiary</w:t>
            </w:r>
          </w:p>
        </w:tc>
        <w:tc>
          <w:tcPr>
            <w:tcW w:w="2080" w:type="dxa"/>
            <w:vAlign w:val="bottom"/>
          </w:tcPr>
          <w:p>
            <w:pPr>
              <w:ind w:left="40"/>
              <w:spacing w:after="0"/>
              <w:rPr>
                <w:sz w:val="20"/>
                <w:szCs w:val="20"/>
                <w:color w:val="auto"/>
              </w:rPr>
            </w:pPr>
            <w:r>
              <w:rPr>
                <w:rFonts w:ascii="Arial" w:cs="Arial" w:eastAsia="Arial" w:hAnsi="Arial"/>
                <w:sz w:val="18"/>
                <w:szCs w:val="18"/>
                <w:color w:val="auto"/>
              </w:rPr>
              <w:t>5.6(f)</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Transfer</w:t>
            </w:r>
          </w:p>
        </w:tc>
        <w:tc>
          <w:tcPr>
            <w:tcW w:w="2080" w:type="dxa"/>
            <w:vAlign w:val="bottom"/>
          </w:tcPr>
          <w:p>
            <w:pPr>
              <w:ind w:left="40"/>
              <w:spacing w:after="0"/>
              <w:rPr>
                <w:sz w:val="20"/>
                <w:szCs w:val="20"/>
                <w:color w:val="auto"/>
              </w:rPr>
            </w:pPr>
            <w:r>
              <w:rPr>
                <w:rFonts w:ascii="Arial" w:cs="Arial" w:eastAsia="Arial" w:hAnsi="Arial"/>
                <w:sz w:val="18"/>
                <w:szCs w:val="18"/>
                <w:color w:val="auto"/>
              </w:rPr>
              <w:t>4.4</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Treasury</w:t>
            </w:r>
          </w:p>
        </w:tc>
        <w:tc>
          <w:tcPr>
            <w:tcW w:w="2080" w:type="dxa"/>
            <w:vAlign w:val="bottom"/>
          </w:tcPr>
          <w:p>
            <w:pPr>
              <w:ind w:left="40"/>
              <w:spacing w:after="0"/>
              <w:rPr>
                <w:sz w:val="20"/>
                <w:szCs w:val="20"/>
                <w:color w:val="auto"/>
              </w:rPr>
            </w:pPr>
            <w:r>
              <w:rPr>
                <w:rFonts w:ascii="Arial" w:cs="Arial" w:eastAsia="Arial" w:hAnsi="Arial"/>
                <w:sz w:val="18"/>
                <w:szCs w:val="18"/>
                <w:color w:val="auto"/>
              </w:rPr>
              <w:t>Recitals</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Warrant Closing Date</w:t>
            </w:r>
          </w:p>
        </w:tc>
        <w:tc>
          <w:tcPr>
            <w:tcW w:w="2080" w:type="dxa"/>
            <w:vAlign w:val="bottom"/>
          </w:tcPr>
          <w:p>
            <w:pPr>
              <w:ind w:left="40"/>
              <w:spacing w:after="0"/>
              <w:rPr>
                <w:sz w:val="20"/>
                <w:szCs w:val="20"/>
                <w:color w:val="auto"/>
              </w:rPr>
            </w:pPr>
            <w:r>
              <w:rPr>
                <w:rFonts w:ascii="Arial" w:cs="Arial" w:eastAsia="Arial" w:hAnsi="Arial"/>
                <w:sz w:val="18"/>
                <w:szCs w:val="18"/>
                <w:color w:val="auto"/>
              </w:rPr>
              <w:t>1.2(a)</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2080" w:type="dxa"/>
            <w:vAlign w:val="bottom"/>
          </w:tcPr>
          <w:p>
            <w:pPr>
              <w:ind w:left="40"/>
              <w:spacing w:after="0"/>
              <w:rPr>
                <w:sz w:val="20"/>
                <w:szCs w:val="20"/>
                <w:color w:val="auto"/>
              </w:rPr>
            </w:pPr>
            <w:r>
              <w:rPr>
                <w:rFonts w:ascii="Arial" w:cs="Arial" w:eastAsia="Arial" w:hAnsi="Arial"/>
                <w:sz w:val="18"/>
                <w:szCs w:val="18"/>
                <w:color w:val="auto"/>
              </w:rPr>
              <w:t>Recitals</w:t>
            </w:r>
          </w:p>
        </w:tc>
      </w:tr>
      <w:tr>
        <w:trPr>
          <w:trHeight w:val="27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Warrant Shares</w:t>
            </w:r>
          </w:p>
        </w:tc>
        <w:tc>
          <w:tcPr>
            <w:tcW w:w="2080" w:type="dxa"/>
            <w:vAlign w:val="bottom"/>
          </w:tcPr>
          <w:p>
            <w:pPr>
              <w:ind w:left="40"/>
              <w:spacing w:after="0"/>
              <w:rPr>
                <w:sz w:val="20"/>
                <w:szCs w:val="20"/>
                <w:color w:val="auto"/>
              </w:rPr>
            </w:pPr>
            <w:r>
              <w:rPr>
                <w:rFonts w:ascii="Arial" w:cs="Arial" w:eastAsia="Arial" w:hAnsi="Arial"/>
                <w:sz w:val="18"/>
                <w:szCs w:val="18"/>
                <w:color w:val="auto"/>
              </w:rPr>
              <w:t>Annex B</w:t>
            </w:r>
          </w:p>
        </w:tc>
      </w:tr>
    </w:tbl>
    <w:p>
      <w:pPr>
        <w:spacing w:after="0" w:line="200" w:lineRule="exact"/>
        <w:rPr>
          <w:sz w:val="20"/>
          <w:szCs w:val="20"/>
          <w:color w:val="auto"/>
        </w:rPr>
      </w:pPr>
    </w:p>
    <w:p>
      <w:pPr>
        <w:spacing w:after="0" w:line="292"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598" w:right="1239" w:bottom="1440" w:gutter="0" w:footer="0" w:header="0"/>
        </w:sectPr>
      </w:pPr>
    </w:p>
    <w:bookmarkStart w:id="97" w:name="page98"/>
    <w:bookmarkEnd w:id="97"/>
    <w:p>
      <w:pPr>
        <w:ind w:right="140" w:firstLine="648"/>
        <w:spacing w:after="0" w:line="253" w:lineRule="auto"/>
        <w:rPr>
          <w:sz w:val="20"/>
          <w:szCs w:val="20"/>
          <w:color w:val="auto"/>
        </w:rPr>
      </w:pPr>
      <w:r>
        <w:rPr>
          <w:rFonts w:ascii="Arial" w:cs="Arial" w:eastAsia="Arial" w:hAnsi="Arial"/>
          <w:sz w:val="22"/>
          <w:szCs w:val="22"/>
          <w:color w:val="auto"/>
        </w:rPr>
        <w:t xml:space="preserve">WARRANT AGREEMENT dated as of April 20, 2020 (this “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 between AMERICAN AIRLINES GROUP INC., a corporation organized under the laws of Delaware (the “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and the UNITED STATES DEPARTMENT OF THE TREASURY (“ </w:t>
      </w:r>
      <w:r>
        <w:rPr>
          <w:rFonts w:ascii="Arial" w:cs="Arial" w:eastAsia="Arial" w:hAnsi="Arial"/>
          <w:sz w:val="22"/>
          <w:szCs w:val="22"/>
          <w:u w:val="single" w:color="auto"/>
          <w:color w:val="auto"/>
        </w:rPr>
        <w:t>Treasury</w:t>
      </w:r>
      <w:r>
        <w:rPr>
          <w:rFonts w:ascii="Arial" w:cs="Arial" w:eastAsia="Arial" w:hAnsi="Arial"/>
          <w:sz w:val="22"/>
          <w:szCs w:val="22"/>
          <w:color w:val="auto"/>
        </w:rPr>
        <w:t xml:space="preserve"> ”).</w:t>
      </w:r>
    </w:p>
    <w:p>
      <w:pPr>
        <w:spacing w:after="0" w:line="18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WHEREAS, the Company has requested that Treasury provide financial assistance to the Recipient (as defined in the PSP Agreement) that shall exclusively be used for the continuation of payment of employee wages, salaries, and benefits as is permissible under Section 4112(a) of Title IV of the Coronavirus Aid, Relief, and Economic Security Act, Pub. L. 116-136 (Mar. 27, 2020), as the same may be amended form time to time (the “ </w:t>
      </w:r>
      <w:r>
        <w:rPr>
          <w:rFonts w:ascii="Arial" w:cs="Arial" w:eastAsia="Arial" w:hAnsi="Arial"/>
          <w:sz w:val="21"/>
          <w:szCs w:val="21"/>
          <w:u w:val="single" w:color="auto"/>
          <w:color w:val="auto"/>
        </w:rPr>
        <w:t>CARES Act</w:t>
      </w:r>
      <w:r>
        <w:rPr>
          <w:rFonts w:ascii="Arial" w:cs="Arial" w:eastAsia="Arial" w:hAnsi="Arial"/>
          <w:sz w:val="21"/>
          <w:szCs w:val="21"/>
          <w:color w:val="auto"/>
        </w:rPr>
        <w:t xml:space="preserve"> ”), and Treasury is willing to do so on the terms and conditions set forth in the Payroll Support Program Agreement dated as of April 20, 2020, between American Airlines, Inc., and Treasury (the “ </w:t>
      </w:r>
      <w:r>
        <w:rPr>
          <w:rFonts w:ascii="Arial" w:cs="Arial" w:eastAsia="Arial" w:hAnsi="Arial"/>
          <w:sz w:val="21"/>
          <w:szCs w:val="21"/>
          <w:u w:val="single" w:color="auto"/>
          <w:color w:val="auto"/>
        </w:rPr>
        <w:t>PSP Agreement</w:t>
      </w:r>
      <w:r>
        <w:rPr>
          <w:rFonts w:ascii="Arial" w:cs="Arial" w:eastAsia="Arial" w:hAnsi="Arial"/>
          <w:sz w:val="21"/>
          <w:szCs w:val="21"/>
          <w:color w:val="auto"/>
        </w:rPr>
        <w:t xml:space="preserve"> ”); and</w:t>
      </w:r>
    </w:p>
    <w:p>
      <w:pPr>
        <w:spacing w:after="0" w:line="179" w:lineRule="exact"/>
        <w:rPr>
          <w:sz w:val="20"/>
          <w:szCs w:val="20"/>
          <w:color w:val="auto"/>
        </w:rPr>
      </w:pPr>
    </w:p>
    <w:p>
      <w:pPr>
        <w:ind w:right="60" w:firstLine="648"/>
        <w:spacing w:after="0" w:line="247" w:lineRule="auto"/>
        <w:rPr>
          <w:sz w:val="20"/>
          <w:szCs w:val="20"/>
          <w:color w:val="auto"/>
        </w:rPr>
      </w:pPr>
      <w:r>
        <w:rPr>
          <w:rFonts w:ascii="Arial" w:cs="Arial" w:eastAsia="Arial" w:hAnsi="Arial"/>
          <w:sz w:val="22"/>
          <w:szCs w:val="22"/>
          <w:color w:val="auto"/>
        </w:rPr>
        <w:t xml:space="preserve">WHEREAS, as appropriate compensation to the Federal Government of the United States of America for the provision of financial assistance under the PSP Agreement, American Airlines Group Inc. has agreed to issue a note to be repaid to Treasury on the terms and conditions set forth in the promissory note dated as of April 20, 2020, issued by American Airlines Group Inc., in the name of Treasury as the holder (the “ </w:t>
      </w:r>
      <w:r>
        <w:rPr>
          <w:rFonts w:ascii="Arial" w:cs="Arial" w:eastAsia="Arial" w:hAnsi="Arial"/>
          <w:sz w:val="22"/>
          <w:szCs w:val="22"/>
          <w:u w:val="single" w:color="auto"/>
          <w:color w:val="auto"/>
        </w:rPr>
        <w:t>Promissory Note</w:t>
      </w:r>
      <w:r>
        <w:rPr>
          <w:rFonts w:ascii="Arial" w:cs="Arial" w:eastAsia="Arial" w:hAnsi="Arial"/>
          <w:sz w:val="22"/>
          <w:szCs w:val="22"/>
          <w:color w:val="auto"/>
        </w:rPr>
        <w:t xml:space="preserve"> ”) and agreed to issue in a private placement warrants to purchase the number of shares of its Common Stock determined in accordance with Schedule 1 to this Agreement (the “ </w:t>
      </w:r>
      <w:r>
        <w:rPr>
          <w:rFonts w:ascii="Arial" w:cs="Arial" w:eastAsia="Arial" w:hAnsi="Arial"/>
          <w:sz w:val="22"/>
          <w:szCs w:val="22"/>
          <w:u w:val="single" w:color="auto"/>
          <w:color w:val="auto"/>
        </w:rPr>
        <w:t>Warrants</w:t>
      </w:r>
      <w:r>
        <w:rPr>
          <w:rFonts w:ascii="Arial" w:cs="Arial" w:eastAsia="Arial" w:hAnsi="Arial"/>
          <w:sz w:val="22"/>
          <w:szCs w:val="22"/>
          <w:color w:val="auto"/>
        </w:rPr>
        <w:t xml:space="preserve"> ”) to Treasury;</w:t>
      </w:r>
    </w:p>
    <w:p>
      <w:pPr>
        <w:spacing w:after="0" w:line="187" w:lineRule="exact"/>
        <w:rPr>
          <w:sz w:val="20"/>
          <w:szCs w:val="20"/>
          <w:color w:val="auto"/>
        </w:rPr>
      </w:pPr>
    </w:p>
    <w:p>
      <w:pPr>
        <w:ind w:right="100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 in consideration of the premises, and of the representations, warranties, covenants and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agreements set forth herein, the parties agree as follows:</w:t>
      </w:r>
    </w:p>
    <w:p>
      <w:pPr>
        <w:spacing w:after="0" w:line="16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Article I</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Closing</w:t>
      </w:r>
    </w:p>
    <w:p>
      <w:pPr>
        <w:spacing w:after="0" w:line="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8"/>
          <w:szCs w:val="18"/>
          <w:u w:val="single" w:color="auto"/>
          <w:color w:val="auto"/>
        </w:rPr>
        <w:t xml:space="preserve">Issuance </w:t>
      </w:r>
      <w:r>
        <w:rPr>
          <w:rFonts w:ascii="Arial" w:cs="Arial" w:eastAsia="Arial" w:hAnsi="Arial"/>
          <w:sz w:val="18"/>
          <w:szCs w:val="18"/>
          <w:color w:val="auto"/>
        </w:rPr>
        <w:t>.</w:t>
      </w:r>
    </w:p>
    <w:p>
      <w:pPr>
        <w:spacing w:after="0" w:line="242" w:lineRule="exact"/>
        <w:rPr>
          <w:sz w:val="20"/>
          <w:szCs w:val="20"/>
          <w:color w:val="auto"/>
        </w:rPr>
      </w:pPr>
    </w:p>
    <w:p>
      <w:pPr>
        <w:ind w:right="40" w:firstLine="656"/>
        <w:spacing w:after="0" w:line="291" w:lineRule="auto"/>
        <w:tabs>
          <w:tab w:leader="none" w:pos="1104"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On the terms and subject to the conditions set forth in this Agreement, the Company agrees to issue to Treasury, on each Warrant Closing Date, Warrants for a number of shares of Common Stock determined by the formula set forth in </w:t>
      </w:r>
      <w:r>
        <w:rPr>
          <w:rFonts w:ascii="Arial" w:cs="Arial" w:eastAsia="Arial" w:hAnsi="Arial"/>
          <w:sz w:val="19"/>
          <w:szCs w:val="19"/>
          <w:u w:val="single" w:color="auto"/>
          <w:color w:val="auto"/>
        </w:rPr>
        <w:t>Schedule 1</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p>
    <w:p>
      <w:pPr>
        <w:spacing w:after="0" w:line="24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 xml:space="preserve">Initial Closing; Warrant Closing Date </w:t>
      </w:r>
      <w:r>
        <w:rPr>
          <w:rFonts w:ascii="Arial" w:cs="Arial" w:eastAsia="Arial" w:hAnsi="Arial"/>
          <w:sz w:val="19"/>
          <w:szCs w:val="19"/>
          <w:color w:val="auto"/>
        </w:rPr>
        <w:t>.</w:t>
      </w:r>
    </w:p>
    <w:p>
      <w:pPr>
        <w:spacing w:after="0" w:line="260" w:lineRule="exact"/>
        <w:rPr>
          <w:sz w:val="20"/>
          <w:szCs w:val="20"/>
          <w:color w:val="auto"/>
        </w:rPr>
      </w:pPr>
    </w:p>
    <w:p>
      <w:pPr>
        <w:ind w:right="100" w:firstLine="656"/>
        <w:spacing w:after="0" w:line="297" w:lineRule="auto"/>
        <w:tabs>
          <w:tab w:leader="none" w:pos="110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On the terms and subject to the conditions set forth in this Agreement, the closing of the initial issuance of the Warrants (the “ </w:t>
      </w:r>
      <w:r>
        <w:rPr>
          <w:rFonts w:ascii="Arial" w:cs="Arial" w:eastAsia="Arial" w:hAnsi="Arial"/>
          <w:sz w:val="19"/>
          <w:szCs w:val="19"/>
          <w:u w:val="single" w:color="auto"/>
          <w:color w:val="auto"/>
        </w:rPr>
        <w:t>Initial Closing</w:t>
      </w:r>
      <w:r>
        <w:rPr>
          <w:rFonts w:ascii="Arial" w:cs="Arial" w:eastAsia="Arial" w:hAnsi="Arial"/>
          <w:sz w:val="19"/>
          <w:szCs w:val="19"/>
          <w:color w:val="auto"/>
        </w:rPr>
        <w:t xml:space="preserve"> ”) will take place on the Closing Date (as defined in the Promissory Note) or, if on the Closing Date the principal amount of the Promissory Note is $0, the first date on which such principal amount is increased. A subsequent closing will take place on the date of each increase, if any, of the principal amount of the Promissory Note (each subsequent closing, together with the Initial Closing, a “ </w:t>
      </w:r>
      <w:r>
        <w:rPr>
          <w:rFonts w:ascii="Arial" w:cs="Arial" w:eastAsia="Arial" w:hAnsi="Arial"/>
          <w:sz w:val="19"/>
          <w:szCs w:val="19"/>
          <w:u w:val="single" w:color="auto"/>
          <w:color w:val="auto"/>
        </w:rPr>
        <w:t>Closing</w:t>
      </w:r>
      <w:r>
        <w:rPr>
          <w:rFonts w:ascii="Arial" w:cs="Arial" w:eastAsia="Arial" w:hAnsi="Arial"/>
          <w:sz w:val="19"/>
          <w:szCs w:val="19"/>
          <w:color w:val="auto"/>
        </w:rPr>
        <w:t xml:space="preserve"> ” and each such date a “ </w:t>
      </w:r>
      <w:r>
        <w:rPr>
          <w:rFonts w:ascii="Arial" w:cs="Arial" w:eastAsia="Arial" w:hAnsi="Arial"/>
          <w:sz w:val="19"/>
          <w:szCs w:val="19"/>
          <w:u w:val="single" w:color="auto"/>
          <w:color w:val="auto"/>
        </w:rPr>
        <w:t>Warrant Closing Date</w:t>
      </w:r>
      <w:r>
        <w:rPr>
          <w:rFonts w:ascii="Arial" w:cs="Arial" w:eastAsia="Arial" w:hAnsi="Arial"/>
          <w:sz w:val="19"/>
          <w:szCs w:val="19"/>
          <w:color w:val="auto"/>
        </w:rPr>
        <w:t xml:space="preserve"> ”).</w:t>
      </w:r>
    </w:p>
    <w:p>
      <w:pPr>
        <w:spacing w:after="0" w:line="187" w:lineRule="exact"/>
        <w:rPr>
          <w:rFonts w:ascii="Arial" w:cs="Arial" w:eastAsia="Arial" w:hAnsi="Arial"/>
          <w:sz w:val="19"/>
          <w:szCs w:val="19"/>
          <w:color w:val="auto"/>
        </w:rPr>
      </w:pPr>
    </w:p>
    <w:p>
      <w:pPr>
        <w:ind w:right="120" w:firstLine="656"/>
        <w:spacing w:after="0" w:line="253" w:lineRule="auto"/>
        <w:tabs>
          <w:tab w:leader="none" w:pos="1116"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On each Warrant Closing Date, the Company will issue to Treasury a duly executed Warrant or Warrants for a number of shares of Common Stock determined by the formula set forth in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 as evidenced by one or more certificates dated the Warrant Closing Date and bearing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 xml:space="preserve">appropriate legends as hereinafter provided for and in substantially the form attached hereto as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w:t>
      </w:r>
    </w:p>
    <w:p>
      <w:pPr>
        <w:spacing w:after="0" w:line="260" w:lineRule="exact"/>
        <w:rPr>
          <w:sz w:val="20"/>
          <w:szCs w:val="20"/>
          <w:color w:val="auto"/>
        </w:rPr>
      </w:pPr>
    </w:p>
    <w:p>
      <w:pPr>
        <w:ind w:right="40" w:firstLine="656"/>
        <w:spacing w:after="0" w:line="260" w:lineRule="auto"/>
        <w:tabs>
          <w:tab w:leader="none" w:pos="1158"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On each Warrant Closing Date, the Company shall deliver to Treasury (i) a written opinion from counsel to the Company (which may be internal counsel) addressed to Treasury and dated as of such Warrant Closing Date, in substantially the form attached hereto as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and (ii) a certificate executed by the chief executive officer, president, executive vice president, chief financial officer, principal accounting officer, treasurer or controller confirming that the representations and warranties of the Company in this Agreement are true and correct with the same force and effect as though expressly made at and as of such Warrant Closing Date and the Company has complied with all agreements on its part to be performed or satisfied hereunder at or prior to such Closing.</w:t>
      </w:r>
    </w:p>
    <w:p>
      <w:pPr>
        <w:spacing w:after="0" w:line="220" w:lineRule="exact"/>
        <w:rPr>
          <w:rFonts w:ascii="Arial" w:cs="Arial" w:eastAsia="Arial" w:hAnsi="Arial"/>
          <w:sz w:val="21"/>
          <w:szCs w:val="21"/>
          <w:color w:val="auto"/>
        </w:rPr>
      </w:pPr>
    </w:p>
    <w:p>
      <w:pPr>
        <w:ind w:right="80" w:firstLine="656"/>
        <w:spacing w:after="0" w:line="290" w:lineRule="auto"/>
        <w:tabs>
          <w:tab w:leader="none" w:pos="1116" w:val="left"/>
        </w:tabs>
        <w:numPr>
          <w:ilvl w:val="0"/>
          <w:numId w:val="63"/>
        </w:numPr>
        <w:rPr>
          <w:rFonts w:ascii="Arial" w:cs="Arial" w:eastAsia="Arial" w:hAnsi="Arial"/>
          <w:sz w:val="19"/>
          <w:szCs w:val="19"/>
          <w:color w:val="auto"/>
        </w:rPr>
      </w:pPr>
      <w:r>
        <w:rPr>
          <w:rFonts w:ascii="Arial" w:cs="Arial" w:eastAsia="Arial" w:hAnsi="Arial"/>
          <w:sz w:val="19"/>
          <w:szCs w:val="19"/>
          <w:color w:val="auto"/>
        </w:rPr>
        <w:t>On the initial Warrant Closing Date, the Company shall deliver to Treasury (i) such customary certificates of resolutions or other action, incumbency certificates and/or other certificates of the chief executive officer, president, executive vice president, chief financial officer, principal accounting officer, treasurer or controller as Treasury may require evidencing the identity, authority and capacity of each such officer thereof authorized to act as such officer in connection with this Agreement and (ii) customary resolutions or evidence of corporate authorization, secretary's certificates and such other documents and certificates (including Organizational Documents and good standing certificates) as Treasury may reasonably request relating to the organization, existence and good standing of the Company and any other legal matters relating to the Company, this Agreement, the Warrants or the transactions contemplated hereby or thereby.</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 xml:space="preserve">Interpretation </w:t>
      </w:r>
      <w:r>
        <w:rPr>
          <w:rFonts w:ascii="Arial" w:cs="Arial" w:eastAsia="Arial" w:hAnsi="Arial"/>
          <w:sz w:val="19"/>
          <w:szCs w:val="19"/>
          <w:color w:val="auto"/>
        </w:rPr>
        <w:t>.</w:t>
      </w:r>
    </w:p>
    <w:p>
      <w:pPr>
        <w:spacing w:after="0" w:line="260" w:lineRule="exact"/>
        <w:rPr>
          <w:sz w:val="20"/>
          <w:szCs w:val="20"/>
          <w:color w:val="auto"/>
        </w:rPr>
      </w:pPr>
    </w:p>
    <w:p>
      <w:pPr>
        <w:ind w:firstLine="656"/>
        <w:spacing w:after="0" w:line="287" w:lineRule="auto"/>
        <w:tabs>
          <w:tab w:leader="none" w:pos="11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When a reference is made in this Agreement to “Recitals,” “Articles,” “Sections,” or “Annexes” such reference shall be to a Recital, Article or Section of, or Annex to, this Warrant Agreement, unless otherwise indicated. The terms defined in the singular have a comparable meaning when used in the plural, and vice versa. References to “herein”, “hereof”, “hereunder” and the like refer to this Agreement as a whole and not to any particular section or provision, unless the context requires otherwise. The table of contents and headings contained in this Agreement are for reference purposes only and are not part of this Agreement. Whenever the words “include,” “includes” or “including” are used in this Agreement, they shall be deemed followed by the words “without limitation.” No rule of construction against the draftsperson shall be applied in connection with the interpretation or enforcement of this Agreement, as this Agreement is the product of negotiation between sophisticated parties advised by counsel. All references to “$” or “dollars” mean the lawful currency of the United States of America.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w:t>
      </w:r>
    </w:p>
    <w:p>
      <w:pPr>
        <w:spacing w:after="0" w:line="199" w:lineRule="exact"/>
        <w:rPr>
          <w:rFonts w:ascii="Arial" w:cs="Arial" w:eastAsia="Arial" w:hAnsi="Arial"/>
          <w:sz w:val="19"/>
          <w:szCs w:val="19"/>
          <w:color w:val="auto"/>
        </w:rPr>
      </w:pPr>
    </w:p>
    <w:p>
      <w:pPr>
        <w:ind w:left="1120" w:hanging="464"/>
        <w:spacing w:after="0"/>
        <w:tabs>
          <w:tab w:leader="none" w:pos="11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Capitalized terms not defined herein have the meanings ascribed thereto in Annex B.</w:t>
      </w:r>
    </w:p>
    <w:p>
      <w:pPr>
        <w:spacing w:after="0" w:line="219" w:lineRule="exact"/>
        <w:rPr>
          <w:rFonts w:ascii="Arial" w:cs="Arial" w:eastAsia="Arial" w:hAnsi="Arial"/>
          <w:sz w:val="22"/>
          <w:szCs w:val="22"/>
          <w:color w:val="auto"/>
        </w:rPr>
      </w:pPr>
    </w:p>
    <w:p>
      <w:pPr>
        <w:ind w:left="5580" w:hanging="136"/>
        <w:spacing w:after="0"/>
        <w:tabs>
          <w:tab w:leader="none" w:pos="5580" w:val="left"/>
        </w:tabs>
        <w:numPr>
          <w:ilvl w:val="1"/>
          <w:numId w:val="64"/>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2"/>
          <w:szCs w:val="22"/>
          <w:color w:val="auto"/>
        </w:rPr>
        <w:t>Article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w:t>
      </w:r>
    </w:p>
    <w:p>
      <w:pPr>
        <w:spacing w:after="0" w:line="242"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xml:space="preserve"> . The Company represents and warrants to Treasury that as of the date hereof and each Warrant Closing Date (or such other date specified herein):</w:t>
      </w:r>
    </w:p>
    <w:p>
      <w:pPr>
        <w:spacing w:after="0" w:line="215" w:lineRule="exact"/>
        <w:rPr>
          <w:sz w:val="20"/>
          <w:szCs w:val="20"/>
          <w:color w:val="auto"/>
        </w:rPr>
      </w:pPr>
    </w:p>
    <w:p>
      <w:pPr>
        <w:ind w:right="100" w:firstLine="656"/>
        <w:spacing w:after="0" w:line="291" w:lineRule="auto"/>
        <w:tabs>
          <w:tab w:leader="none" w:pos="1158"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Existence, Qualification and Power</w:t>
      </w:r>
      <w:r>
        <w:rPr>
          <w:rFonts w:ascii="Arial" w:cs="Arial" w:eastAsia="Arial" w:hAnsi="Arial"/>
          <w:sz w:val="19"/>
          <w:szCs w:val="19"/>
          <w:color w:val="auto"/>
        </w:rPr>
        <w:t xml:space="preserve"> . The Company is duly organized or formed, validly existing and, if applicable, in good standing under the Laws of the jurisdiction of its incorporation or organization, and the Company and each Subsidiary</w:t>
      </w:r>
    </w:p>
    <w:p>
      <w:pPr>
        <w:spacing w:after="0" w:line="1" w:lineRule="exact"/>
        <w:rPr>
          <w:rFonts w:ascii="Arial" w:cs="Arial" w:eastAsia="Arial" w:hAnsi="Arial"/>
          <w:sz w:val="19"/>
          <w:szCs w:val="19"/>
          <w:color w:val="auto"/>
        </w:rPr>
      </w:pPr>
    </w:p>
    <w:p>
      <w:pPr>
        <w:ind w:firstLine="8"/>
        <w:spacing w:after="0" w:line="244" w:lineRule="auto"/>
        <w:tabs>
          <w:tab w:leader="none" w:pos="294" w:val="left"/>
        </w:tabs>
        <w:numPr>
          <w:ilvl w:val="0"/>
          <w:numId w:val="66"/>
        </w:numPr>
        <w:rPr>
          <w:rFonts w:ascii="Arial" w:cs="Arial" w:eastAsia="Arial" w:hAnsi="Arial"/>
          <w:sz w:val="22"/>
          <w:szCs w:val="22"/>
          <w:color w:val="auto"/>
        </w:rPr>
      </w:pPr>
      <w:r>
        <w:rPr>
          <w:rFonts w:ascii="Arial" w:cs="Arial" w:eastAsia="Arial" w:hAnsi="Arial"/>
          <w:sz w:val="22"/>
          <w:szCs w:val="22"/>
          <w:color w:val="auto"/>
        </w:rPr>
        <w:t>has all requisite power and authority and all requisite governmental licenses, authorizations, consents and approvals to (i) own or lease its assets and carry on its business and (ii) execute, deliver and perform its obligations under the this Agreement and the Warrants, and (b) is duly qualified and is licensed and, as applicable, in good standing under the Laws of each jurisdiction where its ownership, lease or operation of properties or the conduct of its business requires such qualification or license, except, in each case referred to in clause (a)(i) or (b), to the extent that failure to do so could not reasonably be expected to have a Material Adverse Effect.</w:t>
      </w:r>
    </w:p>
    <w:p>
      <w:pPr>
        <w:spacing w:after="0" w:line="234" w:lineRule="exact"/>
        <w:rPr>
          <w:rFonts w:ascii="Arial" w:cs="Arial" w:eastAsia="Arial" w:hAnsi="Arial"/>
          <w:sz w:val="22"/>
          <w:szCs w:val="22"/>
          <w:color w:val="auto"/>
        </w:rPr>
      </w:pPr>
    </w:p>
    <w:p>
      <w:pPr>
        <w:ind w:firstLine="656"/>
        <w:spacing w:after="0" w:line="288" w:lineRule="auto"/>
        <w:tabs>
          <w:tab w:leader="none" w:pos="1170"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xml:space="preserve"> </w:t>
      </w:r>
      <w:r>
        <w:rPr>
          <w:rFonts w:ascii="Arial" w:cs="Arial" w:eastAsia="Arial" w:hAnsi="Arial"/>
          <w:sz w:val="15"/>
          <w:szCs w:val="15"/>
          <w:color w:val="auto"/>
        </w:rPr>
        <w:t>.</w:t>
      </w:r>
      <w:r>
        <w:rPr>
          <w:rFonts w:ascii="Arial" w:cs="Arial" w:eastAsia="Arial" w:hAnsi="Arial"/>
          <w:sz w:val="19"/>
          <w:szCs w:val="19"/>
          <w:color w:val="auto"/>
        </w:rPr>
        <w:t xml:space="preserve"> The authorized capital stock of the Company, and the outstanding capital stock of the Company (including securities convertible into, or exercisable or exchangeable for, capital stock of the Company) as of the most recent fiscal month-end preceding the date hereof (the “ </w:t>
      </w:r>
      <w:r>
        <w:rPr>
          <w:rFonts w:ascii="Arial" w:cs="Arial" w:eastAsia="Arial" w:hAnsi="Arial"/>
          <w:sz w:val="19"/>
          <w:szCs w:val="19"/>
          <w:u w:val="single" w:color="auto"/>
          <w:color w:val="auto"/>
        </w:rPr>
        <w:t>Capitalization Date</w:t>
      </w:r>
      <w:r>
        <w:rPr>
          <w:rFonts w:ascii="Arial" w:cs="Arial" w:eastAsia="Arial" w:hAnsi="Arial"/>
          <w:sz w:val="19"/>
          <w:szCs w:val="19"/>
          <w:color w:val="auto"/>
        </w:rPr>
        <w:t xml:space="preserve"> ”) is set forth in Schedule 2. The outstanding shares of capital stock of the Company have been duly authorized and are validly issued and outstanding, fully paid and nonassessable, and subject to no preemptive rights (and were not issued in violation of any preemptive rights). Except as provided in the Warrants, as of the date hereof, the Company does not have outstanding any securities or other obligations providing the holder the right to acquire Common Stock that is not reserved for issuance as specified on Schedule 2, and the Company has not made any other commitment to authorize, issue or sell any Common Stock. Since the Capitalization Date, the Company has not issued any shares of Common Stock, other than (i) shares issued upon the exercise of stock options or delivered under other equity-based awards or other convertible securities or warrants which were issued and outstanding on the Capitalization Date and disclosed on Schedule 2 and (ii) shares disclosed on Schedule 2 as it may be updated by written notice from the Company to Treasury in connection with each Warrant Closing Date.</w:t>
      </w:r>
    </w:p>
    <w:p>
      <w:pPr>
        <w:spacing w:after="0" w:line="201" w:lineRule="exact"/>
        <w:rPr>
          <w:rFonts w:ascii="Arial" w:cs="Arial" w:eastAsia="Arial" w:hAnsi="Arial"/>
          <w:sz w:val="19"/>
          <w:szCs w:val="19"/>
          <w:color w:val="auto"/>
        </w:rPr>
      </w:pPr>
    </w:p>
    <w:p>
      <w:pPr>
        <w:ind w:right="80" w:firstLine="656"/>
        <w:spacing w:after="0" w:line="294" w:lineRule="auto"/>
        <w:tabs>
          <w:tab w:leader="none" w:pos="1158"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Listing</w:t>
      </w:r>
      <w:r>
        <w:rPr>
          <w:rFonts w:ascii="Arial" w:cs="Arial" w:eastAsia="Arial" w:hAnsi="Arial"/>
          <w:sz w:val="19"/>
          <w:szCs w:val="19"/>
          <w:color w:val="auto"/>
        </w:rPr>
        <w:t xml:space="preserve"> . The Common Stock has been registered pursuant to Section 12(b) of the Exchange Act and the shares of the Common Stock outstanding on the date hereof are listed on a national securities exchange. The Company has taken no action designed to, or likely to have the effect of, terminating the registration of the Common Stock under the Exchange Act or the listing of the Common Stock on such national securities exchange, nor has the Company received any notification that the Securities and Exchange Commission (the “ </w:t>
      </w:r>
      <w:r>
        <w:rPr>
          <w:rFonts w:ascii="Arial" w:cs="Arial" w:eastAsia="Arial" w:hAnsi="Arial"/>
          <w:sz w:val="19"/>
          <w:szCs w:val="19"/>
          <w:u w:val="single" w:color="auto"/>
          <w:color w:val="auto"/>
        </w:rPr>
        <w:t>SEC</w:t>
      </w:r>
      <w:r>
        <w:rPr>
          <w:rFonts w:ascii="Arial" w:cs="Arial" w:eastAsia="Arial" w:hAnsi="Arial"/>
          <w:sz w:val="19"/>
          <w:szCs w:val="19"/>
          <w:color w:val="auto"/>
        </w:rPr>
        <w:t xml:space="preserve"> ”) or such exchange is contemplating terminating such registration or listing. The Company is in compliance with applicable continued listing requirements of such exchange in all material respects.</w:t>
      </w:r>
    </w:p>
    <w:p>
      <w:pPr>
        <w:spacing w:after="0" w:line="189" w:lineRule="exact"/>
        <w:rPr>
          <w:rFonts w:ascii="Arial" w:cs="Arial" w:eastAsia="Arial" w:hAnsi="Arial"/>
          <w:sz w:val="19"/>
          <w:szCs w:val="19"/>
          <w:color w:val="auto"/>
        </w:rPr>
      </w:pPr>
    </w:p>
    <w:p>
      <w:pPr>
        <w:ind w:right="160" w:firstLine="656"/>
        <w:spacing w:after="0" w:line="263" w:lineRule="auto"/>
        <w:tabs>
          <w:tab w:leader="none" w:pos="117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Governmental Authorization; Other Consents</w:t>
      </w:r>
      <w:r>
        <w:rPr>
          <w:rFonts w:ascii="Arial" w:cs="Arial" w:eastAsia="Arial" w:hAnsi="Arial"/>
          <w:sz w:val="22"/>
          <w:szCs w:val="22"/>
          <w:color w:val="auto"/>
        </w:rPr>
        <w:t xml:space="preserve"> . No approval, consent, exemption, authorization, or other action by, or notice to, or filing with, any Governmental Authority or any other</w:t>
      </w:r>
    </w:p>
    <w:p>
      <w:pPr>
        <w:spacing w:after="0" w:line="174" w:lineRule="exact"/>
        <w:rPr>
          <w:rFonts w:ascii="Arial" w:cs="Arial" w:eastAsia="Arial" w:hAnsi="Arial"/>
          <w:sz w:val="22"/>
          <w:szCs w:val="22"/>
          <w:color w:val="auto"/>
        </w:rPr>
      </w:pPr>
    </w:p>
    <w:p>
      <w:pPr>
        <w:ind w:left="5580" w:hanging="136"/>
        <w:spacing w:after="0"/>
        <w:tabs>
          <w:tab w:leader="none" w:pos="55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100" w:name="page101"/>
    <w:bookmarkEnd w:id="100"/>
    <w:p>
      <w:pPr>
        <w:ind w:right="240"/>
        <w:spacing w:after="0" w:line="253" w:lineRule="auto"/>
        <w:rPr>
          <w:sz w:val="20"/>
          <w:szCs w:val="20"/>
          <w:color w:val="auto"/>
        </w:rPr>
      </w:pPr>
      <w:r>
        <w:rPr>
          <w:rFonts w:ascii="Arial" w:cs="Arial" w:eastAsia="Arial" w:hAnsi="Arial"/>
          <w:sz w:val="22"/>
          <w:szCs w:val="22"/>
          <w:color w:val="auto"/>
        </w:rPr>
        <w:t>Person is necessary or required in connection with the execution, delivery or performance by, or enforcement against, the Company of this Agreement, except for such approvals, consents, exemptions, authorizations, actions or notices that have been duly obtained, taken or made and in full force and effect.</w:t>
      </w:r>
    </w:p>
    <w:p>
      <w:pPr>
        <w:spacing w:after="0" w:line="226" w:lineRule="exact"/>
        <w:rPr>
          <w:sz w:val="20"/>
          <w:szCs w:val="20"/>
          <w:color w:val="auto"/>
        </w:rPr>
      </w:pPr>
    </w:p>
    <w:p>
      <w:pPr>
        <w:ind w:right="100" w:firstLine="656"/>
        <w:spacing w:after="0" w:line="302" w:lineRule="auto"/>
        <w:tabs>
          <w:tab w:leader="none" w:pos="1158"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Execution and Delivery; Binding Effect</w:t>
      </w:r>
      <w:r>
        <w:rPr>
          <w:rFonts w:ascii="Arial" w:cs="Arial" w:eastAsia="Arial" w:hAnsi="Arial"/>
          <w:sz w:val="19"/>
          <w:szCs w:val="19"/>
          <w:color w:val="auto"/>
        </w:rPr>
        <w:t xml:space="preserve"> . This Agreement has been duly authorized, executed and delivered by the Company. This Agreement constitutes a legal, valid and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w:t>
      </w:r>
    </w:p>
    <w:p>
      <w:pPr>
        <w:spacing w:after="0" w:line="182" w:lineRule="exact"/>
        <w:rPr>
          <w:rFonts w:ascii="Arial" w:cs="Arial" w:eastAsia="Arial" w:hAnsi="Arial"/>
          <w:sz w:val="19"/>
          <w:szCs w:val="19"/>
          <w:color w:val="auto"/>
        </w:rPr>
      </w:pPr>
    </w:p>
    <w:p>
      <w:pPr>
        <w:ind w:right="60" w:firstLine="656"/>
        <w:spacing w:after="0" w:line="246" w:lineRule="auto"/>
        <w:tabs>
          <w:tab w:leader="none" w:pos="1134"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The Warrants and Warrant Shares</w:t>
      </w:r>
      <w:r>
        <w:rPr>
          <w:rFonts w:ascii="Arial" w:cs="Arial" w:eastAsia="Arial" w:hAnsi="Arial"/>
          <w:sz w:val="22"/>
          <w:szCs w:val="22"/>
          <w:color w:val="auto"/>
        </w:rPr>
        <w:t xml:space="preserve"> . Each Warrant has been duly authorized and, when executed and delivered as contemplated hereby, will constitute a valid and legally binding obligation of the Company enforceable against the Company in accordance with its terms, except as such enforceability may be limited by bankruptcy, insolvency, reorganization, receivership, moratorium or other Laws affecting creditors’ rights generally and by general principles of equity. The Warrant Shares have been duly authorized and reserved for issuance upon exercise of the Warrants and when so issued in accordance with the terms of the Warrants will be validly issued, fully paid and non-assessable, subject, if applicable, to the approvals of its stockholders set forth on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w:t>
      </w:r>
    </w:p>
    <w:p>
      <w:pPr>
        <w:spacing w:after="0" w:line="236" w:lineRule="exact"/>
        <w:rPr>
          <w:rFonts w:ascii="Arial" w:cs="Arial" w:eastAsia="Arial" w:hAnsi="Arial"/>
          <w:sz w:val="22"/>
          <w:szCs w:val="22"/>
          <w:color w:val="auto"/>
        </w:rPr>
      </w:pPr>
    </w:p>
    <w:p>
      <w:pPr>
        <w:ind w:left="1180" w:hanging="524"/>
        <w:spacing w:after="0"/>
        <w:tabs>
          <w:tab w:leader="none" w:pos="11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Authorization, Enforceability</w:t>
      </w:r>
      <w:r>
        <w:rPr>
          <w:rFonts w:ascii="Arial" w:cs="Arial" w:eastAsia="Arial" w:hAnsi="Arial"/>
          <w:sz w:val="22"/>
          <w:szCs w:val="22"/>
          <w:color w:val="auto"/>
        </w:rPr>
        <w:t xml:space="preserve"> .</w:t>
      </w:r>
    </w:p>
    <w:p>
      <w:pPr>
        <w:spacing w:after="0" w:line="233" w:lineRule="exact"/>
        <w:rPr>
          <w:rFonts w:ascii="Arial" w:cs="Arial" w:eastAsia="Arial" w:hAnsi="Arial"/>
          <w:sz w:val="22"/>
          <w:szCs w:val="22"/>
          <w:color w:val="auto"/>
        </w:rPr>
      </w:pPr>
    </w:p>
    <w:p>
      <w:pPr>
        <w:ind w:left="660" w:firstLine="644"/>
        <w:spacing w:after="0" w:line="247" w:lineRule="auto"/>
        <w:tabs>
          <w:tab w:leader="none" w:pos="2214"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The Company has the corporate power and authority to execute and deliver this Agreement and the Warrants and, subject, if applicable, to the approvals of its stockholders, to carry out its obligations hereunder and thereunder (which includes the issuance of the Warrants and Warrant Shares). The execution, delivery and performance by the Company of this Agreement and the Warrants and the consummation of the transactions contemplated hereby and thereby have been duly authorized by all necessary corporate or other organizational action on the part of the Company and its stockholders, and no further approval or authorization is required on the part of the Company, subject, in each case, if applicable, to the approvals of its stockholders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w:t>
      </w:r>
    </w:p>
    <w:p>
      <w:pPr>
        <w:spacing w:after="0" w:line="194" w:lineRule="exact"/>
        <w:rPr>
          <w:rFonts w:ascii="Arial" w:cs="Arial" w:eastAsia="Arial" w:hAnsi="Arial"/>
          <w:sz w:val="19"/>
          <w:szCs w:val="19"/>
          <w:color w:val="auto"/>
        </w:rPr>
      </w:pPr>
    </w:p>
    <w:p>
      <w:pPr>
        <w:ind w:left="660" w:right="100" w:firstLine="644"/>
        <w:spacing w:after="0" w:line="247" w:lineRule="auto"/>
        <w:tabs>
          <w:tab w:leader="none" w:pos="2274"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execution, delivery and performance by the Company of this Agreement do not and will not (a) contravene the terms of its Organizational Documents, (b) conflict with or result in any breach or contravention of, or the creation of any Lien (as defined in the Promissory Note) under, or require any payment to be made under (i) any material Contractual Obligation to which the Company is a party or affecting the Company or the properties of the Company or any Subsidiary or (ii) any material order, injunction, writ or decree of any Governmental Authority or any arbitral award to which the Company or any Subsidiary or its property is subject or (c) violate any Law, except to the extent that such violation could not reasonably be expected to have a Material Adverse Effect.</w:t>
      </w:r>
    </w:p>
    <w:p>
      <w:pPr>
        <w:spacing w:after="0" w:line="194" w:lineRule="exact"/>
        <w:rPr>
          <w:rFonts w:ascii="Arial" w:cs="Arial" w:eastAsia="Arial" w:hAnsi="Arial"/>
          <w:sz w:val="19"/>
          <w:szCs w:val="19"/>
          <w:color w:val="auto"/>
        </w:rPr>
      </w:pPr>
    </w:p>
    <w:p>
      <w:pPr>
        <w:ind w:left="660" w:right="140" w:firstLine="644"/>
        <w:spacing w:after="0" w:line="223" w:lineRule="auto"/>
        <w:tabs>
          <w:tab w:leader="none" w:pos="2334" w:val="left"/>
        </w:tabs>
        <w:numPr>
          <w:ilvl w:val="1"/>
          <w:numId w:val="67"/>
        </w:numPr>
        <w:rPr>
          <w:rFonts w:ascii="Arial" w:cs="Arial" w:eastAsia="Arial" w:hAnsi="Arial"/>
          <w:sz w:val="22"/>
          <w:szCs w:val="22"/>
          <w:color w:val="auto"/>
        </w:rPr>
      </w:pPr>
      <w:r>
        <w:rPr>
          <w:rFonts w:ascii="Arial" w:cs="Arial" w:eastAsia="Arial" w:hAnsi="Arial"/>
          <w:sz w:val="22"/>
          <w:szCs w:val="22"/>
          <w:color w:val="auto"/>
        </w:rPr>
        <w:t>Other than any current report on Form 8-K required to be filed with the SEC (which shall be made on or before the date on which it is required to be filed), such filings and approvals as are required to be made or obtained under any state “blue sky” laws, the filing of</w:t>
      </w:r>
    </w:p>
    <w:p>
      <w:pPr>
        <w:spacing w:after="0" w:line="185" w:lineRule="exact"/>
        <w:rPr>
          <w:rFonts w:ascii="Arial" w:cs="Arial" w:eastAsia="Arial" w:hAnsi="Arial"/>
          <w:sz w:val="22"/>
          <w:szCs w:val="22"/>
          <w:color w:val="auto"/>
        </w:rPr>
      </w:pPr>
    </w:p>
    <w:p>
      <w:pPr>
        <w:ind w:left="5580" w:hanging="136"/>
        <w:spacing w:after="0"/>
        <w:tabs>
          <w:tab w:leader="none" w:pos="5580" w:val="left"/>
        </w:tabs>
        <w:numPr>
          <w:ilvl w:val="2"/>
          <w:numId w:val="67"/>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01" w:name="page102"/>
    <w:bookmarkEnd w:id="101"/>
    <w:p>
      <w:pPr>
        <w:ind w:left="4"/>
        <w:spacing w:after="0" w:line="249" w:lineRule="auto"/>
        <w:rPr>
          <w:sz w:val="20"/>
          <w:szCs w:val="20"/>
          <w:color w:val="auto"/>
        </w:rPr>
      </w:pPr>
      <w:r>
        <w:rPr>
          <w:rFonts w:ascii="Arial" w:cs="Arial" w:eastAsia="Arial" w:hAnsi="Arial"/>
          <w:sz w:val="19"/>
          <w:szCs w:val="19"/>
          <w:color w:val="auto"/>
        </w:rPr>
        <w:t>any proxy statement contemplated by Section 3.1 and such filings and approvals as have been made or obtained, no notice to, filing with, exemption or review by, or authorization, consent or approval of, any Governmental Authority is required to be made or obtained by the Company in connection with the execution, delivery and performance by the Company of this Agreement and the consummation by the Company of the issuance of the Warrants except for any such notices, filings, exemptions, reviews, authorizations, consents and approvals the failure of which to make or obtain would not, individually or in the aggregate, reasonably be expected to have a Material Adverse Effect.</w:t>
      </w:r>
    </w:p>
    <w:p>
      <w:pPr>
        <w:spacing w:after="0" w:line="219" w:lineRule="exact"/>
        <w:rPr>
          <w:sz w:val="20"/>
          <w:szCs w:val="20"/>
          <w:color w:val="auto"/>
        </w:rPr>
      </w:pPr>
    </w:p>
    <w:p>
      <w:pPr>
        <w:ind w:left="-656" w:right="40" w:firstLine="656"/>
        <w:spacing w:after="0" w:line="289" w:lineRule="auto"/>
        <w:tabs>
          <w:tab w:leader="none" w:pos="514"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Anti-takeover Provisions and Rights Plan</w:t>
      </w:r>
      <w:r>
        <w:rPr>
          <w:rFonts w:ascii="Arial" w:cs="Arial" w:eastAsia="Arial" w:hAnsi="Arial"/>
          <w:sz w:val="19"/>
          <w:szCs w:val="19"/>
          <w:color w:val="auto"/>
        </w:rPr>
        <w:t xml:space="preserve"> . The Board of Directors of the Company (the “ </w:t>
      </w:r>
      <w:r>
        <w:rPr>
          <w:rFonts w:ascii="Arial" w:cs="Arial" w:eastAsia="Arial" w:hAnsi="Arial"/>
          <w:sz w:val="19"/>
          <w:szCs w:val="19"/>
          <w:u w:val="single" w:color="auto"/>
          <w:color w:val="auto"/>
        </w:rPr>
        <w:t>Board of Directors</w:t>
      </w:r>
      <w:r>
        <w:rPr>
          <w:rFonts w:ascii="Arial" w:cs="Arial" w:eastAsia="Arial" w:hAnsi="Arial"/>
          <w:sz w:val="19"/>
          <w:szCs w:val="19"/>
          <w:color w:val="auto"/>
        </w:rPr>
        <w:t xml:space="preserve"> ”) has taken all necessary action, and will in the future take any necessary action, to ensure that the transactions contemplated by this Agreement and the Warrants and the consummation of the transactions contemplated hereby and thereby, including the exercise of the Warrants in accordance with their terms, will be exempt from any anti-takeover or similar provisions of the Company’s Organizational Documents, and any other provisions of any applicable “moratorium”, “control share”, “fair price”, “interested stockholder” or other anti-takeover laws and regulations of any jurisdiction, whether existing on the date hereof or implemented after the date hereof. The Company has taken all actions necessary, and will in the future take any necessary action, to render any stockholders’ rights plan of the Company inapplicable to this Agreement and the Warrants and the consummation of the transactions contemplated hereby and thereby, including the exercise of the Warrants by Treasury in accordance with its terms.</w:t>
      </w:r>
    </w:p>
    <w:p>
      <w:pPr>
        <w:spacing w:after="0" w:line="197" w:lineRule="exact"/>
        <w:rPr>
          <w:rFonts w:ascii="Arial" w:cs="Arial" w:eastAsia="Arial" w:hAnsi="Arial"/>
          <w:sz w:val="19"/>
          <w:szCs w:val="19"/>
          <w:color w:val="auto"/>
        </w:rPr>
      </w:pPr>
    </w:p>
    <w:p>
      <w:pPr>
        <w:ind w:left="464" w:hanging="464"/>
        <w:spacing w:after="0"/>
        <w:tabs>
          <w:tab w:leader="none" w:pos="464"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Reports</w:t>
      </w:r>
      <w:r>
        <w:rPr>
          <w:rFonts w:ascii="Arial" w:cs="Arial" w:eastAsia="Arial" w:hAnsi="Arial"/>
          <w:sz w:val="22"/>
          <w:szCs w:val="22"/>
          <w:color w:val="auto"/>
        </w:rPr>
        <w:t xml:space="preserve"> .</w:t>
      </w:r>
    </w:p>
    <w:p>
      <w:pPr>
        <w:spacing w:after="0" w:line="233" w:lineRule="exact"/>
        <w:rPr>
          <w:rFonts w:ascii="Arial" w:cs="Arial" w:eastAsia="Arial" w:hAnsi="Arial"/>
          <w:sz w:val="22"/>
          <w:szCs w:val="22"/>
          <w:color w:val="auto"/>
        </w:rPr>
      </w:pPr>
    </w:p>
    <w:p>
      <w:pPr>
        <w:ind w:left="4" w:right="20" w:firstLine="644"/>
        <w:spacing w:after="0" w:line="241" w:lineRule="auto"/>
        <w:tabs>
          <w:tab w:leader="none" w:pos="1558"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Since December 31, 2017, the Company and each Subsidiary has timely filed all reports, registrations, documents, filings, statements and submissions, together with any amendments thereto, that it was required to file with any Governmental Authority (the foregoing, collectively, the “ </w:t>
      </w:r>
      <w:r>
        <w:rPr>
          <w:rFonts w:ascii="Arial" w:cs="Arial" w:eastAsia="Arial" w:hAnsi="Arial"/>
          <w:sz w:val="19"/>
          <w:szCs w:val="19"/>
          <w:u w:val="single" w:color="auto"/>
          <w:color w:val="auto"/>
        </w:rPr>
        <w:t>Company Reports</w:t>
      </w:r>
      <w:r>
        <w:rPr>
          <w:rFonts w:ascii="Arial" w:cs="Arial" w:eastAsia="Arial" w:hAnsi="Arial"/>
          <w:sz w:val="19"/>
          <w:szCs w:val="19"/>
          <w:color w:val="auto"/>
        </w:rPr>
        <w:t xml:space="preserve"> ”) and has paid all fees and assessments due and payable in connection therewith, except, in each case, as would not, individually or in the aggregate, reasonably be expected to have a Material Adverse Effect. As of their respective dates of filing, the Company Reports complied in all material respects with all statutes and applicable rules and regulations of the applicable Governmental Authority. In the case of each such Company Report filed with or furnished to the SEC, such Company Report (A) did not, as of its date or if amended prior to the date hereof, as of the date of such amendment, contain an untrue statement of a material fact or omit to state a material fact necessary in order to make the statements made therein, in light of the circumstances under which they were made, not misleading, and (B) complied as to form in all material respects with the applicable requirements of the Securities Act and the Exchange Act. With respect to all other Company Reports, the Company Reports were complete and accurate in all material respects as of their respective dates. No executive officer of the Company or any Subsidiary has failed in any respect to make the certifications required of him or her under Section 302 or 906 of the Sarbanes-Oxley Act of 2002.</w:t>
      </w:r>
    </w:p>
    <w:p>
      <w:pPr>
        <w:spacing w:after="0" w:line="208" w:lineRule="exact"/>
        <w:rPr>
          <w:rFonts w:ascii="Arial" w:cs="Arial" w:eastAsia="Arial" w:hAnsi="Arial"/>
          <w:sz w:val="19"/>
          <w:szCs w:val="19"/>
          <w:color w:val="auto"/>
        </w:rPr>
      </w:pPr>
    </w:p>
    <w:p>
      <w:pPr>
        <w:ind w:left="4" w:right="300" w:firstLine="644"/>
        <w:spacing w:after="0" w:line="245" w:lineRule="exact"/>
        <w:tabs>
          <w:tab w:leader="none" w:pos="1618"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Company (A) has implemented and maintains disclosure controls and procedures (as defined in Rule 13a</w:t>
      </w:r>
      <w:r>
        <w:rPr>
          <w:rFonts w:ascii="MS PGothic" w:cs="MS PGothic" w:eastAsia="MS PGothic" w:hAnsi="MS PGothic"/>
          <w:sz w:val="22"/>
          <w:szCs w:val="22"/>
          <w:color w:val="auto"/>
        </w:rPr>
        <w:t>‑</w:t>
      </w:r>
      <w:r>
        <w:rPr>
          <w:rFonts w:ascii="Arial" w:cs="Arial" w:eastAsia="Arial" w:hAnsi="Arial"/>
          <w:sz w:val="22"/>
          <w:szCs w:val="22"/>
          <w:color w:val="auto"/>
        </w:rPr>
        <w:t>15(e) of the Exchange Act) to ensure that material</w:t>
      </w:r>
    </w:p>
    <w:p>
      <w:pPr>
        <w:spacing w:after="0" w:line="185" w:lineRule="exact"/>
        <w:rPr>
          <w:rFonts w:ascii="Arial" w:cs="Arial" w:eastAsia="Arial" w:hAnsi="Arial"/>
          <w:sz w:val="22"/>
          <w:szCs w:val="22"/>
          <w:color w:val="auto"/>
        </w:rPr>
      </w:pPr>
    </w:p>
    <w:p>
      <w:pPr>
        <w:ind w:left="4924" w:hanging="136"/>
        <w:spacing w:after="0"/>
        <w:tabs>
          <w:tab w:leader="none" w:pos="4924" w:val="left"/>
        </w:tabs>
        <w:numPr>
          <w:ilvl w:val="2"/>
          <w:numId w:val="68"/>
        </w:numPr>
        <w:rPr>
          <w:rFonts w:ascii="Arial" w:cs="Arial" w:eastAsia="Arial" w:hAnsi="Arial"/>
          <w:sz w:val="22"/>
          <w:szCs w:val="22"/>
          <w:color w:val="auto"/>
        </w:rPr>
      </w:pPr>
      <w:r>
        <w:rPr>
          <w:rFonts w:ascii="Arial" w:cs="Arial" w:eastAsia="Arial" w:hAnsi="Arial"/>
          <w:sz w:val="22"/>
          <w:szCs w:val="22"/>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77" w:right="359" w:bottom="1440" w:gutter="0" w:footer="0" w:header="0"/>
        </w:sectPr>
      </w:pPr>
    </w:p>
    <w:bookmarkStart w:id="102" w:name="page103"/>
    <w:bookmarkEnd w:id="102"/>
    <w:p>
      <w:pPr>
        <w:ind w:left="4"/>
        <w:spacing w:after="0" w:line="247" w:lineRule="auto"/>
        <w:rPr>
          <w:sz w:val="20"/>
          <w:szCs w:val="20"/>
          <w:color w:val="auto"/>
        </w:rPr>
      </w:pPr>
      <w:r>
        <w:rPr>
          <w:rFonts w:ascii="Arial" w:cs="Arial" w:eastAsia="Arial" w:hAnsi="Arial"/>
          <w:sz w:val="19"/>
          <w:szCs w:val="19"/>
          <w:color w:val="auto"/>
        </w:rPr>
        <w:t>information relating to the Company, including its Subsidiaries, is made known to the chief executive officer and the chief financial officer of the Company by others within those entities, and (B) has disclosed, based on its most recent evaluation prior to the date hereof, to the Company’s outside auditors and the audit committee of the Board of Directors (x) any significant deficiencies and material weaknesses in the design or operation of internal controls over financial reporting (as defined in Rule 13a-15(f) of the Exchange Act) that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spacing w:after="0" w:line="221" w:lineRule="exact"/>
        <w:rPr>
          <w:sz w:val="20"/>
          <w:szCs w:val="20"/>
          <w:color w:val="auto"/>
        </w:rPr>
      </w:pPr>
    </w:p>
    <w:p>
      <w:pPr>
        <w:ind w:left="-656" w:right="20" w:firstLine="656"/>
        <w:spacing w:after="0" w:line="297" w:lineRule="auto"/>
        <w:tabs>
          <w:tab w:leader="none" w:pos="46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Offering of Securities</w:t>
      </w:r>
      <w:r>
        <w:rPr>
          <w:rFonts w:ascii="Arial" w:cs="Arial" w:eastAsia="Arial" w:hAnsi="Arial"/>
          <w:sz w:val="19"/>
          <w:szCs w:val="19"/>
          <w:color w:val="auto"/>
        </w:rPr>
        <w:t xml:space="preserve"> . Neither the Company nor any person acting on its behalf has taken any action (including any offering of any securities of the Company under circumstances which would require the integration of such offering with the offering of any of the Warrants under the Securities Act, and the rules and regulations of the Securities and Exchange Commission (the “ </w:t>
      </w:r>
      <w:r>
        <w:rPr>
          <w:rFonts w:ascii="Arial" w:cs="Arial" w:eastAsia="Arial" w:hAnsi="Arial"/>
          <w:sz w:val="19"/>
          <w:szCs w:val="19"/>
          <w:u w:val="single" w:color="auto"/>
          <w:color w:val="auto"/>
        </w:rPr>
        <w:t>SEC</w:t>
      </w:r>
      <w:r>
        <w:rPr>
          <w:rFonts w:ascii="Arial" w:cs="Arial" w:eastAsia="Arial" w:hAnsi="Arial"/>
          <w:sz w:val="19"/>
          <w:szCs w:val="19"/>
          <w:color w:val="auto"/>
        </w:rPr>
        <w:t xml:space="preserve"> ”) promulgated thereunder), which might subject the offering, issuance or sale of any of the Warrants to Treasury pursuant to this Agreement to the registration requirements of the Securities Act.</w:t>
      </w:r>
    </w:p>
    <w:p>
      <w:pPr>
        <w:spacing w:after="0" w:line="187" w:lineRule="exact"/>
        <w:rPr>
          <w:rFonts w:ascii="Arial" w:cs="Arial" w:eastAsia="Arial" w:hAnsi="Arial"/>
          <w:sz w:val="19"/>
          <w:szCs w:val="19"/>
          <w:color w:val="auto"/>
        </w:rPr>
      </w:pPr>
    </w:p>
    <w:p>
      <w:pPr>
        <w:ind w:left="-656" w:right="20" w:firstLine="656"/>
        <w:spacing w:after="0" w:line="250" w:lineRule="auto"/>
        <w:tabs>
          <w:tab w:leader="none" w:pos="51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Brokers and Finders</w:t>
      </w:r>
      <w:r>
        <w:rPr>
          <w:rFonts w:ascii="Arial" w:cs="Arial" w:eastAsia="Arial" w:hAnsi="Arial"/>
          <w:sz w:val="22"/>
          <w:szCs w:val="22"/>
          <w:color w:val="auto"/>
        </w:rPr>
        <w:t xml:space="preserve"> </w:t>
      </w:r>
      <w:r>
        <w:rPr>
          <w:rFonts w:ascii="Arial" w:cs="Arial" w:eastAsia="Arial" w:hAnsi="Arial"/>
          <w:sz w:val="22"/>
          <w:szCs w:val="22"/>
          <w:color w:val="0B0B0B"/>
        </w:rPr>
        <w:t>.</w:t>
      </w:r>
      <w:r>
        <w:rPr>
          <w:rFonts w:ascii="Arial" w:cs="Arial" w:eastAsia="Arial" w:hAnsi="Arial"/>
          <w:sz w:val="22"/>
          <w:szCs w:val="22"/>
          <w:color w:val="auto"/>
        </w:rPr>
        <w:t xml:space="preserve"> No broker, finder or investment banker is entitled to any financial advisory, brokerage, finder’s or other fee or commission in connection with this Agreement or the Warrants or the transactions contemplated hereby or thereby based upon arrangements made by or on behalf of the Company or any Subsidiary for which Treasury could have any liability.</w:t>
      </w:r>
    </w:p>
    <w:p>
      <w:pPr>
        <w:spacing w:after="0" w:line="228" w:lineRule="exact"/>
        <w:rPr>
          <w:sz w:val="20"/>
          <w:szCs w:val="20"/>
          <w:color w:val="auto"/>
        </w:rPr>
      </w:pPr>
    </w:p>
    <w:p>
      <w:pPr>
        <w:ind w:left="4524"/>
        <w:spacing w:after="0"/>
        <w:rPr>
          <w:sz w:val="20"/>
          <w:szCs w:val="20"/>
          <w:color w:val="auto"/>
        </w:rPr>
      </w:pPr>
      <w:r>
        <w:rPr>
          <w:rFonts w:ascii="Arial" w:cs="Arial" w:eastAsia="Arial" w:hAnsi="Arial"/>
          <w:sz w:val="22"/>
          <w:szCs w:val="22"/>
          <w:color w:val="auto"/>
        </w:rPr>
        <w:t>Article III</w:t>
      </w:r>
    </w:p>
    <w:p>
      <w:pPr>
        <w:spacing w:after="0" w:line="21" w:lineRule="exact"/>
        <w:rPr>
          <w:sz w:val="20"/>
          <w:szCs w:val="20"/>
          <w:color w:val="auto"/>
        </w:rPr>
      </w:pPr>
    </w:p>
    <w:p>
      <w:pPr>
        <w:ind w:left="4484"/>
        <w:spacing w:after="0"/>
        <w:rPr>
          <w:sz w:val="20"/>
          <w:szCs w:val="20"/>
          <w:color w:val="auto"/>
        </w:rPr>
      </w:pPr>
      <w:r>
        <w:rPr>
          <w:rFonts w:ascii="Arial" w:cs="Arial" w:eastAsia="Arial" w:hAnsi="Arial"/>
          <w:sz w:val="22"/>
          <w:szCs w:val="22"/>
          <w:b w:val="1"/>
          <w:bCs w:val="1"/>
          <w:color w:val="auto"/>
        </w:rPr>
        <w:t>Covenants</w:t>
      </w:r>
    </w:p>
    <w:p>
      <w:pPr>
        <w:spacing w:after="0" w:line="24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 xml:space="preserve">Commercially Reasonable Efforts </w:t>
      </w:r>
      <w:r>
        <w:rPr>
          <w:rFonts w:ascii="Arial" w:cs="Arial" w:eastAsia="Arial" w:hAnsi="Arial"/>
          <w:sz w:val="19"/>
          <w:szCs w:val="19"/>
          <w:color w:val="auto"/>
        </w:rPr>
        <w:t>.</w:t>
      </w:r>
    </w:p>
    <w:p>
      <w:pPr>
        <w:spacing w:after="0" w:line="260" w:lineRule="exact"/>
        <w:rPr>
          <w:sz w:val="20"/>
          <w:szCs w:val="20"/>
          <w:color w:val="auto"/>
        </w:rPr>
      </w:pPr>
    </w:p>
    <w:p>
      <w:pPr>
        <w:ind w:left="-656" w:right="440" w:firstLine="656"/>
        <w:spacing w:after="0" w:line="265" w:lineRule="auto"/>
        <w:tabs>
          <w:tab w:leader="none" w:pos="448" w:val="left"/>
        </w:tabs>
        <w:numPr>
          <w:ilvl w:val="0"/>
          <w:numId w:val="70"/>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each of the parties will use its commercially reasonable efforts in good faith to take, or cause to be taken, all actions, and to do, or cause to be done, all things necessary, proper or desirable, or advisable under applicable laws, to enable consummation of the transactions contemplated hereby and shall use commercially reasonable efforts to cooperate with the other party to that end.</w:t>
      </w:r>
    </w:p>
    <w:p>
      <w:pPr>
        <w:spacing w:after="0" w:line="215" w:lineRule="exact"/>
        <w:rPr>
          <w:rFonts w:ascii="Arial" w:cs="Arial" w:eastAsia="Arial" w:hAnsi="Arial"/>
          <w:sz w:val="21"/>
          <w:szCs w:val="21"/>
          <w:color w:val="auto"/>
        </w:rPr>
      </w:pPr>
    </w:p>
    <w:p>
      <w:pPr>
        <w:ind w:left="-656" w:right="100" w:firstLine="656"/>
        <w:spacing w:after="0" w:line="289" w:lineRule="auto"/>
        <w:tabs>
          <w:tab w:leader="none" w:pos="460"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If the Company is required to obtain any stockholder approvals, then the Company shall comply with this Section 3.1(b) and Section 3.1(c). The Company shall call a special meeting of its stockholders, as promptly as practicable following the Initial Closing, to vote on proposals (collectively, the “ </w:t>
      </w:r>
      <w:r>
        <w:rPr>
          <w:rFonts w:ascii="Arial" w:cs="Arial" w:eastAsia="Arial" w:hAnsi="Arial"/>
          <w:sz w:val="19"/>
          <w:szCs w:val="19"/>
          <w:u w:val="single" w:color="auto"/>
          <w:color w:val="auto"/>
        </w:rPr>
        <w:t>Stockholder Proposals</w:t>
      </w:r>
      <w:r>
        <w:rPr>
          <w:rFonts w:ascii="Arial" w:cs="Arial" w:eastAsia="Arial" w:hAnsi="Arial"/>
          <w:sz w:val="19"/>
          <w:szCs w:val="19"/>
          <w:color w:val="auto"/>
        </w:rPr>
        <w:t xml:space="preserve"> ”) to (i) approve the exercise of the Warrants for Common Stock for purposes of the rules of the national securities exchange on which the Common Stock is listed and/or (ii) amend the Company’s Organizational Documents to increase the number of authorized shares of Common Stock to at least such number as shall be sufficient to permit the full exercise of the Warrants for Common Stock and comply with the other provisions of this Section 3.1(b) and Section 3.1(c). The Board of Directors shall recommend to the Company’s stockholders that such stockholders vote in favor of the Stockholder Proposals. In connection with such meeting, the Company shall prepare (and Treasury will reasonably cooperate with the Company to prepare) and file</w:t>
      </w:r>
    </w:p>
    <w:p>
      <w:pPr>
        <w:spacing w:after="0" w:line="156" w:lineRule="exact"/>
        <w:rPr>
          <w:rFonts w:ascii="Arial" w:cs="Arial" w:eastAsia="Arial" w:hAnsi="Arial"/>
          <w:sz w:val="19"/>
          <w:szCs w:val="19"/>
          <w:color w:val="auto"/>
        </w:rPr>
      </w:pPr>
    </w:p>
    <w:p>
      <w:pPr>
        <w:ind w:left="4924" w:hanging="136"/>
        <w:spacing w:after="0"/>
        <w:tabs>
          <w:tab w:leader="none" w:pos="4924" w:val="left"/>
        </w:tabs>
        <w:numPr>
          <w:ilvl w:val="1"/>
          <w:numId w:val="70"/>
        </w:numPr>
        <w:rPr>
          <w:rFonts w:ascii="Arial" w:cs="Arial" w:eastAsia="Arial" w:hAnsi="Arial"/>
          <w:sz w:val="22"/>
          <w:szCs w:val="22"/>
          <w:color w:val="auto"/>
        </w:rPr>
      </w:pPr>
      <w:r>
        <w:rPr>
          <w:rFonts w:ascii="Arial" w:cs="Arial" w:eastAsia="Arial" w:hAnsi="Arial"/>
          <w:sz w:val="22"/>
          <w:szCs w:val="2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577" w:right="359" w:bottom="1440" w:gutter="0" w:footer="0" w:header="0"/>
        </w:sectPr>
      </w:pPr>
    </w:p>
    <w:bookmarkStart w:id="103" w:name="page104"/>
    <w:bookmarkEnd w:id="103"/>
    <w:p>
      <w:pPr>
        <w:spacing w:after="0" w:line="257" w:lineRule="exact"/>
        <w:rPr>
          <w:sz w:val="20"/>
          <w:szCs w:val="20"/>
          <w:color w:val="auto"/>
        </w:rPr>
      </w:pPr>
      <w:r>
        <w:rPr>
          <w:rFonts w:ascii="Arial" w:cs="Arial" w:eastAsia="Arial" w:hAnsi="Arial"/>
          <w:sz w:val="19"/>
          <w:szCs w:val="19"/>
          <w:color w:val="auto"/>
        </w:rPr>
        <w:t>with the SEC as promptly as practicable (but in no event more than ten Business Days after the Initial Closing) a preliminary proxy statement, shall use its reasonable best efforts to respond to any comments of the SEC or its staff thereon and to cause a definitive proxy statement related to such stockholders’ meeting to be mailed to the Company’s stockholders not more than five Business Days after clearance thereof by the SEC, and shall use its reasonable best efforts to solicit proxies for such stockholder approval of the Stockholder Proposals. The Company shall notify Treasury promptly of the receipt of any comments from the SEC or its staff with respect to the proxy statement and of any request by the SEC or its staff for amendments or supplements to such proxy statement or for additional information and will supply Treasury with copies of all correspondence between the Company or any of its representatives, on the one hand, and the SEC or its staff, on the other hand, with respect to such proxy statement. If at any time prior to such stockholders’ meeting there shall occur any event that is required to be set forth in an amendment or supplement to the proxy statement, the Company shall as promptly as practicable prepare and mail to its stockholders such an amendment or supplement. Each of Treasury and the Company agrees promptly to correct any information provided by it or on its behalf for use in the proxy statement if and to the extent that such information shall have become false or misleading in any material respect, and the Company shall as promptly as practicable prepare and mail to its stockholders an amendment or supplement to correct such information to the extent required by applicable laws and regulations. The Company shall consult with Treasury prior to filing any proxy statement, or any amendment or supplement thereto, and provide Treasury with a reasonable opportunity to comment thereon. In the event that the approval of any of the Stockholder Proposals is not obtained at such special stockholders meeting, the Company shall include a proposal to approve (and the Board of Directors shall recommend approval of) each such proposal at a meeting of its stockholders no less than once in each subsequent six</w:t>
      </w:r>
      <w:r>
        <w:rPr>
          <w:rFonts w:ascii="MS PGothic" w:cs="MS PGothic" w:eastAsia="MS PGothic" w:hAnsi="MS PGothic"/>
          <w:sz w:val="19"/>
          <w:szCs w:val="19"/>
          <w:color w:val="auto"/>
        </w:rPr>
        <w:t>‑</w:t>
      </w:r>
      <w:r>
        <w:rPr>
          <w:rFonts w:ascii="Arial" w:cs="Arial" w:eastAsia="Arial" w:hAnsi="Arial"/>
          <w:sz w:val="19"/>
          <w:szCs w:val="19"/>
          <w:color w:val="auto"/>
        </w:rPr>
        <w:t>month period beginning on September 30, 2020 until all such approvals are obtained or made.</w:t>
      </w:r>
    </w:p>
    <w:p>
      <w:pPr>
        <w:spacing w:after="0" w:line="252" w:lineRule="exact"/>
        <w:rPr>
          <w:sz w:val="20"/>
          <w:szCs w:val="20"/>
          <w:color w:val="auto"/>
        </w:rPr>
      </w:pPr>
    </w:p>
    <w:p>
      <w:pPr>
        <w:ind w:right="160" w:firstLine="656"/>
        <w:spacing w:after="0" w:line="297" w:lineRule="auto"/>
        <w:tabs>
          <w:tab w:leader="none" w:pos="1104" w:val="left"/>
        </w:tabs>
        <w:numPr>
          <w:ilvl w:val="0"/>
          <w:numId w:val="71"/>
        </w:numPr>
        <w:rPr>
          <w:rFonts w:ascii="Arial" w:cs="Arial" w:eastAsia="Arial" w:hAnsi="Arial"/>
          <w:sz w:val="19"/>
          <w:szCs w:val="19"/>
          <w:color w:val="auto"/>
        </w:rPr>
      </w:pPr>
      <w:r>
        <w:rPr>
          <w:rFonts w:ascii="Arial" w:cs="Arial" w:eastAsia="Arial" w:hAnsi="Arial"/>
          <w:sz w:val="19"/>
          <w:szCs w:val="19"/>
          <w:color w:val="auto"/>
        </w:rPr>
        <w:t>None of the information supplied by the Company or any of the Company Subsidiaries for inclusion in any proxy statement in connection with any such stockholders meeting of the Company will, at the date it is filed with the SEC, when first mailed to the Company’s stockholders and at the time of any stockholders meeting, and at the time of any amendment or supplement thereof, contain any untrue statement of a material fact or omit to state any material fact necessary in order to make the statements therein, in light of the circumstances under which they are made, not misleading.</w:t>
      </w:r>
    </w:p>
    <w:p>
      <w:pPr>
        <w:spacing w:after="0" w:line="187" w:lineRule="exact"/>
        <w:rPr>
          <w:sz w:val="20"/>
          <w:szCs w:val="20"/>
          <w:color w:val="auto"/>
        </w:rPr>
      </w:pPr>
    </w:p>
    <w:p>
      <w:pPr>
        <w:ind w:right="180" w:firstLine="648"/>
        <w:spacing w:after="0" w:line="258" w:lineRule="exact"/>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 The Company shall pay (i) 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Treasury (including the reasonable fees, charges and disbursements of any counsel for Treasury) in connection with the preparation, negotiation, execution, delivery and administration of this Agreement and the Warrants, any other agreements or documents executed in connection herewith or therewith, or any amendments, modifications or waivers of the provisions hereof or thereof (whether or not the transactions contemplated hereby or thereby shall be consummated), and (ii)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Treasury (including the fees, charges and disbursements of any counsel for Treasury), in connection with the enforcement or protection of its rights in connection with this Agreement and the Warrants, any other agreements or documents executed in connected herewith or therewith, or any amendments, modifications or waivers of the provisions hereof or thereof (whether or not the transactions contemplated hereby or thereby shall be consummated), including all such out-of-pocket expenses incurred during any workout, restructuring, negotiations or enforcement in respect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color w:val="auto"/>
        </w:rPr>
        <w:t>of such Warrant Agreement, Warrant and other agreements or documents executed in connection herewith or therewith.</w:t>
      </w:r>
    </w:p>
    <w:p>
      <w:pPr>
        <w:spacing w:after="0" w:line="27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 xml:space="preserve">Sufficiency of Authorized Common Stock; Exchange Listing </w:t>
      </w:r>
      <w:r>
        <w:rPr>
          <w:rFonts w:ascii="Arial" w:cs="Arial" w:eastAsia="Arial" w:hAnsi="Arial"/>
          <w:sz w:val="19"/>
          <w:szCs w:val="19"/>
          <w:color w:val="auto"/>
        </w:rPr>
        <w:t>.</w:t>
      </w:r>
    </w:p>
    <w:p>
      <w:pPr>
        <w:spacing w:after="0" w:line="26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During the period from each Warrant Closing Date (or, if the approval of the Stockholder Proposals is required, the date of such approval) until the date on which no Warrants remain outstanding, the Company shall at all times have reserved for issuance, free of preemptive or similar rights, a sufficient number of authorized and unissued Warrant Shares to effectuate such exercise. Nothing in this Section 3.3 shall preclude the Company from satisfying its obligations in respect of the exercise of the Warrants by delivery of shares of Common Stock which are held in the treasury of the Company. As soon as reasonably practicable following each Warrant Closing Date, the Company shall, at its expense, cause the Warrant Shares to be listed on the same national securities exchange on which the Common Stock is listed, subject to official notice of issuance, and shall maintain such listing for so long as any Common Stock is listed on such exchange. The Company will use commercially reasonable efforts to maintain the listing of Common Stock on such national securities exchange so long as any Warrants or Warrant Shares remain outstanding. Neither the Company nor any of its Subsidiaries shall take any action which would be reasonably expected to result in the delisting or suspension of the Common Stock on such exchange. The foregoing shall not preclude the Company from undertaking any transaction set forth in Section 4.3 subject to compliance with that provision.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IV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Additional Agreements</w:t>
      </w:r>
    </w:p>
    <w:p>
      <w:pPr>
        <w:spacing w:after="0" w:line="242"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Investment Purposes</w:t>
      </w:r>
      <w:r>
        <w:rPr>
          <w:rFonts w:ascii="Arial" w:cs="Arial" w:eastAsia="Arial" w:hAnsi="Arial"/>
          <w:sz w:val="19"/>
          <w:szCs w:val="19"/>
          <w:color w:val="auto"/>
        </w:rPr>
        <w:t xml:space="preserve"> . Treasury acknowledges that the Warrants and the Warrant Shares have not been registered under the Securities Act or under any state securities laws. Treasury (a) is acquiring the Warrants pursuant to an exemption from registration under the Securities Act solely for investment without a view to sell and with no present intention to distribute them to any person in violation of the Securities Act or any applicable U.S. state securities laws; (b) will not sell or otherwise dispose of any of the Warrants or the Warrant Shares, except in compliance with the registration requirements or exemption provisions of the Securities Act and any applicable U.S. state securities laws; and (c) has such knowledge and experience in financial and business matters and in investments of this type that it is capable of evaluating the merits and risks of the Warrants and the Warrant Shares and of making an informed investment decision.</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 xml:space="preserve">Legends </w:t>
      </w:r>
      <w:r>
        <w:rPr>
          <w:rFonts w:ascii="Arial" w:cs="Arial" w:eastAsia="Arial" w:hAnsi="Arial"/>
          <w:sz w:val="19"/>
          <w:szCs w:val="19"/>
          <w:color w:val="auto"/>
        </w:rPr>
        <w:t>.</w:t>
      </w:r>
    </w:p>
    <w:p>
      <w:pPr>
        <w:spacing w:after="0" w:line="260" w:lineRule="exact"/>
        <w:rPr>
          <w:sz w:val="20"/>
          <w:szCs w:val="20"/>
          <w:color w:val="auto"/>
        </w:rPr>
      </w:pPr>
    </w:p>
    <w:p>
      <w:pPr>
        <w:ind w:firstLine="656"/>
        <w:spacing w:after="0" w:line="263" w:lineRule="auto"/>
        <w:tabs>
          <w:tab w:leader="none" w:pos="11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Treasury agrees that all certificates or other instruments representing the Warrants and the Warrant Shares will bear a legend substantially to the following effect:</w:t>
      </w:r>
    </w:p>
    <w:p>
      <w:pPr>
        <w:spacing w:after="0" w:line="215" w:lineRule="exact"/>
        <w:rPr>
          <w:sz w:val="20"/>
          <w:szCs w:val="20"/>
          <w:color w:val="auto"/>
        </w:rPr>
      </w:pPr>
    </w:p>
    <w:p>
      <w:pPr>
        <w:ind w:left="660" w:right="260"/>
        <w:spacing w:after="0" w:line="265" w:lineRule="auto"/>
        <w:rPr>
          <w:sz w:val="20"/>
          <w:szCs w:val="20"/>
          <w:color w:val="auto"/>
        </w:rPr>
      </w:pPr>
      <w:r>
        <w:rPr>
          <w:rFonts w:ascii="Arial" w:cs="Arial" w:eastAsia="Arial" w:hAnsi="Arial"/>
          <w:sz w:val="21"/>
          <w:szCs w:val="21"/>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105" w:name="page106"/>
    <w:bookmarkEnd w:id="105"/>
    <w:p>
      <w:pPr>
        <w:ind w:left="660" w:right="400"/>
        <w:spacing w:after="0" w:line="263" w:lineRule="auto"/>
        <w:rPr>
          <w:sz w:val="20"/>
          <w:szCs w:val="20"/>
          <w:color w:val="auto"/>
        </w:rPr>
      </w:pPr>
      <w:r>
        <w:rPr>
          <w:rFonts w:ascii="Arial" w:cs="Arial" w:eastAsia="Arial" w:hAnsi="Arial"/>
          <w:sz w:val="22"/>
          <w:szCs w:val="22"/>
          <w:color w:val="auto"/>
        </w:rPr>
        <w:t>SECURITIES LAWS OR PURSUANT TO AN EXEMPTION FROM REGISTRATION UNDER SUCH ACT AND SUCH LAWS.”</w:t>
      </w:r>
    </w:p>
    <w:p>
      <w:pPr>
        <w:spacing w:after="0" w:line="175" w:lineRule="exact"/>
        <w:rPr>
          <w:sz w:val="20"/>
          <w:szCs w:val="20"/>
          <w:color w:val="auto"/>
        </w:rPr>
      </w:pPr>
    </w:p>
    <w:p>
      <w:pPr>
        <w:ind w:right="40" w:firstLine="656"/>
        <w:spacing w:after="0" w:line="248" w:lineRule="auto"/>
        <w:tabs>
          <w:tab w:leader="none" w:pos="111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In the event that any Warrants or Warrant Shares (i) become registered under the Securities Act or (ii) are eligible to be transferred without restriction in accordance with Rule 144 or another exemption from registration under the Securities Act (other than Rule 144A), the Company shall issue new certificates or other instruments representing such Warrants or Warrant Shares, which shall not contain the legend in Section 4.2(a) above;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Treasury surrenders to the Company the previously issued certificates or other instruments.</w:t>
      </w:r>
    </w:p>
    <w:p>
      <w:pPr>
        <w:spacing w:after="0" w:line="232"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Certain Transactions</w:t>
      </w:r>
      <w:r>
        <w:rPr>
          <w:rFonts w:ascii="Arial" w:cs="Arial" w:eastAsia="Arial" w:hAnsi="Arial"/>
          <w:sz w:val="19"/>
          <w:szCs w:val="19"/>
          <w:color w:val="auto"/>
        </w:rPr>
        <w:t xml:space="preserve"> . The Company will not merge or consolidate with, or sell, transfer or lease all or substantially all of its property or assets to, any other party unless the successor, transferee or lessee party (or its ultimate parent entity), as the case may be (if not the Company), expressly assumes the due and punctual performance and observance of each and every covenant, agreement and condition of this Agreement and the Warrants to be performed and observed by the Company.</w:t>
      </w:r>
    </w:p>
    <w:p>
      <w:pPr>
        <w:spacing w:after="0" w:line="183"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Transfer of Warrants and Warrant Shares</w:t>
      </w:r>
      <w:r>
        <w:rPr>
          <w:rFonts w:ascii="Arial" w:cs="Arial" w:eastAsia="Arial" w:hAnsi="Arial"/>
          <w:sz w:val="22"/>
          <w:szCs w:val="22"/>
          <w:color w:val="auto"/>
        </w:rPr>
        <w:t xml:space="preserve"> . Subject to compliance with applicable securities laws, Treasury shall be permitted to transfer, sell, assign or otherwise dispose of (“Transfer”) all or a portion of the Warrants or Warrant Shares at any time, and the Company shall take all steps as may be reasonably requested by Treasury to facilitate the Transfer of the Warrants and the Warrant Shares.</w:t>
      </w:r>
    </w:p>
    <w:p>
      <w:pPr>
        <w:spacing w:after="0" w:line="22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 xml:space="preserve">Registration Rights </w:t>
      </w:r>
      <w:r>
        <w:rPr>
          <w:rFonts w:ascii="Arial" w:cs="Arial" w:eastAsia="Arial" w:hAnsi="Arial"/>
          <w:sz w:val="19"/>
          <w:szCs w:val="19"/>
          <w:color w:val="auto"/>
        </w:rPr>
        <w:t>.</w:t>
      </w:r>
    </w:p>
    <w:p>
      <w:pPr>
        <w:spacing w:after="0" w:line="260" w:lineRule="exact"/>
        <w:rPr>
          <w:sz w:val="20"/>
          <w:szCs w:val="20"/>
          <w:color w:val="auto"/>
        </w:rPr>
      </w:pPr>
    </w:p>
    <w:p>
      <w:pPr>
        <w:ind w:left="1160" w:hanging="504"/>
        <w:spacing w:after="0"/>
        <w:tabs>
          <w:tab w:leader="none" w:pos="11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Registration</w:t>
      </w:r>
      <w:r>
        <w:rPr>
          <w:rFonts w:ascii="Arial" w:cs="Arial" w:eastAsia="Arial" w:hAnsi="Arial"/>
          <w:sz w:val="22"/>
          <w:szCs w:val="22"/>
          <w:color w:val="auto"/>
        </w:rPr>
        <w:t xml:space="preserve"> .</w:t>
      </w:r>
    </w:p>
    <w:p>
      <w:pPr>
        <w:spacing w:after="0" w:line="233" w:lineRule="exact"/>
        <w:rPr>
          <w:rFonts w:ascii="Arial" w:cs="Arial" w:eastAsia="Arial" w:hAnsi="Arial"/>
          <w:sz w:val="22"/>
          <w:szCs w:val="22"/>
          <w:color w:val="auto"/>
        </w:rPr>
      </w:pPr>
    </w:p>
    <w:p>
      <w:pPr>
        <w:ind w:left="660" w:right="40" w:firstLine="644"/>
        <w:spacing w:after="0" w:line="241" w:lineRule="auto"/>
        <w:tabs>
          <w:tab w:leader="none" w:pos="2214"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the Company covenants and agrees that on or before the earlier of (A) 30 days after the date on which all Warrants that may be issued pursuant to this Agreement have been issued and (B) September 30, 2020 (the end of such period, the “ </w:t>
      </w:r>
      <w:r>
        <w:rPr>
          <w:rFonts w:ascii="Arial" w:cs="Arial" w:eastAsia="Arial" w:hAnsi="Arial"/>
          <w:sz w:val="19"/>
          <w:szCs w:val="19"/>
          <w:u w:val="single" w:color="auto"/>
          <w:color w:val="auto"/>
        </w:rPr>
        <w:t>Registration Commencement Date</w:t>
      </w:r>
      <w:r>
        <w:rPr>
          <w:rFonts w:ascii="Arial" w:cs="Arial" w:eastAsia="Arial" w:hAnsi="Arial"/>
          <w:sz w:val="19"/>
          <w:szCs w:val="19"/>
          <w:color w:val="auto"/>
        </w:rPr>
        <w:t xml:space="preserve"> ”), the Company shall prepare and file with the SEC a Shelf Registration Statement covering the maximum number of Registrable Securities (or otherwise designate an existing Shelf Registration Statement filed with the SEC to cover the Registrable Securities) that may be issued pursuant to this Agreement and any Warrants outstanding at that time, and, to the extent the Shelf Registration Statement has not theretofore been declared effective or is not automatically effective upon such filing, the Company shall use reasonable best efforts to cause such Shelf Registration Statement to be declared or become effective and to keep such Shelf Registration Statement continuously effective and in compliance with the Securities Act and usable for resale of such Registrable Securities for a period from the date of its initial effectiveness until such time as there are no Registrable Securities remaining (including by refiling such Shelf Registration Statement (or a new Shelf Registration Statement) if the initial Shelf Registration Statement expires). So long as the Company is a well-known seasoned issuer (as defined in Rule 405 under the Securities Act) at the time of filing of the Shelf Registration Statement with the SEC, such Shelf Registration Statement shall be designated by the Company as an automatic Shelf Registration</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ind w:left="5580" w:hanging="136"/>
        <w:spacing w:after="0"/>
        <w:tabs>
          <w:tab w:leader="none" w:pos="5580" w:val="left"/>
        </w:tabs>
        <w:numPr>
          <w:ilvl w:val="2"/>
          <w:numId w:val="74"/>
        </w:numPr>
        <w:rPr>
          <w:rFonts w:ascii="Arial" w:cs="Arial" w:eastAsia="Arial" w:hAnsi="Arial"/>
          <w:sz w:val="22"/>
          <w:szCs w:val="22"/>
          <w:color w:val="auto"/>
        </w:rPr>
      </w:pPr>
      <w:r>
        <w:rPr>
          <w:rFonts w:ascii="Arial" w:cs="Arial" w:eastAsia="Arial" w:hAnsi="Arial"/>
          <w:sz w:val="22"/>
          <w:szCs w:val="22"/>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4" w:right="399" w:bottom="1440" w:gutter="0" w:footer="0" w:header="0"/>
        </w:sectPr>
      </w:pPr>
    </w:p>
    <w:bookmarkStart w:id="106" w:name="page107"/>
    <w:bookmarkEnd w:id="106"/>
    <w:p>
      <w:pPr>
        <w:ind w:left="4" w:right="40"/>
        <w:spacing w:after="0" w:line="223" w:lineRule="auto"/>
        <w:rPr>
          <w:sz w:val="20"/>
          <w:szCs w:val="20"/>
          <w:color w:val="auto"/>
        </w:rPr>
      </w:pPr>
      <w:r>
        <w:rPr>
          <w:rFonts w:ascii="Arial" w:cs="Arial" w:eastAsia="Arial" w:hAnsi="Arial"/>
          <w:sz w:val="22"/>
          <w:szCs w:val="22"/>
          <w:color w:val="auto"/>
        </w:rPr>
        <w:t>Statement. Notwithstanding the foregoing, if on the date hereof the Company is not eligible to file a registration statement on Form S-3, then the Company shall not be obligated to file a Shelf Registration Statement unless and until it is so eligible and is requested to do so in writing by Treasury.</w:t>
      </w:r>
    </w:p>
    <w:p>
      <w:pPr>
        <w:spacing w:after="0" w:line="199" w:lineRule="exact"/>
        <w:rPr>
          <w:sz w:val="20"/>
          <w:szCs w:val="20"/>
          <w:color w:val="auto"/>
        </w:rPr>
      </w:pPr>
    </w:p>
    <w:p>
      <w:pPr>
        <w:ind w:left="4" w:right="20" w:firstLine="644"/>
        <w:spacing w:after="0" w:line="219" w:lineRule="auto"/>
        <w:tabs>
          <w:tab w:leader="none" w:pos="1618" w:val="left"/>
        </w:tabs>
        <w:numPr>
          <w:ilvl w:val="1"/>
          <w:numId w:val="75"/>
        </w:numPr>
        <w:rPr>
          <w:rFonts w:ascii="Arial" w:cs="Arial" w:eastAsia="Arial" w:hAnsi="Arial"/>
          <w:sz w:val="21"/>
          <w:szCs w:val="21"/>
          <w:color w:val="auto"/>
        </w:rPr>
      </w:pPr>
      <w:r>
        <w:rPr>
          <w:rFonts w:ascii="Arial" w:cs="Arial" w:eastAsia="Arial" w:hAnsi="Arial"/>
          <w:sz w:val="21"/>
          <w:szCs w:val="21"/>
          <w:color w:val="auto"/>
        </w:rPr>
        <w:t xml:space="preserve">Any registration pursuant to Section 4.5(a)(i) shall be effected by means of a shelf registration on an appropriate form under Rule 415 under the Securities Act (a “ </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xml:space="preserve"> ”). If Treasury or any other Holder intends to distribute any Registrable Securities by means of an underwritten offering it shall promptly so advise the Company and the Company shall take all reasonable steps to facilitate such distribution, including the actions required pursuant to Section 4.5(c);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not be required to facilitate an underwritten offering of Registrable Securities unless the total number of Warrant Shares and Warrants expected to be sold in such offering exceeds, or are exercisable for, at least 20% of the total number of Warrant Shares for which Warrants issued under this Agreement could be exercised (giving effect to the anti-dilution adjustments in Warrants);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the Company shall not be required to facilitate more than two completed underwritten offerings within any 12-month period. The lead underwriters in any such distribution shall be selected by the Holders of a majority of the Registrable Securities to be distributed.</w:t>
      </w:r>
    </w:p>
    <w:p>
      <w:pPr>
        <w:spacing w:after="0" w:line="208" w:lineRule="exact"/>
        <w:rPr>
          <w:rFonts w:ascii="Arial" w:cs="Arial" w:eastAsia="Arial" w:hAnsi="Arial"/>
          <w:sz w:val="21"/>
          <w:szCs w:val="21"/>
          <w:color w:val="auto"/>
        </w:rPr>
      </w:pPr>
    </w:p>
    <w:p>
      <w:pPr>
        <w:ind w:left="4" w:firstLine="644"/>
        <w:spacing w:after="0" w:line="239" w:lineRule="auto"/>
        <w:tabs>
          <w:tab w:leader="none" w:pos="1678" w:val="left"/>
        </w:tabs>
        <w:numPr>
          <w:ilvl w:val="1"/>
          <w:numId w:val="75"/>
        </w:numPr>
        <w:rPr>
          <w:rFonts w:ascii="Arial" w:cs="Arial" w:eastAsia="Arial" w:hAnsi="Arial"/>
          <w:sz w:val="19"/>
          <w:szCs w:val="19"/>
          <w:color w:val="auto"/>
        </w:rPr>
      </w:pPr>
      <w:r>
        <w:rPr>
          <w:rFonts w:ascii="Arial" w:cs="Arial" w:eastAsia="Arial" w:hAnsi="Arial"/>
          <w:sz w:val="19"/>
          <w:szCs w:val="19"/>
          <w:color w:val="auto"/>
        </w:rPr>
        <w:t xml:space="preserve">The Company shall not be required to effect a registration (including a resale of Registrable Securities from an effective Shelf Registration Statement) or an underwritten offering pursuant to Section 4.5(a): (A) prior to the Registration Commencement Date; (B) with respect to securities that are not Registrable Securities; or (C) if the Company has notified Treasury and all other Holders that in the good faith judgment of the Board of Directors, it would be materially detrimental to the Company or its securityholders for such registration or underwritten offering to be effected at such time, in which event the Company shall have the right to defer such registration or offering for a period of not more than 45 days after receipt of the request of Treasury or any other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right to delay a registration or underwritten offering shall be exercised by the Company (1) only if the Company has generally exercised (or is concurrently exercising) similar black-out rights against holders of similar securities that have registration rights and</w:t>
      </w:r>
    </w:p>
    <w:p>
      <w:pPr>
        <w:spacing w:after="0" w:line="3" w:lineRule="exact"/>
        <w:rPr>
          <w:rFonts w:ascii="Arial" w:cs="Arial" w:eastAsia="Arial" w:hAnsi="Arial"/>
          <w:sz w:val="19"/>
          <w:szCs w:val="19"/>
          <w:color w:val="auto"/>
        </w:rPr>
      </w:pPr>
    </w:p>
    <w:p>
      <w:pPr>
        <w:jc w:val="both"/>
        <w:ind w:left="4" w:right="60" w:hanging="4"/>
        <w:spacing w:after="0" w:line="217" w:lineRule="auto"/>
        <w:tabs>
          <w:tab w:leader="none" w:pos="310"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not more than three times in any 12-month period and not more than 90 days in the aggregate in any 12-month period. The Company shall notify the Holders of the date of any anticipated termination of any such deferral period prior to such date.</w:t>
      </w:r>
    </w:p>
    <w:p>
      <w:pPr>
        <w:spacing w:after="0" w:line="200" w:lineRule="exact"/>
        <w:rPr>
          <w:rFonts w:ascii="Arial" w:cs="Arial" w:eastAsia="Arial" w:hAnsi="Arial"/>
          <w:sz w:val="22"/>
          <w:szCs w:val="22"/>
          <w:color w:val="auto"/>
        </w:rPr>
      </w:pPr>
    </w:p>
    <w:p>
      <w:pPr>
        <w:ind w:left="4" w:right="160" w:firstLine="644"/>
        <w:spacing w:after="0" w:line="211" w:lineRule="auto"/>
        <w:tabs>
          <w:tab w:leader="none" w:pos="1666" w:val="left"/>
        </w:tabs>
        <w:numPr>
          <w:ilvl w:val="1"/>
          <w:numId w:val="76"/>
        </w:numPr>
        <w:rPr>
          <w:rFonts w:ascii="Arial" w:cs="Arial" w:eastAsia="Arial" w:hAnsi="Arial"/>
          <w:sz w:val="22"/>
          <w:szCs w:val="22"/>
          <w:color w:val="auto"/>
        </w:rPr>
      </w:pPr>
      <w:r>
        <w:rPr>
          <w:rFonts w:ascii="Arial" w:cs="Arial" w:eastAsia="Arial" w:hAnsi="Arial"/>
          <w:sz w:val="22"/>
          <w:szCs w:val="22"/>
          <w:color w:val="auto"/>
        </w:rPr>
        <w:t xml:space="preserve">If during any period when an effective Shelf Registration Statement is not available, the Company proposes to register any of its equity securities, other than a registration pursuant to Section 4.5(a)(i) or a Special Registration, and the registration form to be filed may be used for the registration or qualification for distribution of Registrable Securities, the Company will give prompt written notice to Treasury and all other Holders of its intention to effect such a registration (but in no event less than ten days prior to the anticipated filing date) and will include in such registration all Registrable Securities with respect to which the Company has received written requests for inclusion therein within ten Business Days after the date of the Company’s notice (a “ </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xml:space="preserve"> ”). Any such person that has made</w:t>
      </w:r>
    </w:p>
    <w:p>
      <w:pPr>
        <w:spacing w:after="0" w:line="191" w:lineRule="exact"/>
        <w:rPr>
          <w:rFonts w:ascii="Arial" w:cs="Arial" w:eastAsia="Arial" w:hAnsi="Arial"/>
          <w:sz w:val="22"/>
          <w:szCs w:val="22"/>
          <w:color w:val="auto"/>
        </w:rPr>
      </w:pPr>
    </w:p>
    <w:p>
      <w:pPr>
        <w:ind w:left="4864" w:hanging="130"/>
        <w:spacing w:after="0"/>
        <w:tabs>
          <w:tab w:leader="none" w:pos="4864" w:val="left"/>
        </w:tabs>
        <w:numPr>
          <w:ilvl w:val="2"/>
          <w:numId w:val="76"/>
        </w:numPr>
        <w:rPr>
          <w:rFonts w:ascii="Arial" w:cs="Arial" w:eastAsia="Arial" w:hAnsi="Arial"/>
          <w:sz w:val="22"/>
          <w:szCs w:val="22"/>
          <w:color w:val="auto"/>
        </w:rPr>
      </w:pPr>
      <w:r>
        <w:rPr>
          <w:rFonts w:ascii="Arial" w:cs="Arial" w:eastAsia="Arial" w:hAnsi="Arial"/>
          <w:sz w:val="22"/>
          <w:szCs w:val="22"/>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7" w:right="339" w:bottom="1440" w:gutter="0" w:footer="0" w:header="0"/>
        </w:sectPr>
      </w:pPr>
    </w:p>
    <w:bookmarkStart w:id="107" w:name="page108"/>
    <w:bookmarkEnd w:id="107"/>
    <w:p>
      <w:pPr>
        <w:ind w:left="4" w:right="80"/>
        <w:spacing w:after="0" w:line="243" w:lineRule="auto"/>
        <w:rPr>
          <w:sz w:val="20"/>
          <w:szCs w:val="20"/>
          <w:color w:val="auto"/>
        </w:rPr>
      </w:pPr>
      <w:r>
        <w:rPr>
          <w:rFonts w:ascii="Arial" w:cs="Arial" w:eastAsia="Arial" w:hAnsi="Arial"/>
          <w:sz w:val="19"/>
          <w:szCs w:val="19"/>
          <w:color w:val="auto"/>
        </w:rPr>
        <w:t>such a written request may withdraw its Registrable Securities from such Piggyback Registration by giving written notice to the Company and the managing underwriter, if any, on or before the fifth Business Day prior to the planned effective date of such Piggyback Registration. The Company may terminate or withdraw any registration under this Section 4.5(a)</w:t>
      </w:r>
    </w:p>
    <w:p>
      <w:pPr>
        <w:spacing w:after="0" w:line="2" w:lineRule="exact"/>
        <w:rPr>
          <w:sz w:val="20"/>
          <w:szCs w:val="20"/>
          <w:color w:val="auto"/>
        </w:rPr>
      </w:pPr>
    </w:p>
    <w:p>
      <w:pPr>
        <w:ind w:left="4" w:right="300" w:hanging="4"/>
        <w:spacing w:after="0" w:line="224" w:lineRule="auto"/>
        <w:tabs>
          <w:tab w:leader="none" w:pos="3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prior to the effectiveness of such registration, whether or not Treasury or any other Holders have elected to include Registrable Securities in such registration.</w:t>
      </w:r>
    </w:p>
    <w:p>
      <w:pPr>
        <w:spacing w:after="0" w:line="198" w:lineRule="exact"/>
        <w:rPr>
          <w:rFonts w:ascii="Arial" w:cs="Arial" w:eastAsia="Arial" w:hAnsi="Arial"/>
          <w:sz w:val="22"/>
          <w:szCs w:val="22"/>
          <w:color w:val="auto"/>
        </w:rPr>
      </w:pPr>
    </w:p>
    <w:p>
      <w:pPr>
        <w:ind w:left="4" w:firstLine="644"/>
        <w:spacing w:after="0" w:line="243" w:lineRule="auto"/>
        <w:tabs>
          <w:tab w:leader="none" w:pos="1606"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If the registration referred to in Section 4.5(a)(iv) is proposed to be underwritten, the Company will so advise Treasury and all other Holders as a part of the written notice given pursuant to Section 4.5(a)(iv). In such event, the right of Treasury and all other Holders to registration pursuant to Section 4.5(a) will be conditioned upon such persons’ participation in such underwriting and the inclusion of such person’s Registrable Securities in the underwriting if such securities are of the same class of securities as the securities to be offered in the underwritten offering, and each such person will (together with the Company and the other persons distributing their securities through such underwriting) enter into an underwriting agreement in customary form with the underwriter or underwriters selected for such underwriting by the Company;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Treasury (as opposed to other Holders) shall not be required to indemnify any person in connection with any registration. If any participating person disapproves of the terms of the underwriting, such person may elect to withdraw therefrom by written notice to the Company, the managing underwriters and Treasury (if Treasury is participating in the underwriting).</w:t>
      </w:r>
    </w:p>
    <w:p>
      <w:pPr>
        <w:spacing w:after="0" w:line="199" w:lineRule="exact"/>
        <w:rPr>
          <w:rFonts w:ascii="Arial" w:cs="Arial" w:eastAsia="Arial" w:hAnsi="Arial"/>
          <w:sz w:val="19"/>
          <w:szCs w:val="19"/>
          <w:color w:val="auto"/>
        </w:rPr>
      </w:pPr>
    </w:p>
    <w:p>
      <w:pPr>
        <w:ind w:left="4" w:firstLine="644"/>
        <w:spacing w:after="0" w:line="241" w:lineRule="auto"/>
        <w:tabs>
          <w:tab w:leader="none" w:pos="1666"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If either (x) the Company grants “piggyback” registration rights to one or more third parties to include their securities in an underwritten offering under the Shelf Registration Statement pursuant to Section 4.5(a)(ii) or (y) a Piggyback Registration under Section 4.5(a)(iv) relates to an underwritten offering on behalf of the Company, and in either case the managing underwriters advise the Company that in their reasonable opinion the number of securities requested to be included in such offering exceeds the number which can be sold without adversely affecting the marketability of such offering (including an adverse effect on the per share offering price), the Company will include in such offering only such number of securities that in the reasonable opinion of such managing underwriters can be sold without adversely affecting the marketability of the offering (including an adverse effect on the per share offering price), which securities will be so included in the following order of priority: (A) first, in the case of a Piggyback Registration under Section 4.5(a)(iv), the securities the Company proposes to sell, (B) then the Registrable Securities of Treasury and all other Holders who have requested inclusion of Registrable Securities pursuant to Section 4.5(a)(ii) or Section 4.5(a) (iv), as applicable,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on the basis of the aggregate number of such securities or shares owned by each such person and (C) lastly, any other securities of the Company that have been requested to be so included, subject to the terms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Company has, prior to the date hereof, entered into an agreement with respect to its securities that is inconsistent with the order of priority contemplated hereby then it shall apply the order of priority in such conflicting agreement to the extent that this Agreement would otherwise result in a breach under such agreement.</w:t>
      </w:r>
    </w:p>
    <w:p>
      <w:pPr>
        <w:spacing w:after="0" w:line="200" w:lineRule="exact"/>
        <w:rPr>
          <w:rFonts w:ascii="Arial" w:cs="Arial" w:eastAsia="Arial" w:hAnsi="Arial"/>
          <w:sz w:val="19"/>
          <w:szCs w:val="19"/>
          <w:color w:val="auto"/>
        </w:rPr>
      </w:pPr>
    </w:p>
    <w:p>
      <w:pPr>
        <w:spacing w:after="0" w:line="245" w:lineRule="exact"/>
        <w:rPr>
          <w:rFonts w:ascii="Arial" w:cs="Arial" w:eastAsia="Arial" w:hAnsi="Arial"/>
          <w:sz w:val="19"/>
          <w:szCs w:val="19"/>
          <w:color w:val="auto"/>
        </w:rPr>
      </w:pPr>
    </w:p>
    <w:p>
      <w:pPr>
        <w:ind w:left="4864" w:hanging="126"/>
        <w:spacing w:after="0"/>
        <w:tabs>
          <w:tab w:leader="none" w:pos="4864" w:val="left"/>
        </w:tabs>
        <w:numPr>
          <w:ilvl w:val="2"/>
          <w:numId w:val="77"/>
        </w:numPr>
        <w:rPr>
          <w:rFonts w:ascii="Arial" w:cs="Arial" w:eastAsia="Arial" w:hAnsi="Arial"/>
          <w:sz w:val="22"/>
          <w:szCs w:val="22"/>
          <w:color w:val="auto"/>
        </w:rPr>
      </w:pPr>
      <w:r>
        <w:rPr>
          <w:rFonts w:ascii="Arial" w:cs="Arial" w:eastAsia="Arial" w:hAnsi="Arial"/>
          <w:sz w:val="22"/>
          <w:szCs w:val="22"/>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7" w:right="339" w:bottom="1440" w:gutter="0" w:footer="0" w:header="0"/>
        </w:sectPr>
      </w:pPr>
    </w:p>
    <w:bookmarkStart w:id="108" w:name="page109"/>
    <w:bookmarkEnd w:id="108"/>
    <w:p>
      <w:pPr>
        <w:ind w:left="-656" w:right="120" w:firstLine="656"/>
        <w:spacing w:after="0" w:line="250" w:lineRule="auto"/>
        <w:tabs>
          <w:tab w:leader="none" w:pos="51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Expenses of Registration</w:t>
      </w:r>
      <w:r>
        <w:rPr>
          <w:rFonts w:ascii="Arial" w:cs="Arial" w:eastAsia="Arial" w:hAnsi="Arial"/>
          <w:sz w:val="22"/>
          <w:szCs w:val="22"/>
          <w:color w:val="auto"/>
        </w:rPr>
        <w:t xml:space="preserve"> . All Registration Expenses incurred in connection with any registration, qualification or compliance hereunder shall be borne by the Company. All Selling Expenses incurred in connection with any registrations hereunder shall be borne by the holders of the securities so registered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on the basis of the aggregate offering or sale price of the securities so registered.</w:t>
      </w:r>
    </w:p>
    <w:p>
      <w:pPr>
        <w:spacing w:after="0" w:line="228" w:lineRule="exact"/>
        <w:rPr>
          <w:rFonts w:ascii="Arial" w:cs="Arial" w:eastAsia="Arial" w:hAnsi="Arial"/>
          <w:sz w:val="22"/>
          <w:szCs w:val="22"/>
          <w:color w:val="auto"/>
        </w:rPr>
      </w:pPr>
    </w:p>
    <w:p>
      <w:pPr>
        <w:ind w:left="-656" w:right="60" w:firstLine="656"/>
        <w:spacing w:after="0" w:line="294" w:lineRule="auto"/>
        <w:tabs>
          <w:tab w:leader="none" w:pos="502"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Obligations of the Company</w:t>
      </w:r>
      <w:r>
        <w:rPr>
          <w:rFonts w:ascii="Arial" w:cs="Arial" w:eastAsia="Arial" w:hAnsi="Arial"/>
          <w:sz w:val="19"/>
          <w:szCs w:val="19"/>
          <w:color w:val="auto"/>
        </w:rPr>
        <w:t xml:space="preserve"> . The Company shall use its reasonable best efforts, for so long as there are Registrable Securities outstanding, to take such actions as are under its control to not become an ineligible issuer (as defined in Rule 405 under the Securities Act) and to remain a well-known seasoned issuer (as defined in Rule 405 under the Securities Act) if it has such status on the date hereof or becomes eligible for such status in the future. In addition, whenever required to effect the registration of any Registrable Securities or facilitate the distribution of Registrable Securities pursuant to an effective Shelf Registration Statement, the Company shall, as expeditiously as reasonably practicable:</w:t>
      </w:r>
    </w:p>
    <w:p>
      <w:pPr>
        <w:spacing w:after="0" w:line="162" w:lineRule="exact"/>
        <w:rPr>
          <w:rFonts w:ascii="Arial" w:cs="Arial" w:eastAsia="Arial" w:hAnsi="Arial"/>
          <w:sz w:val="19"/>
          <w:szCs w:val="19"/>
          <w:color w:val="auto"/>
        </w:rPr>
      </w:pPr>
    </w:p>
    <w:p>
      <w:pPr>
        <w:ind w:left="4" w:firstLine="644"/>
        <w:spacing w:after="0" w:line="247" w:lineRule="auto"/>
        <w:tabs>
          <w:tab w:leader="none" w:pos="1558" w:val="left"/>
        </w:tabs>
        <w:numPr>
          <w:ilvl w:val="1"/>
          <w:numId w:val="78"/>
        </w:numPr>
        <w:rPr>
          <w:rFonts w:ascii="Arial" w:cs="Arial" w:eastAsia="Arial" w:hAnsi="Arial"/>
          <w:sz w:val="19"/>
          <w:szCs w:val="19"/>
          <w:color w:val="auto"/>
        </w:rPr>
      </w:pPr>
      <w:r>
        <w:rPr>
          <w:rFonts w:ascii="Arial" w:cs="Arial" w:eastAsia="Arial" w:hAnsi="Arial"/>
          <w:sz w:val="19"/>
          <w:szCs w:val="19"/>
          <w:color w:val="auto"/>
        </w:rPr>
        <w:t>Prepare and file with the SEC a prospectus supplement with respect to a proposed offering of Registrable Securities pursuant to an effective registration statement, subject to Section 4.5(d), keep such registration statement effective and keep such prospectus supplement current until the securities described therein are no longer Registrable Securities. The plan of distribution included in such registration statement shall include, among other things, an underwritten offering, ordinary brokerage transactions and transactions in which the broker-dealer solicits purchasers, block trades, privately negotiated transactions, the writing or settlement of options or other derivative transactions and any other method permitted pursuant to applicable law, and any combination of any such methods of sale.</w:t>
      </w:r>
    </w:p>
    <w:p>
      <w:pPr>
        <w:spacing w:after="0" w:line="194" w:lineRule="exact"/>
        <w:rPr>
          <w:rFonts w:ascii="Arial" w:cs="Arial" w:eastAsia="Arial" w:hAnsi="Arial"/>
          <w:sz w:val="19"/>
          <w:szCs w:val="19"/>
          <w:color w:val="auto"/>
        </w:rPr>
      </w:pPr>
    </w:p>
    <w:p>
      <w:pPr>
        <w:ind w:left="4" w:right="260" w:firstLine="644"/>
        <w:spacing w:after="0" w:line="218" w:lineRule="auto"/>
        <w:tabs>
          <w:tab w:leader="none" w:pos="1618" w:val="left"/>
        </w:tabs>
        <w:numPr>
          <w:ilvl w:val="1"/>
          <w:numId w:val="78"/>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the applicable registration statement and the prospectus or prospectus supplement used in connection with such registration statement as may be necessary to comply with the provisions of the Securities Act with respect to the disposition of all securities covered by such registration statement.</w:t>
      </w:r>
    </w:p>
    <w:p>
      <w:pPr>
        <w:spacing w:after="0" w:line="201" w:lineRule="exact"/>
        <w:rPr>
          <w:rFonts w:ascii="Arial" w:cs="Arial" w:eastAsia="Arial" w:hAnsi="Arial"/>
          <w:sz w:val="22"/>
          <w:szCs w:val="22"/>
          <w:color w:val="auto"/>
        </w:rPr>
      </w:pPr>
    </w:p>
    <w:p>
      <w:pPr>
        <w:ind w:left="4" w:right="40" w:firstLine="644"/>
        <w:spacing w:after="0" w:line="216" w:lineRule="auto"/>
        <w:tabs>
          <w:tab w:leader="none" w:pos="1678" w:val="left"/>
        </w:tabs>
        <w:numPr>
          <w:ilvl w:val="1"/>
          <w:numId w:val="78"/>
        </w:numPr>
        <w:rPr>
          <w:rFonts w:ascii="Arial" w:cs="Arial" w:eastAsia="Arial" w:hAnsi="Arial"/>
          <w:sz w:val="22"/>
          <w:szCs w:val="22"/>
          <w:color w:val="auto"/>
        </w:rPr>
      </w:pPr>
      <w:r>
        <w:rPr>
          <w:rFonts w:ascii="Arial" w:cs="Arial" w:eastAsia="Arial" w:hAnsi="Arial"/>
          <w:sz w:val="22"/>
          <w:szCs w:val="22"/>
          <w:color w:val="auto"/>
        </w:rPr>
        <w:t>Furnish to the Holders and any underwriters such number of copies of the applicable registration statement and each such amendment and supplement thereto (including in each case all exhibits) and of a prospectus, including a preliminary prospectus, in conformity with the requirements of the Securities Act, and such other documents as they may reasonably request in order to facilitate the disposition of Registrable Securities owned or to be distributed by them.</w:t>
      </w:r>
    </w:p>
    <w:p>
      <w:pPr>
        <w:spacing w:after="0" w:line="198" w:lineRule="exact"/>
        <w:rPr>
          <w:rFonts w:ascii="Arial" w:cs="Arial" w:eastAsia="Arial" w:hAnsi="Arial"/>
          <w:sz w:val="22"/>
          <w:szCs w:val="22"/>
          <w:color w:val="auto"/>
        </w:rPr>
      </w:pPr>
    </w:p>
    <w:p>
      <w:pPr>
        <w:ind w:left="4" w:right="20" w:firstLine="644"/>
        <w:spacing w:after="0" w:line="224" w:lineRule="auto"/>
        <w:tabs>
          <w:tab w:leader="none" w:pos="1666" w:val="left"/>
        </w:tabs>
        <w:numPr>
          <w:ilvl w:val="1"/>
          <w:numId w:val="78"/>
        </w:numPr>
        <w:rPr>
          <w:rFonts w:ascii="Arial" w:cs="Arial" w:eastAsia="Arial" w:hAnsi="Arial"/>
          <w:sz w:val="21"/>
          <w:szCs w:val="21"/>
          <w:color w:val="auto"/>
        </w:rPr>
      </w:pPr>
      <w:r>
        <w:rPr>
          <w:rFonts w:ascii="Arial" w:cs="Arial" w:eastAsia="Arial" w:hAnsi="Arial"/>
          <w:sz w:val="21"/>
          <w:szCs w:val="21"/>
          <w:color w:val="auto"/>
        </w:rPr>
        <w:t xml:space="preserve">Use its reasonable best efforts to register and qualify the securities covered by such registration statement under such other securities or Blue Sky laws of such jurisdictions as shall be reasonably requested by the Holders or any managing underwriter(s), to keep such registration or qualification in effect for so long as such registration statement remains in effect, and to take any other action which may be reasonably necessary to enable such seller to consummate the disposition in such jurisdictions of the securities owned by such Holder;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not be required in connection therewith or as a condition</w:t>
      </w:r>
    </w:p>
    <w:p>
      <w:pPr>
        <w:spacing w:after="0" w:line="186" w:lineRule="exact"/>
        <w:rPr>
          <w:rFonts w:ascii="Arial" w:cs="Arial" w:eastAsia="Arial" w:hAnsi="Arial"/>
          <w:sz w:val="21"/>
          <w:szCs w:val="21"/>
          <w:color w:val="auto"/>
        </w:rPr>
      </w:pPr>
    </w:p>
    <w:p>
      <w:pPr>
        <w:ind w:left="4864" w:hanging="130"/>
        <w:spacing w:after="0"/>
        <w:tabs>
          <w:tab w:leader="none" w:pos="4864" w:val="left"/>
        </w:tabs>
        <w:numPr>
          <w:ilvl w:val="2"/>
          <w:numId w:val="78"/>
        </w:numPr>
        <w:rPr>
          <w:rFonts w:ascii="Arial" w:cs="Arial" w:eastAsia="Arial" w:hAnsi="Arial"/>
          <w:sz w:val="22"/>
          <w:szCs w:val="22"/>
          <w:color w:val="auto"/>
        </w:rPr>
      </w:pPr>
      <w:r>
        <w:rPr>
          <w:rFonts w:ascii="Arial" w:cs="Arial" w:eastAsia="Arial" w:hAnsi="Arial"/>
          <w:sz w:val="22"/>
          <w:szCs w:val="2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04" w:right="33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thereto to qualify to do business or to file a general consent to service of process in any such states or jurisdictions.</w:t>
      </w:r>
    </w:p>
    <w:p>
      <w:pPr>
        <w:spacing w:after="0" w:line="254" w:lineRule="exact"/>
        <w:rPr>
          <w:sz w:val="20"/>
          <w:szCs w:val="20"/>
          <w:color w:val="auto"/>
        </w:rPr>
      </w:pPr>
    </w:p>
    <w:p>
      <w:pPr>
        <w:ind w:right="120" w:firstLine="644"/>
        <w:spacing w:after="0" w:line="257" w:lineRule="auto"/>
        <w:tabs>
          <w:tab w:leader="none" w:pos="1602"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Notify each Holder of Registrable Securities at any time when a prospectus relating thereto is required to be delivered under the Securities Act of the happening of any event as a result of which the applicable prospectus, as then in effect, includes an untrue statement of a material fact or omits to state a material fact required to be stated therein or necessary to make the statements therein not misleading in light of the circumstances then existing.</w:t>
      </w:r>
    </w:p>
    <w:p>
      <w:pPr>
        <w:spacing w:after="0" w:line="184" w:lineRule="exact"/>
        <w:rPr>
          <w:rFonts w:ascii="Arial" w:cs="Arial" w:eastAsia="Arial" w:hAnsi="Arial"/>
          <w:sz w:val="19"/>
          <w:szCs w:val="19"/>
          <w:color w:val="auto"/>
        </w:rPr>
      </w:pPr>
    </w:p>
    <w:p>
      <w:pPr>
        <w:ind w:left="1660" w:hanging="1016"/>
        <w:spacing w:after="0"/>
        <w:tabs>
          <w:tab w:leader="none" w:pos="1660" w:val="left"/>
        </w:tabs>
        <w:numPr>
          <w:ilvl w:val="0"/>
          <w:numId w:val="79"/>
        </w:numPr>
        <w:rPr>
          <w:rFonts w:ascii="Arial" w:cs="Arial" w:eastAsia="Arial" w:hAnsi="Arial"/>
          <w:sz w:val="22"/>
          <w:szCs w:val="22"/>
          <w:color w:val="auto"/>
        </w:rPr>
      </w:pPr>
      <w:r>
        <w:rPr>
          <w:rFonts w:ascii="Arial" w:cs="Arial" w:eastAsia="Arial" w:hAnsi="Arial"/>
          <w:sz w:val="22"/>
          <w:szCs w:val="22"/>
          <w:color w:val="auto"/>
        </w:rPr>
        <w:t>Give written notice to the Holders:</w:t>
      </w:r>
    </w:p>
    <w:p>
      <w:pPr>
        <w:spacing w:after="0" w:line="219" w:lineRule="exact"/>
        <w:rPr>
          <w:rFonts w:ascii="Arial" w:cs="Arial" w:eastAsia="Arial" w:hAnsi="Arial"/>
          <w:sz w:val="22"/>
          <w:szCs w:val="22"/>
          <w:color w:val="auto"/>
        </w:rPr>
      </w:pPr>
    </w:p>
    <w:p>
      <w:pPr>
        <w:jc w:val="both"/>
        <w:ind w:left="640" w:right="60" w:firstLine="652"/>
        <w:spacing w:after="0" w:line="218" w:lineRule="auto"/>
        <w:tabs>
          <w:tab w:leader="none" w:pos="2290" w:val="left"/>
        </w:tabs>
        <w:numPr>
          <w:ilvl w:val="1"/>
          <w:numId w:val="79"/>
        </w:numPr>
        <w:rPr>
          <w:rFonts w:ascii="Arial" w:cs="Arial" w:eastAsia="Arial" w:hAnsi="Arial"/>
          <w:sz w:val="22"/>
          <w:szCs w:val="22"/>
          <w:color w:val="auto"/>
        </w:rPr>
      </w:pPr>
      <w:r>
        <w:rPr>
          <w:rFonts w:ascii="Arial" w:cs="Arial" w:eastAsia="Arial" w:hAnsi="Arial"/>
          <w:sz w:val="22"/>
          <w:szCs w:val="22"/>
          <w:color w:val="auto"/>
        </w:rPr>
        <w:t>when any registration statement filed pursuant to Section 4.5(a) or any amendment thereto has been filed with the SEC (except for any amendment effected by the filing of a document with the SEC pursuant to the Exchange Act) and when such registration statement or any post-effective amendment thereto has become effective;</w:t>
      </w:r>
    </w:p>
    <w:p>
      <w:pPr>
        <w:spacing w:after="0" w:line="201" w:lineRule="exact"/>
        <w:rPr>
          <w:rFonts w:ascii="Arial" w:cs="Arial" w:eastAsia="Arial" w:hAnsi="Arial"/>
          <w:sz w:val="22"/>
          <w:szCs w:val="22"/>
          <w:color w:val="auto"/>
        </w:rPr>
      </w:pPr>
    </w:p>
    <w:p>
      <w:pPr>
        <w:ind w:left="640" w:right="140" w:firstLine="652"/>
        <w:spacing w:after="0" w:line="232" w:lineRule="auto"/>
        <w:tabs>
          <w:tab w:leader="none" w:pos="2278" w:val="left"/>
        </w:tabs>
        <w:numPr>
          <w:ilvl w:val="1"/>
          <w:numId w:val="79"/>
        </w:numPr>
        <w:rPr>
          <w:rFonts w:ascii="Arial" w:cs="Arial" w:eastAsia="Arial" w:hAnsi="Arial"/>
          <w:sz w:val="22"/>
          <w:szCs w:val="22"/>
          <w:color w:val="auto"/>
        </w:rPr>
      </w:pPr>
      <w:r>
        <w:rPr>
          <w:rFonts w:ascii="Arial" w:cs="Arial" w:eastAsia="Arial" w:hAnsi="Arial"/>
          <w:sz w:val="22"/>
          <w:szCs w:val="22"/>
          <w:color w:val="auto"/>
        </w:rPr>
        <w:t>of any request by the SEC for amendments or supplements to any registration statement or the prospectus included therein or for additional information;</w:t>
      </w:r>
    </w:p>
    <w:p>
      <w:pPr>
        <w:spacing w:after="0" w:line="199" w:lineRule="exact"/>
        <w:rPr>
          <w:rFonts w:ascii="Arial" w:cs="Arial" w:eastAsia="Arial" w:hAnsi="Arial"/>
          <w:sz w:val="22"/>
          <w:szCs w:val="22"/>
          <w:color w:val="auto"/>
        </w:rPr>
      </w:pPr>
    </w:p>
    <w:p>
      <w:pPr>
        <w:ind w:left="640" w:right="280" w:firstLine="652"/>
        <w:spacing w:after="0" w:line="232" w:lineRule="auto"/>
        <w:tabs>
          <w:tab w:leader="none" w:pos="2278" w:val="left"/>
        </w:tabs>
        <w:numPr>
          <w:ilvl w:val="1"/>
          <w:numId w:val="79"/>
        </w:numPr>
        <w:rPr>
          <w:rFonts w:ascii="Arial" w:cs="Arial" w:eastAsia="Arial" w:hAnsi="Arial"/>
          <w:sz w:val="22"/>
          <w:szCs w:val="22"/>
          <w:color w:val="auto"/>
        </w:rPr>
      </w:pPr>
      <w:r>
        <w:rPr>
          <w:rFonts w:ascii="Arial" w:cs="Arial" w:eastAsia="Arial" w:hAnsi="Arial"/>
          <w:sz w:val="22"/>
          <w:szCs w:val="22"/>
          <w:color w:val="auto"/>
        </w:rPr>
        <w:t>of the issuance by the SEC of any stop order suspending the effectiveness of any registration statement or the initiation of any proceedings for that purpose;</w:t>
      </w:r>
    </w:p>
    <w:p>
      <w:pPr>
        <w:spacing w:after="0" w:line="199" w:lineRule="exact"/>
        <w:rPr>
          <w:rFonts w:ascii="Arial" w:cs="Arial" w:eastAsia="Arial" w:hAnsi="Arial"/>
          <w:sz w:val="22"/>
          <w:szCs w:val="22"/>
          <w:color w:val="auto"/>
        </w:rPr>
      </w:pPr>
    </w:p>
    <w:p>
      <w:pPr>
        <w:ind w:left="640" w:right="120" w:firstLine="652"/>
        <w:spacing w:after="0" w:line="223" w:lineRule="auto"/>
        <w:tabs>
          <w:tab w:leader="none" w:pos="2290" w:val="left"/>
        </w:tabs>
        <w:numPr>
          <w:ilvl w:val="1"/>
          <w:numId w:val="79"/>
        </w:numPr>
        <w:rPr>
          <w:rFonts w:ascii="Arial" w:cs="Arial" w:eastAsia="Arial" w:hAnsi="Arial"/>
          <w:sz w:val="22"/>
          <w:szCs w:val="22"/>
          <w:color w:val="auto"/>
        </w:rPr>
      </w:pPr>
      <w:r>
        <w:rPr>
          <w:rFonts w:ascii="Arial" w:cs="Arial" w:eastAsia="Arial" w:hAnsi="Arial"/>
          <w:sz w:val="22"/>
          <w:szCs w:val="22"/>
          <w:color w:val="auto"/>
        </w:rPr>
        <w:t>of the receipt by the Company or its legal counsel of any notification with respect to the suspension of the qualification of the Common Stock for sale in any jurisdiction or the initiation or threatening of any proceeding for such purpose;</w:t>
      </w:r>
    </w:p>
    <w:p>
      <w:pPr>
        <w:spacing w:after="0" w:line="199" w:lineRule="exact"/>
        <w:rPr>
          <w:rFonts w:ascii="Arial" w:cs="Arial" w:eastAsia="Arial" w:hAnsi="Arial"/>
          <w:sz w:val="22"/>
          <w:szCs w:val="22"/>
          <w:color w:val="auto"/>
        </w:rPr>
      </w:pPr>
    </w:p>
    <w:p>
      <w:pPr>
        <w:ind w:left="640" w:firstLine="652"/>
        <w:spacing w:after="0" w:line="218" w:lineRule="auto"/>
        <w:tabs>
          <w:tab w:leader="none" w:pos="2266" w:val="left"/>
        </w:tabs>
        <w:numPr>
          <w:ilvl w:val="1"/>
          <w:numId w:val="79"/>
        </w:numPr>
        <w:rPr>
          <w:rFonts w:ascii="Arial" w:cs="Arial" w:eastAsia="Arial" w:hAnsi="Arial"/>
          <w:sz w:val="22"/>
          <w:szCs w:val="22"/>
          <w:color w:val="auto"/>
        </w:rPr>
      </w:pPr>
      <w:r>
        <w:rPr>
          <w:rFonts w:ascii="Arial" w:cs="Arial" w:eastAsia="Arial" w:hAnsi="Arial"/>
          <w:sz w:val="22"/>
          <w:szCs w:val="22"/>
          <w:color w:val="auto"/>
        </w:rPr>
        <w:t>of the happening of any event that requires the Company to make changes in any effective registration statement or the prospectus related to the registration statement in order to make the statements therein not misleading (which notice shall be accompanied by an instruction to suspend the use of the prospectus until the requisite changes have been made); and</w:t>
      </w:r>
    </w:p>
    <w:p>
      <w:pPr>
        <w:spacing w:after="0" w:line="201" w:lineRule="exact"/>
        <w:rPr>
          <w:rFonts w:ascii="Arial" w:cs="Arial" w:eastAsia="Arial" w:hAnsi="Arial"/>
          <w:sz w:val="22"/>
          <w:szCs w:val="22"/>
          <w:color w:val="auto"/>
        </w:rPr>
      </w:pPr>
    </w:p>
    <w:p>
      <w:pPr>
        <w:ind w:left="640" w:right="60" w:firstLine="652"/>
        <w:spacing w:after="0" w:line="232" w:lineRule="auto"/>
        <w:tabs>
          <w:tab w:leader="none" w:pos="2254" w:val="left"/>
        </w:tabs>
        <w:numPr>
          <w:ilvl w:val="1"/>
          <w:numId w:val="79"/>
        </w:numPr>
        <w:rPr>
          <w:rFonts w:ascii="Arial" w:cs="Arial" w:eastAsia="Arial" w:hAnsi="Arial"/>
          <w:sz w:val="22"/>
          <w:szCs w:val="22"/>
          <w:color w:val="auto"/>
        </w:rPr>
      </w:pPr>
      <w:r>
        <w:rPr>
          <w:rFonts w:ascii="Arial" w:cs="Arial" w:eastAsia="Arial" w:hAnsi="Arial"/>
          <w:sz w:val="22"/>
          <w:szCs w:val="22"/>
          <w:color w:val="auto"/>
        </w:rPr>
        <w:t>if at any time the representations and warranties of the Company contained in any underwriting agreement contemplated by Section 4.5(c)(x) cease to be true and correct.</w:t>
      </w:r>
    </w:p>
    <w:p>
      <w:pPr>
        <w:spacing w:after="0" w:line="199" w:lineRule="exact"/>
        <w:rPr>
          <w:rFonts w:ascii="Arial" w:cs="Arial" w:eastAsia="Arial" w:hAnsi="Arial"/>
          <w:sz w:val="22"/>
          <w:szCs w:val="22"/>
          <w:color w:val="auto"/>
        </w:rPr>
      </w:pPr>
    </w:p>
    <w:p>
      <w:pPr>
        <w:ind w:right="320" w:firstLine="644"/>
        <w:spacing w:after="0" w:line="223" w:lineRule="auto"/>
        <w:tabs>
          <w:tab w:leader="none" w:pos="1722" w:val="left"/>
        </w:tabs>
        <w:numPr>
          <w:ilvl w:val="0"/>
          <w:numId w:val="79"/>
        </w:numPr>
        <w:rPr>
          <w:rFonts w:ascii="Arial" w:cs="Arial" w:eastAsia="Arial" w:hAnsi="Arial"/>
          <w:sz w:val="22"/>
          <w:szCs w:val="22"/>
          <w:color w:val="auto"/>
        </w:rPr>
      </w:pPr>
      <w:r>
        <w:rPr>
          <w:rFonts w:ascii="Arial" w:cs="Arial" w:eastAsia="Arial" w:hAnsi="Arial"/>
          <w:sz w:val="22"/>
          <w:szCs w:val="22"/>
          <w:color w:val="auto"/>
        </w:rPr>
        <w:t>Use its reasonable best efforts to prevent the issuance or obtain the withdrawal of any order suspending the effectiveness of any registration statement referred to in Section 4.5(c)(vi)(C) at the earliest practicable time.</w:t>
      </w:r>
    </w:p>
    <w:p>
      <w:pPr>
        <w:spacing w:after="0" w:line="199" w:lineRule="exact"/>
        <w:rPr>
          <w:rFonts w:ascii="Arial" w:cs="Arial" w:eastAsia="Arial" w:hAnsi="Arial"/>
          <w:sz w:val="22"/>
          <w:szCs w:val="22"/>
          <w:color w:val="auto"/>
        </w:rPr>
      </w:pPr>
    </w:p>
    <w:p>
      <w:pPr>
        <w:ind w:right="200" w:firstLine="644"/>
        <w:spacing w:after="0" w:line="223" w:lineRule="auto"/>
        <w:tabs>
          <w:tab w:leader="none" w:pos="1782" w:val="left"/>
        </w:tabs>
        <w:numPr>
          <w:ilvl w:val="0"/>
          <w:numId w:val="79"/>
        </w:numPr>
        <w:rPr>
          <w:rFonts w:ascii="Arial" w:cs="Arial" w:eastAsia="Arial" w:hAnsi="Arial"/>
          <w:sz w:val="22"/>
          <w:szCs w:val="22"/>
          <w:color w:val="auto"/>
        </w:rPr>
      </w:pPr>
      <w:r>
        <w:rPr>
          <w:rFonts w:ascii="Arial" w:cs="Arial" w:eastAsia="Arial" w:hAnsi="Arial"/>
          <w:sz w:val="22"/>
          <w:szCs w:val="22"/>
          <w:color w:val="auto"/>
        </w:rPr>
        <w:t>Upon the occurrence of any event contemplated by Section 4.5(c)(v), 4.5(c)(vi)(E) or 4.5(d), promptly prepare a post-effective amendment to such registration statement or a supplement to the related prospectus or file any other required document so that, as thereafter</w:t>
      </w:r>
    </w:p>
    <w:p>
      <w:pPr>
        <w:spacing w:after="0" w:line="185" w:lineRule="exact"/>
        <w:rPr>
          <w:rFonts w:ascii="Arial" w:cs="Arial" w:eastAsia="Arial" w:hAnsi="Arial"/>
          <w:sz w:val="22"/>
          <w:szCs w:val="22"/>
          <w:color w:val="auto"/>
        </w:rPr>
      </w:pPr>
    </w:p>
    <w:p>
      <w:pPr>
        <w:ind w:left="4860" w:hanging="130"/>
        <w:spacing w:after="0"/>
        <w:tabs>
          <w:tab w:leader="none" w:pos="4860" w:val="left"/>
        </w:tabs>
        <w:numPr>
          <w:ilvl w:val="2"/>
          <w:numId w:val="79"/>
        </w:numPr>
        <w:rPr>
          <w:rFonts w:ascii="Arial" w:cs="Arial" w:eastAsia="Arial" w:hAnsi="Arial"/>
          <w:sz w:val="22"/>
          <w:szCs w:val="22"/>
          <w:color w:val="auto"/>
        </w:rPr>
      </w:pPr>
      <w:r>
        <w:rPr>
          <w:rFonts w:ascii="Arial" w:cs="Arial" w:eastAsia="Arial" w:hAnsi="Arial"/>
          <w:sz w:val="22"/>
          <w:szCs w:val="22"/>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77" w:right="359" w:bottom="1440" w:gutter="0" w:footer="0" w:header="0"/>
        </w:sectPr>
      </w:pPr>
    </w:p>
    <w:bookmarkStart w:id="110" w:name="page111"/>
    <w:bookmarkEnd w:id="110"/>
    <w:p>
      <w:pPr>
        <w:ind w:right="60"/>
        <w:spacing w:after="0" w:line="221" w:lineRule="auto"/>
        <w:rPr>
          <w:sz w:val="20"/>
          <w:szCs w:val="20"/>
          <w:color w:val="auto"/>
        </w:rPr>
      </w:pPr>
      <w:r>
        <w:rPr>
          <w:rFonts w:ascii="Arial" w:cs="Arial" w:eastAsia="Arial" w:hAnsi="Arial"/>
          <w:sz w:val="21"/>
          <w:szCs w:val="21"/>
          <w:color w:val="auto"/>
        </w:rPr>
        <w:t>delivered to the Holders and any underwriters, the prospectus will not contain an untrue statement of a material fact or omit to state any material fact necessary to make the statements therein, in light of the circumstances under which they were made, not misleading. If the Company notifies the Holders in accordance with Section 4.5(c)(vi)(E) to suspend the use of the prospectus until the requisite changes to the prospectus have been made, then the Holders and any underwriters shall suspend use of such prospectus and use their reasonable best efforts to return to the Company all copies of such prospectus (at the Company’s expense) other than permanent file copies then in such Holders’ or underwriters’ possession. The total number of days that any such suspension may be in effect in any 12-month period shall not exceed 90 days. The Company shall notify the Holders of the date of any anticipated termination of any such suspension period prior to such date.</w:t>
      </w:r>
    </w:p>
    <w:p>
      <w:pPr>
        <w:spacing w:after="0" w:line="199" w:lineRule="exact"/>
        <w:rPr>
          <w:sz w:val="20"/>
          <w:szCs w:val="20"/>
          <w:color w:val="auto"/>
        </w:rPr>
      </w:pPr>
    </w:p>
    <w:p>
      <w:pPr>
        <w:ind w:right="140" w:firstLine="644"/>
        <w:spacing w:after="0" w:line="268" w:lineRule="auto"/>
        <w:tabs>
          <w:tab w:leader="none" w:pos="1662" w:val="left"/>
        </w:tabs>
        <w:numPr>
          <w:ilvl w:val="0"/>
          <w:numId w:val="80"/>
        </w:numPr>
        <w:rPr>
          <w:rFonts w:ascii="Arial" w:cs="Arial" w:eastAsia="Arial" w:hAnsi="Arial"/>
          <w:sz w:val="19"/>
          <w:szCs w:val="19"/>
          <w:color w:val="auto"/>
        </w:rPr>
      </w:pPr>
      <w:r>
        <w:rPr>
          <w:rFonts w:ascii="Arial" w:cs="Arial" w:eastAsia="Arial" w:hAnsi="Arial"/>
          <w:sz w:val="19"/>
          <w:szCs w:val="19"/>
          <w:color w:val="auto"/>
        </w:rPr>
        <w:t>Use reasonable best efforts to procure the cooperation of the Company’s transfer agent in settling any offering or sale of Registrable Securities, including with respect to the transfer of physical stock certificates into book-entry form in accordance with any procedures reasonably requested by the Holders or any managing underwriter(s).</w:t>
      </w:r>
    </w:p>
    <w:p>
      <w:pPr>
        <w:spacing w:after="0" w:line="172" w:lineRule="exact"/>
        <w:rPr>
          <w:rFonts w:ascii="Arial" w:cs="Arial" w:eastAsia="Arial" w:hAnsi="Arial"/>
          <w:sz w:val="19"/>
          <w:szCs w:val="19"/>
          <w:color w:val="auto"/>
        </w:rPr>
      </w:pPr>
    </w:p>
    <w:p>
      <w:pPr>
        <w:ind w:firstLine="644"/>
        <w:spacing w:after="0"/>
        <w:tabs>
          <w:tab w:leader="none" w:pos="1602"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an underwritten offering is requested pursuant to Section 4.5(a)(ii), enter into an underwriting agreement in customary form, scope and substance and take all such other actions reasonably requested by the Holders of a majority of the Registrable Securities being sold in connection therewith or by the managing underwriter(s), if any, to expedite or facilitate the underwritten disposition of such Registrable Securities, and in connection therewith in any underwritten offering (including making members of management and executives of the Company available to participate in “road shows”, similar sales events and other marketing activities), (A) make such representations and warranties to the Holders that are selling stockholders and the managing underwriter(s), if any, with respect to the business of the Company and its subsidiaries, and the Shelf Registration Statement, prospectus and documents, if any, incorporated or deemed to be incorporated by reference therein, in each case, in customary form, substance and scope, and, if true, confirm the same if and when requested, (B) use its reasonable best efforts to furnish the underwriters with opinions and “10b-5” letters of counsel to the Company, addressed to the managing underwriter(s), if any, covering the matters customarily covered in such opinions and letters requested in underwritten offerings, (C) use its reasonable best efforts to obtain “cold comfort” letters from the independent certified public accountants of the Company (and, if necessary, any other independent certified public accountants of any business acquired by the Company for which financial statements and financial data are included in the Shelf Registration Statement) who have certified the financial statements included in such Shelf Registration Statement, addressed to each of the managing underwriter(s), if any, such letters to be in customary form and covering matters of the type customarily covered in “cold comfort” letters, (D) if an underwriting agreement is entered into, the same shall contain indemnification provisions and procedures customary in underwritten offerings (provided that Treasury shall not be obligated to provide any indemnity), and (E) deliver such documents and certificates as may be reasonably requested by the Holders of a majority of the Registrable Securities being sold in connection therewith, their counsel and the managing underwriter(s), if any, to evidence the continued validity of the representations and warranties made pursuant to clause (i) above and to evidence compliance with any customary</w:t>
      </w:r>
    </w:p>
    <w:p>
      <w:pPr>
        <w:spacing w:after="0" w:line="188" w:lineRule="exact"/>
        <w:rPr>
          <w:rFonts w:ascii="Arial" w:cs="Arial" w:eastAsia="Arial" w:hAnsi="Arial"/>
          <w:sz w:val="19"/>
          <w:szCs w:val="19"/>
          <w:color w:val="auto"/>
        </w:rPr>
      </w:pPr>
    </w:p>
    <w:p>
      <w:pPr>
        <w:ind w:left="4860" w:hanging="130"/>
        <w:spacing w:after="0"/>
        <w:tabs>
          <w:tab w:leader="none" w:pos="48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577" w:right="359" w:bottom="1440" w:gutter="0" w:footer="0" w:header="0"/>
        </w:sectPr>
      </w:pPr>
    </w:p>
    <w:bookmarkStart w:id="111" w:name="page112"/>
    <w:bookmarkEnd w:id="111"/>
    <w:p>
      <w:pPr>
        <w:ind w:left="4"/>
        <w:spacing w:after="0"/>
        <w:rPr>
          <w:sz w:val="20"/>
          <w:szCs w:val="20"/>
          <w:color w:val="auto"/>
        </w:rPr>
      </w:pPr>
      <w:r>
        <w:rPr>
          <w:rFonts w:ascii="Arial" w:cs="Arial" w:eastAsia="Arial" w:hAnsi="Arial"/>
          <w:sz w:val="22"/>
          <w:szCs w:val="22"/>
          <w:color w:val="auto"/>
        </w:rPr>
        <w:t>conditions contained in the underwriting agreement or other agreement entered into by the Company.</w:t>
      </w:r>
    </w:p>
    <w:p>
      <w:pPr>
        <w:spacing w:after="0" w:line="220" w:lineRule="exact"/>
        <w:rPr>
          <w:sz w:val="20"/>
          <w:szCs w:val="20"/>
          <w:color w:val="auto"/>
        </w:rPr>
      </w:pPr>
    </w:p>
    <w:p>
      <w:pPr>
        <w:ind w:left="4" w:right="20" w:firstLine="644"/>
        <w:spacing w:after="0" w:line="247" w:lineRule="auto"/>
        <w:tabs>
          <w:tab w:leader="none" w:pos="1666" w:val="left"/>
        </w:tabs>
        <w:numPr>
          <w:ilvl w:val="1"/>
          <w:numId w:val="81"/>
        </w:numPr>
        <w:rPr>
          <w:rFonts w:ascii="Arial" w:cs="Arial" w:eastAsia="Arial" w:hAnsi="Arial"/>
          <w:sz w:val="19"/>
          <w:szCs w:val="19"/>
          <w:color w:val="auto"/>
        </w:rPr>
      </w:pPr>
      <w:r>
        <w:rPr>
          <w:rFonts w:ascii="Arial" w:cs="Arial" w:eastAsia="Arial" w:hAnsi="Arial"/>
          <w:sz w:val="19"/>
          <w:szCs w:val="19"/>
          <w:color w:val="auto"/>
        </w:rPr>
        <w:t>Make available for inspection by a representative of Holders that are selling stockholders, the managing underwriter(s), if any, and any attorneys or accountants retained by such Holders or managing underwriter(s), at the offices where normally kept, during reasonable business hours, financial and other records, pertinent corporate documents and properties of the Company, and cause the officers, directors and employees of the Company to supply all information in each case reasonably requested (and of the type customarily provided in connection with due diligence conducted in connection with a registered public offering of securities) by any such representative, managing underwriter(s), attorney or accountant in connection with such Shelf Registration Statement.</w:t>
      </w:r>
    </w:p>
    <w:p>
      <w:pPr>
        <w:spacing w:after="0" w:line="194" w:lineRule="exact"/>
        <w:rPr>
          <w:rFonts w:ascii="Arial" w:cs="Arial" w:eastAsia="Arial" w:hAnsi="Arial"/>
          <w:sz w:val="19"/>
          <w:szCs w:val="19"/>
          <w:color w:val="auto"/>
        </w:rPr>
      </w:pPr>
    </w:p>
    <w:p>
      <w:pPr>
        <w:ind w:left="4" w:right="60" w:firstLine="644"/>
        <w:spacing w:after="0" w:line="257" w:lineRule="auto"/>
        <w:tabs>
          <w:tab w:leader="none" w:pos="1726" w:val="left"/>
        </w:tabs>
        <w:numPr>
          <w:ilvl w:val="1"/>
          <w:numId w:val="81"/>
        </w:numPr>
        <w:rPr>
          <w:rFonts w:ascii="Arial" w:cs="Arial" w:eastAsia="Arial" w:hAnsi="Arial"/>
          <w:sz w:val="19"/>
          <w:szCs w:val="19"/>
          <w:color w:val="auto"/>
        </w:rPr>
      </w:pPr>
      <w:r>
        <w:rPr>
          <w:rFonts w:ascii="Arial" w:cs="Arial" w:eastAsia="Arial" w:hAnsi="Arial"/>
          <w:sz w:val="19"/>
          <w:szCs w:val="19"/>
          <w:color w:val="auto"/>
        </w:rPr>
        <w:t>Use reasonable best efforts to cause all such Registrable Securities to be listed on each national securities exchange on which similar securities issued by the Company are then listed or, if no similar securities issued by the Company are then listed on any national securities exchange, use its reasonable best efforts to cause all such Registrable Securities to be listed on such securities exchange as Treasury may designate.</w:t>
      </w:r>
    </w:p>
    <w:p>
      <w:pPr>
        <w:spacing w:after="0" w:line="184" w:lineRule="exact"/>
        <w:rPr>
          <w:rFonts w:ascii="Arial" w:cs="Arial" w:eastAsia="Arial" w:hAnsi="Arial"/>
          <w:sz w:val="19"/>
          <w:szCs w:val="19"/>
          <w:color w:val="auto"/>
        </w:rPr>
      </w:pPr>
    </w:p>
    <w:p>
      <w:pPr>
        <w:ind w:left="4" w:right="80" w:firstLine="644"/>
        <w:spacing w:after="0" w:line="224" w:lineRule="auto"/>
        <w:tabs>
          <w:tab w:leader="none" w:pos="1786" w:val="left"/>
        </w:tabs>
        <w:numPr>
          <w:ilvl w:val="1"/>
          <w:numId w:val="81"/>
        </w:numPr>
        <w:rPr>
          <w:rFonts w:ascii="Arial" w:cs="Arial" w:eastAsia="Arial" w:hAnsi="Arial"/>
          <w:sz w:val="21"/>
          <w:szCs w:val="21"/>
          <w:color w:val="auto"/>
        </w:rPr>
      </w:pPr>
      <w:r>
        <w:rPr>
          <w:rFonts w:ascii="Arial" w:cs="Arial" w:eastAsia="Arial" w:hAnsi="Arial"/>
          <w:sz w:val="21"/>
          <w:szCs w:val="21"/>
          <w:color w:val="auto"/>
        </w:rPr>
        <w:t>If requested by Holders of a majority of the Registrable Securities being registered and/or sold in connection therewith, or the managing underwriter(s), if any, promptly include in a prospectus supplement or amendment such information as the Holders of a majority of the Registrable Securities being registered and/or sold in connection therewith or managing underwriter(s), if any, may reasonably request in order to permit the intended method of distribution of such securities and make all required filings of such prospectus supplement or such amendment as soon as practicable after the Company has received such request.</w:t>
      </w:r>
    </w:p>
    <w:p>
      <w:pPr>
        <w:spacing w:after="0" w:line="200" w:lineRule="exact"/>
        <w:rPr>
          <w:rFonts w:ascii="Arial" w:cs="Arial" w:eastAsia="Arial" w:hAnsi="Arial"/>
          <w:sz w:val="21"/>
          <w:szCs w:val="21"/>
          <w:color w:val="auto"/>
        </w:rPr>
      </w:pPr>
    </w:p>
    <w:p>
      <w:pPr>
        <w:ind w:left="4" w:right="80" w:firstLine="644"/>
        <w:spacing w:after="0" w:line="232" w:lineRule="auto"/>
        <w:tabs>
          <w:tab w:leader="none" w:pos="1774" w:val="left"/>
        </w:tabs>
        <w:numPr>
          <w:ilvl w:val="1"/>
          <w:numId w:val="81"/>
        </w:numPr>
        <w:rPr>
          <w:rFonts w:ascii="Arial" w:cs="Arial" w:eastAsia="Arial" w:hAnsi="Arial"/>
          <w:sz w:val="22"/>
          <w:szCs w:val="22"/>
          <w:color w:val="auto"/>
        </w:rPr>
      </w:pPr>
      <w:r>
        <w:rPr>
          <w:rFonts w:ascii="Arial" w:cs="Arial" w:eastAsia="Arial" w:hAnsi="Arial"/>
          <w:sz w:val="22"/>
          <w:szCs w:val="22"/>
          <w:color w:val="auto"/>
        </w:rPr>
        <w:t>Timely provide to its security holders earning statements satisfying the provisions of Section 11(a) of the Securities Act and Rule 158 thereunder.</w:t>
      </w:r>
    </w:p>
    <w:p>
      <w:pPr>
        <w:spacing w:after="0" w:line="226" w:lineRule="exact"/>
        <w:rPr>
          <w:rFonts w:ascii="Arial" w:cs="Arial" w:eastAsia="Arial" w:hAnsi="Arial"/>
          <w:sz w:val="22"/>
          <w:szCs w:val="22"/>
          <w:color w:val="auto"/>
        </w:rPr>
      </w:pPr>
    </w:p>
    <w:p>
      <w:pPr>
        <w:ind w:left="-656" w:firstLine="656"/>
        <w:spacing w:after="0" w:line="258" w:lineRule="auto"/>
        <w:tabs>
          <w:tab w:leader="none" w:pos="514"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Suspension of Sales</w:t>
      </w:r>
      <w:r>
        <w:rPr>
          <w:rFonts w:ascii="Arial" w:cs="Arial" w:eastAsia="Arial" w:hAnsi="Arial"/>
          <w:sz w:val="21"/>
          <w:szCs w:val="21"/>
          <w:color w:val="auto"/>
        </w:rPr>
        <w:t xml:space="preserve"> . Upon receipt of written notice from the Company that a registration statement, prospectus or prospectus supplement contains or may contain an untrue statement of a material fact or omits or may omit to state a material fact required to be stated therein or necessary to make the statements therein not misleading or that circumstances exist that make inadvisable use of such registration statement, prospectus or prospectus supplement, Treasury and each Holder of Registrable Securities shall forthwith discontinue disposition of Registrable Securities until Treasury and/or Holder has received copies of a supplemented or amended prospectus or prospectus supplement, or until Treasury and/or such Holder is advised in writing by the Company that the use of the prospectus and, if applicable, prospectus supplement may be resumed, and, if so directed by the Company, Treasury and/or such Holder shall deliver to the Company (at the Company’s expense) all copies, other than permanent file copies then in Treasury and/or such Holder’s possession, of the prospectus and, if applicable, prospectus supplement covering such Registrable Securities current at the time of receipt of such notice. The total number of days that any such suspension may be in effect</w:t>
      </w:r>
    </w:p>
    <w:p>
      <w:pPr>
        <w:spacing w:after="0" w:line="181" w:lineRule="exact"/>
        <w:rPr>
          <w:rFonts w:ascii="Arial" w:cs="Arial" w:eastAsia="Arial" w:hAnsi="Arial"/>
          <w:sz w:val="21"/>
          <w:szCs w:val="21"/>
          <w:color w:val="auto"/>
        </w:rPr>
      </w:pPr>
    </w:p>
    <w:p>
      <w:pPr>
        <w:ind w:left="4864" w:hanging="130"/>
        <w:spacing w:after="0"/>
        <w:tabs>
          <w:tab w:leader="none" w:pos="4864" w:val="left"/>
        </w:tabs>
        <w:numPr>
          <w:ilvl w:val="2"/>
          <w:numId w:val="82"/>
        </w:numPr>
        <w:rPr>
          <w:rFonts w:ascii="Arial" w:cs="Arial" w:eastAsia="Arial" w:hAnsi="Arial"/>
          <w:sz w:val="22"/>
          <w:szCs w:val="22"/>
          <w:color w:val="auto"/>
        </w:rPr>
      </w:pPr>
      <w:r>
        <w:rPr>
          <w:rFonts w:ascii="Arial" w:cs="Arial" w:eastAsia="Arial" w:hAnsi="Arial"/>
          <w:sz w:val="22"/>
          <w:szCs w:val="22"/>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7" w:right="339" w:bottom="1440" w:gutter="0" w:footer="0" w:header="0"/>
        </w:sectPr>
      </w:pPr>
    </w:p>
    <w:bookmarkStart w:id="112" w:name="page113"/>
    <w:bookmarkEnd w:id="112"/>
    <w:p>
      <w:pPr>
        <w:ind w:right="140"/>
        <w:spacing w:after="0" w:line="263" w:lineRule="auto"/>
        <w:rPr>
          <w:sz w:val="20"/>
          <w:szCs w:val="20"/>
          <w:color w:val="auto"/>
        </w:rPr>
      </w:pPr>
      <w:r>
        <w:rPr>
          <w:rFonts w:ascii="Arial" w:cs="Arial" w:eastAsia="Arial" w:hAnsi="Arial"/>
          <w:sz w:val="22"/>
          <w:szCs w:val="22"/>
          <w:color w:val="auto"/>
        </w:rPr>
        <w:t>in any 12-month period shall not exceed 90 days. The Company shall notify Treasury prior to the anticipated termination of any such suspension period of the date of such anticipated termination</w:t>
      </w:r>
    </w:p>
    <w:p>
      <w:pPr>
        <w:spacing w:after="0" w:line="215" w:lineRule="exact"/>
        <w:rPr>
          <w:sz w:val="20"/>
          <w:szCs w:val="20"/>
          <w:color w:val="auto"/>
        </w:rPr>
      </w:pPr>
    </w:p>
    <w:p>
      <w:pPr>
        <w:ind w:right="20" w:firstLine="656"/>
        <w:spacing w:after="0" w:line="263" w:lineRule="auto"/>
        <w:tabs>
          <w:tab w:leader="none" w:pos="115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Termination of Registration Rights</w:t>
      </w:r>
      <w:r>
        <w:rPr>
          <w:rFonts w:ascii="Arial" w:cs="Arial" w:eastAsia="Arial" w:hAnsi="Arial"/>
          <w:sz w:val="22"/>
          <w:szCs w:val="22"/>
          <w:color w:val="auto"/>
        </w:rPr>
        <w:t xml:space="preserve"> . A Holder’s registration rights as to any securities held by such Holder shall not be available unless such securities are Registrable Securities.</w:t>
      </w:r>
    </w:p>
    <w:p>
      <w:pPr>
        <w:spacing w:after="0" w:line="215" w:lineRule="exact"/>
        <w:rPr>
          <w:rFonts w:ascii="Arial" w:cs="Arial" w:eastAsia="Arial" w:hAnsi="Arial"/>
          <w:sz w:val="22"/>
          <w:szCs w:val="22"/>
          <w:color w:val="auto"/>
        </w:rPr>
      </w:pPr>
    </w:p>
    <w:p>
      <w:pPr>
        <w:ind w:left="1140" w:hanging="484"/>
        <w:spacing w:after="0"/>
        <w:tabs>
          <w:tab w:leader="none" w:pos="114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Furnishing Information</w:t>
      </w:r>
      <w:r>
        <w:rPr>
          <w:rFonts w:ascii="Arial" w:cs="Arial" w:eastAsia="Arial" w:hAnsi="Arial"/>
          <w:sz w:val="22"/>
          <w:szCs w:val="22"/>
          <w:color w:val="auto"/>
        </w:rPr>
        <w:t xml:space="preserve"> .</w:t>
      </w:r>
    </w:p>
    <w:p>
      <w:pPr>
        <w:spacing w:after="0" w:line="233" w:lineRule="exact"/>
        <w:rPr>
          <w:rFonts w:ascii="Arial" w:cs="Arial" w:eastAsia="Arial" w:hAnsi="Arial"/>
          <w:sz w:val="22"/>
          <w:szCs w:val="22"/>
          <w:color w:val="auto"/>
        </w:rPr>
      </w:pPr>
    </w:p>
    <w:p>
      <w:pPr>
        <w:ind w:left="660" w:right="580" w:firstLine="644"/>
        <w:spacing w:after="0" w:line="247" w:lineRule="auto"/>
        <w:tabs>
          <w:tab w:leader="none" w:pos="2214" w:val="left"/>
        </w:tabs>
        <w:numPr>
          <w:ilvl w:val="1"/>
          <w:numId w:val="83"/>
        </w:numPr>
        <w:rPr>
          <w:rFonts w:ascii="Arial" w:cs="Arial" w:eastAsia="Arial" w:hAnsi="Arial"/>
          <w:sz w:val="21"/>
          <w:szCs w:val="21"/>
          <w:color w:val="auto"/>
        </w:rPr>
      </w:pPr>
      <w:r>
        <w:rPr>
          <w:rFonts w:ascii="Arial" w:cs="Arial" w:eastAsia="Arial" w:hAnsi="Arial"/>
          <w:sz w:val="21"/>
          <w:szCs w:val="21"/>
          <w:color w:val="auto"/>
        </w:rPr>
        <w:t>Neither Treasury nor any Holder shall use any free writing prospectus (as defined in Rule 405) in connection with the sale of Registrable Securities without the prior written consent of the Company.</w:t>
      </w:r>
    </w:p>
    <w:p>
      <w:pPr>
        <w:spacing w:after="0" w:line="191" w:lineRule="exact"/>
        <w:rPr>
          <w:rFonts w:ascii="Arial" w:cs="Arial" w:eastAsia="Arial" w:hAnsi="Arial"/>
          <w:sz w:val="21"/>
          <w:szCs w:val="21"/>
          <w:color w:val="auto"/>
        </w:rPr>
      </w:pPr>
    </w:p>
    <w:p>
      <w:pPr>
        <w:ind w:left="660" w:right="20" w:firstLine="644"/>
        <w:spacing w:after="0" w:line="257" w:lineRule="auto"/>
        <w:tabs>
          <w:tab w:leader="none" w:pos="2274" w:val="left"/>
        </w:tabs>
        <w:numPr>
          <w:ilvl w:val="1"/>
          <w:numId w:val="83"/>
        </w:numPr>
        <w:rPr>
          <w:rFonts w:ascii="Arial" w:cs="Arial" w:eastAsia="Arial" w:hAnsi="Arial"/>
          <w:sz w:val="19"/>
          <w:szCs w:val="19"/>
          <w:color w:val="auto"/>
        </w:rPr>
      </w:pPr>
      <w:r>
        <w:rPr>
          <w:rFonts w:ascii="Arial" w:cs="Arial" w:eastAsia="Arial" w:hAnsi="Arial"/>
          <w:sz w:val="19"/>
          <w:szCs w:val="19"/>
          <w:color w:val="auto"/>
        </w:rPr>
        <w:t>It shall be a condition precedent to the obligations of the Company to take any action pursuant to Section 4.5(c) that Treasury and/or the selling Holders and the underwriters, if any, shall furnish to the Company such information regarding themselves, the Registrable Securities held by them and the intended method of disposition of such securities as shall be required to effect the registered offering of their Registrable Securities.</w:t>
      </w:r>
    </w:p>
    <w:p>
      <w:pPr>
        <w:spacing w:after="0" w:line="211" w:lineRule="exact"/>
        <w:rPr>
          <w:rFonts w:ascii="Arial" w:cs="Arial" w:eastAsia="Arial" w:hAnsi="Arial"/>
          <w:sz w:val="19"/>
          <w:szCs w:val="19"/>
          <w:color w:val="auto"/>
        </w:rPr>
      </w:pPr>
    </w:p>
    <w:p>
      <w:pPr>
        <w:ind w:left="1180" w:hanging="524"/>
        <w:spacing w:after="0"/>
        <w:tabs>
          <w:tab w:leader="none" w:pos="118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w:t>
      </w:r>
    </w:p>
    <w:p>
      <w:pPr>
        <w:spacing w:after="0" w:line="233" w:lineRule="exact"/>
        <w:rPr>
          <w:rFonts w:ascii="Arial" w:cs="Arial" w:eastAsia="Arial" w:hAnsi="Arial"/>
          <w:sz w:val="22"/>
          <w:szCs w:val="22"/>
          <w:color w:val="auto"/>
        </w:rPr>
      </w:pPr>
    </w:p>
    <w:p>
      <w:pPr>
        <w:ind w:left="660" w:firstLine="644"/>
        <w:spacing w:after="0"/>
        <w:tabs>
          <w:tab w:leader="none" w:pos="2214" w:val="left"/>
        </w:tabs>
        <w:numPr>
          <w:ilvl w:val="1"/>
          <w:numId w:val="83"/>
        </w:numPr>
        <w:rPr>
          <w:rFonts w:ascii="Arial" w:cs="Arial" w:eastAsia="Arial" w:hAnsi="Arial"/>
          <w:sz w:val="19"/>
          <w:szCs w:val="19"/>
          <w:color w:val="auto"/>
        </w:rPr>
      </w:pPr>
      <w:r>
        <w:rPr>
          <w:rFonts w:ascii="Arial" w:cs="Arial" w:eastAsia="Arial" w:hAnsi="Arial"/>
          <w:sz w:val="19"/>
          <w:szCs w:val="19"/>
          <w:color w:val="auto"/>
        </w:rPr>
        <w:t xml:space="preserve">The Company agrees to indemnify each Holder and, if a Holder is a person other than an individual, such Holder’s officers, directors, employees, agents, representatives and Affiliates, and each Person, if any, that controls a Holder within the meaning of the Securities Act (each, an “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 against any and all losses, claims, damages, actions, liabilities, costs and expenses (including reasonable fees, expenses and disbursements of attorneys and other professionals incurred in connection with investigating, defending, settling, compromising or paying any such losses, claims, damages, actions, liabilities, costs and expenses), joint or several, arising out of or based upon any untrue statement or alleged untrue statement of material fact contained in any registration statement, including any preliminary prospectus or final prospectus contained therein or any amendments or supplements thereto or any documents incorporated therein by reference or contained in any free writing prospectus (as such term is defined in Rule 405) prepared by the Company or authorized by it in writing for use by such Holder (or any amendment or supplement thereto); or any omission to state therein a material fact required to be stated therein or necessary to make the statements therein, in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that the Company shall not be liable to such Indemnitee in any such case to the extent that any such loss, claim, damage, liability (or action or proceeding in respect thereof) or expense arises out of or is based upon (A) an untrue statement or omission made in such registration statement, including any such preliminary prospectus or final prospectus contained therein or any such amendments or supplements thereto or contained in any free writing prospectus (as such term is defined in Rule 405) prepared by the Company or authorized by it in writing for use by such Holder (or any amendment or supplement thereto), in reliance upon and in conformity with information regarding such Indemnitee or its plan of distribution or ownership interests which was furnished in writing to the Company by such Indemnitee for use in connection with such registration statement, including any such preliminary prospectus or final prospectus contained</w:t>
      </w:r>
    </w:p>
    <w:p>
      <w:pPr>
        <w:spacing w:after="0" w:line="193" w:lineRule="exact"/>
        <w:rPr>
          <w:rFonts w:ascii="Arial" w:cs="Arial" w:eastAsia="Arial" w:hAnsi="Arial"/>
          <w:sz w:val="19"/>
          <w:szCs w:val="19"/>
          <w:color w:val="auto"/>
        </w:rPr>
      </w:pPr>
    </w:p>
    <w:p>
      <w:pPr>
        <w:ind w:left="5520" w:hanging="130"/>
        <w:spacing w:after="0"/>
        <w:tabs>
          <w:tab w:leader="none" w:pos="5520" w:val="left"/>
        </w:tabs>
        <w:numPr>
          <w:ilvl w:val="2"/>
          <w:numId w:val="83"/>
        </w:numPr>
        <w:rPr>
          <w:rFonts w:ascii="Arial" w:cs="Arial" w:eastAsia="Arial" w:hAnsi="Arial"/>
          <w:sz w:val="22"/>
          <w:szCs w:val="22"/>
          <w:color w:val="auto"/>
        </w:rPr>
      </w:pPr>
      <w:r>
        <w:rPr>
          <w:rFonts w:ascii="Arial" w:cs="Arial" w:eastAsia="Arial" w:hAnsi="Arial"/>
          <w:sz w:val="22"/>
          <w:szCs w:val="22"/>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113" w:name="page114"/>
    <w:bookmarkEnd w:id="113"/>
    <w:p>
      <w:pPr>
        <w:ind w:left="4" w:right="20"/>
        <w:spacing w:after="0" w:line="223" w:lineRule="auto"/>
        <w:rPr>
          <w:sz w:val="20"/>
          <w:szCs w:val="20"/>
          <w:color w:val="auto"/>
        </w:rPr>
      </w:pPr>
      <w:r>
        <w:rPr>
          <w:rFonts w:ascii="Arial" w:cs="Arial" w:eastAsia="Arial" w:hAnsi="Arial"/>
          <w:sz w:val="22"/>
          <w:szCs w:val="22"/>
          <w:color w:val="auto"/>
        </w:rPr>
        <w:t>therein or any such amendments or supplements thereto, or (B) offers or sales effected by or on behalf of such Indemnitee “by means of” (as defined in Rule 159A) a “free writing prospectus” (as defined in Rule 405) that was not authorized in writing by the Company.</w:t>
      </w:r>
    </w:p>
    <w:p>
      <w:pPr>
        <w:spacing w:after="0" w:line="199" w:lineRule="exact"/>
        <w:rPr>
          <w:sz w:val="20"/>
          <w:szCs w:val="20"/>
          <w:color w:val="auto"/>
        </w:rPr>
      </w:pPr>
    </w:p>
    <w:p>
      <w:pPr>
        <w:ind w:left="4" w:right="60" w:firstLine="644"/>
        <w:spacing w:after="0" w:line="238" w:lineRule="auto"/>
        <w:tabs>
          <w:tab w:leader="none" w:pos="1618"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Section 4.5(g)(i) is unavailable to an Indemnitee with respect to any losses, claims, damages, actions, liabilities, costs or expenses referred to therein or is insufficient to hold the Indemnitee harmless as contemplated therein, then the Company, in lieu of indemnifying such Indemnitee, shall contribute to the amount paid or payable by such Indemnitee as a result of such losses, claims, damages, actions, liabilities, costs or expenses in such proportion as is appropriate to reflect the relative fault of the Indemnitee, on the one hand, and the Company, on the other hand, in connection with the statements or omissions which resulted in such losses, claims, damages, actions, liabilities, costs or expenses as well as any other relevant equitable considerations. The relative fault of the Company, on the one hand, and of the Indemnitee, on the other hand, shall be determined by reference to, among other factors, whether the untrue statement of a material fact or omission to state a material fact relates to information supplied by the Company or by the Indemnitee and the parties’ relative intent, knowledge, access to information and opportunity to correct or prevent such statement or omission; the Company and each Holder agree that it would not be just and equitable if contribution pursuant to this Section 4.5(g)(ii)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or by any other method of allocation that does not take account of the equitable considerations referred to in Section</w:t>
      </w:r>
    </w:p>
    <w:p>
      <w:pPr>
        <w:spacing w:after="0" w:line="9" w:lineRule="exact"/>
        <w:rPr>
          <w:rFonts w:ascii="Arial" w:cs="Arial" w:eastAsia="Arial" w:hAnsi="Arial"/>
          <w:sz w:val="19"/>
          <w:szCs w:val="19"/>
          <w:color w:val="auto"/>
        </w:rPr>
      </w:pPr>
    </w:p>
    <w:p>
      <w:pPr>
        <w:ind w:left="4"/>
        <w:spacing w:after="0" w:line="278" w:lineRule="auto"/>
        <w:rPr>
          <w:rFonts w:ascii="Arial" w:cs="Arial" w:eastAsia="Arial" w:hAnsi="Arial"/>
          <w:sz w:val="19"/>
          <w:szCs w:val="19"/>
          <w:color w:val="auto"/>
        </w:rPr>
      </w:pPr>
      <w:r>
        <w:rPr>
          <w:rFonts w:ascii="Arial" w:cs="Arial" w:eastAsia="Arial" w:hAnsi="Arial"/>
          <w:sz w:val="19"/>
          <w:szCs w:val="19"/>
          <w:color w:val="auto"/>
        </w:rPr>
        <w:t>4.5(g)(i). No Indemnitee guilty of fraudulent misrepresentation (within the meaning of Section 11(f) of the Securities Act) shall be entitled to contribution from the Company if the Company was not guilty of such fraudulent misrepresentation.</w:t>
      </w:r>
    </w:p>
    <w:p>
      <w:pPr>
        <w:spacing w:after="0" w:line="191" w:lineRule="exact"/>
        <w:rPr>
          <w:rFonts w:ascii="Arial" w:cs="Arial" w:eastAsia="Arial" w:hAnsi="Arial"/>
          <w:sz w:val="19"/>
          <w:szCs w:val="19"/>
          <w:color w:val="auto"/>
        </w:rPr>
      </w:pPr>
    </w:p>
    <w:p>
      <w:pPr>
        <w:ind w:left="-656" w:right="40" w:firstLine="656"/>
        <w:spacing w:after="0" w:line="294" w:lineRule="auto"/>
        <w:tabs>
          <w:tab w:leader="none" w:pos="51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Assignment of Registration Rights</w:t>
      </w:r>
      <w:r>
        <w:rPr>
          <w:rFonts w:ascii="Arial" w:cs="Arial" w:eastAsia="Arial" w:hAnsi="Arial"/>
          <w:sz w:val="19"/>
          <w:szCs w:val="19"/>
          <w:color w:val="auto"/>
        </w:rPr>
        <w:t xml:space="preserve"> . The rights of Treasury to registration of Registrable Securities pursuant to Section 4.5(a) may be assigned by Treasury to a transferee or assignee of Registrable Securities in connection with a transfer of a total number of Warrant Shares and/or Warrants exercisable for at least 20% of the total number of Warrant Shares for which Warrants issued and to be issued under this Agreement could be exercised (giving effect to the anti-dilution adjustments in Warrants);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 the transferor shall, within ten days after such transfer, furnish to the Company written notice of the name and address of such transferee or assignee and the number and type of Registrable Securities that are being assigned.</w:t>
      </w:r>
    </w:p>
    <w:p>
      <w:pPr>
        <w:spacing w:after="0" w:line="189" w:lineRule="exact"/>
        <w:rPr>
          <w:rFonts w:ascii="Arial" w:cs="Arial" w:eastAsia="Arial" w:hAnsi="Arial"/>
          <w:sz w:val="19"/>
          <w:szCs w:val="19"/>
          <w:color w:val="auto"/>
        </w:rPr>
      </w:pPr>
    </w:p>
    <w:p>
      <w:pPr>
        <w:ind w:left="-656" w:right="120" w:firstLine="656"/>
        <w:spacing w:after="0" w:line="289" w:lineRule="auto"/>
        <w:tabs>
          <w:tab w:leader="none" w:pos="46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Clear Market</w:t>
      </w:r>
      <w:r>
        <w:rPr>
          <w:rFonts w:ascii="Arial" w:cs="Arial" w:eastAsia="Arial" w:hAnsi="Arial"/>
          <w:sz w:val="19"/>
          <w:szCs w:val="19"/>
          <w:color w:val="auto"/>
        </w:rPr>
        <w:t xml:space="preserve"> . With respect to any underwritten offering of Registrable Securities by Treasury or other Holders pursuant to this Section 4.5, the Company agrees not to effect (other than pursuant to such registration or pursuant to a Special Registration) any public sale or distribution, or to file any Shelf Registration Statement (other than such registration or a Special Registration) covering, in the case of an underwritten offering of Common Stock or Warrants, any of its equity securities, or, in each case, any securities convertible into or exchangeable or exercisable for such securities, during the period not to exceed 30 days following the effective date of such offering. The Company also agrees to cause such of its directors and senior executive officers to execute and deliver customary lock-up agreements in such form and for such time period up to 30 days as may be requested by the managing underwriter. “ </w:t>
      </w:r>
      <w:r>
        <w:rPr>
          <w:rFonts w:ascii="Arial" w:cs="Arial" w:eastAsia="Arial" w:hAnsi="Arial"/>
          <w:sz w:val="19"/>
          <w:szCs w:val="19"/>
          <w:u w:val="single" w:color="auto"/>
          <w:color w:val="auto"/>
        </w:rPr>
        <w:t>Special Registration</w:t>
      </w:r>
      <w:r>
        <w:rPr>
          <w:rFonts w:ascii="Arial" w:cs="Arial" w:eastAsia="Arial" w:hAnsi="Arial"/>
          <w:sz w:val="19"/>
          <w:szCs w:val="19"/>
          <w:color w:val="auto"/>
        </w:rPr>
        <w:t xml:space="preserve"> ” means the registration of (A) equity securities and/or options or other rights in respect thereof solely registered on Form S-4 or Form S-8 (or successor</w:t>
      </w:r>
    </w:p>
    <w:p>
      <w:pPr>
        <w:spacing w:after="0" w:line="156" w:lineRule="exact"/>
        <w:rPr>
          <w:rFonts w:ascii="Arial" w:cs="Arial" w:eastAsia="Arial" w:hAnsi="Arial"/>
          <w:sz w:val="19"/>
          <w:szCs w:val="19"/>
          <w:color w:val="auto"/>
        </w:rPr>
      </w:pPr>
    </w:p>
    <w:p>
      <w:pPr>
        <w:ind w:left="4864" w:hanging="130"/>
        <w:spacing w:after="0"/>
        <w:tabs>
          <w:tab w:leader="none" w:pos="4864" w:val="left"/>
        </w:tabs>
        <w:numPr>
          <w:ilvl w:val="2"/>
          <w:numId w:val="85"/>
        </w:numPr>
        <w:rPr>
          <w:rFonts w:ascii="Arial" w:cs="Arial" w:eastAsia="Arial" w:hAnsi="Arial"/>
          <w:sz w:val="22"/>
          <w:szCs w:val="22"/>
          <w:color w:val="auto"/>
        </w:rPr>
      </w:pPr>
      <w:r>
        <w:rPr>
          <w:rFonts w:ascii="Arial" w:cs="Arial" w:eastAsia="Arial" w:hAnsi="Arial"/>
          <w:sz w:val="22"/>
          <w:szCs w:val="22"/>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577" w:right="379" w:bottom="1440" w:gutter="0" w:footer="0" w:header="0"/>
        </w:sectPr>
      </w:pPr>
    </w:p>
    <w:bookmarkStart w:id="114" w:name="page115"/>
    <w:bookmarkEnd w:id="114"/>
    <w:p>
      <w:pPr>
        <w:ind w:right="100"/>
        <w:spacing w:after="0" w:line="253" w:lineRule="auto"/>
        <w:rPr>
          <w:sz w:val="20"/>
          <w:szCs w:val="20"/>
          <w:color w:val="auto"/>
        </w:rPr>
      </w:pPr>
      <w:r>
        <w:rPr>
          <w:rFonts w:ascii="Arial" w:cs="Arial" w:eastAsia="Arial" w:hAnsi="Arial"/>
          <w:sz w:val="22"/>
          <w:szCs w:val="22"/>
          <w:color w:val="auto"/>
        </w:rPr>
        <w:t>form) or (B) shares of equity securities and/or options or other rights in respect thereof to be offered to directors, members of management, employees, consultants, customers, lenders or vendors of the Company or Company Subsidiaries or in connection with dividend reinvestment plans.</w:t>
      </w:r>
    </w:p>
    <w:p>
      <w:pPr>
        <w:spacing w:after="0" w:line="226" w:lineRule="exact"/>
        <w:rPr>
          <w:sz w:val="20"/>
          <w:szCs w:val="20"/>
          <w:color w:val="auto"/>
        </w:rPr>
      </w:pPr>
    </w:p>
    <w:p>
      <w:pPr>
        <w:ind w:right="200" w:firstLine="656"/>
        <w:spacing w:after="0" w:line="253" w:lineRule="auto"/>
        <w:tabs>
          <w:tab w:leader="none" w:pos="1122"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Rule 144; Rule 144A</w:t>
      </w:r>
      <w:r>
        <w:rPr>
          <w:rFonts w:ascii="Arial" w:cs="Arial" w:eastAsia="Arial" w:hAnsi="Arial"/>
          <w:sz w:val="22"/>
          <w:szCs w:val="22"/>
          <w:color w:val="auto"/>
        </w:rPr>
        <w:t xml:space="preserve"> . With a view to making available to Treasury and Holders the benefits of certain rules and regulations of the SEC which may permit the sale of the Registrable Securities to the public without registration, the Company agrees to use its reasonable best efforts to:</w:t>
      </w:r>
    </w:p>
    <w:p>
      <w:pPr>
        <w:spacing w:after="0" w:line="198" w:lineRule="exact"/>
        <w:rPr>
          <w:rFonts w:ascii="Arial" w:cs="Arial" w:eastAsia="Arial" w:hAnsi="Arial"/>
          <w:sz w:val="22"/>
          <w:szCs w:val="22"/>
          <w:color w:val="auto"/>
        </w:rPr>
      </w:pPr>
    </w:p>
    <w:p>
      <w:pPr>
        <w:ind w:left="660" w:right="240" w:firstLine="644"/>
        <w:spacing w:after="0" w:line="298" w:lineRule="auto"/>
        <w:tabs>
          <w:tab w:leader="none" w:pos="2214" w:val="left"/>
        </w:tabs>
        <w:numPr>
          <w:ilvl w:val="1"/>
          <w:numId w:val="86"/>
        </w:numPr>
        <w:rPr>
          <w:rFonts w:ascii="Arial" w:cs="Arial" w:eastAsia="Arial" w:hAnsi="Arial"/>
          <w:sz w:val="19"/>
          <w:szCs w:val="19"/>
          <w:color w:val="auto"/>
        </w:rPr>
      </w:pPr>
      <w:r>
        <w:rPr>
          <w:rFonts w:ascii="Arial" w:cs="Arial" w:eastAsia="Arial" w:hAnsi="Arial"/>
          <w:sz w:val="19"/>
          <w:szCs w:val="19"/>
          <w:color w:val="auto"/>
        </w:rPr>
        <w:t>make and keep adequate public information available, as those terms are understood and defined in Rule 144(c)(1) or any similar or analogous rule promulgated under the Securities Act, at all times after the date hereof;</w:t>
      </w:r>
    </w:p>
    <w:p>
      <w:pPr>
        <w:spacing w:after="0" w:line="145" w:lineRule="exact"/>
        <w:rPr>
          <w:rFonts w:ascii="Arial" w:cs="Arial" w:eastAsia="Arial" w:hAnsi="Arial"/>
          <w:sz w:val="19"/>
          <w:szCs w:val="19"/>
          <w:color w:val="auto"/>
        </w:rPr>
      </w:pPr>
    </w:p>
    <w:p>
      <w:pPr>
        <w:ind w:left="660" w:right="20" w:firstLine="644"/>
        <w:spacing w:after="0" w:line="218" w:lineRule="auto"/>
        <w:tabs>
          <w:tab w:leader="none" w:pos="2274" w:val="left"/>
        </w:tabs>
        <w:numPr>
          <w:ilvl w:val="1"/>
          <w:numId w:val="86"/>
        </w:numPr>
        <w:rPr>
          <w:rFonts w:ascii="Arial" w:cs="Arial" w:eastAsia="Arial" w:hAnsi="Arial"/>
          <w:sz w:val="22"/>
          <w:szCs w:val="22"/>
          <w:color w:val="auto"/>
        </w:rPr>
      </w:pPr>
      <w:r>
        <w:rPr>
          <w:rFonts w:ascii="Arial" w:cs="Arial" w:eastAsia="Arial" w:hAnsi="Arial"/>
          <w:sz w:val="22"/>
          <w:szCs w:val="22"/>
          <w:color w:val="auto"/>
        </w:rPr>
        <w:t>(A) file with the SEC, in a timely manner, all reports and other documents required of the Company under the Exchange Act, and (B) if at any time the Company is not required to file such reports, make available, upon the request of any Holder, such information necessary to permit sales pursuant to Rule 144A (including the information required by Rule 144A(d)(4) under the Securities Act);</w:t>
      </w:r>
    </w:p>
    <w:p>
      <w:pPr>
        <w:spacing w:after="0" w:line="201" w:lineRule="exact"/>
        <w:rPr>
          <w:rFonts w:ascii="Arial" w:cs="Arial" w:eastAsia="Arial" w:hAnsi="Arial"/>
          <w:sz w:val="22"/>
          <w:szCs w:val="22"/>
          <w:color w:val="auto"/>
        </w:rPr>
      </w:pPr>
    </w:p>
    <w:p>
      <w:pPr>
        <w:ind w:left="660" w:firstLine="644"/>
        <w:spacing w:after="0" w:line="222" w:lineRule="auto"/>
        <w:tabs>
          <w:tab w:leader="none" w:pos="2334"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so long as Treasury or a Holder owns any Registrable Securities, furnish to Treasury or such Holder forthwith upon request: a written statement by the Company as to its compliance with the reporting requirements of Rule 144 under the Securities Act, and of the Exchange Act; a copy of the most recent annual or quarterly report of the Company; and such other reports and documents as Treasury or Holder may reasonably request in availing itself of any rule or regulation of the SEC allowing it to sell any such securities to the public without registration;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 that the availability of the foregoing reports on the EDGAR filing system of the SEC will be deemed to satisfy the foregoing delivery requirements; and</w:t>
      </w:r>
    </w:p>
    <w:p>
      <w:pPr>
        <w:spacing w:after="0" w:line="204" w:lineRule="exact"/>
        <w:rPr>
          <w:rFonts w:ascii="Arial" w:cs="Arial" w:eastAsia="Arial" w:hAnsi="Arial"/>
          <w:sz w:val="21"/>
          <w:szCs w:val="21"/>
          <w:color w:val="auto"/>
        </w:rPr>
      </w:pPr>
    </w:p>
    <w:p>
      <w:pPr>
        <w:ind w:left="660" w:right="100" w:firstLine="644"/>
        <w:spacing w:after="0" w:line="247" w:lineRule="auto"/>
        <w:tabs>
          <w:tab w:leader="none" w:pos="2322" w:val="left"/>
        </w:tabs>
        <w:numPr>
          <w:ilvl w:val="1"/>
          <w:numId w:val="86"/>
        </w:numPr>
        <w:rPr>
          <w:rFonts w:ascii="Arial" w:cs="Arial" w:eastAsia="Arial" w:hAnsi="Arial"/>
          <w:sz w:val="21"/>
          <w:szCs w:val="21"/>
          <w:color w:val="auto"/>
        </w:rPr>
      </w:pPr>
      <w:r>
        <w:rPr>
          <w:rFonts w:ascii="Arial" w:cs="Arial" w:eastAsia="Arial" w:hAnsi="Arial"/>
          <w:sz w:val="21"/>
          <w:szCs w:val="21"/>
          <w:color w:val="auto"/>
        </w:rPr>
        <w:t>take such further action as any Holder may reasonably request, all to the extent required from time to time to enable such Holder to sell Registrable Securities without registration under the Securities Act.</w:t>
      </w:r>
    </w:p>
    <w:p>
      <w:pPr>
        <w:spacing w:after="0" w:line="218" w:lineRule="exact"/>
        <w:rPr>
          <w:rFonts w:ascii="Arial" w:cs="Arial" w:eastAsia="Arial" w:hAnsi="Arial"/>
          <w:sz w:val="21"/>
          <w:szCs w:val="21"/>
          <w:color w:val="auto"/>
        </w:rPr>
      </w:pPr>
    </w:p>
    <w:p>
      <w:pPr>
        <w:ind w:left="1120" w:hanging="464"/>
        <w:spacing w:after="0"/>
        <w:tabs>
          <w:tab w:leader="none" w:pos="11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As used in this Section 4.5, the following terms shall have the following respective meanings:</w:t>
      </w:r>
    </w:p>
    <w:p>
      <w:pPr>
        <w:spacing w:after="0" w:line="233" w:lineRule="exact"/>
        <w:rPr>
          <w:rFonts w:ascii="Arial" w:cs="Arial" w:eastAsia="Arial" w:hAnsi="Arial"/>
          <w:sz w:val="22"/>
          <w:szCs w:val="22"/>
          <w:color w:val="auto"/>
        </w:rPr>
      </w:pPr>
    </w:p>
    <w:p>
      <w:pPr>
        <w:ind w:left="660" w:right="440" w:firstLine="644"/>
        <w:spacing w:after="0" w:line="298" w:lineRule="auto"/>
        <w:tabs>
          <w:tab w:leader="none" w:pos="2214"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Holder</w:t>
      </w:r>
      <w:r>
        <w:rPr>
          <w:rFonts w:ascii="Arial" w:cs="Arial" w:eastAsia="Arial" w:hAnsi="Arial"/>
          <w:sz w:val="19"/>
          <w:szCs w:val="19"/>
          <w:color w:val="auto"/>
        </w:rPr>
        <w:t xml:space="preserve"> ” means Treasury and any other holder of Registrable Securities to whom the registration rights conferred by this Agreement have been transferred in compliance with Section 4.5(h) hereof.</w:t>
      </w:r>
    </w:p>
    <w:p>
      <w:pPr>
        <w:spacing w:after="0" w:line="145" w:lineRule="exact"/>
        <w:rPr>
          <w:rFonts w:ascii="Arial" w:cs="Arial" w:eastAsia="Arial" w:hAnsi="Arial"/>
          <w:sz w:val="19"/>
          <w:szCs w:val="19"/>
          <w:color w:val="auto"/>
        </w:rPr>
      </w:pPr>
    </w:p>
    <w:p>
      <w:pPr>
        <w:ind w:left="2260" w:hanging="956"/>
        <w:spacing w:after="0"/>
        <w:tabs>
          <w:tab w:leader="none" w:pos="2260"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 “ </w:t>
      </w:r>
      <w:r>
        <w:rPr>
          <w:rFonts w:ascii="Arial" w:cs="Arial" w:eastAsia="Arial" w:hAnsi="Arial"/>
          <w:sz w:val="19"/>
          <w:szCs w:val="19"/>
          <w:u w:val="single" w:color="auto"/>
          <w:color w:val="auto"/>
        </w:rPr>
        <w:t>registered</w:t>
      </w:r>
      <w:r>
        <w:rPr>
          <w:rFonts w:ascii="Arial" w:cs="Arial" w:eastAsia="Arial" w:hAnsi="Arial"/>
          <w:sz w:val="19"/>
          <w:szCs w:val="19"/>
          <w:color w:val="auto"/>
        </w:rPr>
        <w:t xml:space="preserve"> ,” and “ </w:t>
      </w:r>
      <w:r>
        <w:rPr>
          <w:rFonts w:ascii="Arial" w:cs="Arial" w:eastAsia="Arial" w:hAnsi="Arial"/>
          <w:sz w:val="19"/>
          <w:szCs w:val="19"/>
          <w:u w:val="single" w:color="auto"/>
          <w:color w:val="auto"/>
        </w:rPr>
        <w:t>registration</w:t>
      </w:r>
      <w:r>
        <w:rPr>
          <w:rFonts w:ascii="Arial" w:cs="Arial" w:eastAsia="Arial" w:hAnsi="Arial"/>
          <w:sz w:val="19"/>
          <w:szCs w:val="19"/>
          <w:color w:val="auto"/>
        </w:rPr>
        <w:t xml:space="preserve"> ” shall refer to a registration effected by preparing and</w:t>
      </w:r>
    </w:p>
    <w:p>
      <w:pPr>
        <w:spacing w:after="0" w:line="15" w:lineRule="exact"/>
        <w:rPr>
          <w:rFonts w:ascii="Arial" w:cs="Arial" w:eastAsia="Arial" w:hAnsi="Arial"/>
          <w:sz w:val="19"/>
          <w:szCs w:val="19"/>
          <w:color w:val="auto"/>
        </w:rPr>
      </w:pPr>
    </w:p>
    <w:p>
      <w:pPr>
        <w:ind w:left="660" w:right="20"/>
        <w:spacing w:after="0" w:line="258" w:lineRule="auto"/>
        <w:rPr>
          <w:rFonts w:ascii="Arial" w:cs="Arial" w:eastAsia="Arial" w:hAnsi="Arial"/>
          <w:sz w:val="19"/>
          <w:szCs w:val="19"/>
          <w:color w:val="auto"/>
        </w:rPr>
      </w:pPr>
      <w:r>
        <w:rPr>
          <w:rFonts w:ascii="Arial" w:cs="Arial" w:eastAsia="Arial" w:hAnsi="Arial"/>
          <w:sz w:val="19"/>
          <w:szCs w:val="19"/>
          <w:color w:val="auto"/>
        </w:rPr>
        <w:t>(A) filing a registration statement in compliance with the Securities Act and applicable rules and regulations thereunder, and the declaration or ordering of effectiveness of such registration statement or (B) filing a prospectus and/or prospectus supplement in respect of an appropriate effective registration statement on Form S-3.</w:t>
      </w: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5520" w:hanging="130"/>
        <w:spacing w:after="0"/>
        <w:tabs>
          <w:tab w:leader="none" w:pos="5520" w:val="left"/>
        </w:tabs>
        <w:numPr>
          <w:ilvl w:val="2"/>
          <w:numId w:val="86"/>
        </w:numPr>
        <w:rPr>
          <w:rFonts w:ascii="Arial" w:cs="Arial" w:eastAsia="Arial" w:hAnsi="Arial"/>
          <w:sz w:val="22"/>
          <w:szCs w:val="22"/>
          <w:color w:val="auto"/>
        </w:rPr>
      </w:pPr>
      <w:r>
        <w:rPr>
          <w:rFonts w:ascii="Arial" w:cs="Arial" w:eastAsia="Arial" w:hAnsi="Arial"/>
          <w:sz w:val="22"/>
          <w:szCs w:val="22"/>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04" w:right="419" w:bottom="1440" w:gutter="0" w:footer="0" w:header="0"/>
        </w:sectPr>
      </w:pPr>
    </w:p>
    <w:bookmarkStart w:id="115" w:name="page116"/>
    <w:bookmarkEnd w:id="115"/>
    <w:p>
      <w:pPr>
        <w:ind w:left="652" w:right="220" w:firstLine="644"/>
        <w:spacing w:after="0" w:line="241" w:lineRule="auto"/>
        <w:tabs>
          <w:tab w:leader="none" w:pos="2326"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Registrable Securitie</w:t>
      </w:r>
      <w:r>
        <w:rPr>
          <w:rFonts w:ascii="Arial" w:cs="Arial" w:eastAsia="Arial" w:hAnsi="Arial"/>
          <w:sz w:val="19"/>
          <w:szCs w:val="19"/>
          <w:color w:val="auto"/>
        </w:rPr>
        <w:t xml:space="preserve"> </w:t>
      </w:r>
      <w:r>
        <w:rPr>
          <w:rFonts w:ascii="Arial" w:cs="Arial" w:eastAsia="Arial" w:hAnsi="Arial"/>
          <w:sz w:val="19"/>
          <w:szCs w:val="19"/>
          <w:i w:val="1"/>
          <w:iCs w:val="1"/>
          <w:color w:val="auto"/>
        </w:rPr>
        <w:t>s</w:t>
      </w:r>
      <w:r>
        <w:rPr>
          <w:rFonts w:ascii="Arial" w:cs="Arial" w:eastAsia="Arial" w:hAnsi="Arial"/>
          <w:sz w:val="19"/>
          <w:szCs w:val="19"/>
          <w:color w:val="auto"/>
        </w:rPr>
        <w:t xml:space="preserve"> ” means (A) the Warrants (subject to Section 4.5(p)) and (B) any equity securities issued or issuable directly or indirectly with respect to the securities referred to in the foregoing clause (A) by way of conversion, exercise or exchange thereof, including the Warrant Shares, or share dividend or share split or in connection with a combination of shares, recapitalization, reclassification, merger, amalgamation, arrangement, consolidation or other reorganization,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once issued, such securities will not be Registrable Securities when</w:t>
      </w:r>
    </w:p>
    <w:p>
      <w:pPr>
        <w:spacing w:after="0" w:line="1" w:lineRule="exact"/>
        <w:rPr>
          <w:rFonts w:ascii="Arial" w:cs="Arial" w:eastAsia="Arial" w:hAnsi="Arial"/>
          <w:sz w:val="19"/>
          <w:szCs w:val="19"/>
          <w:color w:val="auto"/>
        </w:rPr>
      </w:pPr>
    </w:p>
    <w:p>
      <w:pPr>
        <w:ind w:left="652" w:right="20" w:hanging="4"/>
        <w:spacing w:after="0" w:line="222" w:lineRule="auto"/>
        <w:tabs>
          <w:tab w:leader="none" w:pos="958"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they are sold pursuant to an effective registration statement under the Securities Act, (2) except as provided below in Section 4.5(o), they may be sold pursuant to Rule 144 without limitation thereunder on volume or manner of sale, (3) they shall have ceased to be outstanding or (4) they have been sold in a private transaction in which the transferor’s rights under this Agreement are not assigned to the transferee of the securities. No Registrable Securities may be registered under more than one registration statement at any one time.</w:t>
      </w:r>
    </w:p>
    <w:p>
      <w:pPr>
        <w:spacing w:after="0" w:line="201" w:lineRule="exact"/>
        <w:rPr>
          <w:rFonts w:ascii="Arial" w:cs="Arial" w:eastAsia="Arial" w:hAnsi="Arial"/>
          <w:sz w:val="21"/>
          <w:szCs w:val="21"/>
          <w:color w:val="auto"/>
        </w:rPr>
      </w:pPr>
    </w:p>
    <w:p>
      <w:pPr>
        <w:ind w:left="652" w:firstLine="644"/>
        <w:spacing w:after="0" w:line="247" w:lineRule="auto"/>
        <w:tabs>
          <w:tab w:leader="none" w:pos="2314"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xml:space="preserve"> ” mean all expenses incurred by the Company in effecting any registration pursuant to this Agreement (whether or not any registration or prospectus becomes effective or final) or otherwise complying with its obligations under this Section 4.5, including all registration, filing and listing fees, printing expenses, fees and disbursements of counsel for the Company, blue sky fees and expenses, expenses incurred in connection with any “road show”, the reasonable fees and disbursements of Treasury’s counsel (if Treasury is participating in the registered offering), and expenses of the Company’s independent accountants in connection with any regular or special reviews or audits incident to or required by any such registration, but shall not include Selling Expenses.</w:t>
      </w:r>
    </w:p>
    <w:p>
      <w:pPr>
        <w:spacing w:after="0" w:line="194" w:lineRule="exact"/>
        <w:rPr>
          <w:rFonts w:ascii="Arial" w:cs="Arial" w:eastAsia="Arial" w:hAnsi="Arial"/>
          <w:sz w:val="19"/>
          <w:szCs w:val="19"/>
          <w:color w:val="auto"/>
        </w:rPr>
      </w:pPr>
    </w:p>
    <w:p>
      <w:pPr>
        <w:ind w:left="652" w:right="180" w:firstLine="644"/>
        <w:spacing w:after="0" w:line="298" w:lineRule="auto"/>
        <w:tabs>
          <w:tab w:leader="none" w:pos="2254" w:val="left"/>
        </w:tabs>
        <w:numPr>
          <w:ilvl w:val="1"/>
          <w:numId w:val="88"/>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Rule 144</w:t>
      </w:r>
      <w:r>
        <w:rPr>
          <w:rFonts w:ascii="Arial" w:cs="Arial" w:eastAsia="Arial" w:hAnsi="Arial"/>
          <w:sz w:val="19"/>
          <w:szCs w:val="19"/>
          <w:color w:val="auto"/>
        </w:rPr>
        <w:t xml:space="preserve"> ”, “ </w:t>
      </w:r>
      <w:r>
        <w:rPr>
          <w:rFonts w:ascii="Arial" w:cs="Arial" w:eastAsia="Arial" w:hAnsi="Arial"/>
          <w:sz w:val="19"/>
          <w:szCs w:val="19"/>
          <w:u w:val="single" w:color="auto"/>
          <w:color w:val="auto"/>
        </w:rPr>
        <w:t>Rule 144A</w:t>
      </w:r>
      <w:r>
        <w:rPr>
          <w:rFonts w:ascii="Arial" w:cs="Arial" w:eastAsia="Arial" w:hAnsi="Arial"/>
          <w:sz w:val="19"/>
          <w:szCs w:val="19"/>
          <w:color w:val="auto"/>
        </w:rPr>
        <w:t xml:space="preserve"> ”, “ </w:t>
      </w:r>
      <w:r>
        <w:rPr>
          <w:rFonts w:ascii="Arial" w:cs="Arial" w:eastAsia="Arial" w:hAnsi="Arial"/>
          <w:sz w:val="19"/>
          <w:szCs w:val="19"/>
          <w:u w:val="single" w:color="auto"/>
          <w:color w:val="auto"/>
        </w:rPr>
        <w:t>Rule 159A</w:t>
      </w:r>
      <w:r>
        <w:rPr>
          <w:rFonts w:ascii="Arial" w:cs="Arial" w:eastAsia="Arial" w:hAnsi="Arial"/>
          <w:sz w:val="19"/>
          <w:szCs w:val="19"/>
          <w:color w:val="auto"/>
        </w:rPr>
        <w:t xml:space="preserve"> ”, “ </w:t>
      </w:r>
      <w:r>
        <w:rPr>
          <w:rFonts w:ascii="Arial" w:cs="Arial" w:eastAsia="Arial" w:hAnsi="Arial"/>
          <w:sz w:val="19"/>
          <w:szCs w:val="19"/>
          <w:u w:val="single" w:color="auto"/>
          <w:color w:val="auto"/>
        </w:rPr>
        <w:t>Rule 405</w:t>
      </w:r>
      <w:r>
        <w:rPr>
          <w:rFonts w:ascii="Arial" w:cs="Arial" w:eastAsia="Arial" w:hAnsi="Arial"/>
          <w:sz w:val="19"/>
          <w:szCs w:val="19"/>
          <w:color w:val="auto"/>
        </w:rPr>
        <w:t xml:space="preserve"> ” and “ </w:t>
      </w:r>
      <w:r>
        <w:rPr>
          <w:rFonts w:ascii="Arial" w:cs="Arial" w:eastAsia="Arial" w:hAnsi="Arial"/>
          <w:sz w:val="19"/>
          <w:szCs w:val="19"/>
          <w:u w:val="single" w:color="auto"/>
          <w:color w:val="auto"/>
        </w:rPr>
        <w:t>Rule 415</w:t>
      </w:r>
      <w:r>
        <w:rPr>
          <w:rFonts w:ascii="Arial" w:cs="Arial" w:eastAsia="Arial" w:hAnsi="Arial"/>
          <w:sz w:val="19"/>
          <w:szCs w:val="19"/>
          <w:color w:val="auto"/>
        </w:rPr>
        <w:t xml:space="preserve"> ” mean, in each case, such rule promulgated under the Securities Act (or any successor provision), as the same shall be amended from time to time.</w:t>
      </w:r>
    </w:p>
    <w:p>
      <w:pPr>
        <w:spacing w:after="0" w:line="145" w:lineRule="exact"/>
        <w:rPr>
          <w:rFonts w:ascii="Arial" w:cs="Arial" w:eastAsia="Arial" w:hAnsi="Arial"/>
          <w:sz w:val="19"/>
          <w:szCs w:val="19"/>
          <w:color w:val="auto"/>
        </w:rPr>
      </w:pPr>
    </w:p>
    <w:p>
      <w:pPr>
        <w:jc w:val="both"/>
        <w:ind w:left="652" w:firstLine="644"/>
        <w:spacing w:after="0" w:line="223" w:lineRule="auto"/>
        <w:tabs>
          <w:tab w:leader="none" w:pos="2314" w:val="left"/>
        </w:tabs>
        <w:numPr>
          <w:ilvl w:val="1"/>
          <w:numId w:val="8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Selling Expenses</w:t>
      </w:r>
      <w:r>
        <w:rPr>
          <w:rFonts w:ascii="Arial" w:cs="Arial" w:eastAsia="Arial" w:hAnsi="Arial"/>
          <w:sz w:val="22"/>
          <w:szCs w:val="22"/>
          <w:color w:val="auto"/>
        </w:rPr>
        <w:t xml:space="preserve"> ” mean all discounts, selling commissions and stock transfer taxes applicable to the sale of Registrable Securities and fees and disbursements of counsel for any Holder (other than the fees and disbursements of Treasury’s counsel included in Registration Expenses).</w:t>
      </w:r>
    </w:p>
    <w:p>
      <w:pPr>
        <w:spacing w:after="0" w:line="226" w:lineRule="exact"/>
        <w:rPr>
          <w:sz w:val="20"/>
          <w:szCs w:val="20"/>
          <w:color w:val="auto"/>
        </w:rPr>
      </w:pPr>
    </w:p>
    <w:p>
      <w:pPr>
        <w:ind w:left="-8" w:right="40" w:firstLine="656"/>
        <w:spacing w:after="0" w:line="284" w:lineRule="auto"/>
        <w:tabs>
          <w:tab w:leader="none" w:pos="1048"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At any time, any holder of Securities (including any Holder) may elect to forfeit its rights set forth in this Section 4.5 from that date forward;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that a Holder forfeiting such rights shall nonetheless be entitled to participate under Section 4.5(a)(iv) - (vi) in any Pending Underwritten Offering to the same extent that such Holder would have been entitled to if the holder had not withdrawn;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 that no such forfeiture shall terminate a Holder’s rights or obligations under Section 4.5(f) with respect to any prior registration or Pending Underwritten Offering. “ </w:t>
      </w:r>
      <w:r>
        <w:rPr>
          <w:rFonts w:ascii="Arial" w:cs="Arial" w:eastAsia="Arial" w:hAnsi="Arial"/>
          <w:sz w:val="19"/>
          <w:szCs w:val="19"/>
          <w:i w:val="1"/>
          <w:iCs w:val="1"/>
          <w:color w:val="auto"/>
        </w:rPr>
        <w:t>Pending Underwritten Offering”</w:t>
      </w:r>
      <w:r>
        <w:rPr>
          <w:rFonts w:ascii="Arial" w:cs="Arial" w:eastAsia="Arial" w:hAnsi="Arial"/>
          <w:sz w:val="19"/>
          <w:szCs w:val="19"/>
          <w:color w:val="auto"/>
        </w:rPr>
        <w:t xml:space="preserve"> means </w:t>
      </w:r>
      <w:r>
        <w:rPr>
          <w:rFonts w:ascii="Arial" w:cs="Arial" w:eastAsia="Arial" w:hAnsi="Arial"/>
          <w:sz w:val="19"/>
          <w:szCs w:val="19"/>
          <w:i w:val="1"/>
          <w:iCs w:val="1"/>
          <w:color w:val="auto"/>
        </w:rPr>
        <w:t>,</w:t>
      </w:r>
      <w:r>
        <w:rPr>
          <w:rFonts w:ascii="Arial" w:cs="Arial" w:eastAsia="Arial" w:hAnsi="Arial"/>
          <w:sz w:val="19"/>
          <w:szCs w:val="19"/>
          <w:color w:val="auto"/>
        </w:rPr>
        <w:t xml:space="preserve"> with respect to any Holder forfeiting its rights pursuant to this Section 4.5(l), any underwritten offering of Registrable Securities in which such Holder has advised the Company of its intent to register its Registrable Securities either pursuant to Section 4.5(a)</w:t>
      </w:r>
    </w:p>
    <w:p>
      <w:pPr>
        <w:spacing w:after="0" w:line="3" w:lineRule="exact"/>
        <w:rPr>
          <w:rFonts w:ascii="Arial" w:cs="Arial" w:eastAsia="Arial" w:hAnsi="Arial"/>
          <w:sz w:val="19"/>
          <w:szCs w:val="19"/>
          <w:color w:val="auto"/>
        </w:rPr>
      </w:pPr>
    </w:p>
    <w:p>
      <w:pPr>
        <w:ind w:left="312" w:hanging="312"/>
        <w:spacing w:after="0"/>
        <w:tabs>
          <w:tab w:leader="none" w:pos="312" w:val="left"/>
        </w:tabs>
        <w:numPr>
          <w:ilvl w:val="0"/>
          <w:numId w:val="90"/>
        </w:numPr>
        <w:rPr>
          <w:rFonts w:ascii="Arial" w:cs="Arial" w:eastAsia="Arial" w:hAnsi="Arial"/>
          <w:sz w:val="22"/>
          <w:szCs w:val="22"/>
          <w:color w:val="auto"/>
        </w:rPr>
      </w:pPr>
      <w:r>
        <w:rPr>
          <w:rFonts w:ascii="Arial" w:cs="Arial" w:eastAsia="Arial" w:hAnsi="Arial"/>
          <w:sz w:val="22"/>
          <w:szCs w:val="22"/>
          <w:color w:val="auto"/>
        </w:rPr>
        <w:t>or 4.5(a)(iv) prior to the date of such Holder’s forfeiture.</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ind w:left="5512" w:hanging="130"/>
        <w:spacing w:after="0"/>
        <w:tabs>
          <w:tab w:leader="none" w:pos="5512" w:val="left"/>
        </w:tabs>
        <w:numPr>
          <w:ilvl w:val="2"/>
          <w:numId w:val="90"/>
        </w:numPr>
        <w:rPr>
          <w:rFonts w:ascii="Arial" w:cs="Arial" w:eastAsia="Arial" w:hAnsi="Arial"/>
          <w:sz w:val="22"/>
          <w:szCs w:val="22"/>
          <w:color w:val="auto"/>
        </w:rPr>
      </w:pPr>
      <w:r>
        <w:rPr>
          <w:rFonts w:ascii="Arial" w:cs="Arial" w:eastAsia="Arial" w:hAnsi="Arial"/>
          <w:sz w:val="22"/>
          <w:szCs w:val="22"/>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116" w:name="page117"/>
    <w:bookmarkEnd w:id="116"/>
    <w:p>
      <w:pPr>
        <w:ind w:right="40" w:firstLine="656"/>
        <w:spacing w:after="0" w:line="247" w:lineRule="auto"/>
        <w:tabs>
          <w:tab w:leader="none" w:pos="123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Specific Performance</w:t>
      </w:r>
      <w:r>
        <w:rPr>
          <w:rFonts w:ascii="Arial" w:cs="Arial" w:eastAsia="Arial" w:hAnsi="Arial"/>
          <w:sz w:val="22"/>
          <w:szCs w:val="22"/>
          <w:color w:val="auto"/>
        </w:rPr>
        <w:t xml:space="preserve"> . The parties hereto acknowledge that there would be no adequate remedy at law if the Company fails to perform any of its obligations under this Section 4.5 and that Treasury and the Holders from time to time may be irreparably harmed by any such failure, and accordingly agree that Treasury and such Holders, in addition to any other remedy to which they may be entitled at law or in equity, to the fullest extent permitted and enforceable under applicable law shall be entitled to compel specific performance of the obligations of the Company under this Section 4.5 in accordance with the terms and conditions of this Section 4.5.</w:t>
      </w:r>
    </w:p>
    <w:p>
      <w:pPr>
        <w:spacing w:after="0" w:line="233" w:lineRule="exact"/>
        <w:rPr>
          <w:rFonts w:ascii="Arial" w:cs="Arial" w:eastAsia="Arial" w:hAnsi="Arial"/>
          <w:sz w:val="22"/>
          <w:szCs w:val="22"/>
          <w:color w:val="auto"/>
        </w:rPr>
      </w:pPr>
    </w:p>
    <w:p>
      <w:pPr>
        <w:ind w:firstLine="656"/>
        <w:spacing w:after="0" w:line="287" w:lineRule="auto"/>
        <w:tabs>
          <w:tab w:leader="none" w:pos="117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 Inconsistent Agreements</w:t>
      </w:r>
      <w:r>
        <w:rPr>
          <w:rFonts w:ascii="Arial" w:cs="Arial" w:eastAsia="Arial" w:hAnsi="Arial"/>
          <w:sz w:val="19"/>
          <w:szCs w:val="19"/>
          <w:color w:val="auto"/>
        </w:rPr>
        <w:t xml:space="preserve"> . The Company shall not, on or after the date hereof, enter into any agreement with respect to its securities that may impair the rights granted to Treasury and the Holders under this Section 4.5 or that otherwise conflicts with the provisions hereof in any manner that may impair the rights granted to Treasury and the Holders under this Section 4.5. In the event the Company has, prior to the date hereof, entered into any agreement with respect to its securities that is inconsistent with the rights granted to Treasury and the Holders under this Section 4.5 (including agreements that are inconsistent with the order of priority contemplated by Section 4.5(a)(vi)) or that may otherwise conflict with the provisions hereof, the Company shall use its reasonable best efforts to amend such agreements to ensure they are consistent with the provisions of this Section 4.5. Any transaction entered into by the Company that would reasonably be expected to require the inclusion in a Shelf Registration Statement or any Company Report filed with the SEC of any separate financial statements pursuant to Rule 3-05 of Regulation S-X or pro forma financial statements pursuant to Article 11 of Regulation S-X shall include provisions requiring the Company’s counterparty to provide any information necessary to allow the Company to comply with its obligation hereunder.</w:t>
      </w:r>
    </w:p>
    <w:p>
      <w:pPr>
        <w:spacing w:after="0" w:line="203" w:lineRule="exact"/>
        <w:rPr>
          <w:rFonts w:ascii="Arial" w:cs="Arial" w:eastAsia="Arial" w:hAnsi="Arial"/>
          <w:sz w:val="19"/>
          <w:szCs w:val="19"/>
          <w:color w:val="auto"/>
        </w:rPr>
      </w:pPr>
    </w:p>
    <w:p>
      <w:pPr>
        <w:ind w:right="60" w:firstLine="656"/>
        <w:spacing w:after="0" w:line="292" w:lineRule="auto"/>
        <w:tabs>
          <w:tab w:leader="none" w:pos="117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Certain Offerings by Treasury</w:t>
      </w:r>
      <w:r>
        <w:rPr>
          <w:rFonts w:ascii="Arial" w:cs="Arial" w:eastAsia="Arial" w:hAnsi="Arial"/>
          <w:sz w:val="19"/>
          <w:szCs w:val="19"/>
          <w:color w:val="auto"/>
        </w:rPr>
        <w:t xml:space="preserve"> . In the case of any securities held by Treasury that cease to be Registrable Securities solely by reason of clause (2) in the definition of “Registrable Securities,” the provisions of Sections 4.5(a)(ii), clauses (iv), (ix) and (x)-(xii) of Section 4.5(c), Section 4.5(g) and Section 4.5(i) shall continue to apply until such securities otherwise cease to be Registrable Securities. In any such case, an “underwritten” offering or other disposition shall include any distribution of such securities on behalf of Treasury by one or more broker-dealers, an “underwriting agreement” shall include any purchase agreement entered into by such broker-dealers, and any “registration statement” or “prospectus” shall include any offering document approved by the Company and used in connection with such distribution.</w:t>
      </w:r>
    </w:p>
    <w:p>
      <w:pPr>
        <w:spacing w:after="0" w:line="191" w:lineRule="exact"/>
        <w:rPr>
          <w:rFonts w:ascii="Arial" w:cs="Arial" w:eastAsia="Arial" w:hAnsi="Arial"/>
          <w:sz w:val="19"/>
          <w:szCs w:val="19"/>
          <w:color w:val="auto"/>
        </w:rPr>
      </w:pPr>
    </w:p>
    <w:p>
      <w:pPr>
        <w:ind w:right="320" w:firstLine="656"/>
        <w:spacing w:after="0" w:line="297" w:lineRule="auto"/>
        <w:tabs>
          <w:tab w:leader="none" w:pos="1170"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Registered Sales of the Warrants</w:t>
      </w:r>
      <w:r>
        <w:rPr>
          <w:rFonts w:ascii="Arial" w:cs="Arial" w:eastAsia="Arial" w:hAnsi="Arial"/>
          <w:sz w:val="19"/>
          <w:szCs w:val="19"/>
          <w:color w:val="auto"/>
        </w:rPr>
        <w:t xml:space="preserve"> . The Holders agree to sell the Warrants or any portion thereof under the Shelf Registration Statement only beginning 30 days after notifying the Company of any such sale, during which 30-day period Treasury and all Holders of the Warrants shall take reasonable steps to agree to revisions to the Warrants, at the expense of the Company, to permit a public distribution of the Warrants, including entering into a revised warrant agreement, appointing a warrant agent, and making the securities eligible for book entry clearing and settlement at the Depositary Trust Company.</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Voting of Warrant Shares</w:t>
      </w:r>
      <w:r>
        <w:rPr>
          <w:rFonts w:ascii="Arial" w:cs="Arial" w:eastAsia="Arial" w:hAnsi="Arial"/>
          <w:sz w:val="22"/>
          <w:szCs w:val="22"/>
          <w:color w:val="auto"/>
        </w:rPr>
        <w:t xml:space="preserve"> . Notwithstanding anything in this Agreement to the contrary, Treasury shall not exercise any voting rights with respect to the Warrant Shares.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22"/>
          <w:szCs w:val="22"/>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xml:space="preserve"> . The representations and warranties of the Company made herein or in any certificates delivered in connection with the Initial Closing or any subsequent Closing shall survive such Closing without limitation.</w:t>
      </w:r>
    </w:p>
    <w:p>
      <w:pPr>
        <w:spacing w:after="0" w:line="226"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 No amendment of any provision of this Agreement will be effective unless made in writing and signed by an officer or a duly authorized representative of each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Treasury may unilaterally amend any provision of this Agreement to the extent required to comply with any changes after the date hereof in applicable federal statutes. No failure or delay by any party in exercising any right, power or privilege hereunder shall operate as a waiver thereof nor shall any single or partial exercise thereof preclude any other or further exercise of any other right, power or privilege. The rights and remedies herein provided shall be cumulative of any rights or remedies provided by law.</w:t>
      </w:r>
    </w:p>
    <w:p>
      <w:pPr>
        <w:spacing w:after="0" w:line="19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Waiver of Conditions</w:t>
      </w:r>
      <w:r>
        <w:rPr>
          <w:rFonts w:ascii="Arial" w:cs="Arial" w:eastAsia="Arial" w:hAnsi="Arial"/>
          <w:sz w:val="22"/>
          <w:szCs w:val="22"/>
          <w:color w:val="auto"/>
        </w:rPr>
        <w:t xml:space="preserve"> . No waiver will be effective unless it is in a writing signed by a duly authorized officer of the waiving party that makes express reference to the provision or provisions subject to such waiver.</w:t>
      </w:r>
    </w:p>
    <w:p>
      <w:pPr>
        <w:spacing w:after="0" w:line="209" w:lineRule="exact"/>
        <w:rPr>
          <w:sz w:val="20"/>
          <w:szCs w:val="20"/>
          <w:color w:val="auto"/>
        </w:rPr>
      </w:pPr>
    </w:p>
    <w:p>
      <w:pPr>
        <w:ind w:right="60" w:firstLine="648"/>
        <w:spacing w:after="0" w:line="289"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Governing Law: Submission to Jurisdiction, Etc.</w:t>
      </w:r>
      <w:r>
        <w:rPr>
          <w:rFonts w:ascii="Arial" w:cs="Arial" w:eastAsia="Arial" w:hAnsi="Arial"/>
          <w:sz w:val="19"/>
          <w:szCs w:val="19"/>
          <w:color w:val="auto"/>
        </w:rPr>
        <w:t xml:space="preserve"> </w:t>
      </w:r>
      <w:r>
        <w:rPr>
          <w:rFonts w:ascii="Arial" w:cs="Arial" w:eastAsia="Arial" w:hAnsi="Arial"/>
          <w:sz w:val="19"/>
          <w:szCs w:val="19"/>
          <w:b w:val="1"/>
          <w:bCs w:val="1"/>
          <w:color w:val="auto"/>
        </w:rPr>
        <w:t>This Agreement will be governed by and construed in</w:t>
      </w:r>
      <w:r>
        <w:rPr>
          <w:rFonts w:ascii="Arial" w:cs="Arial" w:eastAsia="Arial" w:hAnsi="Arial"/>
          <w:sz w:val="19"/>
          <w:szCs w:val="19"/>
          <w:color w:val="auto"/>
        </w:rPr>
        <w:t xml:space="preserve"> </w:t>
      </w:r>
      <w:r>
        <w:rPr>
          <w:rFonts w:ascii="Arial" w:cs="Arial" w:eastAsia="Arial" w:hAnsi="Arial"/>
          <w:sz w:val="19"/>
          <w:szCs w:val="19"/>
          <w:b w:val="1"/>
          <w:bCs w:val="1"/>
          <w:color w:val="auto"/>
        </w:rPr>
        <w:t>accordance with the federal law of the United States if and to the extent such law is applicable, and otherwise in accordance with the laws of the State of New York applicable to contracts made and to be performed entirely within such State. Each of the parties hereto agrees (a) to submit to the exclusive jurisdiction and venue of the United States District Court for the District of Columbia and the United States Court of Federal Claims for any and all civil actions, suits or proceedings arising out of or relating to this Agreement or the Warrants or the transactions contemplated hereby or thereby, and (b) that notice may be served upon (i) the Company at the address and in the manner set forth for notices to the Company in Section 5.5 and (ii) Treasury in accordance with federal law. To the extent permitted by applicable law, each of the parties hereto hereby unconditionally waives trial by jury in any civil legal action or proceeding relating to this Agreement or the Warrants or the transactions contemplated hereby or thereby.</w:t>
      </w:r>
    </w:p>
    <w:p>
      <w:pPr>
        <w:spacing w:after="0" w:line="197" w:lineRule="exact"/>
        <w:rPr>
          <w:sz w:val="20"/>
          <w:szCs w:val="20"/>
          <w:color w:val="auto"/>
        </w:rPr>
      </w:pPr>
    </w:p>
    <w:p>
      <w:pPr>
        <w:ind w:right="80" w:firstLine="648"/>
        <w:spacing w:after="0" w:line="294"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to the Company shall be delivered as set forth below, or pursuant to such other instruction as may be designated in writing by the Company to Treasury. All notices to Treasury shall be delivered as set forth below, or pursuant to such other instructions as may be designated in writing by Treasury to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118" w:name="page119"/>
    <w:bookmarkEnd w:id="118"/>
    <w:p>
      <w:pPr>
        <w:ind w:left="1944"/>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American Airlines Group Inc.</w:t>
      </w:r>
    </w:p>
    <w:p>
      <w:pPr>
        <w:spacing w:after="0" w:line="21"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1 Skyview Drive</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Fort Worth, Texas 76155</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Facsimile: ###</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Attention: Thomas T. Weir, Treasurer</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Telephone: ###</w:t>
      </w:r>
    </w:p>
    <w:p>
      <w:pPr>
        <w:spacing w:after="0" w:line="242" w:lineRule="exact"/>
        <w:rPr>
          <w:sz w:val="20"/>
          <w:szCs w:val="20"/>
          <w:color w:val="auto"/>
        </w:rPr>
      </w:pPr>
    </w:p>
    <w:p>
      <w:pPr>
        <w:ind w:left="2344"/>
        <w:spacing w:after="0"/>
        <w:rPr>
          <w:sz w:val="20"/>
          <w:szCs w:val="20"/>
          <w:color w:val="auto"/>
        </w:rPr>
      </w:pPr>
      <w:r>
        <w:rPr>
          <w:rFonts w:ascii="Arial" w:cs="Arial" w:eastAsia="Arial" w:hAnsi="Arial"/>
          <w:sz w:val="22"/>
          <w:szCs w:val="22"/>
          <w:i w:val="1"/>
          <w:iCs w:val="1"/>
          <w:color w:val="auto"/>
        </w:rPr>
        <w:t>With copies to (which shall not constitute notice):</w:t>
      </w:r>
    </w:p>
    <w:p>
      <w:pPr>
        <w:spacing w:after="0" w:line="21"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Latham &amp; Watkins LLP</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Attention: Tony Richmond</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Facsimile: ###</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Email: ###</w:t>
      </w:r>
    </w:p>
    <w:p>
      <w:pPr>
        <w:spacing w:after="0" w:line="200" w:lineRule="exact"/>
        <w:rPr>
          <w:sz w:val="20"/>
          <w:szCs w:val="20"/>
          <w:color w:val="auto"/>
        </w:rPr>
      </w:pPr>
    </w:p>
    <w:p>
      <w:pPr>
        <w:spacing w:after="0" w:line="258" w:lineRule="exact"/>
        <w:rPr>
          <w:sz w:val="20"/>
          <w:szCs w:val="20"/>
          <w:color w:val="auto"/>
        </w:rPr>
      </w:pPr>
    </w:p>
    <w:p>
      <w:pPr>
        <w:ind w:left="1944"/>
        <w:spacing w:after="0"/>
        <w:rPr>
          <w:sz w:val="20"/>
          <w:szCs w:val="20"/>
          <w:color w:val="auto"/>
        </w:rPr>
      </w:pPr>
      <w:r>
        <w:rPr>
          <w:rFonts w:ascii="Arial" w:cs="Arial" w:eastAsia="Arial" w:hAnsi="Arial"/>
          <w:sz w:val="22"/>
          <w:szCs w:val="22"/>
          <w:color w:val="auto"/>
        </w:rPr>
        <w:t>If to Treasury:</w:t>
      </w:r>
    </w:p>
    <w:p>
      <w:pPr>
        <w:spacing w:after="0" w:line="220"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United States Department of the Treasury</w:t>
      </w:r>
    </w:p>
    <w:p>
      <w:pPr>
        <w:spacing w:after="0" w:line="21"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1500 Pennsylvania Avenue, NW, Room 2312</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Washington, D.C. 20220</w:t>
      </w:r>
    </w:p>
    <w:p>
      <w:pPr>
        <w:spacing w:after="0" w:line="4" w:lineRule="exact"/>
        <w:rPr>
          <w:sz w:val="20"/>
          <w:szCs w:val="20"/>
          <w:color w:val="auto"/>
        </w:rPr>
      </w:pPr>
    </w:p>
    <w:p>
      <w:pPr>
        <w:ind w:left="2344"/>
        <w:spacing w:after="0"/>
        <w:rPr>
          <w:sz w:val="20"/>
          <w:szCs w:val="20"/>
          <w:color w:val="auto"/>
        </w:rPr>
      </w:pPr>
      <w:r>
        <w:rPr>
          <w:rFonts w:ascii="Arial" w:cs="Arial" w:eastAsia="Arial" w:hAnsi="Arial"/>
          <w:sz w:val="22"/>
          <w:szCs w:val="22"/>
          <w:color w:val="auto"/>
        </w:rPr>
        <w:t>Attention: Assistant General Counsel (Banking and Finance)</w:t>
      </w:r>
    </w:p>
    <w:p>
      <w:pPr>
        <w:spacing w:after="0" w:line="24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u w:val="single" w:color="auto"/>
          <w:color w:val="auto"/>
        </w:rPr>
        <w:t xml:space="preserve">Definitions </w:t>
      </w:r>
      <w:r>
        <w:rPr>
          <w:rFonts w:ascii="Arial" w:cs="Arial" w:eastAsia="Arial" w:hAnsi="Arial"/>
          <w:sz w:val="19"/>
          <w:szCs w:val="19"/>
          <w:color w:val="auto"/>
        </w:rPr>
        <w:t>.</w:t>
      </w:r>
    </w:p>
    <w:p>
      <w:pPr>
        <w:spacing w:after="0" w:line="260" w:lineRule="exact"/>
        <w:rPr>
          <w:sz w:val="20"/>
          <w:szCs w:val="20"/>
          <w:color w:val="auto"/>
        </w:rPr>
      </w:pPr>
    </w:p>
    <w:p>
      <w:pPr>
        <w:ind w:left="-656" w:right="60" w:firstLine="656"/>
        <w:spacing w:after="0" w:line="302" w:lineRule="auto"/>
        <w:tabs>
          <w:tab w:leader="none" w:pos="444"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The term “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xml:space="preserve"> ”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5" w:lineRule="exact"/>
        <w:rPr>
          <w:rFonts w:ascii="Arial" w:cs="Arial" w:eastAsia="Arial" w:hAnsi="Arial"/>
          <w:sz w:val="19"/>
          <w:szCs w:val="19"/>
          <w:color w:val="auto"/>
        </w:rPr>
      </w:pPr>
    </w:p>
    <w:p>
      <w:pPr>
        <w:ind w:left="944" w:hanging="944"/>
        <w:spacing w:after="0"/>
        <w:tabs>
          <w:tab w:leader="none" w:pos="944"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The term “ </w:t>
      </w:r>
      <w:r>
        <w:rPr>
          <w:rFonts w:ascii="Arial" w:cs="Arial" w:eastAsia="Arial" w:hAnsi="Arial"/>
          <w:sz w:val="22"/>
          <w:szCs w:val="22"/>
          <w:u w:val="single" w:color="auto"/>
          <w:color w:val="auto"/>
        </w:rPr>
        <w:t>Laws</w:t>
      </w:r>
      <w:r>
        <w:rPr>
          <w:rFonts w:ascii="Arial" w:cs="Arial" w:eastAsia="Arial" w:hAnsi="Arial"/>
          <w:sz w:val="22"/>
          <w:szCs w:val="22"/>
          <w:color w:val="auto"/>
        </w:rPr>
        <w:t xml:space="preserve"> ” has the meaning ascribed thereto in the Promissory Note.</w:t>
      </w:r>
    </w:p>
    <w:p>
      <w:pPr>
        <w:spacing w:after="0" w:line="219" w:lineRule="exact"/>
        <w:rPr>
          <w:rFonts w:ascii="Arial" w:cs="Arial" w:eastAsia="Arial" w:hAnsi="Arial"/>
          <w:sz w:val="22"/>
          <w:szCs w:val="22"/>
          <w:color w:val="auto"/>
        </w:rPr>
      </w:pPr>
    </w:p>
    <w:p>
      <w:pPr>
        <w:ind w:left="944" w:hanging="944"/>
        <w:spacing w:after="0"/>
        <w:tabs>
          <w:tab w:leader="none" w:pos="944"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The term “ </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 has the meaning ascribed thereto in the Promissory Note.</w:t>
      </w:r>
    </w:p>
    <w:p>
      <w:pPr>
        <w:spacing w:after="0" w:line="219" w:lineRule="exact"/>
        <w:rPr>
          <w:rFonts w:ascii="Arial" w:cs="Arial" w:eastAsia="Arial" w:hAnsi="Arial"/>
          <w:sz w:val="22"/>
          <w:szCs w:val="22"/>
          <w:color w:val="auto"/>
        </w:rPr>
      </w:pPr>
    </w:p>
    <w:p>
      <w:pPr>
        <w:ind w:left="-656" w:firstLine="656"/>
        <w:spacing w:after="0" w:line="216" w:lineRule="auto"/>
        <w:tabs>
          <w:tab w:leader="none" w:pos="946"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The term “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xml:space="preserve"> ” means (a) a material adverse change in, or a material adverse effect on, the operations, business, properties, liabilities (actual or contingent), condition (financial or otherwise) or prospects of the Company and its Subsidiaries taken as a whole; or (b) a material adverse effect on (i) the ability of the Company to perform its obligations under this Agreement or any Warrant or (ii) the legality, validity, binding effect or enforceability against the Company of this Agreement or any Warrant to which it is a party.</w:t>
      </w:r>
    </w:p>
    <w:p>
      <w:pPr>
        <w:spacing w:after="0" w:line="184" w:lineRule="exact"/>
        <w:rPr>
          <w:rFonts w:ascii="Arial" w:cs="Arial" w:eastAsia="Arial" w:hAnsi="Arial"/>
          <w:sz w:val="22"/>
          <w:szCs w:val="22"/>
          <w:color w:val="auto"/>
        </w:rPr>
      </w:pPr>
    </w:p>
    <w:p>
      <w:pPr>
        <w:ind w:left="4864" w:hanging="130"/>
        <w:spacing w:after="0"/>
        <w:tabs>
          <w:tab w:leader="none" w:pos="4864" w:val="left"/>
        </w:tabs>
        <w:numPr>
          <w:ilvl w:val="1"/>
          <w:numId w:val="92"/>
        </w:numPr>
        <w:rPr>
          <w:rFonts w:ascii="Arial" w:cs="Arial" w:eastAsia="Arial" w:hAnsi="Arial"/>
          <w:sz w:val="22"/>
          <w:szCs w:val="22"/>
          <w:color w:val="auto"/>
        </w:rPr>
      </w:pPr>
      <w:r>
        <w:rPr>
          <w:rFonts w:ascii="Arial" w:cs="Arial" w:eastAsia="Arial" w:hAnsi="Arial"/>
          <w:sz w:val="22"/>
          <w:szCs w:val="22"/>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604" w:right="359" w:bottom="1440" w:gutter="0" w:footer="0" w:header="0"/>
        </w:sectPr>
      </w:pPr>
    </w:p>
    <w:bookmarkStart w:id="119" w:name="page120"/>
    <w:bookmarkEnd w:id="119"/>
    <w:p>
      <w:pPr>
        <w:ind w:left="1600" w:hanging="944"/>
        <w:spacing w:after="0"/>
        <w:tabs>
          <w:tab w:leader="none" w:pos="16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The term “ </w:t>
      </w:r>
      <w:r>
        <w:rPr>
          <w:rFonts w:ascii="Arial" w:cs="Arial" w:eastAsia="Arial" w:hAnsi="Arial"/>
          <w:sz w:val="22"/>
          <w:szCs w:val="22"/>
          <w:u w:val="single" w:color="auto"/>
          <w:color w:val="auto"/>
        </w:rPr>
        <w:t>Organizational Documents</w:t>
      </w:r>
      <w:r>
        <w:rPr>
          <w:rFonts w:ascii="Arial" w:cs="Arial" w:eastAsia="Arial" w:hAnsi="Arial"/>
          <w:sz w:val="22"/>
          <w:szCs w:val="22"/>
          <w:color w:val="auto"/>
        </w:rPr>
        <w:t xml:space="preserve"> ” has the meaning ascribed thereto in the Promissory Note.</w:t>
      </w:r>
    </w:p>
    <w:p>
      <w:pPr>
        <w:spacing w:after="0" w:line="219" w:lineRule="exact"/>
        <w:rPr>
          <w:rFonts w:ascii="Arial" w:cs="Arial" w:eastAsia="Arial" w:hAnsi="Arial"/>
          <w:sz w:val="22"/>
          <w:szCs w:val="22"/>
          <w:color w:val="auto"/>
        </w:rPr>
      </w:pPr>
    </w:p>
    <w:p>
      <w:pPr>
        <w:ind w:left="1580" w:hanging="924"/>
        <w:spacing w:after="0"/>
        <w:tabs>
          <w:tab w:leader="none" w:pos="15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The term “ </w:t>
      </w: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 has the meaning ascribed thereto in the Promissory Note.</w:t>
      </w:r>
    </w:p>
    <w:p>
      <w:pPr>
        <w:spacing w:after="0" w:line="247"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 Neither this Agreement nor any right, remedy, obligation nor liability arising hereunder or by reason hereof shall be assignable by any party hereto without the prior written consent of the other party, and any attempt to assign any right, remedy, obligation or liability hereunder without such consent shall be void, except (a) an assignment, in the case of a Business Combination where such party is not the surviving entity, or a sale of substantially all of its assets, to the entity which is the survivor of such Business Combination or the purchaser in such sale and (b) as provided in Section 4.5.</w:t>
      </w:r>
    </w:p>
    <w:p>
      <w:pPr>
        <w:spacing w:after="0" w:line="187"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 If any provision of this Agreement or the Warrants,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will remain in full force and effect and shall in no way be affected, impaired or invalidated thereby, so long as the economic or legal substance of the transactions contemplated hereby is not affected in any manner materially adverse to any party. Upon such determination, the parties shall negotiate in good faith in an effort to agree upon a suitable and equitable substitute provision to effect the original intent of the parties.</w:t>
      </w:r>
    </w:p>
    <w:p>
      <w:pPr>
        <w:spacing w:after="0" w:line="221" w:lineRule="exact"/>
        <w:rPr>
          <w:sz w:val="20"/>
          <w:szCs w:val="20"/>
          <w:color w:val="auto"/>
        </w:rPr>
      </w:pPr>
    </w:p>
    <w:p>
      <w:pPr>
        <w:ind w:right="340" w:firstLine="648"/>
        <w:spacing w:after="0" w:line="253" w:lineRule="auto"/>
        <w:rPr>
          <w:sz w:val="20"/>
          <w:szCs w:val="20"/>
          <w:color w:val="auto"/>
        </w:rPr>
      </w:pPr>
      <w:r>
        <w:rPr>
          <w:rFonts w:ascii="Arial" w:cs="Arial" w:eastAsia="Arial" w:hAnsi="Arial"/>
          <w:sz w:val="22"/>
          <w:szCs w:val="22"/>
          <w:color w:val="auto"/>
        </w:rPr>
        <w:t xml:space="preserve">5.9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xml:space="preserve"> . Nothing contained in this Agreement, expressed or implied, is intended to confer upon any person or entity other than the Company and Treasury any benefit, right or remedies, except that the provisions of Section 4.5 shall inure to the benefit of the persons referred to in that Section.</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 *</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34" w:right="399" w:bottom="1440" w:gutter="0" w:footer="0" w:header="0"/>
        </w:sectPr>
      </w:pPr>
    </w:p>
    <w:bookmarkStart w:id="120" w:name="page121"/>
    <w:bookmarkEnd w:id="120"/>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UNITED STATES DEPARTMENT OF THE</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TREASURY</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T. Mnuchin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Steven Mnuchin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Secretary</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T. Weir</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Thomas T. Weir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655955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t>Annex B</w:t>
      </w:r>
    </w:p>
    <w:p>
      <w:pPr>
        <w:spacing w:after="0" w:line="220" w:lineRule="exact"/>
        <w:rPr>
          <w:sz w:val="20"/>
          <w:szCs w:val="20"/>
          <w:color w:val="auto"/>
        </w:rPr>
      </w:pPr>
    </w:p>
    <w:p>
      <w:pPr>
        <w:ind w:left="3420"/>
        <w:spacing w:after="0"/>
        <w:rPr>
          <w:sz w:val="20"/>
          <w:szCs w:val="20"/>
          <w:color w:val="auto"/>
        </w:rPr>
      </w:pPr>
      <w:r>
        <w:rPr>
          <w:rFonts w:ascii="Arial" w:cs="Arial" w:eastAsia="Arial" w:hAnsi="Arial"/>
          <w:sz w:val="22"/>
          <w:szCs w:val="22"/>
          <w:b w:val="1"/>
          <w:bCs w:val="1"/>
          <w:u w:val="single" w:color="auto"/>
          <w:color w:val="auto"/>
        </w:rPr>
        <w:t>FORM OF WARRANT</w:t>
      </w:r>
    </w:p>
    <w:p>
      <w:pPr>
        <w:spacing w:after="0" w:line="200" w:lineRule="exact"/>
        <w:rPr>
          <w:sz w:val="20"/>
          <w:szCs w:val="20"/>
          <w:color w:val="auto"/>
        </w:rPr>
      </w:pPr>
    </w:p>
    <w:p>
      <w:pPr>
        <w:spacing w:after="0" w:line="24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341630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11" w:right="3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22"/>
          <w:szCs w:val="22"/>
          <w:b w:val="1"/>
          <w:bCs w:val="1"/>
          <w:color w:val="auto"/>
        </w:rPr>
        <w:t>FORM OF WARRANT TO PURCHASE COMMON STOCK</w:t>
      </w:r>
    </w:p>
    <w:p>
      <w:pPr>
        <w:spacing w:after="0" w:line="226"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AND SUCH LAWS.</w:t>
      </w:r>
    </w:p>
    <w:p>
      <w:pPr>
        <w:spacing w:after="0" w:line="200" w:lineRule="exact"/>
        <w:rPr>
          <w:sz w:val="20"/>
          <w:szCs w:val="20"/>
          <w:color w:val="auto"/>
        </w:rPr>
      </w:pPr>
    </w:p>
    <w:p>
      <w:pPr>
        <w:spacing w:after="0" w:line="202"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WARRANT</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to purchase</w:t>
      </w:r>
    </w:p>
    <w:p>
      <w:pPr>
        <w:spacing w:after="0" w:line="236" w:lineRule="exact"/>
        <w:rPr>
          <w:sz w:val="20"/>
          <w:szCs w:val="20"/>
          <w:color w:val="auto"/>
        </w:rPr>
      </w:pPr>
    </w:p>
    <w:p>
      <w:pPr>
        <w:ind w:left="5960"/>
        <w:spacing w:after="0"/>
        <w:rPr>
          <w:sz w:val="20"/>
          <w:szCs w:val="20"/>
          <w:color w:val="auto"/>
        </w:rPr>
      </w:pPr>
      <w:r>
        <w:rPr>
          <w:rFonts w:ascii="Arial" w:cs="Arial" w:eastAsia="Arial" w:hAnsi="Arial"/>
          <w:sz w:val="22"/>
          <w:szCs w:val="22"/>
          <w:b w:val="1"/>
          <w:bCs w:val="1"/>
          <w:color w:val="auto"/>
        </w:rPr>
        <w:t>Shares of Common Stock</w:t>
      </w:r>
    </w:p>
    <w:p>
      <w:pPr>
        <w:spacing w:after="0" w:line="260"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of American Airlines Group Inc.</w:t>
      </w:r>
    </w:p>
    <w:p>
      <w:pPr>
        <w:spacing w:after="0" w:line="17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Issue Date: __________________</w:t>
      </w:r>
    </w:p>
    <w:p>
      <w:pPr>
        <w:spacing w:after="0" w:line="193" w:lineRule="exact"/>
        <w:rPr>
          <w:sz w:val="20"/>
          <w:szCs w:val="20"/>
          <w:color w:val="auto"/>
        </w:rPr>
      </w:pPr>
    </w:p>
    <w:p>
      <w:pPr>
        <w:ind w:left="660" w:right="80" w:firstLine="644"/>
        <w:spacing w:after="0" w:line="226" w:lineRule="auto"/>
        <w:tabs>
          <w:tab w:leader="none" w:pos="2172"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 Unless the context otherwise requires, when used herein the following terms shall have the meanings indicated.</w:t>
      </w:r>
    </w:p>
    <w:p>
      <w:pPr>
        <w:ind w:left="660"/>
        <w:spacing w:after="0"/>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 means, with respect to any person, any person directly or indirectly controlling, controlled by or under</w:t>
      </w:r>
    </w:p>
    <w:p>
      <w:pPr>
        <w:spacing w:after="0" w:line="15"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 xml:space="preserve">common control with, such other person. For purposes of this definition, “ </w:t>
      </w:r>
      <w:r>
        <w:rPr>
          <w:rFonts w:ascii="Arial" w:cs="Arial" w:eastAsia="Arial" w:hAnsi="Arial"/>
          <w:sz w:val="22"/>
          <w:szCs w:val="22"/>
          <w:u w:val="single" w:color="auto"/>
          <w:color w:val="auto"/>
        </w:rPr>
        <w:t>control</w:t>
      </w:r>
      <w:r>
        <w:rPr>
          <w:rFonts w:ascii="Arial" w:cs="Arial" w:eastAsia="Arial" w:hAnsi="Arial"/>
          <w:sz w:val="22"/>
          <w:szCs w:val="22"/>
          <w:color w:val="auto"/>
        </w:rPr>
        <w:t xml:space="preserve"> ” (including, with correlative meanings, the terms “ </w:t>
      </w:r>
      <w:r>
        <w:rPr>
          <w:rFonts w:ascii="Arial" w:cs="Arial" w:eastAsia="Arial" w:hAnsi="Arial"/>
          <w:sz w:val="22"/>
          <w:szCs w:val="22"/>
          <w:u w:val="single" w:color="auto"/>
          <w:color w:val="auto"/>
        </w:rPr>
        <w:t>controlled by</w:t>
      </w:r>
      <w:r>
        <w:rPr>
          <w:rFonts w:ascii="Arial" w:cs="Arial" w:eastAsia="Arial" w:hAnsi="Arial"/>
          <w:sz w:val="22"/>
          <w:szCs w:val="22"/>
          <w:color w:val="auto"/>
        </w:rPr>
        <w:t xml:space="preserve"> ” and “ </w:t>
      </w:r>
      <w:r>
        <w:rPr>
          <w:rFonts w:ascii="Arial" w:cs="Arial" w:eastAsia="Arial" w:hAnsi="Arial"/>
          <w:sz w:val="22"/>
          <w:szCs w:val="22"/>
          <w:u w:val="single" w:color="auto"/>
          <w:color w:val="auto"/>
        </w:rPr>
        <w:t>under common control with</w:t>
      </w:r>
      <w:r>
        <w:rPr>
          <w:rFonts w:ascii="Arial" w:cs="Arial" w:eastAsia="Arial" w:hAnsi="Arial"/>
          <w:sz w:val="22"/>
          <w:szCs w:val="22"/>
          <w:color w:val="auto"/>
        </w:rPr>
        <w:t xml:space="preserve"> ”) when used with respect to any person, means the possession, directly or indirectly, of the power to cause the direction of management and/or policies of such person, whether through the ownership of voting securities by contract or otherwise.</w:t>
      </w:r>
    </w:p>
    <w:p>
      <w:pPr>
        <w:spacing w:after="0" w:line="195" w:lineRule="exact"/>
        <w:rPr>
          <w:sz w:val="20"/>
          <w:szCs w:val="20"/>
          <w:color w:val="auto"/>
        </w:rPr>
      </w:pPr>
    </w:p>
    <w:p>
      <w:pPr>
        <w:ind w:left="660" w:right="250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Aggregate Net Cash Settlement Amount</w:t>
      </w:r>
      <w:r>
        <w:rPr>
          <w:rFonts w:ascii="Arial" w:cs="Arial" w:eastAsia="Arial" w:hAnsi="Arial"/>
          <w:sz w:val="19"/>
          <w:szCs w:val="19"/>
          <w:color w:val="auto"/>
        </w:rPr>
        <w:t xml:space="preserve"> ” has the meaning ascribed thereto in Section 2(i). “ </w:t>
      </w:r>
      <w:r>
        <w:rPr>
          <w:rFonts w:ascii="Arial" w:cs="Arial" w:eastAsia="Arial" w:hAnsi="Arial"/>
          <w:sz w:val="19"/>
          <w:szCs w:val="19"/>
          <w:i w:val="1"/>
          <w:iCs w:val="1"/>
          <w:color w:val="auto"/>
        </w:rPr>
        <w:t>Aggregate Net Share Settlement Amount</w:t>
      </w:r>
      <w:r>
        <w:rPr>
          <w:rFonts w:ascii="Arial" w:cs="Arial" w:eastAsia="Arial" w:hAnsi="Arial"/>
          <w:sz w:val="19"/>
          <w:szCs w:val="19"/>
          <w:color w:val="auto"/>
        </w:rPr>
        <w:t xml:space="preserve"> ” has the meaning ascribed thereto in Section 2(ii).</w:t>
      </w:r>
    </w:p>
    <w:p>
      <w:pPr>
        <w:ind w:right="20" w:firstLine="648"/>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Appraisal Procedure</w:t>
      </w:r>
      <w:r>
        <w:rPr>
          <w:rFonts w:ascii="Arial" w:cs="Arial" w:eastAsia="Arial" w:hAnsi="Arial"/>
          <w:sz w:val="19"/>
          <w:szCs w:val="19"/>
          <w:color w:val="auto"/>
        </w:rPr>
        <w:t xml:space="preserve"> ” means a procedure whereby two independent appraisers, one chosen by the Company and one by the Original Warrantholder, shall mutually agree upon the determinations then the subject of appraisal. Each party shall deliver a notice to the other appointing its appraiser within 10 days after the Appraisal Procedure is invoked. If within 30 days after appointment of the two appraisers they are unable to agree upon the amount in question, a third independent appraiser shall be chosen within 10 days thereafter by the mutual consent of such first two appraisers. The decision of the third appraiser so appointed and chosen shall be given within 30 days after the selection of such third appraiser. If three appraisers shall be appointed and the determination of one appraiser is disparate from the middle determination by more than twice the amount by which the other determination is disparate from the middle determination, then the determination of such appraiser shall be excluded, the remaining two determinations shall be averaged and such average shall be binding and conclusive upon the Company and the Original Warrantholder; otherwise, the average of all three determinations shall be binding upon the Company and the Original Warrantholder. The costs of conducting any Appraisal Procedure shall be borne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1" w:right="359" w:bottom="1440" w:gutter="0" w:footer="0" w:header="0"/>
        </w:sectPr>
      </w:pPr>
    </w:p>
    <w:bookmarkStart w:id="123" w:name="page124"/>
    <w:bookmarkEnd w:id="123"/>
    <w:p>
      <w:pPr>
        <w:jc w:val="both"/>
        <w:ind w:right="60" w:firstLine="648"/>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Average Market Price</w:t>
      </w:r>
      <w:r>
        <w:rPr>
          <w:rFonts w:ascii="Arial" w:cs="Arial" w:eastAsia="Arial" w:hAnsi="Arial"/>
          <w:sz w:val="19"/>
          <w:szCs w:val="19"/>
          <w:color w:val="auto"/>
        </w:rPr>
        <w:t xml:space="preserve"> ” means, with respect to any security, the arithmetic average of the Market Price of such security for the 15 consecutive trading day period ending on and including the trading day immediately preceding the determination date.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Board of Directors</w:t>
      </w:r>
      <w:r>
        <w:rPr>
          <w:rFonts w:ascii="Arial" w:cs="Arial" w:eastAsia="Arial" w:hAnsi="Arial"/>
          <w:sz w:val="19"/>
          <w:szCs w:val="19"/>
          <w:color w:val="auto"/>
        </w:rPr>
        <w:t xml:space="preserve"> ” means the board of directors of the Company, including any duly authorized committee thereof.</w:t>
      </w:r>
    </w:p>
    <w:p>
      <w:pPr>
        <w:spacing w:after="0" w:line="254"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Business Combination</w:t>
      </w:r>
      <w:r>
        <w:rPr>
          <w:rFonts w:ascii="Arial" w:cs="Arial" w:eastAsia="Arial" w:hAnsi="Arial"/>
          <w:sz w:val="22"/>
          <w:szCs w:val="22"/>
          <w:color w:val="auto"/>
        </w:rPr>
        <w:t xml:space="preserve"> ” means a merger, consolidation, statutory share exchange or similar transaction that requires the approval of the Company’s stockholders.</w:t>
      </w:r>
    </w:p>
    <w:p>
      <w:pPr>
        <w:spacing w:after="0" w:line="174"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Business Day</w:t>
      </w:r>
      <w:r>
        <w:rPr>
          <w:rFonts w:ascii="Arial" w:cs="Arial" w:eastAsia="Arial" w:hAnsi="Arial"/>
          <w:sz w:val="22"/>
          <w:szCs w:val="22"/>
          <w:color w:val="auto"/>
        </w:rPr>
        <w:t xml:space="preserve"> ” means any day except Saturday, Sunday and any day on which banking institutions in the State of New York generally are authorized or required by law or other governmental actions to close;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banks shall be deemed to be generally open for business in the event of a “shelter in place” or similar closure of physical branch locations at the direction of any governmental entity if such banks’ electronic funds transfer system (including wire transfers) are open for use by customers on such day.</w:t>
      </w:r>
    </w:p>
    <w:p>
      <w:pPr>
        <w:spacing w:after="0" w:line="191" w:lineRule="exact"/>
        <w:rPr>
          <w:sz w:val="20"/>
          <w:szCs w:val="20"/>
          <w:color w:val="auto"/>
        </w:rPr>
      </w:pPr>
    </w:p>
    <w:p>
      <w:pPr>
        <w:jc w:val="both"/>
        <w:ind w:right="360"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Capital Stock</w:t>
      </w:r>
      <w:r>
        <w:rPr>
          <w:rFonts w:ascii="Arial" w:cs="Arial" w:eastAsia="Arial" w:hAnsi="Arial"/>
          <w:sz w:val="19"/>
          <w:szCs w:val="19"/>
          <w:color w:val="auto"/>
        </w:rPr>
        <w:t xml:space="preserve"> ” means (A) with respect to any Person that is a corporation or company, any and all shares, interests, participations or other equivalents (however designated) of capital or capital stock of such Person and (B) with respect to any Person that is not a corporation or company, any and all partnership or other equity interests of such Person.</w:t>
      </w:r>
    </w:p>
    <w:p>
      <w:pPr>
        <w:spacing w:after="0" w:line="133"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Charter</w:t>
      </w:r>
      <w:r>
        <w:rPr>
          <w:rFonts w:ascii="Arial" w:cs="Arial" w:eastAsia="Arial" w:hAnsi="Arial"/>
          <w:sz w:val="22"/>
          <w:szCs w:val="22"/>
          <w:color w:val="auto"/>
        </w:rPr>
        <w:t xml:space="preserve"> ” means, with respect to any Person, its certificate or articles of incorporation, articles of association, or similar organizational document.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Common Stock</w:t>
      </w:r>
      <w:r>
        <w:rPr>
          <w:rFonts w:ascii="Arial" w:cs="Arial" w:eastAsia="Arial" w:hAnsi="Arial"/>
          <w:sz w:val="19"/>
          <w:szCs w:val="19"/>
          <w:color w:val="auto"/>
        </w:rPr>
        <w:t xml:space="preserve"> ” means common stock of the Company, par value $0.01 subject to adjustment as provided in Section</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13(E).</w:t>
      </w:r>
    </w:p>
    <w:p>
      <w:pPr>
        <w:spacing w:after="0" w:line="201"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Company</w:t>
      </w:r>
      <w:r>
        <w:rPr>
          <w:rFonts w:ascii="Arial" w:cs="Arial" w:eastAsia="Arial" w:hAnsi="Arial"/>
          <w:sz w:val="22"/>
          <w:szCs w:val="22"/>
          <w:color w:val="auto"/>
        </w:rPr>
        <w:t xml:space="preserve"> ” means the Person whose name, corporate or other organizational form and jurisdiction of organization is set forth in Item 1 of Schedule A hereto.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conversion</w:t>
      </w:r>
      <w:r>
        <w:rPr>
          <w:rFonts w:ascii="Arial" w:cs="Arial" w:eastAsia="Arial" w:hAnsi="Arial"/>
          <w:sz w:val="22"/>
          <w:szCs w:val="22"/>
          <w:color w:val="auto"/>
        </w:rPr>
        <w:t xml:space="preserve"> ” has the meaning set forth in Section 13(B).</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convertible securities</w:t>
      </w:r>
      <w:r>
        <w:rPr>
          <w:rFonts w:ascii="Arial" w:cs="Arial" w:eastAsia="Arial" w:hAnsi="Arial"/>
          <w:sz w:val="22"/>
          <w:szCs w:val="22"/>
          <w:color w:val="auto"/>
        </w:rPr>
        <w:t xml:space="preserve"> ” has the meaning set forth in Section 13(B).</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Depositary</w:t>
      </w:r>
      <w:r>
        <w:rPr>
          <w:rFonts w:ascii="Arial" w:cs="Arial" w:eastAsia="Arial" w:hAnsi="Arial"/>
          <w:sz w:val="22"/>
          <w:szCs w:val="22"/>
          <w:color w:val="auto"/>
        </w:rPr>
        <w:t xml:space="preserve"> ” means The Depositary Trust Company, its nominees and their respective successors.</w:t>
      </w:r>
    </w:p>
    <w:p>
      <w:pPr>
        <w:spacing w:after="0" w:line="219"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Exchange Act</w:t>
      </w:r>
      <w:r>
        <w:rPr>
          <w:rFonts w:ascii="Arial" w:cs="Arial" w:eastAsia="Arial" w:hAnsi="Arial"/>
          <w:sz w:val="22"/>
          <w:szCs w:val="22"/>
          <w:color w:val="auto"/>
        </w:rPr>
        <w:t xml:space="preserve"> ” means the Securities Exchange Act of 1934, as amended, or any successor statute, and the rules and regulations promulgated thereunder.</w:t>
      </w:r>
    </w:p>
    <w:p>
      <w:pPr>
        <w:spacing w:after="0" w:line="174"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Exercise Date</w:t>
      </w:r>
      <w:r>
        <w:rPr>
          <w:rFonts w:ascii="Arial" w:cs="Arial" w:eastAsia="Arial" w:hAnsi="Arial"/>
          <w:sz w:val="22"/>
          <w:szCs w:val="22"/>
          <w:color w:val="auto"/>
        </w:rPr>
        <w:t xml:space="preserve"> ” means each date a Notice of Exercise substantially in the form annexed hereto is delivered to the Company in accordance with Section 2 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Exercise Price</w:t>
      </w:r>
      <w:r>
        <w:rPr>
          <w:rFonts w:ascii="Arial" w:cs="Arial" w:eastAsia="Arial" w:hAnsi="Arial"/>
          <w:sz w:val="19"/>
          <w:szCs w:val="19"/>
          <w:color w:val="auto"/>
        </w:rPr>
        <w:t xml:space="preserve"> ” means the amount set forth in Item 2 of Schedule A hereto, subject to adjustment as contemplated</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Expiration Time</w:t>
      </w:r>
      <w:r>
        <w:rPr>
          <w:rFonts w:ascii="Arial" w:cs="Arial" w:eastAsia="Arial" w:hAnsi="Arial"/>
          <w:sz w:val="22"/>
          <w:szCs w:val="22"/>
          <w:color w:val="auto"/>
        </w:rPr>
        <w:t xml:space="preserve"> ” has the meaning set forth in Section 3.</w:t>
      </w:r>
    </w:p>
    <w:p>
      <w:pPr>
        <w:spacing w:after="0" w:line="219"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Fair Market Value</w:t>
      </w:r>
      <w:r>
        <w:rPr>
          <w:rFonts w:ascii="Arial" w:cs="Arial" w:eastAsia="Arial" w:hAnsi="Arial"/>
          <w:sz w:val="22"/>
          <w:szCs w:val="22"/>
          <w:color w:val="auto"/>
        </w:rPr>
        <w:t xml:space="preserve"> ” means, with respect to any security or other property, the fair market value of such security or other property as determined by the Board of Directors, acting in good faith in reliance on an opinion of a nationally recognized independent investment banking firm retained by the Company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124" w:name="page125"/>
    <w:bookmarkEnd w:id="124"/>
    <w:p>
      <w:pPr>
        <w:ind w:right="160"/>
        <w:spacing w:after="0" w:line="298" w:lineRule="auto"/>
        <w:rPr>
          <w:sz w:val="20"/>
          <w:szCs w:val="20"/>
          <w:color w:val="auto"/>
        </w:rPr>
      </w:pPr>
      <w:r>
        <w:rPr>
          <w:rFonts w:ascii="Arial" w:cs="Arial" w:eastAsia="Arial" w:hAnsi="Arial"/>
          <w:sz w:val="19"/>
          <w:szCs w:val="19"/>
          <w:color w:val="auto"/>
        </w:rPr>
        <w:t xml:space="preserve">this purpose. For so long as the Original Warrantholder holds this Warrant or any portion thereof, it may object in writing to the Board of Director’s calculation of fair market value within 10 days of receipt of written notice thereof. If the Original Warrantholder and the Company are unable to agree on fair market value during the 10-day period following the delivery of the Original Warrantholder’s objection, the Appraisal Procedure may be invoked by either party to determine Fair Market Value by delivering written notification thereof not later than the 30 </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after delivery of the Original Warrantholder’s objection.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Initial Number</w:t>
      </w:r>
      <w:r>
        <w:rPr>
          <w:rFonts w:ascii="Arial" w:cs="Arial" w:eastAsia="Arial" w:hAnsi="Arial"/>
          <w:sz w:val="22"/>
          <w:szCs w:val="22"/>
          <w:color w:val="auto"/>
        </w:rPr>
        <w:t xml:space="preserve"> ” has the meaning set forth in Section 13(B).</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“Issue Date” </w:t>
      </w:r>
      <w:r>
        <w:rPr>
          <w:rFonts w:ascii="Arial" w:cs="Arial" w:eastAsia="Arial" w:hAnsi="Arial"/>
          <w:sz w:val="22"/>
          <w:szCs w:val="22"/>
          <w:color w:val="auto"/>
        </w:rPr>
        <w:t>means the date set forth in Item 3 of Schedule A hereto.</w:t>
      </w:r>
    </w:p>
    <w:p>
      <w:pPr>
        <w:spacing w:after="0" w:line="220"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Market Price</w:t>
      </w:r>
      <w:r>
        <w:rPr>
          <w:rFonts w:ascii="Arial" w:cs="Arial" w:eastAsia="Arial" w:hAnsi="Arial"/>
          <w:sz w:val="19"/>
          <w:szCs w:val="19"/>
          <w:color w:val="auto"/>
        </w:rPr>
        <w:t xml:space="preserve"> ” means, with respect to a particular security, on any given day, the last reported sale price regular way or, in case no such reported sale takes place on such day, the average of the last closing bid and ask prices regular way, in either case on the principal national securities exchange on which the applicable securities are listed or admitted to trading, or if not listed or admitted to trading on any national securities exchange, the average of the closing bid and ask prices as furnished by two members of the Financial Industry Regulatory Authority, Inc. selected from time to time by the Company for that purpose. “Market Price” shall be determined without reference to after hours or extended hours trading. If such security is not listed and traded in a manner that the quotations referred to above are available for the period required hereunder, the Market Price of such security shall be deemed to be (i) in the event that any portion of the Warrant is held by the Original Warrantholder, the fair market value per share of such security as determined in good faith by the Original Warrantholder or (ii) in all other circumstances, the fair market value per share of such security as determined in good faith by the Board of Directors in reliance on an opinion of a nationally recognized independent investment banking corporation retained by the Company for this purpose and certified in a resolution to the Warrantholder.</w:t>
      </w:r>
    </w:p>
    <w:p>
      <w:pPr>
        <w:spacing w:after="0" w:line="200" w:lineRule="exact"/>
        <w:rPr>
          <w:sz w:val="20"/>
          <w:szCs w:val="20"/>
          <w:color w:val="auto"/>
        </w:rPr>
      </w:pPr>
    </w:p>
    <w:p>
      <w:pPr>
        <w:spacing w:after="0" w:line="219" w:lineRule="exact"/>
        <w:rPr>
          <w:sz w:val="20"/>
          <w:szCs w:val="20"/>
          <w:color w:val="auto"/>
        </w:rPr>
      </w:pPr>
    </w:p>
    <w:p>
      <w:pPr>
        <w:ind w:right="40" w:firstLine="648"/>
        <w:spacing w:after="0" w:line="28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Original Warrantholder</w:t>
      </w:r>
      <w:r>
        <w:rPr>
          <w:rFonts w:ascii="Arial" w:cs="Arial" w:eastAsia="Arial" w:hAnsi="Arial"/>
          <w:sz w:val="21"/>
          <w:szCs w:val="21"/>
          <w:color w:val="auto"/>
        </w:rPr>
        <w:t xml:space="preserve"> ” means the United States Department of the Treasury. Any actions specified to be taken by the Original Warrantholder hereunder may only be taken by such Person and not by any other Warrantholder.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Transactions</w:t>
      </w:r>
      <w:r>
        <w:rPr>
          <w:rFonts w:ascii="Arial" w:cs="Arial" w:eastAsia="Arial" w:hAnsi="Arial"/>
          <w:sz w:val="22"/>
          <w:szCs w:val="22"/>
          <w:color w:val="auto"/>
        </w:rPr>
        <w:t xml:space="preserve"> ” has the meaning set forth in Section 13(B).</w:t>
      </w:r>
    </w:p>
    <w:p>
      <w:pPr>
        <w:spacing w:after="0" w:line="219" w:lineRule="exact"/>
        <w:rPr>
          <w:sz w:val="20"/>
          <w:szCs w:val="20"/>
          <w:color w:val="auto"/>
        </w:rPr>
      </w:pPr>
    </w:p>
    <w:p>
      <w:pPr>
        <w:ind w:right="20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 Share Net Cash Settlement Amount</w:t>
      </w:r>
      <w:r>
        <w:rPr>
          <w:rFonts w:ascii="Arial" w:cs="Arial" w:eastAsia="Arial" w:hAnsi="Arial"/>
          <w:sz w:val="22"/>
          <w:szCs w:val="22"/>
          <w:color w:val="auto"/>
        </w:rPr>
        <w:t xml:space="preserve"> ” means the Average Market Price of a share of Common Stock determined as of the relevant Exercise Date less the then applicable Exercise Price.</w:t>
      </w:r>
    </w:p>
    <w:p>
      <w:pPr>
        <w:spacing w:after="0" w:line="174"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 Share Net Share Settlement Amount</w:t>
      </w:r>
      <w:r>
        <w:rPr>
          <w:rFonts w:ascii="Arial" w:cs="Arial" w:eastAsia="Arial" w:hAnsi="Arial"/>
          <w:sz w:val="22"/>
          <w:szCs w:val="22"/>
          <w:color w:val="auto"/>
        </w:rPr>
        <w:t xml:space="preserve"> ” means the quotient of (i) the Average Market Price of a share of Common Stock determined as of the relevant Exercise Date less the then applicable Exercise Price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Average Market Price of a share of Common Stock determined as of the relevant Exercise Date.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Person</w:t>
      </w:r>
      <w:r>
        <w:rPr>
          <w:rFonts w:ascii="Arial" w:cs="Arial" w:eastAsia="Arial" w:hAnsi="Arial"/>
          <w:sz w:val="19"/>
          <w:szCs w:val="19"/>
          <w:color w:val="auto"/>
        </w:rPr>
        <w:t xml:space="preserve"> ” has the meaning given to it in Section 3(a)(9) of the Exchange Act and as used in Sections 13(d)(3) and 14(d)</w:t>
      </w:r>
    </w:p>
    <w:p>
      <w:pPr>
        <w:spacing w:after="0" w:line="55"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of the Exchange Act.</w:t>
      </w:r>
    </w:p>
    <w:p>
      <w:pPr>
        <w:spacing w:after="0" w:line="20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 Share Fair Market Value</w:t>
      </w:r>
      <w:r>
        <w:rPr>
          <w:rFonts w:ascii="Arial" w:cs="Arial" w:eastAsia="Arial" w:hAnsi="Arial"/>
          <w:sz w:val="22"/>
          <w:szCs w:val="22"/>
          <w:color w:val="auto"/>
        </w:rPr>
        <w:t xml:space="preserve"> ” has the meaning set forth in Section 13(C).</w:t>
      </w:r>
    </w:p>
    <w:p>
      <w:pPr>
        <w:spacing w:after="0" w:line="219" w:lineRule="exact"/>
        <w:rPr>
          <w:rFonts w:ascii="Arial" w:cs="Arial" w:eastAsia="Arial" w:hAnsi="Arial"/>
          <w:sz w:val="22"/>
          <w:szCs w:val="22"/>
          <w:color w:val="auto"/>
        </w:rPr>
      </w:pPr>
    </w:p>
    <w:p>
      <w:pPr>
        <w:ind w:right="60" w:firstLine="648"/>
        <w:spacing w:after="0" w:line="297"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Pro Rata Repurchases</w:t>
      </w:r>
      <w:r>
        <w:rPr>
          <w:rFonts w:ascii="Arial" w:cs="Arial" w:eastAsia="Arial" w:hAnsi="Arial"/>
          <w:sz w:val="19"/>
          <w:szCs w:val="19"/>
          <w:color w:val="auto"/>
        </w:rPr>
        <w:t xml:space="preserve"> ” means any purchase of shares of Common Stock by the Company or any Affiliate thereof pursuant to (A) any tender offer or exchange offer subject to Section 13(e) or 14(e) of the Exchange Act or Regulation 14E promulgated thereunder or (B) any other offer available to substantially all holders of Common Stock, in the case of both (A) or (B), whether for cash, shares of Capital Stock of the Company, other securities of the Company, evidences of indebtedness of the Company or any other Person or any other property (including, without limitation, shares of Capital Stock, other securities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125" w:name="page126"/>
    <w:bookmarkEnd w:id="125"/>
    <w:p>
      <w:pPr>
        <w:spacing w:after="0" w:line="250" w:lineRule="auto"/>
        <w:rPr>
          <w:sz w:val="20"/>
          <w:szCs w:val="20"/>
          <w:color w:val="auto"/>
        </w:rPr>
      </w:pPr>
      <w:r>
        <w:rPr>
          <w:rFonts w:ascii="Arial" w:cs="Arial" w:eastAsia="Arial" w:hAnsi="Arial"/>
          <w:sz w:val="22"/>
          <w:szCs w:val="22"/>
          <w:color w:val="auto"/>
        </w:rPr>
        <w:t xml:space="preserve">evidences of indebtedness of a subsidiary), or any combination thereof, effected while this Warrant is outstanding. The “ </w:t>
      </w:r>
      <w:r>
        <w:rPr>
          <w:rFonts w:ascii="Arial" w:cs="Arial" w:eastAsia="Arial" w:hAnsi="Arial"/>
          <w:sz w:val="22"/>
          <w:szCs w:val="22"/>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Date </w:t>
      </w:r>
      <w:r>
        <w:rPr>
          <w:rFonts w:ascii="Arial" w:cs="Arial" w:eastAsia="Arial" w:hAnsi="Arial"/>
          <w:sz w:val="22"/>
          <w:szCs w:val="22"/>
          <w:color w:val="auto"/>
        </w:rPr>
        <w:t>” of a Pro Rata Repurchase shall mean the date of acceptance of shares for purchase or exchange by the Company under any</w:t>
      </w:r>
      <w:r>
        <w:rPr>
          <w:rFonts w:ascii="Arial" w:cs="Arial" w:eastAsia="Arial" w:hAnsi="Arial"/>
          <w:sz w:val="22"/>
          <w:szCs w:val="22"/>
          <w:i w:val="1"/>
          <w:iCs w:val="1"/>
          <w:color w:val="auto"/>
        </w:rPr>
        <w:t xml:space="preserve"> </w:t>
      </w:r>
      <w:r>
        <w:rPr>
          <w:rFonts w:ascii="Arial" w:cs="Arial" w:eastAsia="Arial" w:hAnsi="Arial"/>
          <w:sz w:val="22"/>
          <w:szCs w:val="22"/>
          <w:color w:val="auto"/>
        </w:rPr>
        <w:t>tender or exchange offer which is a Pro Rata Repurchase or the date of purchase with respect to any Pro Rata Repurchase that is not a tender or exchange offer.</w:t>
      </w:r>
    </w:p>
    <w:p>
      <w:pPr>
        <w:spacing w:after="0" w:line="18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Regulatory Approvals</w:t>
      </w:r>
      <w:r>
        <w:rPr>
          <w:rFonts w:ascii="Arial" w:cs="Arial" w:eastAsia="Arial" w:hAnsi="Arial"/>
          <w:sz w:val="19"/>
          <w:szCs w:val="19"/>
          <w:color w:val="auto"/>
        </w:rPr>
        <w:t xml:space="preserve"> ” with respect to the Warrantholder, means, to the extent applicable and required to permit the Warrantholder to exercise this Warrant for shares of Common Stock and to own such Common Stock without the Warrantholder being in violation of applicable law, rule or regulation, the receipt of any necessary approvals and authorizations of, filings and registrations with, notifications to, or expiration or termination of any applicable waiting period under, the Hart-Scott-Rodino Antitrust Improvements Act of 1976, as amended, and the rules and regulations thereunder.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SEC</w:t>
      </w:r>
      <w:r>
        <w:rPr>
          <w:rFonts w:ascii="Arial" w:cs="Arial" w:eastAsia="Arial" w:hAnsi="Arial"/>
          <w:sz w:val="22"/>
          <w:szCs w:val="22"/>
          <w:color w:val="auto"/>
        </w:rPr>
        <w:t xml:space="preserve"> ” means the U.S. Securities and Exchange Commission.</w:t>
      </w:r>
    </w:p>
    <w:p>
      <w:pPr>
        <w:spacing w:after="0" w:line="219"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Securities Act</w:t>
      </w:r>
      <w:r>
        <w:rPr>
          <w:rFonts w:ascii="Arial" w:cs="Arial" w:eastAsia="Arial" w:hAnsi="Arial"/>
          <w:sz w:val="22"/>
          <w:szCs w:val="22"/>
          <w:color w:val="auto"/>
        </w:rPr>
        <w:t xml:space="preserve"> ” means the Securities Act of 1933, as amended, or any successor statute, and the rules and regulations promulgated thereunder.</w:t>
      </w:r>
    </w:p>
    <w:p>
      <w:pPr>
        <w:spacing w:after="0" w:line="175"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i w:val="1"/>
          <w:iCs w:val="1"/>
          <w:color w:val="auto"/>
        </w:rPr>
        <w:t xml:space="preserve">“trading day” </w:t>
      </w:r>
      <w:r>
        <w:rPr>
          <w:rFonts w:ascii="Arial" w:cs="Arial" w:eastAsia="Arial" w:hAnsi="Arial"/>
          <w:sz w:val="19"/>
          <w:szCs w:val="19"/>
          <w:color w:val="auto"/>
        </w:rPr>
        <w:t>means (A) if the shares of Common Stock are not traded on any national or regional securities exchange or</w:t>
      </w:r>
      <w:r>
        <w:rPr>
          <w:rFonts w:ascii="Arial" w:cs="Arial" w:eastAsia="Arial" w:hAnsi="Arial"/>
          <w:sz w:val="19"/>
          <w:szCs w:val="19"/>
          <w:i w:val="1"/>
          <w:iCs w:val="1"/>
          <w:color w:val="auto"/>
        </w:rPr>
        <w:t xml:space="preserve"> </w:t>
      </w:r>
      <w:r>
        <w:rPr>
          <w:rFonts w:ascii="Arial" w:cs="Arial" w:eastAsia="Arial" w:hAnsi="Arial"/>
          <w:sz w:val="19"/>
          <w:szCs w:val="19"/>
          <w:color w:val="auto"/>
        </w:rPr>
        <w:t>association or over-the-counter market, a Business Day or (B) if the shares of Common Stock are traded on any national or regional securities exchange or association or over-the-counter market, a Business Day on which such relevant exchange or quotation system is scheduled to be open for business and on which the shares of Common Stock (i) are not suspended from trading on any national or regional securities exchange or association or over-the-counter market for any period or periods aggregating one half hour or longer; and (ii) have traded at least once on the national or regional securities exchange or association or over-the-counter market that is the primary market for the trading of the shares of Common Stock.</w:t>
      </w:r>
    </w:p>
    <w:p>
      <w:pPr>
        <w:spacing w:after="0" w:line="151" w:lineRule="exact"/>
        <w:rPr>
          <w:sz w:val="20"/>
          <w:szCs w:val="20"/>
          <w:color w:val="auto"/>
        </w:rPr>
      </w:pPr>
    </w:p>
    <w:p>
      <w:pPr>
        <w:ind w:left="660" w:right="386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U.S. GAAP</w:t>
      </w:r>
      <w:r>
        <w:rPr>
          <w:rFonts w:ascii="Arial" w:cs="Arial" w:eastAsia="Arial" w:hAnsi="Arial"/>
          <w:sz w:val="19"/>
          <w:szCs w:val="19"/>
          <w:color w:val="auto"/>
        </w:rPr>
        <w:t xml:space="preserve"> ” means United States generally accepted accounting principles. “ </w:t>
      </w:r>
      <w:r>
        <w:rPr>
          <w:rFonts w:ascii="Arial" w:cs="Arial" w:eastAsia="Arial" w:hAnsi="Arial"/>
          <w:sz w:val="19"/>
          <w:szCs w:val="19"/>
          <w:i w:val="1"/>
          <w:iCs w:val="1"/>
          <w:color w:val="auto"/>
        </w:rPr>
        <w:t>Warrant</w:t>
      </w:r>
      <w:r>
        <w:rPr>
          <w:rFonts w:ascii="Arial" w:cs="Arial" w:eastAsia="Arial" w:hAnsi="Arial"/>
          <w:sz w:val="19"/>
          <w:szCs w:val="19"/>
          <w:color w:val="auto"/>
        </w:rPr>
        <w:t xml:space="preserve"> ” means this Warrant, issued pursuant to the Warrant Agreement.</w:t>
      </w:r>
    </w:p>
    <w:p>
      <w:pPr>
        <w:ind w:right="360" w:firstLine="648"/>
        <w:spacing w:after="0" w:line="28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Warrant Agreement</w:t>
      </w:r>
      <w:r>
        <w:rPr>
          <w:rFonts w:ascii="Arial" w:cs="Arial" w:eastAsia="Arial" w:hAnsi="Arial"/>
          <w:sz w:val="21"/>
          <w:szCs w:val="21"/>
          <w:color w:val="auto"/>
        </w:rPr>
        <w:t xml:space="preserve"> ” means the Warrant Agreement, dated as of the date set forth in Item 4 of Schedule A hereto, as amended from time to time, between the Company and the United States Department of the Treasury.</w:t>
      </w:r>
    </w:p>
    <w:p>
      <w:pPr>
        <w:spacing w:after="0" w:line="151" w:lineRule="exact"/>
        <w:rPr>
          <w:sz w:val="20"/>
          <w:szCs w:val="20"/>
          <w:color w:val="auto"/>
        </w:rPr>
      </w:pPr>
    </w:p>
    <w:p>
      <w:pPr>
        <w:jc w:val="both"/>
        <w:ind w:left="660" w:right="55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Warrantholder</w:t>
      </w:r>
      <w:r>
        <w:rPr>
          <w:rFonts w:ascii="Arial" w:cs="Arial" w:eastAsia="Arial" w:hAnsi="Arial"/>
          <w:sz w:val="19"/>
          <w:szCs w:val="19"/>
          <w:color w:val="auto"/>
        </w:rPr>
        <w:t xml:space="preserve"> ” has the meaning set forth in Section 2. “ </w:t>
      </w:r>
      <w:r>
        <w:rPr>
          <w:rFonts w:ascii="Arial" w:cs="Arial" w:eastAsia="Arial" w:hAnsi="Arial"/>
          <w:sz w:val="19"/>
          <w:szCs w:val="19"/>
          <w:i w:val="1"/>
          <w:iCs w:val="1"/>
          <w:color w:val="auto"/>
        </w:rPr>
        <w:t>Warrant Shares</w:t>
      </w:r>
      <w:r>
        <w:rPr>
          <w:rFonts w:ascii="Arial" w:cs="Arial" w:eastAsia="Arial" w:hAnsi="Arial"/>
          <w:sz w:val="19"/>
          <w:szCs w:val="19"/>
          <w:color w:val="auto"/>
        </w:rPr>
        <w:t xml:space="preserve"> ” has the meaning set forth in Section 2.</w:t>
      </w:r>
    </w:p>
    <w:p>
      <w:pPr>
        <w:ind w:right="60" w:firstLine="656"/>
        <w:spacing w:after="0" w:line="292" w:lineRule="auto"/>
        <w:tabs>
          <w:tab w:leader="none" w:pos="1080"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Number of Warrant Shares; Net Exercise</w:t>
      </w:r>
      <w:r>
        <w:rPr>
          <w:rFonts w:ascii="Arial" w:cs="Arial" w:eastAsia="Arial" w:hAnsi="Arial"/>
          <w:sz w:val="19"/>
          <w:szCs w:val="19"/>
          <w:color w:val="auto"/>
        </w:rPr>
        <w:t xml:space="preserve"> . This certifies that, for value received, the United States Department of the Treasury or its permitted assigns (the “ </w:t>
      </w:r>
      <w:r>
        <w:rPr>
          <w:rFonts w:ascii="Arial" w:cs="Arial" w:eastAsia="Arial" w:hAnsi="Arial"/>
          <w:sz w:val="19"/>
          <w:szCs w:val="19"/>
          <w:i w:val="1"/>
          <w:iCs w:val="1"/>
          <w:color w:val="auto"/>
        </w:rPr>
        <w:t>Warrantholder</w:t>
      </w:r>
      <w:r>
        <w:rPr>
          <w:rFonts w:ascii="Arial" w:cs="Arial" w:eastAsia="Arial" w:hAnsi="Arial"/>
          <w:sz w:val="19"/>
          <w:szCs w:val="19"/>
          <w:color w:val="auto"/>
        </w:rPr>
        <w:t xml:space="preserve"> ”) is entitled, upon the terms and subject to the conditions hereinafter set forth, to acquire from the Company, in whole or in part, after the receipt of all applicable Regulatory Approvals, if any, up to an aggregate of the number of fully paid and nonassessable shares of Common Stock set forth in Item 5 of Schedule A hereto. The number of shares of Common Stock (the “ </w:t>
      </w:r>
      <w:r>
        <w:rPr>
          <w:rFonts w:ascii="Arial" w:cs="Arial" w:eastAsia="Arial" w:hAnsi="Arial"/>
          <w:sz w:val="19"/>
          <w:szCs w:val="19"/>
          <w:i w:val="1"/>
          <w:iCs w:val="1"/>
          <w:color w:val="auto"/>
        </w:rPr>
        <w:t>Warrant Shares</w:t>
      </w:r>
      <w:r>
        <w:rPr>
          <w:rFonts w:ascii="Arial" w:cs="Arial" w:eastAsia="Arial" w:hAnsi="Arial"/>
          <w:sz w:val="19"/>
          <w:szCs w:val="19"/>
          <w:color w:val="auto"/>
        </w:rPr>
        <w:t xml:space="preserve"> ”) issuable upon exercise of this Warrant and the Exercise Price are subject to adjustment as provided herein, and all references to “Common Stock,” “Warrant Shares” and “Exercise Price” herein shall be deemed to include any such adjustment or series of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6" w:name="page127"/>
    <w:bookmarkEnd w:id="126"/>
    <w:p>
      <w:pPr>
        <w:ind w:firstLine="648"/>
        <w:spacing w:after="0" w:line="297" w:lineRule="auto"/>
        <w:rPr>
          <w:sz w:val="20"/>
          <w:szCs w:val="20"/>
          <w:color w:val="auto"/>
        </w:rPr>
      </w:pPr>
      <w:r>
        <w:rPr>
          <w:rFonts w:ascii="Arial" w:cs="Arial" w:eastAsia="Arial" w:hAnsi="Arial"/>
          <w:sz w:val="19"/>
          <w:szCs w:val="19"/>
          <w:color w:val="auto"/>
        </w:rPr>
        <w:t xml:space="preserve">Upon exercise of the Warrant in accordance with Section 3 hereof, the Company shall elect to pay or deliver, as the case may be, to the exercising Warrantholder (a) cash (“ </w:t>
      </w:r>
      <w:r>
        <w:rPr>
          <w:rFonts w:ascii="Arial" w:cs="Arial" w:eastAsia="Arial" w:hAnsi="Arial"/>
          <w:sz w:val="19"/>
          <w:szCs w:val="19"/>
          <w:i w:val="1"/>
          <w:iCs w:val="1"/>
          <w:color w:val="auto"/>
        </w:rPr>
        <w:t>Net Cash Settlement</w:t>
      </w:r>
      <w:r>
        <w:rPr>
          <w:rFonts w:ascii="Arial" w:cs="Arial" w:eastAsia="Arial" w:hAnsi="Arial"/>
          <w:sz w:val="19"/>
          <w:szCs w:val="19"/>
          <w:color w:val="auto"/>
        </w:rPr>
        <w:t xml:space="preserve"> ”) or (b) Warrant Shares together with cash, if applicable, in lieu of delivering any fractional shares in accordance with Section 5 of this Warrant (“ </w:t>
      </w:r>
      <w:r>
        <w:rPr>
          <w:rFonts w:ascii="Arial" w:cs="Arial" w:eastAsia="Arial" w:hAnsi="Arial"/>
          <w:sz w:val="19"/>
          <w:szCs w:val="19"/>
          <w:i w:val="1"/>
          <w:iCs w:val="1"/>
          <w:color w:val="auto"/>
        </w:rPr>
        <w:t>Net Share Settlement</w:t>
      </w:r>
      <w:r>
        <w:rPr>
          <w:rFonts w:ascii="Arial" w:cs="Arial" w:eastAsia="Arial" w:hAnsi="Arial"/>
          <w:sz w:val="19"/>
          <w:szCs w:val="19"/>
          <w:color w:val="auto"/>
        </w:rPr>
        <w:t xml:space="preserve"> ”). The Company will notify the exercising Warrantholder of its election of a settlement method within one Business Day after the relevant Exercise Date and if it fails to deliver a timely notice shall be deemed to have elected Net Share Settlement.</w:t>
      </w:r>
    </w:p>
    <w:p>
      <w:pPr>
        <w:spacing w:after="0" w:line="147" w:lineRule="exact"/>
        <w:rPr>
          <w:sz w:val="20"/>
          <w:szCs w:val="20"/>
          <w:color w:val="auto"/>
        </w:rPr>
      </w:pPr>
    </w:p>
    <w:p>
      <w:pPr>
        <w:ind w:right="20" w:firstLine="1304"/>
        <w:spacing w:after="0" w:line="271" w:lineRule="auto"/>
        <w:tabs>
          <w:tab w:leader="none" w:pos="1770" w:val="left"/>
        </w:tabs>
        <w:numPr>
          <w:ilvl w:val="1"/>
          <w:numId w:val="101"/>
        </w:numPr>
        <w:rPr>
          <w:rFonts w:ascii="Arial" w:cs="Arial" w:eastAsia="Arial" w:hAnsi="Arial"/>
          <w:sz w:val="21"/>
          <w:szCs w:val="21"/>
          <w:color w:val="auto"/>
        </w:rPr>
      </w:pPr>
      <w:r>
        <w:rPr>
          <w:rFonts w:ascii="Arial" w:cs="Arial" w:eastAsia="Arial" w:hAnsi="Arial"/>
          <w:sz w:val="21"/>
          <w:szCs w:val="21"/>
          <w:i w:val="1"/>
          <w:iCs w:val="1"/>
          <w:color w:val="auto"/>
        </w:rPr>
        <w:t xml:space="preserve">Net Cash Settlement. </w:t>
      </w:r>
      <w:r>
        <w:rPr>
          <w:rFonts w:ascii="Arial" w:cs="Arial" w:eastAsia="Arial" w:hAnsi="Arial"/>
          <w:sz w:val="21"/>
          <w:szCs w:val="21"/>
          <w:color w:val="auto"/>
        </w:rPr>
        <w:t>If the Company elects Net Cash Settlement, it shall pay to the Warrantholder cash equal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to the Per Share Net Cash Settlement Amount multiplied by the number of Warrant Shares as to which the Warrant has been exercised as indicated in the Notice of Exercise (the “ </w:t>
      </w:r>
      <w:r>
        <w:rPr>
          <w:rFonts w:ascii="Arial" w:cs="Arial" w:eastAsia="Arial" w:hAnsi="Arial"/>
          <w:sz w:val="21"/>
          <w:szCs w:val="21"/>
          <w:i w:val="1"/>
          <w:iCs w:val="1"/>
          <w:color w:val="auto"/>
        </w:rPr>
        <w:t>Aggregate Net Cash Settlement Amount</w:t>
      </w:r>
      <w:r>
        <w:rPr>
          <w:rFonts w:ascii="Arial" w:cs="Arial" w:eastAsia="Arial" w:hAnsi="Arial"/>
          <w:sz w:val="21"/>
          <w:szCs w:val="21"/>
          <w:color w:val="auto"/>
        </w:rPr>
        <w:t xml:space="preserve"> ”).</w:t>
      </w:r>
    </w:p>
    <w:p>
      <w:pPr>
        <w:spacing w:after="0" w:line="207" w:lineRule="exact"/>
        <w:rPr>
          <w:rFonts w:ascii="Arial" w:cs="Arial" w:eastAsia="Arial" w:hAnsi="Arial"/>
          <w:sz w:val="21"/>
          <w:szCs w:val="21"/>
          <w:color w:val="auto"/>
        </w:rPr>
      </w:pPr>
    </w:p>
    <w:p>
      <w:pPr>
        <w:jc w:val="both"/>
        <w:ind w:right="260" w:firstLine="1304"/>
        <w:spacing w:after="0" w:line="250" w:lineRule="auto"/>
        <w:tabs>
          <w:tab w:leader="none" w:pos="1830" w:val="left"/>
        </w:tabs>
        <w:numPr>
          <w:ilvl w:val="1"/>
          <w:numId w:val="101"/>
        </w:numPr>
        <w:rPr>
          <w:rFonts w:ascii="Arial" w:cs="Arial" w:eastAsia="Arial" w:hAnsi="Arial"/>
          <w:sz w:val="22"/>
          <w:szCs w:val="22"/>
          <w:color w:val="auto"/>
        </w:rPr>
      </w:pPr>
      <w:r>
        <w:rPr>
          <w:rFonts w:ascii="Arial" w:cs="Arial" w:eastAsia="Arial" w:hAnsi="Arial"/>
          <w:sz w:val="22"/>
          <w:szCs w:val="22"/>
          <w:i w:val="1"/>
          <w:iCs w:val="1"/>
          <w:color w:val="auto"/>
        </w:rPr>
        <w:t xml:space="preserve">Net Share Settlement </w:t>
      </w:r>
      <w:r>
        <w:rPr>
          <w:rFonts w:ascii="Arial" w:cs="Arial" w:eastAsia="Arial" w:hAnsi="Arial"/>
          <w:sz w:val="22"/>
          <w:szCs w:val="22"/>
          <w:color w:val="auto"/>
        </w:rPr>
        <w:t>. If the Company elects Net Share Settlement, it shall deliver to the Warrantholder a</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number of shares of Common Stock equal to the Per Share Net Share Settlement Amount multiplied by the number of Warrant Shares as to which the Warrant has been exercised as indicated in the Notice of Exercise (the “ </w:t>
      </w:r>
      <w:r>
        <w:rPr>
          <w:rFonts w:ascii="Arial" w:cs="Arial" w:eastAsia="Arial" w:hAnsi="Arial"/>
          <w:sz w:val="22"/>
          <w:szCs w:val="22"/>
          <w:i w:val="1"/>
          <w:iCs w:val="1"/>
          <w:color w:val="auto"/>
        </w:rPr>
        <w:t>Aggregate Net Share Settlement</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Amount </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right="40" w:firstLine="656"/>
        <w:spacing w:after="0" w:line="221" w:lineRule="auto"/>
        <w:tabs>
          <w:tab w:leader="none" w:pos="1512" w:val="left"/>
        </w:tabs>
        <w:numPr>
          <w:ilvl w:val="0"/>
          <w:numId w:val="102"/>
        </w:numPr>
        <w:rPr>
          <w:rFonts w:ascii="Arial" w:cs="Arial" w:eastAsia="Arial" w:hAnsi="Arial"/>
          <w:sz w:val="21"/>
          <w:szCs w:val="21"/>
          <w:color w:val="auto"/>
        </w:rPr>
      </w:pPr>
      <w:r>
        <w:rPr>
          <w:rFonts w:ascii="Arial" w:cs="Arial" w:eastAsia="Arial" w:hAnsi="Arial"/>
          <w:sz w:val="21"/>
          <w:szCs w:val="21"/>
          <w:u w:val="single" w:color="auto"/>
          <w:color w:val="auto"/>
        </w:rPr>
        <w:t>Term; Method of Exercise</w:t>
      </w:r>
      <w:r>
        <w:rPr>
          <w:rFonts w:ascii="Arial" w:cs="Arial" w:eastAsia="Arial" w:hAnsi="Arial"/>
          <w:sz w:val="21"/>
          <w:szCs w:val="21"/>
          <w:color w:val="auto"/>
        </w:rPr>
        <w:t xml:space="preserve"> . Subject to Section 2, to the extent permitted by applicable laws and regulations, this Warrant is exercisable, in whole or in part by the Warrantholder, at any time or from time to time after the execution and delivery of this Warrant by the Company on the date hereof, but in no event later than 5:00 p.m., New York City time on the fifth anniversary of the Issue Date (the “ </w:t>
      </w:r>
      <w:r>
        <w:rPr>
          <w:rFonts w:ascii="Arial" w:cs="Arial" w:eastAsia="Arial" w:hAnsi="Arial"/>
          <w:sz w:val="21"/>
          <w:szCs w:val="21"/>
          <w:i w:val="1"/>
          <w:iCs w:val="1"/>
          <w:color w:val="auto"/>
        </w:rPr>
        <w:t>Expiration Time</w:t>
      </w:r>
      <w:r>
        <w:rPr>
          <w:rFonts w:ascii="Arial" w:cs="Arial" w:eastAsia="Arial" w:hAnsi="Arial"/>
          <w:sz w:val="21"/>
          <w:szCs w:val="21"/>
          <w:color w:val="auto"/>
        </w:rPr>
        <w:t xml:space="preserve"> ”), by the surrender of this Warrant and delivery of the Notice of Exercise annexed hereto, duly completed and executed on behalf of the Warrantholder, at the principal executive office of the Company located at the address set forth in Item 6 of Schedule A hereto (or such other office or agency of the Company in the United States as it may designate by notice in writing to the Warrantholder at the address of the Warrantholder appearing on the books of the Company).</w:t>
      </w:r>
    </w:p>
    <w:p>
      <w:pPr>
        <w:spacing w:after="0" w:line="233" w:lineRule="exact"/>
        <w:rPr>
          <w:sz w:val="20"/>
          <w:szCs w:val="20"/>
          <w:color w:val="auto"/>
        </w:rPr>
      </w:pPr>
    </w:p>
    <w:p>
      <w:pPr>
        <w:ind w:right="180" w:firstLine="1296"/>
        <w:spacing w:after="0" w:line="292" w:lineRule="auto"/>
        <w:rPr>
          <w:sz w:val="20"/>
          <w:szCs w:val="20"/>
          <w:color w:val="auto"/>
        </w:rPr>
      </w:pPr>
      <w:r>
        <w:rPr>
          <w:rFonts w:ascii="Arial" w:cs="Arial" w:eastAsia="Arial" w:hAnsi="Arial"/>
          <w:sz w:val="19"/>
          <w:szCs w:val="19"/>
          <w:color w:val="auto"/>
        </w:rPr>
        <w:t>If the Warrantholder does not exercise this Warrant in its entirety, the Warrantholder will be entitled to receive from the Company within a reasonable time after the date on which this Warrant has been duly exercised in accordance with the terms of this Warrant, and in any event not exceeding three Business Days after the date thereof, a new warrant in substantially identical form for the purchase of that number of Warrant Shares equal to the difference between the number of Warrant Shares subject to this Warrant and the number of Warrant Shares as to which this Warrant is so exercised. Notwithstanding anything in this Warrant to the contrary, the Warrantholder hereby acknowledges and agrees that its exercise of this Warrant for Warrant Shares is subject to the condition that the Warrantholder will have first received any applicable Regulatory Approvals.</w:t>
      </w:r>
    </w:p>
    <w:p>
      <w:pPr>
        <w:spacing w:after="0" w:line="164" w:lineRule="exact"/>
        <w:rPr>
          <w:sz w:val="20"/>
          <w:szCs w:val="20"/>
          <w:color w:val="auto"/>
        </w:rPr>
      </w:pPr>
    </w:p>
    <w:p>
      <w:pPr>
        <w:ind w:left="1520" w:hanging="864"/>
        <w:spacing w:after="0"/>
        <w:tabs>
          <w:tab w:leader="none" w:pos="1520"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Method of Settlement.</w:t>
      </w:r>
    </w:p>
    <w:p>
      <w:pPr>
        <w:spacing w:after="0" w:line="246" w:lineRule="exact"/>
        <w:rPr>
          <w:rFonts w:ascii="Arial" w:cs="Arial" w:eastAsia="Arial" w:hAnsi="Arial"/>
          <w:sz w:val="22"/>
          <w:szCs w:val="22"/>
          <w:color w:val="auto"/>
        </w:rPr>
      </w:pPr>
    </w:p>
    <w:p>
      <w:pPr>
        <w:ind w:right="80" w:firstLine="1304"/>
        <w:spacing w:after="0" w:line="312" w:lineRule="auto"/>
        <w:tabs>
          <w:tab w:leader="none" w:pos="1770" w:val="left"/>
        </w:tabs>
        <w:numPr>
          <w:ilvl w:val="2"/>
          <w:numId w:val="103"/>
        </w:numPr>
        <w:rPr>
          <w:rFonts w:ascii="Arial" w:cs="Arial" w:eastAsia="Arial" w:hAnsi="Arial"/>
          <w:sz w:val="19"/>
          <w:szCs w:val="19"/>
          <w:color w:val="auto"/>
        </w:rPr>
      </w:pPr>
      <w:r>
        <w:rPr>
          <w:rFonts w:ascii="Arial" w:cs="Arial" w:eastAsia="Arial" w:hAnsi="Arial"/>
          <w:sz w:val="19"/>
          <w:szCs w:val="19"/>
          <w:i w:val="1"/>
          <w:iCs w:val="1"/>
          <w:color w:val="auto"/>
        </w:rPr>
        <w:t xml:space="preserve">Net Cash Settlement </w:t>
      </w:r>
      <w:r>
        <w:rPr>
          <w:rFonts w:ascii="Arial" w:cs="Arial" w:eastAsia="Arial" w:hAnsi="Arial"/>
          <w:sz w:val="19"/>
          <w:szCs w:val="19"/>
          <w:color w:val="auto"/>
        </w:rPr>
        <w:t>. If the Company elects Net Cash Settlement, the Company shall, within a reasonable</w:t>
      </w:r>
      <w:r>
        <w:rPr>
          <w:rFonts w:ascii="Arial" w:cs="Arial" w:eastAsia="Arial" w:hAnsi="Arial"/>
          <w:sz w:val="19"/>
          <w:szCs w:val="19"/>
          <w:i w:val="1"/>
          <w:iCs w:val="1"/>
          <w:color w:val="auto"/>
        </w:rPr>
        <w:t xml:space="preserve"> </w:t>
      </w:r>
      <w:r>
        <w:rPr>
          <w:rFonts w:ascii="Arial" w:cs="Arial" w:eastAsia="Arial" w:hAnsi="Arial"/>
          <w:sz w:val="19"/>
          <w:szCs w:val="19"/>
          <w:color w:val="auto"/>
        </w:rPr>
        <w:t>time, not to exceed five Business Days after the date on which this Warrant has been duly exercised in accordance with the terms of this Warrant, pay to the exercising Warrantholder the Aggregate Net Cash Settlement Amount.</w:t>
      </w:r>
    </w:p>
    <w:p>
      <w:pPr>
        <w:spacing w:after="0" w:line="173" w:lineRule="exact"/>
        <w:rPr>
          <w:rFonts w:ascii="Arial" w:cs="Arial" w:eastAsia="Arial" w:hAnsi="Arial"/>
          <w:sz w:val="19"/>
          <w:szCs w:val="19"/>
          <w:color w:val="auto"/>
        </w:rPr>
      </w:pPr>
    </w:p>
    <w:p>
      <w:pPr>
        <w:ind w:right="220" w:firstLine="1304"/>
        <w:spacing w:after="0" w:line="288" w:lineRule="auto"/>
        <w:tabs>
          <w:tab w:leader="none" w:pos="1830" w:val="left"/>
        </w:tabs>
        <w:numPr>
          <w:ilvl w:val="2"/>
          <w:numId w:val="103"/>
        </w:numPr>
        <w:rPr>
          <w:rFonts w:ascii="Arial" w:cs="Arial" w:eastAsia="Arial" w:hAnsi="Arial"/>
          <w:sz w:val="19"/>
          <w:szCs w:val="19"/>
          <w:color w:val="auto"/>
        </w:rPr>
      </w:pPr>
      <w:r>
        <w:rPr>
          <w:rFonts w:ascii="Arial" w:cs="Arial" w:eastAsia="Arial" w:hAnsi="Arial"/>
          <w:sz w:val="19"/>
          <w:szCs w:val="19"/>
          <w:i w:val="1"/>
          <w:iCs w:val="1"/>
          <w:color w:val="auto"/>
        </w:rPr>
        <w:t xml:space="preserve">Net Share Settlement </w:t>
      </w:r>
      <w:r>
        <w:rPr>
          <w:rFonts w:ascii="Arial" w:cs="Arial" w:eastAsia="Arial" w:hAnsi="Arial"/>
          <w:sz w:val="19"/>
          <w:szCs w:val="19"/>
          <w:color w:val="auto"/>
        </w:rPr>
        <w:t>. If the Company elects Net Share Settlement, shares of Common Stock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Net Share Settlement Amount shall be (x) issued in such name or names as the exercising Warrantholder may designate and (y) delivered by the Company or the Company's transfer agent to such Warrantholder or its nominee or nominees</w:t>
      </w:r>
    </w:p>
    <w:p>
      <w:pPr>
        <w:ind w:right="640" w:firstLine="8"/>
        <w:spacing w:after="0" w:line="246" w:lineRule="auto"/>
        <w:tabs>
          <w:tab w:leader="none" w:pos="258"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the shares are then able to be so delivered, via book-entry transfer crediting the account of such Warrantholder (or the relevant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7" w:name="page128"/>
    <w:bookmarkEnd w:id="127"/>
    <w:p>
      <w:pPr>
        <w:spacing w:after="0" w:line="285" w:lineRule="auto"/>
        <w:rPr>
          <w:sz w:val="20"/>
          <w:szCs w:val="20"/>
          <w:color w:val="auto"/>
        </w:rPr>
      </w:pPr>
      <w:r>
        <w:rPr>
          <w:rFonts w:ascii="Arial" w:cs="Arial" w:eastAsia="Arial" w:hAnsi="Arial"/>
          <w:sz w:val="19"/>
          <w:szCs w:val="19"/>
          <w:color w:val="auto"/>
        </w:rPr>
        <w:t>member for the benefit of such Warrantholder) through the Depositary’s DWAC system (if the Company's transfer agent participates in such system), or (ii) otherwise in certificated form by physical delivery to the address specified by the Warrantholder in the Notice of Exercise, within a reasonable time, not to exceed three Business Days after the date on which this Warrant has been duly exercised in accordance with the terms of this Warrant. The Company hereby represents and warrants that any Warrant Shares issued upon the exercise of this Warrant in accordance with the provisions of Section 3 will be duly and validly authorized and issued, fully paid and nonassessable and free from all taxes, liens and charges (other than liens or charges created by the Warrantholder, income and franchise taxes incurred in connection with the exercise of the Warrant or taxes in respect of any transfer occurring contemporaneously therewith). The Company agrees that the Warrant Shares so issued will be deemed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The Company will at all times reserve and keep available, out of its authorized but unissued Common Stock, solely for the purpose of providing for the exercise of this Warrant, the aggregate number of shares of Common Stock then issuable upon exercise of this Warrant at any time. The Company will (A) procure, at its sole expense, the listing of the Warrant Shares issuable upon exercise of this Warrant at any time, subject to issuance or notice of issuance, on all principal stock exchanges on which the Common Stock is then listed or traded and (B) maintain such listings of such Warrant Shares at all times after issuance. The Company will use reasonable best efforts to ensure that the Warrant Shares may be issued without violation of any applicable law or regulation or of any requirement of any securities exchange on which the Warrant Shares are listed or traded.</w:t>
      </w:r>
    </w:p>
    <w:p>
      <w:pPr>
        <w:spacing w:after="0" w:line="176" w:lineRule="exact"/>
        <w:rPr>
          <w:sz w:val="20"/>
          <w:szCs w:val="20"/>
          <w:color w:val="auto"/>
        </w:rPr>
      </w:pPr>
    </w:p>
    <w:p>
      <w:pPr>
        <w:ind w:right="280" w:firstLine="656"/>
        <w:spacing w:after="0" w:line="216" w:lineRule="auto"/>
        <w:tabs>
          <w:tab w:leader="none" w:pos="151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No Fractional Warrant Shares or Scrip</w:t>
      </w:r>
      <w:r>
        <w:rPr>
          <w:rFonts w:ascii="Arial" w:cs="Arial" w:eastAsia="Arial" w:hAnsi="Arial"/>
          <w:sz w:val="22"/>
          <w:szCs w:val="22"/>
          <w:color w:val="auto"/>
        </w:rPr>
        <w:t xml:space="preserve"> . No fractional Warrant Shares or scrip representing fractional Warrant Shares shall be issued upon any exercise of this Warrant. In lieu of any fractional Share to which the Warrantholder would otherwise be entitled, the Warrantholder shall be entitled to receive a cash payment equal to the Average Market Price of the Common Stock determined as of the Exercise Date multiplied by such fraction of a share, less the pro-rated Exercise Price for such fractional share.</w:t>
      </w:r>
    </w:p>
    <w:p>
      <w:pPr>
        <w:spacing w:after="0" w:line="198" w:lineRule="exact"/>
        <w:rPr>
          <w:rFonts w:ascii="Arial" w:cs="Arial" w:eastAsia="Arial" w:hAnsi="Arial"/>
          <w:sz w:val="22"/>
          <w:szCs w:val="22"/>
          <w:color w:val="auto"/>
        </w:rPr>
      </w:pPr>
    </w:p>
    <w:p>
      <w:pPr>
        <w:ind w:right="140" w:firstLine="656"/>
        <w:spacing w:after="0" w:line="268" w:lineRule="auto"/>
        <w:tabs>
          <w:tab w:leader="none" w:pos="1512"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No Rights as Stockholders; Transfer Books</w:t>
      </w:r>
      <w:r>
        <w:rPr>
          <w:rFonts w:ascii="Arial" w:cs="Arial" w:eastAsia="Arial" w:hAnsi="Arial"/>
          <w:sz w:val="19"/>
          <w:szCs w:val="19"/>
          <w:color w:val="auto"/>
        </w:rPr>
        <w:t xml:space="preserve"> . This Warrant does not entitle the Warrantholder to any voting rights or other rights as a stockholder of the Company prior to the date of exercise hereof. The Company will at no time close its transfer books against transfer of this Warrant in any manner which interferes with the timely exercise of this Warrant.</w:t>
      </w:r>
    </w:p>
    <w:p>
      <w:pPr>
        <w:spacing w:after="0" w:line="172" w:lineRule="exact"/>
        <w:rPr>
          <w:rFonts w:ascii="Arial" w:cs="Arial" w:eastAsia="Arial" w:hAnsi="Arial"/>
          <w:sz w:val="19"/>
          <w:szCs w:val="19"/>
          <w:color w:val="auto"/>
        </w:rPr>
      </w:pPr>
    </w:p>
    <w:p>
      <w:pPr>
        <w:ind w:right="180" w:firstLine="656"/>
        <w:spacing w:after="0" w:line="224" w:lineRule="auto"/>
        <w:tabs>
          <w:tab w:leader="none" w:pos="1512"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Charges, Taxes and Expenses</w:t>
      </w:r>
      <w:r>
        <w:rPr>
          <w:rFonts w:ascii="Arial" w:cs="Arial" w:eastAsia="Arial" w:hAnsi="Arial"/>
          <w:sz w:val="21"/>
          <w:szCs w:val="21"/>
          <w:color w:val="auto"/>
        </w:rPr>
        <w:t xml:space="preserve"> . Issuance of certificates for Warrant Shares to the Warrantholder upon the exercise of this Warrant shall be made without charge to the Warrantholder for any issue or transfer tax or other incidental expense in respect of the issuance of such certificates, all of which taxes and expenses shall be paid by the Company;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 </w:t>
      </w:r>
      <w:r>
        <w:rPr>
          <w:rFonts w:ascii="Arial" w:cs="Arial" w:eastAsia="Arial" w:hAnsi="Arial"/>
          <w:sz w:val="21"/>
          <w:szCs w:val="21"/>
          <w:i w:val="1"/>
          <w:iCs w:val="1"/>
          <w:color w:val="auto"/>
        </w:rPr>
        <w:t xml:space="preserve">however </w:t>
      </w:r>
      <w:r>
        <w:rPr>
          <w:rFonts w:ascii="Arial" w:cs="Arial" w:eastAsia="Arial" w:hAnsi="Arial"/>
          <w:sz w:val="21"/>
          <w:szCs w:val="21"/>
          <w:color w:val="auto"/>
        </w:rPr>
        <w:t>, that the Company shall not be required to pay any tax that may be payable in respect of any transfer involved in the</w:t>
      </w:r>
      <w:r>
        <w:rPr>
          <w:rFonts w:ascii="Arial" w:cs="Arial" w:eastAsia="Arial" w:hAnsi="Arial"/>
          <w:sz w:val="21"/>
          <w:szCs w:val="21"/>
          <w:i w:val="1"/>
          <w:iCs w:val="1"/>
          <w:color w:val="auto"/>
        </w:rPr>
        <w:t xml:space="preserve"> </w:t>
      </w:r>
      <w:r>
        <w:rPr>
          <w:rFonts w:ascii="Arial" w:cs="Arial" w:eastAsia="Arial" w:hAnsi="Arial"/>
          <w:sz w:val="21"/>
          <w:szCs w:val="21"/>
          <w:color w:val="auto"/>
        </w:rPr>
        <w:t>issuance and delivery of any such certificate, or any certificates or other securities in a name other than that of the registered holder of the Warrant surrendered upon exercise of the Warrant.</w:t>
      </w:r>
    </w:p>
    <w:p>
      <w:pPr>
        <w:spacing w:after="0" w:line="200" w:lineRule="exact"/>
        <w:rPr>
          <w:rFonts w:ascii="Arial" w:cs="Arial" w:eastAsia="Arial" w:hAnsi="Arial"/>
          <w:sz w:val="21"/>
          <w:szCs w:val="21"/>
          <w:color w:val="auto"/>
        </w:rPr>
      </w:pPr>
    </w:p>
    <w:p>
      <w:pPr>
        <w:ind w:left="1520" w:hanging="864"/>
        <w:spacing w:after="0"/>
        <w:tabs>
          <w:tab w:leader="none" w:pos="152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Transfer/Assignment</w:t>
      </w:r>
      <w:r>
        <w:rPr>
          <w:rFonts w:ascii="Arial" w:cs="Arial" w:eastAsia="Arial" w:hAnsi="Arial"/>
          <w:sz w:val="22"/>
          <w:szCs w:val="22"/>
          <w:color w:val="auto"/>
        </w:rPr>
        <w:t xml:space="preserve"> .</w:t>
      </w:r>
    </w:p>
    <w:p>
      <w:pPr>
        <w:spacing w:after="0" w:line="220" w:lineRule="exact"/>
        <w:rPr>
          <w:sz w:val="20"/>
          <w:szCs w:val="20"/>
          <w:color w:val="auto"/>
        </w:rPr>
      </w:pPr>
    </w:p>
    <w:p>
      <w:pPr>
        <w:jc w:val="both"/>
        <w:ind w:right="60" w:firstLine="656"/>
        <w:spacing w:after="0" w:line="257" w:lineRule="auto"/>
        <w:tabs>
          <w:tab w:leader="none" w:pos="165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Subject to compliance with clause (B) of this Section 8,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office or agency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28" w:name="page129"/>
    <w:bookmarkEnd w:id="128"/>
    <w:p>
      <w:pPr>
        <w:ind w:right="1040"/>
        <w:spacing w:after="0" w:line="298" w:lineRule="auto"/>
        <w:rPr>
          <w:sz w:val="20"/>
          <w:szCs w:val="20"/>
          <w:color w:val="auto"/>
        </w:rPr>
      </w:pPr>
      <w:r>
        <w:rPr>
          <w:rFonts w:ascii="Arial" w:cs="Arial" w:eastAsia="Arial" w:hAnsi="Arial"/>
          <w:sz w:val="19"/>
          <w:szCs w:val="19"/>
          <w:color w:val="auto"/>
        </w:rPr>
        <w:t>described in Section 3. All expenses (other than stock transfer taxes) and other charges payable in connection with the preparation, execution and delivery of the new warrants pursuant to this Section 8 shall be paid by the Company.</w:t>
      </w:r>
    </w:p>
    <w:p>
      <w:pPr>
        <w:spacing w:after="0" w:line="146" w:lineRule="exact"/>
        <w:rPr>
          <w:sz w:val="20"/>
          <w:szCs w:val="20"/>
          <w:color w:val="auto"/>
        </w:rPr>
      </w:pPr>
    </w:p>
    <w:p>
      <w:pPr>
        <w:ind w:right="260" w:firstLine="656"/>
        <w:spacing w:after="0" w:line="232" w:lineRule="auto"/>
        <w:tabs>
          <w:tab w:leader="none" w:pos="163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and for so long as required by the Warrant Agreement, this Warrant shall contain the legend as set forth in Sections 4.2(a) of the Warrant Agreement.</w:t>
      </w:r>
    </w:p>
    <w:p>
      <w:pPr>
        <w:spacing w:after="0" w:line="199" w:lineRule="exact"/>
        <w:rPr>
          <w:sz w:val="20"/>
          <w:szCs w:val="20"/>
          <w:color w:val="auto"/>
        </w:rPr>
      </w:pPr>
    </w:p>
    <w:p>
      <w:pPr>
        <w:ind w:right="20" w:firstLine="656"/>
        <w:spacing w:after="0" w:line="214" w:lineRule="auto"/>
        <w:tabs>
          <w:tab w:leader="none" w:pos="1512"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Exchange and Registry of Warrant</w:t>
      </w:r>
      <w:r>
        <w:rPr>
          <w:rFonts w:ascii="Arial" w:cs="Arial" w:eastAsia="Arial" w:hAnsi="Arial"/>
          <w:sz w:val="22"/>
          <w:szCs w:val="22"/>
          <w:color w:val="auto"/>
        </w:rPr>
        <w:t xml:space="preserve"> . This Warrant is exchangeable, upon the surrender hereof by the Warrantholder to the Company, for a new warrant or warrants of like tenor and representing the right to purchase the same aggregate number of Warrant Shares. The Company shall maintain a registry showing the name and address of the Warrantholder as the registered holder of this Warrant. This Warrant may be surrendered for exchange or exercise in accordance with its terms, at the office of the Company, and the Company shall be entitled to rely in all respects, prior to written notice to the contrary, upon such registry.</w:t>
      </w:r>
    </w:p>
    <w:p>
      <w:pPr>
        <w:spacing w:after="0" w:line="199" w:lineRule="exact"/>
        <w:rPr>
          <w:rFonts w:ascii="Arial" w:cs="Arial" w:eastAsia="Arial" w:hAnsi="Arial"/>
          <w:sz w:val="22"/>
          <w:szCs w:val="22"/>
          <w:color w:val="auto"/>
        </w:rPr>
      </w:pPr>
    </w:p>
    <w:p>
      <w:pPr>
        <w:ind w:right="40" w:firstLine="656"/>
        <w:spacing w:after="0" w:line="224" w:lineRule="auto"/>
        <w:tabs>
          <w:tab w:leader="none" w:pos="1620"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Loss, Theft, Destruction or Mutilation of Warrant</w:t>
      </w:r>
      <w:r>
        <w:rPr>
          <w:rFonts w:ascii="Arial" w:cs="Arial" w:eastAsia="Arial" w:hAnsi="Arial"/>
          <w:sz w:val="21"/>
          <w:szCs w:val="21"/>
          <w:color w:val="auto"/>
        </w:rPr>
        <w:t xml:space="preserve"> . Upon receipt by the Company of evidence reasonably satisfactory to it of the loss, theft, destruction or mutilation of this Warrant, and in the case of any such loss, theft or destruction, upon receipt of a bond, indemnity or security reasonably satisfactory to the Company, or, in the case of any such mutilation, upon surrender and cancellation of this Warrant, the Company shall make and deliver, in lieu of such lost, stolen, destroyed or mutilated Warrant, a new Warrant of like tenor and representing the right to purchase the same aggregate number of Warrant Shares as provided for in such lost, stolen, destroyed or mutilated Warrant.</w:t>
      </w:r>
    </w:p>
    <w:p>
      <w:pPr>
        <w:spacing w:after="0" w:line="200" w:lineRule="exact"/>
        <w:rPr>
          <w:rFonts w:ascii="Arial" w:cs="Arial" w:eastAsia="Arial" w:hAnsi="Arial"/>
          <w:sz w:val="21"/>
          <w:szCs w:val="21"/>
          <w:color w:val="auto"/>
        </w:rPr>
      </w:pPr>
    </w:p>
    <w:p>
      <w:pPr>
        <w:jc w:val="both"/>
        <w:ind w:right="40" w:firstLine="656"/>
        <w:spacing w:after="0" w:line="223" w:lineRule="auto"/>
        <w:tabs>
          <w:tab w:leader="none" w:pos="1612"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Saturdays, Sundays, Holidays, etc</w:t>
      </w:r>
      <w:r>
        <w:rPr>
          <w:rFonts w:ascii="Arial" w:cs="Arial" w:eastAsia="Arial" w:hAnsi="Arial"/>
          <w:sz w:val="22"/>
          <w:szCs w:val="22"/>
          <w:color w:val="auto"/>
        </w:rPr>
        <w:t xml:space="preserve"> .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99" w:lineRule="exact"/>
        <w:rPr>
          <w:rFonts w:ascii="Arial" w:cs="Arial" w:eastAsia="Arial" w:hAnsi="Arial"/>
          <w:sz w:val="22"/>
          <w:szCs w:val="22"/>
          <w:color w:val="auto"/>
        </w:rPr>
      </w:pPr>
    </w:p>
    <w:p>
      <w:pPr>
        <w:ind w:right="80" w:firstLine="656"/>
        <w:spacing w:after="0" w:line="223" w:lineRule="auto"/>
        <w:tabs>
          <w:tab w:leader="none" w:pos="1620"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 With a view to making available to Warrantholders the benefits of certain rules and regulations of the SEC which may permit the sale of the Warrants and Warrant Shares to the public without registration, the Company agrees to use its reasonable best efforts to:</w:t>
      </w:r>
    </w:p>
    <w:p>
      <w:pPr>
        <w:spacing w:after="0" w:line="199" w:lineRule="exact"/>
        <w:rPr>
          <w:sz w:val="20"/>
          <w:szCs w:val="20"/>
          <w:color w:val="auto"/>
        </w:rPr>
      </w:pPr>
    </w:p>
    <w:p>
      <w:pPr>
        <w:ind w:right="540" w:firstLine="656"/>
        <w:spacing w:after="0" w:line="298" w:lineRule="auto"/>
        <w:tabs>
          <w:tab w:leader="none" w:pos="165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make and keep adequate public information available, as those terms are understood and defined in Rule 144(c) or any similar or analogous rule promulgated under the Securities Act, at all times after the date hereof;</w:t>
      </w:r>
    </w:p>
    <w:p>
      <w:pPr>
        <w:spacing w:after="0" w:line="145" w:lineRule="exact"/>
        <w:rPr>
          <w:rFonts w:ascii="Arial" w:cs="Arial" w:eastAsia="Arial" w:hAnsi="Arial"/>
          <w:sz w:val="19"/>
          <w:szCs w:val="19"/>
          <w:color w:val="auto"/>
        </w:rPr>
      </w:pPr>
    </w:p>
    <w:p>
      <w:pPr>
        <w:ind w:firstLine="656"/>
        <w:spacing w:after="0" w:line="218" w:lineRule="auto"/>
        <w:tabs>
          <w:tab w:leader="none" w:pos="163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(x) file with the SEC, in a timely manner, all reports and other documents required of the Company under the Securities Act and the Exchange Act, and (y) if at any time the Company is not required to file such reports, make available, upon the request of any Warrantholder, such information necessary to permit sales pursuant to Rule 144A (including the information required by Rule 144A(d)(4) under the Securities Act);</w:t>
      </w:r>
    </w:p>
    <w:p>
      <w:pPr>
        <w:spacing w:after="0" w:line="201" w:lineRule="exact"/>
        <w:rPr>
          <w:rFonts w:ascii="Arial" w:cs="Arial" w:eastAsia="Arial" w:hAnsi="Arial"/>
          <w:sz w:val="22"/>
          <w:szCs w:val="22"/>
          <w:color w:val="auto"/>
        </w:rPr>
      </w:pPr>
    </w:p>
    <w:p>
      <w:pPr>
        <w:ind w:right="20" w:firstLine="656"/>
        <w:spacing w:after="0" w:line="257" w:lineRule="auto"/>
        <w:tabs>
          <w:tab w:leader="none" w:pos="163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furnish to any holder of Warrants or Warrant Shares forthwith upon request: a written statement by the Company as to its compliance with the reporting requirements of the Exchange Act and Rule 144(c)(1); a copy of the most recent annual or quarterly report of the Company; and such other reports and documents as the Warrantholder may reasonably request in availing itself of any rule or regulation of the SEC allowing it to sell any such securities to the public without registration;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29" w:name="page130"/>
    <w:bookmarkEnd w:id="129"/>
    <w:p>
      <w:pPr>
        <w:ind w:left="-656" w:right="160" w:firstLine="656"/>
        <w:spacing w:after="0" w:line="298" w:lineRule="auto"/>
        <w:tabs>
          <w:tab w:leader="none" w:pos="99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take such further action as any Warrantholder may reasonably request, all to the extent required from time to time to enable such Warantholder to sell Warrants or Warrant Shares without registration under the Securities Act.</w:t>
      </w:r>
    </w:p>
    <w:p>
      <w:pPr>
        <w:spacing w:after="0" w:line="173" w:lineRule="exact"/>
        <w:rPr>
          <w:sz w:val="20"/>
          <w:szCs w:val="20"/>
          <w:color w:val="auto"/>
        </w:rPr>
      </w:pPr>
    </w:p>
    <w:p>
      <w:pPr>
        <w:jc w:val="both"/>
        <w:ind w:left="-656" w:right="20" w:firstLine="656"/>
        <w:spacing w:after="0" w:line="302" w:lineRule="auto"/>
        <w:tabs>
          <w:tab w:leader="none" w:pos="532"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Adjustments and Other Rights</w:t>
      </w:r>
      <w:r>
        <w:rPr>
          <w:rFonts w:ascii="Arial" w:cs="Arial" w:eastAsia="Arial" w:hAnsi="Arial"/>
          <w:sz w:val="19"/>
          <w:szCs w:val="19"/>
          <w:color w:val="auto"/>
        </w:rPr>
        <w:t xml:space="preserve"> . The Exercise Price and the number of Warrant Shares issuable upon exercise of the Warrant shall be subject to adjustment from time to time as follows;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 that if more than one subsection of this Section 13 is applicable to a single event, the subsection shall be applied that produces the largest adjustment and no single event shall cause an adjustment under more than one subsection of this Section 13 so as to result in duplication:</w:t>
      </w:r>
    </w:p>
    <w:p>
      <w:pPr>
        <w:spacing w:after="0" w:line="156" w:lineRule="exact"/>
        <w:rPr>
          <w:sz w:val="20"/>
          <w:szCs w:val="20"/>
          <w:color w:val="auto"/>
        </w:rPr>
      </w:pPr>
    </w:p>
    <w:p>
      <w:pPr>
        <w:ind w:left="-656" w:firstLine="656"/>
        <w:spacing w:after="0" w:line="242" w:lineRule="auto"/>
        <w:tabs>
          <w:tab w:leader="none" w:pos="994"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Stock Splits, Subdivisions, Reclassifications or Combinations</w:t>
      </w:r>
      <w:r>
        <w:rPr>
          <w:rFonts w:ascii="Arial" w:cs="Arial" w:eastAsia="Arial" w:hAnsi="Arial"/>
          <w:sz w:val="19"/>
          <w:szCs w:val="19"/>
          <w:color w:val="auto"/>
        </w:rPr>
        <w:t xml:space="preserve"> . If the Company shall (i) declare and pay a dividend or make a distribution on its Common Stock in shares of Common Stock, (ii) subdivide or reclassify the outstanding shares of Common Stock into a greater number of shares, or (iii) combine or reclassify the outstanding shares of Common Stock into a smaller number of shares, the number of Warrant Shares issuable upon exercise of this Warrant at the time of the record date for such dividend or distribution or the effective date of such subdivision, combination or reclassification shall be proportionately adjusted so that the Warrantholder after such date shall be entitled to acquire the number of shares of Common Stock which such holder would have owned or been entitled to receive in respect of the shares of Common Stock subject to this Warrant after such date had this Warrant been exercised immediately prior to such date. In such event, the Exercise Price in effect at the time of the record date for such dividend or distribution or the effective date of such subdivision, combination or reclassification shall be adjusted to the number obtained by dividing (x) the product of (1) the number of Warrant Shares issuable upon the exercise of this Warrant before such adjustment and (2) the Exercise Price in effect immediately prior to the record or effective date, as the case may be, for the dividend, distribution, subdivision, combination or reclassification giving rise to this adjustment by (y) the new number of Warrant Shares issuable upon exercise of the Warrant determined pursuant to the immediately preceding sentence.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56" w:firstLine="656"/>
        <w:spacing w:after="0" w:line="224" w:lineRule="auto"/>
        <w:tabs>
          <w:tab w:leader="none" w:pos="982" w:val="left"/>
        </w:tabs>
        <w:numPr>
          <w:ilvl w:val="0"/>
          <w:numId w:val="112"/>
        </w:numPr>
        <w:rPr>
          <w:rFonts w:ascii="Arial" w:cs="Arial" w:eastAsia="Arial" w:hAnsi="Arial"/>
          <w:sz w:val="21"/>
          <w:szCs w:val="21"/>
          <w:color w:val="auto"/>
        </w:rPr>
      </w:pPr>
      <w:r>
        <w:rPr>
          <w:rFonts w:ascii="Arial" w:cs="Arial" w:eastAsia="Arial" w:hAnsi="Arial"/>
          <w:sz w:val="21"/>
          <w:szCs w:val="21"/>
          <w:u w:val="single" w:color="auto"/>
          <w:color w:val="auto"/>
        </w:rPr>
        <w:t>Certain Issuances of Common Stock or Convertible Securities</w:t>
      </w:r>
      <w:r>
        <w:rPr>
          <w:rFonts w:ascii="Arial" w:cs="Arial" w:eastAsia="Arial" w:hAnsi="Arial"/>
          <w:sz w:val="21"/>
          <w:szCs w:val="21"/>
          <w:color w:val="auto"/>
        </w:rPr>
        <w:t xml:space="preserve"> . If the Company shall issue shares of Common Stock (or rights or warrants or other securities exercisable or convertible into or exchangeable (collectively, a “ </w:t>
      </w:r>
      <w:r>
        <w:rPr>
          <w:rFonts w:ascii="Arial" w:cs="Arial" w:eastAsia="Arial" w:hAnsi="Arial"/>
          <w:sz w:val="21"/>
          <w:szCs w:val="21"/>
          <w:i w:val="1"/>
          <w:iCs w:val="1"/>
          <w:color w:val="auto"/>
        </w:rPr>
        <w:t>conversion</w:t>
      </w:r>
      <w:r>
        <w:rPr>
          <w:rFonts w:ascii="Arial" w:cs="Arial" w:eastAsia="Arial" w:hAnsi="Arial"/>
          <w:sz w:val="21"/>
          <w:szCs w:val="21"/>
          <w:color w:val="auto"/>
        </w:rPr>
        <w:t xml:space="preserve"> ”) for shares of Common Stock) (collectively, “ </w:t>
      </w:r>
      <w:r>
        <w:rPr>
          <w:rFonts w:ascii="Arial" w:cs="Arial" w:eastAsia="Arial" w:hAnsi="Arial"/>
          <w:sz w:val="21"/>
          <w:szCs w:val="21"/>
          <w:i w:val="1"/>
          <w:iCs w:val="1"/>
          <w:color w:val="auto"/>
        </w:rPr>
        <w:t>convertible securities</w:t>
      </w:r>
      <w:r>
        <w:rPr>
          <w:rFonts w:ascii="Arial" w:cs="Arial" w:eastAsia="Arial" w:hAnsi="Arial"/>
          <w:sz w:val="21"/>
          <w:szCs w:val="21"/>
          <w:color w:val="auto"/>
        </w:rPr>
        <w:t xml:space="preserve"> ”) (other than in Permitted Transactions (as defined below) or a transaction to which subsection (A) of this Section 13 is applicable) without consideration or at a consideration per share (or having a conversion price per share) that is less than 90% of the Average Market Price determined as of the date of the agreement on pricing such shares (or such convertible securities) then, in such event:</w:t>
      </w:r>
    </w:p>
    <w:p>
      <w:pPr>
        <w:spacing w:after="0" w:line="200" w:lineRule="exact"/>
        <w:rPr>
          <w:rFonts w:ascii="Arial" w:cs="Arial" w:eastAsia="Arial" w:hAnsi="Arial"/>
          <w:sz w:val="21"/>
          <w:szCs w:val="21"/>
          <w:color w:val="auto"/>
        </w:rPr>
      </w:pPr>
    </w:p>
    <w:p>
      <w:pPr>
        <w:ind w:left="644" w:firstLine="4"/>
        <w:spacing w:after="0" w:line="244" w:lineRule="auto"/>
        <w:tabs>
          <w:tab w:leader="none" w:pos="164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the number of Warrant Shares issuable upon the exercise of this Warrant immediately prior to the date of the agreement on pricing of such shares (or of such convertible securities) (the “ </w:t>
      </w:r>
      <w:r>
        <w:rPr>
          <w:rFonts w:ascii="Arial" w:cs="Arial" w:eastAsia="Arial" w:hAnsi="Arial"/>
          <w:sz w:val="19"/>
          <w:szCs w:val="19"/>
          <w:i w:val="1"/>
          <w:iCs w:val="1"/>
          <w:color w:val="auto"/>
        </w:rPr>
        <w:t>Initial Number</w:t>
      </w:r>
      <w:r>
        <w:rPr>
          <w:rFonts w:ascii="Arial" w:cs="Arial" w:eastAsia="Arial" w:hAnsi="Arial"/>
          <w:sz w:val="19"/>
          <w:szCs w:val="19"/>
          <w:color w:val="auto"/>
        </w:rPr>
        <w:t xml:space="preserve"> ”) shall be increased to the number obtained by multiplying the Initial Number by a fraction (A) the numerator of which shall be the sum of (x) the number of shares of Common Stock of the Company outstanding on such date and (y) the number of additional shares of Common Stock issued (or into which convertible securities may be exercised or convert) and (B) the denominator of which shall be the sum of (I) the number of shares of Common Stock outstanding on such date and (II) the number of shares of Common Stock which the aggregate consideration receivable by the Company for the total number of shares of Common Stock so issued (or into which convertible securities may be exercised or convert) would purchase at the Average Market Price determined as of the date of the agreement on pricing such shares (or such convertible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180340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577" w:right="379" w:bottom="1440" w:gutter="0" w:footer="0" w:header="0"/>
        </w:sectPr>
      </w:pPr>
    </w:p>
    <w:bookmarkStart w:id="130" w:name="page131"/>
    <w:bookmarkEnd w:id="130"/>
    <w:p>
      <w:pPr>
        <w:ind w:left="1300" w:firstLine="4"/>
        <w:spacing w:after="0" w:line="252" w:lineRule="auto"/>
        <w:tabs>
          <w:tab w:leader="none" w:pos="229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Exercise Price payable upon exercise of the Warrant shall be adjusted by multiplying such Exercise Price in effect immediately prior to the date of the agreement on pricing of such shares (or of such convertible securities) by a fraction, the numerator of which shall be the number of shares of Common Stock issuable upon exercise of this Warrant prior to such date and the denominator of which shall be the number of shares of Common Stock issuable upon exercise of this Warrant immediately after the adjustment described in clause (A) above.</w:t>
      </w:r>
    </w:p>
    <w:p>
      <w:pPr>
        <w:spacing w:after="0" w:line="21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For purposes of the foregoing, the aggregate consideration receivable by the Company in connection with the issuance of such shares of Common Stock or convertible securities shall be deemed to be equal to the sum of the net offering price (including the Fair Market Value of any non-cash consideration and after deduction of any related expenses payable to third parties) of all such securities plus the minimum aggregate amount, if any, payable upon exercise or conversion of any such convertible securities into shares of Common Stock; and “ </w:t>
      </w:r>
      <w:r>
        <w:rPr>
          <w:rFonts w:ascii="Arial" w:cs="Arial" w:eastAsia="Arial" w:hAnsi="Arial"/>
          <w:sz w:val="19"/>
          <w:szCs w:val="19"/>
          <w:i w:val="1"/>
          <w:iCs w:val="1"/>
          <w:color w:val="auto"/>
        </w:rPr>
        <w:t>Permitted Transactions</w:t>
      </w:r>
      <w:r>
        <w:rPr>
          <w:rFonts w:ascii="Arial" w:cs="Arial" w:eastAsia="Arial" w:hAnsi="Arial"/>
          <w:sz w:val="19"/>
          <w:szCs w:val="19"/>
          <w:color w:val="auto"/>
        </w:rPr>
        <w:t xml:space="preserve"> ” shall mean issuances (i) as consideration for or to fund the acquisition of businesses and/or related assets, (ii) in connection with employee benefit plans and compensation related arrangements in the ordinary course and consistent with past practice approved by the Board of Directors, (iii) in connection with a public or broadly marketed offering and sale of Common Stock or convertible securities for cash conducted by the Company or its affiliates pursuant to registration under the Securities Act or Rule 144A thereunder on a basis consistent with capital raising transactions by comparable institutions and (iv) in connection with the exercise of preemptive rights on terms existing as of the Issue Date. Any adjustment made pursuant to this Section 13(B) shall become effective immediately upon the date of such issuance.</w:t>
      </w:r>
    </w:p>
    <w:p>
      <w:pPr>
        <w:spacing w:after="0" w:line="393" w:lineRule="exact"/>
        <w:rPr>
          <w:sz w:val="20"/>
          <w:szCs w:val="20"/>
          <w:color w:val="auto"/>
        </w:rPr>
      </w:pPr>
    </w:p>
    <w:p>
      <w:pPr>
        <w:ind w:firstLine="656"/>
        <w:spacing w:after="0"/>
        <w:tabs>
          <w:tab w:leader="none" w:pos="163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Other Distributions</w:t>
      </w:r>
      <w:r>
        <w:rPr>
          <w:rFonts w:ascii="Arial" w:cs="Arial" w:eastAsia="Arial" w:hAnsi="Arial"/>
          <w:sz w:val="19"/>
          <w:szCs w:val="19"/>
          <w:color w:val="auto"/>
        </w:rPr>
        <w:t xml:space="preserve"> . In case the Company shall fix a record date for the making of a distribution to all holders of shares of its Common Stock of securities, evidences of indebtedness, assets, cash, rights or warrants (excluding dividends of its Common Stock and other dividends or distributions referred to in Section 13(A)), in each such case, the Exercise Price in effect prior to such record date shall be reduced immediately thereafter to the price determined by multiplying the Exercise Price in effect immediately prior to the reduction by the quotient of (x) the Average Market Price of the Common Stock determined as of the first date on which the Common Stock trades regular way on the principal national securities exchange on which the Common Stock is listed or admitted to trading without the right to receive such distribution, minus the amount of cash and/or the Fair Market Value of the securities, evidences of indebtedness, assets, rights or warrants to be so distributed in respect of one share of Common Stock (such amount and/or Fair Market Value, the “ </w:t>
      </w:r>
      <w:r>
        <w:rPr>
          <w:rFonts w:ascii="Arial" w:cs="Arial" w:eastAsia="Arial" w:hAnsi="Arial"/>
          <w:sz w:val="19"/>
          <w:szCs w:val="19"/>
          <w:i w:val="1"/>
          <w:iCs w:val="1"/>
          <w:color w:val="auto"/>
        </w:rPr>
        <w:t>Per Share Fair Market Value</w:t>
      </w:r>
      <w:r>
        <w:rPr>
          <w:rFonts w:ascii="Arial" w:cs="Arial" w:eastAsia="Arial" w:hAnsi="Arial"/>
          <w:sz w:val="19"/>
          <w:szCs w:val="19"/>
          <w:color w:val="auto"/>
        </w:rPr>
        <w:t xml:space="preserve"> ”) divided by (y) the Average Market Price specified in clause (x); such adjustment shall be made successively whenever such a record date is fixed. In such event, the number of Warrant Shares issuable upon the exercise of this Warrant shall be increased to the number obtained by dividing (x) the product of (1) the number of Warrant Shares issuable upon the exercise of this Warrant before such adjustment, and (2) the Exercise Price in effect immediately prior to the distribution giving rise to this adjustment by (y) the new Exercise Price determined in accordance with the immediately preceding sentence. In the event that such distribution is not so made, the Exercise Price and the number of Warrant Shares issuable upon exercise of this Warrant then in effect shall be readjusted, effective as of the date when the Board of Directors determines not to distribute such shares, evidences of indebtedness, assets, rights, cash or warrants, as the case may be, to the Exercise Price that would then be in effect and the number of Warrant Shares that would then be issuable upon exercise of this Warrant if such record date had not been fixed.</w:t>
      </w:r>
    </w:p>
    <w:p>
      <w:pPr>
        <w:spacing w:after="0" w:line="211" w:lineRule="exact"/>
        <w:rPr>
          <w:rFonts w:ascii="Arial" w:cs="Arial" w:eastAsia="Arial" w:hAnsi="Arial"/>
          <w:sz w:val="19"/>
          <w:szCs w:val="19"/>
          <w:color w:val="auto"/>
        </w:rPr>
      </w:pPr>
    </w:p>
    <w:p>
      <w:pPr>
        <w:ind w:right="460" w:firstLine="656"/>
        <w:spacing w:after="0" w:line="232" w:lineRule="auto"/>
        <w:tabs>
          <w:tab w:leader="none" w:pos="1650"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Certain Repurchases of Common Stock</w:t>
      </w:r>
      <w:r>
        <w:rPr>
          <w:rFonts w:ascii="Arial" w:cs="Arial" w:eastAsia="Arial" w:hAnsi="Arial"/>
          <w:sz w:val="22"/>
          <w:szCs w:val="22"/>
          <w:color w:val="auto"/>
        </w:rPr>
        <w:t xml:space="preserve"> . In case the Company effects a Pro Rata Repurchase of Common Stock, then the Exercise Price shall be reduced to the price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131" w:name="page132"/>
    <w:bookmarkEnd w:id="131"/>
    <w:p>
      <w:pPr>
        <w:spacing w:after="0" w:line="242" w:lineRule="auto"/>
        <w:rPr>
          <w:sz w:val="20"/>
          <w:szCs w:val="20"/>
          <w:color w:val="auto"/>
        </w:rPr>
      </w:pPr>
      <w:r>
        <w:rPr>
          <w:rFonts w:ascii="Arial" w:cs="Arial" w:eastAsia="Arial" w:hAnsi="Arial"/>
          <w:sz w:val="19"/>
          <w:szCs w:val="19"/>
          <w:color w:val="auto"/>
        </w:rPr>
        <w:t>multiplying the Exercise Price in effect immediately prior to the Effective Date of such Pro Rata Repurchase by a fraction of which the numerator shall be (i) the product of (x) the number of shares of Common Stock outstanding immediately before such Pro Rata Repurchase and (y) the Average Market Price of a share of Common Stock determined as of the date of the first public announcement by the Company or any of its Affiliates of the intent to effect such Pro Rata Repurchase, minus (ii) the aggregate purchase price of the Pro Rata Repurchase, and of which the denominator shall be the product of (i) the number of shares of Common Stock outstanding immediately prior to such Pro Rata Repurchase minus the number of shares of Common Stock so repurchased and (ii) the Average Market Price per share of Common Stock determined as of the date of the first public announcement by the Company or any of its Affiliates of the intent to effect such Pro Rata Repurchase. In such event, the number of shares of Common Stock issuable upon the exercise of this Warrant shall be increased to the number obtained by dividing (x) the product of (1) the number of Warrant Shares issuable upon the exercise of this Warrant before such adjustment, and (2) the Exercise Price in effect immediately prior to the Pro Rata Repurchase giving rise to this adjustment by (y) the new Exercise Price determined in accordance with the immediately preceding sentence. For the avoidance of doubt, no increase to the Exercise Price or decrease in the number of Warrant Shares issuable upon exercise of this Warrant shall be made pursuant to this Section 13(D).</w:t>
      </w:r>
    </w:p>
    <w:p>
      <w:pPr>
        <w:spacing w:after="0" w:line="201" w:lineRule="exact"/>
        <w:rPr>
          <w:sz w:val="20"/>
          <w:szCs w:val="20"/>
          <w:color w:val="auto"/>
        </w:rPr>
      </w:pPr>
    </w:p>
    <w:p>
      <w:pPr>
        <w:ind w:right="20" w:firstLine="656"/>
        <w:spacing w:after="0" w:line="241" w:lineRule="auto"/>
        <w:tabs>
          <w:tab w:leader="none" w:pos="1626"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Business Combinations</w:t>
      </w:r>
      <w:r>
        <w:rPr>
          <w:rFonts w:ascii="Arial" w:cs="Arial" w:eastAsia="Arial" w:hAnsi="Arial"/>
          <w:sz w:val="19"/>
          <w:szCs w:val="19"/>
          <w:color w:val="auto"/>
        </w:rPr>
        <w:t xml:space="preserve"> . In case of any Business Combination or reclassification of Common Stock (other than a reclassification of Common Stock referred to in Section 13(A)), the Warrantholder’s right to receive Warrant Shares upon exercise of this Warrant shall be converted into the right to exercise this Warrant to acquire the number of shares of stock or other securities or property (including cash) which the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and in any such case, if necessary, the provisions set forth herein with respect to the rights and interests thereafter of the Warrantholder shall be appropriately adjusted so as to be applicable, as nearly as may reasonably be, to the Warrantholder’s right to exercise this Warrant in exchange for any shares of stock or other securities or property pursuant to this paragraph. In determining the kind and amount of stock, securities or the property receivable upon exercise of this Warrant following the consummation of such Business Combination, if the holders of Common Stock have the right to elect the kind or amount of consideration receivable upon consummation of such Business Combination, then the consideration that the Warrantholder shall be entitled to receive upon exercise shall be deemed to be the types and amounts of consideration received by the majority of all holders of the shares of common stock that affirmatively make an election (or of all such holders if none make an election).</w:t>
      </w:r>
    </w:p>
    <w:p>
      <w:pPr>
        <w:spacing w:after="0" w:line="208" w:lineRule="exact"/>
        <w:rPr>
          <w:rFonts w:ascii="Arial" w:cs="Arial" w:eastAsia="Arial" w:hAnsi="Arial"/>
          <w:sz w:val="19"/>
          <w:szCs w:val="19"/>
          <w:color w:val="auto"/>
        </w:rPr>
      </w:pPr>
    </w:p>
    <w:p>
      <w:pPr>
        <w:ind w:right="20" w:firstLine="656"/>
        <w:spacing w:after="0" w:line="222" w:lineRule="auto"/>
        <w:tabs>
          <w:tab w:leader="none" w:pos="1614"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Rounding of Calculations; Minimum Adjustments</w:t>
      </w:r>
      <w:r>
        <w:rPr>
          <w:rFonts w:ascii="Arial" w:cs="Arial" w:eastAsia="Arial" w:hAnsi="Arial"/>
          <w:sz w:val="21"/>
          <w:szCs w:val="21"/>
          <w:color w:val="auto"/>
        </w:rPr>
        <w:t xml:space="preserve"> . All calculations under this Section 13 shall be made to the nearest one-tenth (1/10th) of a cent or to the nearest one-hundredth (1/100th) of a share, as the case may be. Any provision of this Section 13 to the contrary notwithstanding, no adjustment in the Exercise Price or the number of Warrant Shares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1/10th of a share of Common Stock, or more.</w:t>
      </w:r>
    </w:p>
    <w:p>
      <w:pPr>
        <w:spacing w:after="0" w:line="204" w:lineRule="exact"/>
        <w:rPr>
          <w:rFonts w:ascii="Arial" w:cs="Arial" w:eastAsia="Arial" w:hAnsi="Arial"/>
          <w:sz w:val="21"/>
          <w:szCs w:val="21"/>
          <w:color w:val="auto"/>
        </w:rPr>
      </w:pPr>
    </w:p>
    <w:p>
      <w:pPr>
        <w:ind w:right="80" w:firstLine="656"/>
        <w:spacing w:after="0" w:line="218" w:lineRule="auto"/>
        <w:tabs>
          <w:tab w:leader="none" w:pos="1650"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Timing of Issuance of Additional Common Stock Upon Certain Adjustments</w:t>
      </w:r>
      <w:r>
        <w:rPr>
          <w:rFonts w:ascii="Arial" w:cs="Arial" w:eastAsia="Arial" w:hAnsi="Arial"/>
          <w:sz w:val="22"/>
          <w:szCs w:val="22"/>
          <w:color w:val="auto"/>
        </w:rPr>
        <w:t xml:space="preserve"> . In any case in which the provisions of this Section 13 shall require that an adjustment shall become effective immediately after a record date for an event, the Company may defer until the occurrence of such event (i) issuing to the Warrantholder of this Warrant exercised after such record date and before the occurrence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32" w:name="page133"/>
    <w:bookmarkEnd w:id="132"/>
    <w:p>
      <w:pPr>
        <w:ind w:right="280"/>
        <w:spacing w:after="0" w:line="214" w:lineRule="auto"/>
        <w:rPr>
          <w:sz w:val="20"/>
          <w:szCs w:val="20"/>
          <w:color w:val="auto"/>
        </w:rPr>
      </w:pPr>
      <w:r>
        <w:rPr>
          <w:rFonts w:ascii="Arial" w:cs="Arial" w:eastAsia="Arial" w:hAnsi="Arial"/>
          <w:sz w:val="22"/>
          <w:szCs w:val="22"/>
          <w:color w:val="auto"/>
        </w:rPr>
        <w:t xml:space="preserve">such event the additional shares of Common Stock issuable upon such exercise by reason of the adjustment required by such event over and above the shares of Common Stock issuable upon such exercise before giving effect to such adjustment and (ii) paying to such Warrantholder any amount of cash in lieu of a fractional share of Common Stock;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 that the Company upon request shall deliver to such Warrantholder a due bill or other appropriate instrument evidencing such Warrantholder’s right to receive such additional shares, and such cash, upon the occurrence of the event requiring such adjustment.</w:t>
      </w:r>
    </w:p>
    <w:p>
      <w:pPr>
        <w:spacing w:after="0" w:line="199" w:lineRule="exact"/>
        <w:rPr>
          <w:sz w:val="20"/>
          <w:szCs w:val="20"/>
          <w:color w:val="auto"/>
        </w:rPr>
      </w:pPr>
    </w:p>
    <w:p>
      <w:pPr>
        <w:ind w:firstLine="656"/>
        <w:spacing w:after="0" w:line="221" w:lineRule="auto"/>
        <w:tabs>
          <w:tab w:leader="none" w:pos="1650"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Other Events</w:t>
      </w:r>
      <w:r>
        <w:rPr>
          <w:rFonts w:ascii="Arial" w:cs="Arial" w:eastAsia="Arial" w:hAnsi="Arial"/>
          <w:sz w:val="21"/>
          <w:szCs w:val="21"/>
          <w:color w:val="auto"/>
        </w:rPr>
        <w:t xml:space="preserve"> . For so long as the Original Warrantholder holds this Warrant or any portion thereof, if any event occurs as to which the provisions of this Section 13 are not strictly applicable or, if strictly applicable, would not, in the good faith judgment of the Board of Directors of the Company, fairly and adequately protect the purchase rights of the Warrants in accordance with the essential intent and principles of such provisions, then the Board of Directors shall make such adjustments in the application of such provisions, in accordance with such essential intent and principles, as shall be reasonably necessary, in the good faith opinion of the Board of Directors, to protect such purchase rights as aforesaid. The Exercise Price or the number of Warrant Shares shall not be adjusted in the event of a change in the par value of the Common Stock or a change in the jurisdiction of incorporation of the Company.</w:t>
      </w:r>
    </w:p>
    <w:p>
      <w:pPr>
        <w:spacing w:after="0" w:line="205" w:lineRule="exact"/>
        <w:rPr>
          <w:rFonts w:ascii="Arial" w:cs="Arial" w:eastAsia="Arial" w:hAnsi="Arial"/>
          <w:sz w:val="21"/>
          <w:szCs w:val="21"/>
          <w:color w:val="auto"/>
        </w:rPr>
      </w:pPr>
    </w:p>
    <w:p>
      <w:pPr>
        <w:ind w:right="160" w:firstLine="656"/>
        <w:spacing w:after="0" w:line="252" w:lineRule="auto"/>
        <w:tabs>
          <w:tab w:leader="none" w:pos="1566"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Statement Regarding Adjustments</w:t>
      </w:r>
      <w:r>
        <w:rPr>
          <w:rFonts w:ascii="Arial" w:cs="Arial" w:eastAsia="Arial" w:hAnsi="Arial"/>
          <w:sz w:val="19"/>
          <w:szCs w:val="19"/>
          <w:color w:val="auto"/>
        </w:rPr>
        <w:t xml:space="preserve"> . Whenever the Exercise Price or the number of Warrant Shares shall be adjusted as provided in Section 13, the Company shall forthwith file at the principal office of the Company a statement showing in reasonable detail the facts requiring such adjustment and the Exercise Price that shall be in effect and the number of Warrant Shares after such adjustment, and the Company shall also cause a copy of such statement to be sent by mail, first class postage prepaid, to each Warrantholder at the address appearing in the Company’s records.</w:t>
      </w:r>
    </w:p>
    <w:p>
      <w:pPr>
        <w:spacing w:after="0" w:line="189" w:lineRule="exact"/>
        <w:rPr>
          <w:rFonts w:ascii="Arial" w:cs="Arial" w:eastAsia="Arial" w:hAnsi="Arial"/>
          <w:sz w:val="19"/>
          <w:szCs w:val="19"/>
          <w:color w:val="auto"/>
        </w:rPr>
      </w:pPr>
    </w:p>
    <w:p>
      <w:pPr>
        <w:ind w:firstLine="656"/>
        <w:spacing w:after="0" w:line="244" w:lineRule="auto"/>
        <w:tabs>
          <w:tab w:leader="none" w:pos="1578"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Notice of Adjustment Event</w:t>
      </w:r>
      <w:r>
        <w:rPr>
          <w:rFonts w:ascii="Arial" w:cs="Arial" w:eastAsia="Arial" w:hAnsi="Arial"/>
          <w:sz w:val="19"/>
          <w:szCs w:val="19"/>
          <w:color w:val="auto"/>
        </w:rPr>
        <w:t xml:space="preserve"> . In the event that the Company shall propose to take any action of the type described in this Section 13 (but only if the action of the type described in this Section 13 would result in an adjustment in the Exercise Price or the number of Warrant Shares or a change in the type of securities or property to be delivered upon exercise of this Warrant), the Company shall give notice to the Warrantholder, in the manner set forth in Section 13(J),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10 days prior to the date so fixed, and in case of all other action, such notice shall be given at least 15 days prior to the taking of such proposed action. Failure to give such notice, or any defect therein, shall not affect the legality or validity of any such action.</w:t>
      </w:r>
    </w:p>
    <w:p>
      <w:pPr>
        <w:spacing w:after="0" w:line="195" w:lineRule="exact"/>
        <w:rPr>
          <w:rFonts w:ascii="Arial" w:cs="Arial" w:eastAsia="Arial" w:hAnsi="Arial"/>
          <w:sz w:val="19"/>
          <w:szCs w:val="19"/>
          <w:color w:val="auto"/>
        </w:rPr>
      </w:pPr>
    </w:p>
    <w:p>
      <w:pPr>
        <w:ind w:right="140" w:firstLine="656"/>
        <w:spacing w:after="0" w:line="214" w:lineRule="auto"/>
        <w:tabs>
          <w:tab w:leader="none" w:pos="165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Proceedings Prior to Any Action Requiring Adjustment</w:t>
      </w:r>
      <w:r>
        <w:rPr>
          <w:rFonts w:ascii="Arial" w:cs="Arial" w:eastAsia="Arial" w:hAnsi="Arial"/>
          <w:sz w:val="22"/>
          <w:szCs w:val="22"/>
          <w:color w:val="auto"/>
        </w:rPr>
        <w:t xml:space="preserve"> . As a condition precedent to the taking of any action which would require an adjustment pursuant to this Section 13, the Company shall take any action which may be necessary, including obtaining regulatory, New York Stock Exchange, NASDAQ Stock Market or other applicable national securities exchange or stockholder approvals or exemptions, as applicable, in order that the Company may thereafter validly and legally issue as fully paid and nonassessable all shares of Common Stock that the Warrantholder is entitled to receive upon exercise of this Warrant pursuant to this Section 13.</w:t>
      </w:r>
    </w:p>
    <w:p>
      <w:pPr>
        <w:spacing w:after="0" w:line="199" w:lineRule="exact"/>
        <w:rPr>
          <w:rFonts w:ascii="Arial" w:cs="Arial" w:eastAsia="Arial" w:hAnsi="Arial"/>
          <w:sz w:val="22"/>
          <w:szCs w:val="22"/>
          <w:color w:val="auto"/>
        </w:rPr>
      </w:pPr>
    </w:p>
    <w:p>
      <w:pPr>
        <w:ind w:right="20" w:firstLine="656"/>
        <w:spacing w:after="0" w:line="232" w:lineRule="auto"/>
        <w:tabs>
          <w:tab w:leader="none" w:pos="1626"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Adjustment Rules</w:t>
      </w:r>
      <w:r>
        <w:rPr>
          <w:rFonts w:ascii="Arial" w:cs="Arial" w:eastAsia="Arial" w:hAnsi="Arial"/>
          <w:sz w:val="22"/>
          <w:szCs w:val="22"/>
          <w:color w:val="auto"/>
        </w:rPr>
        <w:t xml:space="preserve"> . Any adjustments pursuant to this Section 13 shall be made successively whenever an event referred to herein shall occur. If an adjustment in Exercise Price made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33" w:name="page134"/>
    <w:bookmarkEnd w:id="133"/>
    <w:p>
      <w:pPr>
        <w:ind w:right="380"/>
        <w:spacing w:after="0" w:line="232" w:lineRule="auto"/>
        <w:rPr>
          <w:sz w:val="20"/>
          <w:szCs w:val="20"/>
          <w:color w:val="auto"/>
        </w:rPr>
      </w:pPr>
      <w:r>
        <w:rPr>
          <w:rFonts w:ascii="Arial" w:cs="Arial" w:eastAsia="Arial" w:hAnsi="Arial"/>
          <w:sz w:val="22"/>
          <w:szCs w:val="22"/>
          <w:color w:val="auto"/>
        </w:rPr>
        <w:t>would reduce the Exercise Price to an amount below par value of the Common Stock, then such adjustment in Exercise Price made hereunder shall reduce the Exercise Price to the par value of the Common Stock.</w:t>
      </w:r>
    </w:p>
    <w:p>
      <w:pPr>
        <w:spacing w:after="0" w:line="199" w:lineRule="exact"/>
        <w:rPr>
          <w:sz w:val="20"/>
          <w:szCs w:val="20"/>
          <w:color w:val="auto"/>
        </w:rPr>
      </w:pPr>
    </w:p>
    <w:p>
      <w:pPr>
        <w:ind w:right="160" w:firstLine="656"/>
        <w:spacing w:after="0" w:line="226" w:lineRule="auto"/>
        <w:tabs>
          <w:tab w:leader="none" w:pos="1620"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No Impairment</w:t>
      </w:r>
      <w:r>
        <w:rPr>
          <w:rFonts w:ascii="Arial" w:cs="Arial" w:eastAsia="Arial" w:hAnsi="Arial"/>
          <w:sz w:val="21"/>
          <w:szCs w:val="21"/>
          <w:color w:val="auto"/>
        </w:rPr>
        <w:t xml:space="preserve"> . The Company will not, by amendment of its Charter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193" w:lineRule="exact"/>
        <w:rPr>
          <w:rFonts w:ascii="Arial" w:cs="Arial" w:eastAsia="Arial" w:hAnsi="Arial"/>
          <w:sz w:val="21"/>
          <w:szCs w:val="21"/>
          <w:color w:val="auto"/>
        </w:rPr>
      </w:pPr>
    </w:p>
    <w:p>
      <w:pPr>
        <w:ind w:firstLine="656"/>
        <w:spacing w:after="0" w:line="221" w:lineRule="auto"/>
        <w:tabs>
          <w:tab w:leader="none" w:pos="1620"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 </w:t>
      </w:r>
      <w:r>
        <w:rPr>
          <w:rFonts w:ascii="Arial" w:cs="Arial" w:eastAsia="Arial" w:hAnsi="Arial"/>
          <w:sz w:val="21"/>
          <w:szCs w:val="21"/>
          <w:b w:val="1"/>
          <w:bCs w:val="1"/>
          <w:color w:val="auto"/>
        </w:rPr>
        <w:t>This Warrant will be governed by and construed in accordance with the federal law of</w:t>
      </w:r>
      <w:r>
        <w:rPr>
          <w:rFonts w:ascii="Arial" w:cs="Arial" w:eastAsia="Arial" w:hAnsi="Arial"/>
          <w:sz w:val="21"/>
          <w:szCs w:val="21"/>
          <w:color w:val="auto"/>
        </w:rPr>
        <w:t xml:space="preserve"> </w:t>
      </w:r>
      <w:r>
        <w:rPr>
          <w:rFonts w:ascii="Arial" w:cs="Arial" w:eastAsia="Arial" w:hAnsi="Arial"/>
          <w:sz w:val="21"/>
          <w:szCs w:val="21"/>
          <w:b w:val="1"/>
          <w:bCs w:val="1"/>
          <w:color w:val="auto"/>
        </w:rPr>
        <w:t>the United States if and to the extent such law is applicable, and otherwise in accordance with the laws of the State of New York applicable to contracts made and to be performed entirely within such State. Each of the Company and the Warrantholder agrees (a) to submit to the exclusive jurisdiction and venue of the United States District Court for the District of Columbia for any civil action, suit or proceeding arising out of or relating to this Warrant or the transactions contemplated hereby, and (b) that notice may be served upon the Company at the address in Section 19 below and upon the Warrantholder at the address for the Warrantholder set forth in the registry maintained by the Company pursuant to Section 9 hereof. To the extent permitted by applicable law, each of the Company and the Warrantholder hereby unconditionally waives trial by jury in any civil legal action or proceeding relating to the Warrant or the transactions contemplated hereby or thereby.</w:t>
      </w:r>
    </w:p>
    <w:p>
      <w:pPr>
        <w:spacing w:after="0" w:line="198" w:lineRule="exact"/>
        <w:rPr>
          <w:rFonts w:ascii="Arial" w:cs="Arial" w:eastAsia="Arial" w:hAnsi="Arial"/>
          <w:sz w:val="21"/>
          <w:szCs w:val="21"/>
          <w:color w:val="auto"/>
        </w:rPr>
      </w:pPr>
    </w:p>
    <w:p>
      <w:pPr>
        <w:ind w:left="1620" w:hanging="964"/>
        <w:spacing w:after="0"/>
        <w:tabs>
          <w:tab w:leader="none" w:pos="162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xml:space="preserve"> . This Warrant shall be binding upon any successors or assigns of the Company.</w:t>
      </w:r>
    </w:p>
    <w:p>
      <w:pPr>
        <w:spacing w:after="0" w:line="219" w:lineRule="exact"/>
        <w:rPr>
          <w:rFonts w:ascii="Arial" w:cs="Arial" w:eastAsia="Arial" w:hAnsi="Arial"/>
          <w:sz w:val="22"/>
          <w:szCs w:val="22"/>
          <w:color w:val="auto"/>
        </w:rPr>
      </w:pPr>
    </w:p>
    <w:p>
      <w:pPr>
        <w:ind w:right="140" w:firstLine="656"/>
        <w:spacing w:after="0" w:line="232" w:lineRule="auto"/>
        <w:tabs>
          <w:tab w:leader="none" w:pos="162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 This Warrant may be amended and the observance of any term of this Warrant may be waived only with the written consent of the Company and the Warrantholder.</w:t>
      </w:r>
    </w:p>
    <w:p>
      <w:pPr>
        <w:spacing w:after="0" w:line="199" w:lineRule="exact"/>
        <w:rPr>
          <w:rFonts w:ascii="Arial" w:cs="Arial" w:eastAsia="Arial" w:hAnsi="Arial"/>
          <w:sz w:val="22"/>
          <w:szCs w:val="22"/>
          <w:color w:val="auto"/>
        </w:rPr>
      </w:pPr>
    </w:p>
    <w:p>
      <w:pPr>
        <w:ind w:right="120" w:firstLine="656"/>
        <w:spacing w:after="0" w:line="216" w:lineRule="auto"/>
        <w:tabs>
          <w:tab w:leader="none" w:pos="162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Prohibited Actions</w:t>
      </w:r>
      <w:r>
        <w:rPr>
          <w:rFonts w:ascii="Arial" w:cs="Arial" w:eastAsia="Arial" w:hAnsi="Arial"/>
          <w:sz w:val="22"/>
          <w:szCs w:val="22"/>
          <w:color w:val="auto"/>
        </w:rPr>
        <w:t xml:space="preserve"> . The Company agrees that it will not take any action which would entitle the Warrantholder to an adjustment of the Exercise Price if the total number of shares of Common Stock issuable after such action upon exercise of this Warrant, together with all shares of Common Stock then outstanding and all shares of Common Stock then issuable upon the exercise of all outstanding options, warrants, conversion and other rights, would exceed the total number of shares of Common Stock then authorized by its Charter.</w:t>
      </w:r>
    </w:p>
    <w:p>
      <w:pPr>
        <w:spacing w:after="0" w:line="198" w:lineRule="exact"/>
        <w:rPr>
          <w:rFonts w:ascii="Arial" w:cs="Arial" w:eastAsia="Arial" w:hAnsi="Arial"/>
          <w:sz w:val="22"/>
          <w:szCs w:val="22"/>
          <w:color w:val="auto"/>
        </w:rPr>
      </w:pPr>
    </w:p>
    <w:p>
      <w:pPr>
        <w:ind w:right="20" w:firstLine="656"/>
        <w:spacing w:after="0" w:line="226" w:lineRule="auto"/>
        <w:tabs>
          <w:tab w:leader="none" w:pos="1620"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 Any notice, request, instruction or other document to be given hereunder by any party to the other will be in writing and will be deemed to have been duly given (a) on the date of delivery if delivered personally, or by facsimile, upon confirmation of receipt, or (b) on the second Business Day following the date of dispatch if delivered by a recognized next day courier service. All notices hereunder shall be delivered as set forth in Item 7 of Schedule A hereto, or pursuant to such other instructions as may be designated in writing by the party to receive such notice.</w:t>
      </w:r>
    </w:p>
    <w:p>
      <w:pPr>
        <w:spacing w:after="0" w:line="199" w:lineRule="exact"/>
        <w:rPr>
          <w:rFonts w:ascii="Arial" w:cs="Arial" w:eastAsia="Arial" w:hAnsi="Arial"/>
          <w:sz w:val="21"/>
          <w:szCs w:val="21"/>
          <w:color w:val="auto"/>
        </w:rPr>
      </w:pPr>
    </w:p>
    <w:p>
      <w:pPr>
        <w:ind w:right="140" w:firstLine="656"/>
        <w:spacing w:after="0" w:line="218" w:lineRule="auto"/>
        <w:tabs>
          <w:tab w:leader="none" w:pos="162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xml:space="preserve"> . This Warrant, the forms attached hereto and Schedule A hereto (the terms of which are incorporated by reference herein), and the Warrant Agreement (including all documents incorporated therein), contain the entire agreement between the parties with respect to the subject matter hereof and supersede all prior and contemporaneous arrangements or undertakings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9"/>
          <w:szCs w:val="19"/>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363220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04" w:right="1440" w:bottom="1440" w:gutter="0" w:footer="0" w:header="0"/>
        </w:sectPr>
      </w:pPr>
    </w:p>
    <w:bookmarkStart w:id="135" w:name="page136"/>
    <w:bookmarkEnd w:id="135"/>
    <w:p>
      <w:pPr>
        <w:jc w:val="center"/>
        <w:ind w:right="-59"/>
        <w:spacing w:after="0"/>
        <w:rPr>
          <w:sz w:val="20"/>
          <w:szCs w:val="20"/>
          <w:color w:val="auto"/>
        </w:rPr>
      </w:pPr>
      <w:r>
        <w:rPr>
          <w:rFonts w:ascii="Arial" w:cs="Arial" w:eastAsia="Arial" w:hAnsi="Arial"/>
          <w:sz w:val="22"/>
          <w:szCs w:val="22"/>
          <w:b w:val="1"/>
          <w:bCs w:val="1"/>
          <w:color w:val="auto"/>
        </w:rPr>
        <w:t>[Form of Notice of Exercise]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Date:</w:t>
      </w:r>
    </w:p>
    <w:p>
      <w:pPr>
        <w:spacing w:after="0" w:line="236"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22"/>
          <w:szCs w:val="22"/>
          <w:b w:val="1"/>
          <w:bCs w:val="1"/>
          <w:color w:val="auto"/>
        </w:rPr>
        <w:t>American Airlines Group Inc.</w:t>
      </w:r>
    </w:p>
    <w:p>
      <w:pPr>
        <w:spacing w:after="0" w:line="226"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Exercise of Warrant</w:t>
      </w:r>
    </w:p>
    <w:p>
      <w:pPr>
        <w:spacing w:after="0" w:line="220"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pursuant to the provisions set forth in the attached Warrant, hereby notifies the Company of its intention to exercise its option with respect to the number of shares of the Common Stock set forth below covered by such Warrant. Pursuant to Section 4 of the Warrant, the undersigned acknowledges that the Company may settle this exercise in net cash or shares. Cash to be paid pursuant to a Net Cash Settlement or payment of fractional shares in connection with a Net Share Settlement should be deposited to the account of the Warrantholder set forth below. Common Stock to be delivered pursuant to a Net Share Settlement shall be delivered to the Warrantholder as indicated below. A new warrant evidencing the remaining shares of Common Stock covered by such Warrant, but not yet subscribed for and purchased, if any, should be issued in the name set forth below.</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Number of Warrant Shares: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Aggregate Exercise Price: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Address for Delivery of Warrant Shares: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Wire Instructions:</w:t>
      </w:r>
    </w:p>
    <w:p>
      <w:pPr>
        <w:sectPr>
          <w:pgSz w:w="11900" w:h="16838" w:orient="portrait"/>
          <w:cols w:equalWidth="0" w:num="1">
            <w:col w:w="11200"/>
          </w:cols>
          <w:pgMar w:left="320" w:top="598" w:right="379" w:bottom="1440" w:gutter="0" w:footer="0" w:header="0"/>
        </w:sect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Proceeds to be delivered:</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City/ State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Number of Bank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SWIFT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 of Account: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Account Number at Bank:</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820" w:lineRule="exact"/>
        <w:rPr>
          <w:sz w:val="20"/>
          <w:szCs w:val="20"/>
          <w:color w:val="auto"/>
        </w:rPr>
      </w:pPr>
    </w:p>
    <w:p>
      <w:pPr>
        <w:sectPr>
          <w:pgSz w:w="11900" w:h="16838" w:orient="portrait"/>
          <w:cols w:equalWidth="0" w:num="2">
            <w:col w:w="2840" w:space="700"/>
            <w:col w:w="7660"/>
          </w:cols>
          <w:pgMar w:left="320" w:top="598" w:right="3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Securities to be issued to:</w:t>
      </w:r>
    </w:p>
    <w:p>
      <w:pPr>
        <w:sectPr>
          <w:pgSz w:w="11900" w:h="16838" w:orient="portrait"/>
          <w:cols w:equalWidth="0" w:num="1">
            <w:col w:w="11200"/>
          </w:cols>
          <w:pgMar w:left="320" w:top="598" w:right="37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If in book-entry form through the Depositary: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Depositary Account Number: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Name of Agent Member:</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If in certificated form: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Number or Other Identifying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Number:</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22"/>
          <w:szCs w:val="22"/>
          <w:color w:val="auto"/>
        </w:rPr>
        <w:t>Name: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Street Address: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City, State and Zip Code:</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Any unexercised Warrants evidenced by the exercising Warrantholder's interest in the Warrant:</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Social Security Number or Other Identifying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Number: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Street Address: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City, State and Zip Code: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Holder:</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4" w:right="1440" w:bottom="1440" w:gutter="0" w:footer="0" w:header="0"/>
        </w:sectPr>
      </w:pPr>
    </w:p>
    <w:bookmarkStart w:id="137" w:name="page138"/>
    <w:bookmarkEnd w:id="137"/>
    <w:p>
      <w:pPr>
        <w:ind w:left="660"/>
        <w:spacing w:after="0"/>
        <w:rPr>
          <w:sz w:val="20"/>
          <w:szCs w:val="20"/>
          <w:color w:val="auto"/>
        </w:rPr>
      </w:pPr>
      <w:r>
        <w:rPr>
          <w:rFonts w:ascii="Arial" w:cs="Arial" w:eastAsia="Arial" w:hAnsi="Arial"/>
          <w:sz w:val="19"/>
          <w:szCs w:val="19"/>
          <w:color w:val="auto"/>
        </w:rPr>
        <w:t>IN WITNESS WHEREOF, the Company has caused this Warrant to be duly executed by a duly authorized officer.</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AMERICAN AIRLINES GROUP INC.</w:t>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Attest:</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93" w:lineRule="exact"/>
        <w:rPr>
          <w:sz w:val="20"/>
          <w:szCs w:val="20"/>
          <w:color w:val="auto"/>
        </w:rPr>
      </w:pPr>
    </w:p>
    <w:p>
      <w:pPr>
        <w:ind w:left="4300"/>
        <w:spacing w:after="0"/>
        <w:rPr>
          <w:sz w:val="20"/>
          <w:szCs w:val="20"/>
          <w:color w:val="auto"/>
        </w:rPr>
      </w:pPr>
      <w:r>
        <w:rPr>
          <w:rFonts w:ascii="Arial" w:cs="Arial" w:eastAsia="Arial" w:hAnsi="Arial"/>
          <w:sz w:val="22"/>
          <w:szCs w:val="22"/>
          <w:b w:val="1"/>
          <w:bCs w:val="1"/>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604" w:right="10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SCHEDULE 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American Airlines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Corporate or other organizational form: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Jurisdiction of organization: Delaware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2</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Exercise Price: $12.51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3</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Issue Date: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4</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Date of Warrant Agreement between the Company and the United States Department of the Treasury: April 20, 2020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5</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Number of shares of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6</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Company’s address:</w:t>
      </w:r>
    </w:p>
    <w:p>
      <w:pPr>
        <w:spacing w:after="0" w:line="24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1 Skyview Drive</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Fort Worth, Texas 76155</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Item 7</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Notice information:</w:t>
      </w:r>
    </w:p>
    <w:p>
      <w:pPr>
        <w:spacing w:after="0" w:line="24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1 Skyview Drive</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Fort Worth, Texas 76155</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Facsimile: ###</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Attention: Thomas T. Weir, Treasurer</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Email: ###</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Telephone: ###</w:t>
      </w:r>
    </w:p>
    <w:p>
      <w:pPr>
        <w:spacing w:after="0" w:line="242" w:lineRule="exact"/>
        <w:rPr>
          <w:sz w:val="20"/>
          <w:szCs w:val="20"/>
          <w:color w:val="auto"/>
        </w:rPr>
      </w:pPr>
    </w:p>
    <w:p>
      <w:pPr>
        <w:ind w:left="1040"/>
        <w:spacing w:after="0"/>
        <w:rPr>
          <w:sz w:val="20"/>
          <w:szCs w:val="20"/>
          <w:color w:val="auto"/>
        </w:rPr>
      </w:pPr>
      <w:r>
        <w:rPr>
          <w:rFonts w:ascii="Arial" w:cs="Arial" w:eastAsia="Arial" w:hAnsi="Arial"/>
          <w:sz w:val="22"/>
          <w:szCs w:val="22"/>
          <w:i w:val="1"/>
          <w:iCs w:val="1"/>
          <w:color w:val="auto"/>
        </w:rPr>
        <w:t>With copies to (which shall not constitute notice):</w:t>
      </w:r>
    </w:p>
    <w:p>
      <w:pPr>
        <w:spacing w:after="0" w:line="2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Latham &amp; Watkins LLP</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140 Scott Drive</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Menlo Park, CA 94025</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Attention: Tony Richmond</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Facsimile: ###</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681990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SCHEDULE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WARRANT SHARES FORMULA</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The number of Warrant Shares for which Warrants issued on each Warrant Closing Date shall be exercisable shall equal:</w:t>
      </w:r>
    </w:p>
    <w:p>
      <w:pPr>
        <w:spacing w:after="0" w:line="295" w:lineRule="exact"/>
        <w:rPr>
          <w:sz w:val="20"/>
          <w:szCs w:val="20"/>
          <w:color w:val="auto"/>
        </w:rPr>
      </w:pPr>
    </w:p>
    <w:p>
      <w:pPr>
        <w:ind w:left="980" w:right="120" w:hanging="648"/>
        <w:spacing w:after="0" w:line="263" w:lineRule="auto"/>
        <w:tabs>
          <w:tab w:leader="none" w:pos="9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On the Closing Date, the quotient of (x) the product of the principal amount of the Promissory Note multiplied </w:t>
      </w:r>
      <w:r>
        <w:rPr>
          <w:rFonts w:ascii="Arial" w:cs="Arial" w:eastAsia="Arial" w:hAnsi="Arial"/>
          <w:sz w:val="22"/>
          <w:szCs w:val="22"/>
          <w:i w:val="1"/>
          <w:iCs w:val="1"/>
          <w:color w:val="auto"/>
        </w:rPr>
        <w:t>by</w:t>
      </w:r>
      <w:r>
        <w:rPr>
          <w:rFonts w:ascii="Arial" w:cs="Arial" w:eastAsia="Arial" w:hAnsi="Arial"/>
          <w:sz w:val="22"/>
          <w:szCs w:val="22"/>
          <w:color w:val="auto"/>
        </w:rPr>
        <w:t xml:space="preserve"> 0.1 </w:t>
      </w:r>
      <w:r>
        <w:rPr>
          <w:rFonts w:ascii="Arial" w:cs="Arial" w:eastAsia="Arial" w:hAnsi="Arial"/>
          <w:sz w:val="22"/>
          <w:szCs w:val="22"/>
          <w:i w:val="1"/>
          <w:iCs w:val="1"/>
          <w:color w:val="auto"/>
        </w:rPr>
        <w:t xml:space="preserve">divided by </w:t>
      </w:r>
      <w:r>
        <w:rPr>
          <w:rFonts w:ascii="Arial" w:cs="Arial" w:eastAsia="Arial" w:hAnsi="Arial"/>
          <w:sz w:val="22"/>
          <w:szCs w:val="22"/>
          <w:color w:val="auto"/>
        </w:rPr>
        <w:t>(y) the Exercise Price (as defined in Annex B); and</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980" w:right="640" w:hanging="648"/>
        <w:spacing w:after="0" w:line="253" w:lineRule="auto"/>
        <w:tabs>
          <w:tab w:leader="none" w:pos="98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On each subsequent Warrant Closing Date, the quotient of (x) the product of the amount by which the principal amount of the Promissory Note is increased on such Warrant Closing Date multiplied </w:t>
      </w:r>
      <w:r>
        <w:rPr>
          <w:rFonts w:ascii="Arial" w:cs="Arial" w:eastAsia="Arial" w:hAnsi="Arial"/>
          <w:sz w:val="22"/>
          <w:szCs w:val="22"/>
          <w:i w:val="1"/>
          <w:iCs w:val="1"/>
          <w:color w:val="auto"/>
        </w:rPr>
        <w:t>by</w:t>
      </w:r>
      <w:r>
        <w:rPr>
          <w:rFonts w:ascii="Arial" w:cs="Arial" w:eastAsia="Arial" w:hAnsi="Arial"/>
          <w:sz w:val="22"/>
          <w:szCs w:val="22"/>
          <w:color w:val="auto"/>
        </w:rPr>
        <w:t xml:space="preserve"> 0.1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(y)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80"/>
        </w:trPr>
        <w:tc>
          <w:tcPr>
            <w:tcW w:w="4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00" w:type="dxa"/>
            <w:vAlign w:val="bottom"/>
            <w:gridSpan w:val="2"/>
          </w:tcPr>
          <w:p>
            <w:pPr>
              <w:ind w:left="940"/>
              <w:spacing w:after="0"/>
              <w:rPr>
                <w:sz w:val="20"/>
                <w:szCs w:val="20"/>
                <w:color w:val="auto"/>
              </w:rPr>
            </w:pPr>
            <w:r>
              <w:rPr>
                <w:rFonts w:ascii="Arial" w:cs="Arial" w:eastAsia="Arial" w:hAnsi="Arial"/>
                <w:sz w:val="22"/>
                <w:szCs w:val="22"/>
                <w:b w:val="1"/>
                <w:bCs w:val="1"/>
                <w:color w:val="auto"/>
                <w:w w:val="96"/>
              </w:rPr>
              <w:t>SCHEDULE 2</w:t>
            </w:r>
          </w:p>
        </w:tc>
      </w:tr>
      <w:tr>
        <w:trPr>
          <w:trHeight w:val="422"/>
        </w:trPr>
        <w:tc>
          <w:tcPr>
            <w:tcW w:w="4040" w:type="dxa"/>
            <w:vAlign w:val="bottom"/>
          </w:tcPr>
          <w:p>
            <w:pPr>
              <w:spacing w:after="0"/>
              <w:rPr>
                <w:sz w:val="24"/>
                <w:szCs w:val="24"/>
                <w:color w:val="auto"/>
              </w:rPr>
            </w:pPr>
          </w:p>
        </w:tc>
        <w:tc>
          <w:tcPr>
            <w:tcW w:w="4260" w:type="dxa"/>
            <w:vAlign w:val="bottom"/>
            <w:gridSpan w:val="2"/>
          </w:tcPr>
          <w:p>
            <w:pPr>
              <w:spacing w:after="0"/>
              <w:rPr>
                <w:sz w:val="20"/>
                <w:szCs w:val="20"/>
                <w:color w:val="auto"/>
              </w:rPr>
            </w:pPr>
            <w:r>
              <w:rPr>
                <w:rFonts w:ascii="Arial" w:cs="Arial" w:eastAsia="Arial" w:hAnsi="Arial"/>
                <w:sz w:val="22"/>
                <w:szCs w:val="22"/>
                <w:b w:val="1"/>
                <w:bCs w:val="1"/>
                <w:color w:val="auto"/>
              </w:rPr>
              <w:t>CAPITALIZATION</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830"/>
        </w:trPr>
        <w:tc>
          <w:tcPr>
            <w:tcW w:w="4040" w:type="dxa"/>
            <w:vAlign w:val="bottom"/>
          </w:tcPr>
          <w:p>
            <w:pPr>
              <w:spacing w:after="0"/>
              <w:rPr>
                <w:sz w:val="20"/>
                <w:szCs w:val="20"/>
                <w:color w:val="auto"/>
              </w:rPr>
            </w:pPr>
            <w:r>
              <w:rPr>
                <w:rFonts w:ascii="Arial" w:cs="Arial" w:eastAsia="Arial" w:hAnsi="Arial"/>
                <w:sz w:val="18"/>
                <w:szCs w:val="18"/>
                <w:b w:val="1"/>
                <w:bCs w:val="1"/>
                <w:color w:val="auto"/>
              </w:rPr>
              <w:t>Common Shares Authorized ($0.01 par value)</w:t>
            </w:r>
          </w:p>
        </w:tc>
        <w:tc>
          <w:tcPr>
            <w:tcW w:w="18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1,750,000,000</w:t>
            </w:r>
          </w:p>
        </w:tc>
        <w:tc>
          <w:tcPr>
            <w:tcW w:w="600" w:type="dxa"/>
            <w:vAlign w:val="bottom"/>
          </w:tcPr>
          <w:p>
            <w:pPr>
              <w:spacing w:after="0"/>
              <w:rPr>
                <w:sz w:val="24"/>
                <w:szCs w:val="24"/>
                <w:color w:val="auto"/>
              </w:rPr>
            </w:pPr>
          </w:p>
        </w:tc>
      </w:tr>
      <w:tr>
        <w:trPr>
          <w:trHeight w:val="675"/>
        </w:trPr>
        <w:tc>
          <w:tcPr>
            <w:tcW w:w="8300" w:type="dxa"/>
            <w:vAlign w:val="bottom"/>
            <w:gridSpan w:val="3"/>
          </w:tcPr>
          <w:p>
            <w:pPr>
              <w:spacing w:after="0"/>
              <w:rPr>
                <w:sz w:val="20"/>
                <w:szCs w:val="20"/>
                <w:color w:val="auto"/>
              </w:rPr>
            </w:pPr>
            <w:r>
              <w:rPr>
                <w:rFonts w:ascii="Arial" w:cs="Arial" w:eastAsia="Arial" w:hAnsi="Arial"/>
                <w:sz w:val="18"/>
                <w:szCs w:val="18"/>
                <w:color w:val="auto"/>
              </w:rPr>
              <w:t>Common Shares Outstanding</w:t>
            </w:r>
          </w:p>
        </w:tc>
        <w:tc>
          <w:tcPr>
            <w:tcW w:w="1700" w:type="dxa"/>
            <w:vAlign w:val="bottom"/>
          </w:tcPr>
          <w:p>
            <w:pPr>
              <w:jc w:val="right"/>
              <w:spacing w:after="0"/>
              <w:rPr>
                <w:sz w:val="20"/>
                <w:szCs w:val="20"/>
                <w:color w:val="auto"/>
              </w:rPr>
            </w:pPr>
            <w:r>
              <w:rPr>
                <w:rFonts w:ascii="Arial" w:cs="Arial" w:eastAsia="Arial" w:hAnsi="Arial"/>
                <w:sz w:val="18"/>
                <w:szCs w:val="18"/>
                <w:color w:val="auto"/>
              </w:rPr>
              <w:t>422,886,533</w:t>
            </w:r>
          </w:p>
        </w:tc>
        <w:tc>
          <w:tcPr>
            <w:tcW w:w="600" w:type="dxa"/>
            <w:vAlign w:val="bottom"/>
          </w:tcPr>
          <w:p>
            <w:pPr>
              <w:spacing w:after="0"/>
              <w:rPr>
                <w:sz w:val="24"/>
                <w:szCs w:val="24"/>
                <w:color w:val="auto"/>
              </w:rPr>
            </w:pPr>
          </w:p>
        </w:tc>
      </w:tr>
      <w:tr>
        <w:trPr>
          <w:trHeight w:val="270"/>
        </w:trPr>
        <w:tc>
          <w:tcPr>
            <w:tcW w:w="8300" w:type="dxa"/>
            <w:vAlign w:val="bottom"/>
            <w:gridSpan w:val="3"/>
          </w:tcPr>
          <w:p>
            <w:pPr>
              <w:spacing w:after="0"/>
              <w:rPr>
                <w:sz w:val="20"/>
                <w:szCs w:val="20"/>
                <w:color w:val="auto"/>
              </w:rPr>
            </w:pPr>
            <w:r>
              <w:rPr>
                <w:rFonts w:ascii="Arial" w:cs="Arial" w:eastAsia="Arial" w:hAnsi="Arial"/>
                <w:sz w:val="18"/>
                <w:szCs w:val="18"/>
                <w:color w:val="auto"/>
              </w:rPr>
              <w:t>Restricted Stock Unit Awards Outstanding at Target</w:t>
            </w:r>
          </w:p>
        </w:tc>
        <w:tc>
          <w:tcPr>
            <w:tcW w:w="1700" w:type="dxa"/>
            <w:vAlign w:val="bottom"/>
          </w:tcPr>
          <w:p>
            <w:pPr>
              <w:jc w:val="right"/>
              <w:spacing w:after="0"/>
              <w:rPr>
                <w:sz w:val="20"/>
                <w:szCs w:val="20"/>
                <w:color w:val="auto"/>
              </w:rPr>
            </w:pPr>
            <w:r>
              <w:rPr>
                <w:rFonts w:ascii="Arial" w:cs="Arial" w:eastAsia="Arial" w:hAnsi="Arial"/>
                <w:sz w:val="18"/>
                <w:szCs w:val="18"/>
                <w:color w:val="auto"/>
              </w:rPr>
              <w:t>7,471,737</w:t>
            </w:r>
          </w:p>
        </w:tc>
        <w:tc>
          <w:tcPr>
            <w:tcW w:w="600" w:type="dxa"/>
            <w:vAlign w:val="bottom"/>
          </w:tcPr>
          <w:p>
            <w:pPr>
              <w:spacing w:after="0"/>
              <w:rPr>
                <w:sz w:val="23"/>
                <w:szCs w:val="23"/>
                <w:color w:val="auto"/>
              </w:rPr>
            </w:pPr>
          </w:p>
        </w:tc>
      </w:tr>
      <w:tr>
        <w:trPr>
          <w:trHeight w:val="291"/>
        </w:trPr>
        <w:tc>
          <w:tcPr>
            <w:tcW w:w="8300" w:type="dxa"/>
            <w:vAlign w:val="bottom"/>
            <w:gridSpan w:val="3"/>
          </w:tcPr>
          <w:p>
            <w:pPr>
              <w:spacing w:after="0"/>
              <w:rPr>
                <w:sz w:val="20"/>
                <w:szCs w:val="20"/>
                <w:color w:val="auto"/>
              </w:rPr>
            </w:pPr>
            <w:r>
              <w:rPr>
                <w:rFonts w:ascii="Arial" w:cs="Arial" w:eastAsia="Arial" w:hAnsi="Arial"/>
                <w:sz w:val="18"/>
                <w:szCs w:val="18"/>
                <w:color w:val="auto"/>
              </w:rPr>
              <w:t>Additional Restricted Stock Unit Awards Assuming Max Performance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1,463,368</w:t>
            </w:r>
          </w:p>
        </w:tc>
        <w:tc>
          <w:tcPr>
            <w:tcW w:w="600" w:type="dxa"/>
            <w:vAlign w:val="bottom"/>
          </w:tcPr>
          <w:p>
            <w:pPr>
              <w:spacing w:after="0"/>
              <w:rPr>
                <w:sz w:val="24"/>
                <w:szCs w:val="24"/>
                <w:color w:val="auto"/>
              </w:rPr>
            </w:pPr>
          </w:p>
        </w:tc>
      </w:tr>
      <w:tr>
        <w:trPr>
          <w:trHeight w:val="20"/>
        </w:trPr>
        <w:tc>
          <w:tcPr>
            <w:tcW w:w="4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0"/>
        </w:trPr>
        <w:tc>
          <w:tcPr>
            <w:tcW w:w="83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jc w:val="right"/>
              <w:spacing w:after="0"/>
              <w:rPr>
                <w:sz w:val="20"/>
                <w:szCs w:val="20"/>
                <w:color w:val="auto"/>
              </w:rPr>
            </w:pPr>
            <w:r>
              <w:rPr>
                <w:rFonts w:ascii="Arial" w:cs="Arial" w:eastAsia="Arial" w:hAnsi="Arial"/>
                <w:sz w:val="18"/>
                <w:szCs w:val="18"/>
                <w:color w:val="auto"/>
              </w:rPr>
              <w:t>431,821,638</w:t>
            </w:r>
          </w:p>
        </w:tc>
        <w:tc>
          <w:tcPr>
            <w:tcW w:w="600" w:type="dxa"/>
            <w:vAlign w:val="bottom"/>
          </w:tcPr>
          <w:p>
            <w:pPr>
              <w:spacing w:after="0"/>
              <w:rPr>
                <w:sz w:val="20"/>
                <w:szCs w:val="20"/>
                <w:color w:val="auto"/>
              </w:rPr>
            </w:pPr>
          </w:p>
        </w:tc>
      </w:tr>
      <w:tr>
        <w:trPr>
          <w:trHeight w:val="675"/>
        </w:trPr>
        <w:tc>
          <w:tcPr>
            <w:tcW w:w="8300" w:type="dxa"/>
            <w:vAlign w:val="bottom"/>
            <w:gridSpan w:val="3"/>
          </w:tcPr>
          <w:p>
            <w:pPr>
              <w:spacing w:after="0"/>
              <w:rPr>
                <w:sz w:val="20"/>
                <w:szCs w:val="20"/>
                <w:color w:val="auto"/>
              </w:rPr>
            </w:pPr>
            <w:r>
              <w:rPr>
                <w:rFonts w:ascii="Arial" w:cs="Arial" w:eastAsia="Arial" w:hAnsi="Arial"/>
                <w:sz w:val="18"/>
                <w:szCs w:val="18"/>
                <w:color w:val="auto"/>
              </w:rPr>
              <w:t>Total Shares Available for Issuance Under 2013 Equity Incentive Plan</w:t>
            </w:r>
          </w:p>
        </w:tc>
        <w:tc>
          <w:tcPr>
            <w:tcW w:w="1700" w:type="dxa"/>
            <w:vAlign w:val="bottom"/>
          </w:tcPr>
          <w:p>
            <w:pPr>
              <w:jc w:val="right"/>
              <w:spacing w:after="0"/>
              <w:rPr>
                <w:sz w:val="20"/>
                <w:szCs w:val="20"/>
                <w:color w:val="auto"/>
              </w:rPr>
            </w:pPr>
            <w:r>
              <w:rPr>
                <w:rFonts w:ascii="Arial" w:cs="Arial" w:eastAsia="Arial" w:hAnsi="Arial"/>
                <w:sz w:val="18"/>
                <w:szCs w:val="18"/>
                <w:color w:val="auto"/>
              </w:rPr>
              <w:t>25,633,346</w:t>
            </w:r>
          </w:p>
        </w:tc>
        <w:tc>
          <w:tcPr>
            <w:tcW w:w="6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Arial" w:cs="Arial" w:eastAsia="Arial" w:hAnsi="Arial"/>
                <w:sz w:val="18"/>
                <w:szCs w:val="18"/>
                <w:b w:val="1"/>
                <w:bCs w:val="1"/>
                <w:color w:val="auto"/>
              </w:rPr>
              <w:t>Preferred Shares Authorized ($0.01 par value)</w:t>
            </w:r>
          </w:p>
        </w:tc>
        <w:tc>
          <w:tcPr>
            <w:tcW w:w="3640" w:type="dxa"/>
            <w:vAlign w:val="bottom"/>
          </w:tcPr>
          <w:p>
            <w:pPr>
              <w:jc w:val="right"/>
              <w:spacing w:after="0"/>
              <w:rPr>
                <w:sz w:val="20"/>
                <w:szCs w:val="20"/>
                <w:color w:val="auto"/>
              </w:rPr>
            </w:pPr>
            <w:r>
              <w:rPr>
                <w:rFonts w:ascii="Arial" w:cs="Arial" w:eastAsia="Arial" w:hAnsi="Arial"/>
                <w:sz w:val="18"/>
                <w:szCs w:val="18"/>
                <w:color w:val="auto"/>
              </w:rPr>
              <w:t>200,000,000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Preferred Shares Outstanding</w:t>
            </w:r>
          </w:p>
        </w:tc>
        <w:tc>
          <w:tcPr>
            <w:tcW w:w="39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67310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59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SCHEDULE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REQUIRED STOCKHOLDER APPROVALS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1240"/>
          </w:cols>
          <w:pgMar w:left="320" w:top="598" w:right="339" w:bottom="1440" w:gutter="0" w:footer="0" w:header="0"/>
        </w:sectPr>
      </w:pPr>
    </w:p>
    <w:bookmarkStart w:id="142" w:name="page143"/>
    <w:bookmarkEnd w:id="142"/>
    <w:p>
      <w:pPr>
        <w:ind w:left="10120"/>
        <w:spacing w:after="0"/>
        <w:rPr>
          <w:sz w:val="20"/>
          <w:szCs w:val="20"/>
          <w:color w:val="auto"/>
        </w:rPr>
      </w:pPr>
      <w:r>
        <w:rPr>
          <w:rFonts w:ascii="Arial" w:cs="Arial" w:eastAsia="Arial" w:hAnsi="Arial"/>
          <w:sz w:val="19"/>
          <w:szCs w:val="19"/>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40575" cy="4889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40575" cy="4889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 w:right="40"/>
        <w:spacing w:after="0" w:line="260" w:lineRule="auto"/>
        <w:rPr>
          <w:sz w:val="20"/>
          <w:szCs w:val="20"/>
          <w:color w:val="auto"/>
        </w:rPr>
      </w:pPr>
      <w:r>
        <w:rPr>
          <w:rFonts w:ascii="Arial" w:cs="Arial" w:eastAsia="Arial" w:hAnsi="Arial"/>
          <w:sz w:val="20"/>
          <w:szCs w:val="20"/>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3219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787 Aircraft</w:t>
      </w: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THIS SUPPLEMENTAL AGREEMENT No. 14 ( </w:t>
      </w:r>
      <w:r>
        <w:rPr>
          <w:rFonts w:ascii="Arial" w:cs="Arial" w:eastAsia="Arial" w:hAnsi="Arial"/>
          <w:sz w:val="22"/>
          <w:szCs w:val="22"/>
          <w:b w:val="1"/>
          <w:bCs w:val="1"/>
          <w:i w:val="1"/>
          <w:iCs w:val="1"/>
          <w:color w:val="auto"/>
        </w:rPr>
        <w:t>SA-14</w:t>
      </w:r>
      <w:r>
        <w:rPr>
          <w:rFonts w:ascii="Arial" w:cs="Arial" w:eastAsia="Arial" w:hAnsi="Arial"/>
          <w:sz w:val="22"/>
          <w:szCs w:val="22"/>
          <w:color w:val="auto"/>
        </w:rPr>
        <w:t xml:space="preserve"> ) is made between THE BOEING COMPANY, a Delaware corporation with offices in Seattle, Washington (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xml:space="preserve"> ), and AMERICAN AIRLINES, INC., a Delaware corporation with offices in Fort Worth, Texas, together with its successors and permitted assigns (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WHEREAS, Boeing and Customer entered into Purchase Agreement No. 3219 dated October 15, 2008, relating to Boeing Model 787 aircraft, as amended and supplemented (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xml:space="preserve"> ) and capitalized terms used herein without definitions shall have the meanings specified in such Purchase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WHEREAS, Boeing and Customer entered into Supplemental Agreement No. 11 dated April 6, 2018 ( </w:t>
      </w:r>
      <w:r>
        <w:rPr>
          <w:rFonts w:ascii="Arial" w:cs="Arial" w:eastAsia="Arial" w:hAnsi="Arial"/>
          <w:sz w:val="21"/>
          <w:szCs w:val="21"/>
          <w:b w:val="1"/>
          <w:bCs w:val="1"/>
          <w:i w:val="1"/>
          <w:iCs w:val="1"/>
          <w:color w:val="auto"/>
        </w:rPr>
        <w:t>SA-11</w:t>
      </w:r>
      <w:r>
        <w:rPr>
          <w:rFonts w:ascii="Arial" w:cs="Arial" w:eastAsia="Arial" w:hAnsi="Arial"/>
          <w:sz w:val="21"/>
          <w:szCs w:val="21"/>
          <w:color w:val="auto"/>
        </w:rPr>
        <w:t xml:space="preserve"> );</w:t>
      </w:r>
    </w:p>
    <w:p>
      <w:pPr>
        <w:spacing w:after="0" w:line="27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WHEREAS, on or about the date of SA-11 Customer, Boeing, and [****] entered into that certain “[****]” (the </w:t>
      </w:r>
      <w:r>
        <w:rPr>
          <w:rFonts w:ascii="Arial" w:cs="Arial" w:eastAsia="Arial" w:hAnsi="Arial"/>
          <w:sz w:val="19"/>
          <w:szCs w:val="19"/>
          <w:b w:val="1"/>
          <w:bCs w:val="1"/>
          <w:i w:val="1"/>
          <w:iCs w:val="1"/>
          <w:color w:val="auto"/>
        </w:rPr>
        <w:t>Original</w:t>
      </w:r>
      <w:r>
        <w:rPr>
          <w:rFonts w:ascii="Arial" w:cs="Arial" w:eastAsia="Arial" w:hAnsi="Arial"/>
          <w:sz w:val="19"/>
          <w:szCs w:val="19"/>
          <w:color w:val="auto"/>
        </w:rPr>
        <w:t xml:space="preserve"> [****]) whereby, subject to Customer’s option to [****] certain 2018 787-8 [****] Aircraft, [****], each of the 2018 787-8 [****] Aircraft, in which event [****] each of the 2018 787-8 [****] Aircraft [****] to Customer (each such [****], a [****]).</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on or about the date hereof Customer, Boeing, and [****] entered into that certain “[****]” (the [****]) whereby, the Original [****] is [****]and the [****] is [****] and in lieu of such [****], subject to Customer’s option to [****] certain 2018 787-8 [****] Aircraft,</w:t>
      </w: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180" w:val="left"/>
        </w:tabs>
        <w:rPr>
          <w:sz w:val="20"/>
          <w:szCs w:val="20"/>
          <w:color w:val="auto"/>
        </w:rPr>
      </w:pPr>
      <w:r>
        <w:rPr>
          <w:rFonts w:ascii="Arial" w:cs="Arial" w:eastAsia="Arial" w:hAnsi="Arial"/>
          <w:sz w:val="22"/>
          <w:szCs w:val="22"/>
          <w:color w:val="auto"/>
        </w:rPr>
        <w:t>PA 3219</w:t>
      </w:r>
      <w:r>
        <w:rPr>
          <w:sz w:val="20"/>
          <w:szCs w:val="20"/>
          <w:color w:val="auto"/>
        </w:rPr>
        <w:tab/>
      </w:r>
      <w:r>
        <w:rPr>
          <w:rFonts w:ascii="Arial" w:cs="Arial" w:eastAsia="Arial" w:hAnsi="Arial"/>
          <w:sz w:val="19"/>
          <w:szCs w:val="19"/>
          <w:color w:val="auto"/>
        </w:rPr>
        <w:t>SA-14 Page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3" w:name="page144"/>
    <w:bookmarkEnd w:id="143"/>
    <w:p>
      <w:pPr>
        <w:ind w:right="20"/>
        <w:spacing w:after="0" w:line="263" w:lineRule="auto"/>
        <w:rPr>
          <w:sz w:val="20"/>
          <w:szCs w:val="20"/>
          <w:color w:val="auto"/>
        </w:rPr>
      </w:pPr>
      <w:r>
        <w:rPr>
          <w:rFonts w:ascii="Arial" w:cs="Arial" w:eastAsia="Arial" w:hAnsi="Arial"/>
          <w:sz w:val="22"/>
          <w:szCs w:val="22"/>
          <w:color w:val="auto"/>
        </w:rPr>
        <w:t>Customer agrees to [****], and [****], each of the 2018 787-8 [****] Aircraft, in which event [****] each of the 2018 787-8 [****] Aircraft [****] to Customer (each such [****], a [****]).</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Customer and Boeing agree to amend and restate Section 9.2 of SA-11 to reflect the [****]; and</w:t>
      </w:r>
    </w:p>
    <w:p>
      <w:pPr>
        <w:spacing w:after="0" w:line="26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209"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22"/>
          <w:szCs w:val="22"/>
          <w:color w:val="auto"/>
        </w:rPr>
      </w:pPr>
      <w:r>
        <w:rPr>
          <w:rFonts w:ascii="Arial" w:cs="Arial" w:eastAsia="Arial" w:hAnsi="Arial"/>
          <w:sz w:val="22"/>
          <w:szCs w:val="22"/>
          <w:b w:val="1"/>
          <w:bCs w:val="1"/>
          <w:color w:val="auto"/>
        </w:rPr>
        <w:t>Amendment of Section 9 of SA-11.</w:t>
      </w:r>
    </w:p>
    <w:p>
      <w:pPr>
        <w:spacing w:after="0" w:line="26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1.1  The title of Section 9 is hereby deleted in its entirety and replaced with “[****]”.</w:t>
      </w:r>
    </w:p>
    <w:p>
      <w:pPr>
        <w:spacing w:after="0" w:line="260"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1.2  Section 9.2 of SA-11 is hereby deleted in its entirety and replaced with the following:</w:t>
      </w:r>
    </w:p>
    <w:p>
      <w:pPr>
        <w:spacing w:after="0" w:line="26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Customer and Boeing will [****]:</w:t>
      </w:r>
    </w:p>
    <w:p>
      <w:pPr>
        <w:spacing w:after="0" w:line="220"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9.2.1 the [****] for any 2018 787-8 [****] Aircraft following satisfaction by Customer of the applicable [****]; or</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9.2.2</w:t>
      </w:r>
      <w:r>
        <w:rPr>
          <w:sz w:val="20"/>
          <w:szCs w:val="20"/>
          <w:color w:val="auto"/>
        </w:rPr>
        <w:tab/>
      </w:r>
      <w:r>
        <w:rPr>
          <w:rFonts w:ascii="Arial" w:cs="Arial" w:eastAsia="Arial" w:hAnsi="Arial"/>
          <w:sz w:val="21"/>
          <w:szCs w:val="21"/>
          <w:color w:val="auto"/>
        </w:rPr>
        <w:t>Boeing, [****] for such 2018 787-8 [****] Aircraft.</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the event of a [****], Boeing agrees to [****] of the applicable 2018 787-8 [****] Aircraft for the [****]. Customer shall not be [****] the applicable 2018 787-8 [****] Aircraft during such [****], as applicable, notwithstanding the fact that such 2018 787-8 [****] Aircraft may otherwise be [****] during such [****]. For the avoidance of doubt, the [****] shall be deemed a [****] as defined in Section 1.13 of the Misc. Commitments LA, the [****] is otherwise subject to the terms and conditions of the AGTA and the Purchase Agreement.</w:t>
      </w:r>
    </w:p>
    <w:p>
      <w:pPr>
        <w:spacing w:after="0" w:line="300"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If prior to the [****], Boeing and Customer are [****], Customer may, within [****] following the [****], and in its sole discretion, either (i) [****] the applicable 2018 787-8 [****] Aircraft for which the [****] occurred, or (ii) [****] the Purchase Agreement with respect to (A) the applicable 2018 787-8 [****] Aircraft for which the [****] occurred, or (B) any [****] 2018 787-8 [****] Aircraft, including the applicable 2018 787-8 [****] Aircraft for which the [****] occurred, without [****] with respect to any such 2018 787-8 [****] Aircraft [****] by Customer in accordance with clause (ii) of this paragraph. If Customer [****] the Purchase Agreement as to [****] 2018 787-8 [****] Aircraft under this Section 9.2, Boeing shall (x) [****] by Customer for the [****] 2018 787-8 [****] Aircraft with [****] from Customer to Boeing of the [****] to Customer by Boeing pursuant to this Section 9.2, (y) [****] from Customer all [****] related to the [****] 2018 787-8 [****] Aircraft at the [****], by Customer, and (z) [****] Customer for all [****] related to the anticipated [****] of such [****] 2018 787-8 [****] Aircraft, including, but not limited to, all 2018 787-8 [****] Aircraft that have been [****] in accordance with this Section 9.2 but are not yet [****].”</w:t>
      </w:r>
    </w:p>
    <w:p>
      <w:pPr>
        <w:spacing w:after="0" w:line="200" w:lineRule="exact"/>
        <w:rPr>
          <w:sz w:val="20"/>
          <w:szCs w:val="20"/>
          <w:color w:val="auto"/>
        </w:rPr>
      </w:pPr>
    </w:p>
    <w:p>
      <w:pPr>
        <w:spacing w:after="0" w:line="321" w:lineRule="exact"/>
        <w:rPr>
          <w:sz w:val="20"/>
          <w:szCs w:val="20"/>
          <w:color w:val="auto"/>
        </w:rPr>
      </w:pPr>
    </w:p>
    <w:p>
      <w:pPr>
        <w:jc w:val="right"/>
        <w:spacing w:after="0"/>
        <w:tabs>
          <w:tab w:leader="none" w:pos="1180" w:val="left"/>
        </w:tabs>
        <w:rPr>
          <w:sz w:val="20"/>
          <w:szCs w:val="20"/>
          <w:color w:val="auto"/>
        </w:rPr>
      </w:pPr>
      <w:r>
        <w:rPr>
          <w:rFonts w:ascii="Arial" w:cs="Arial" w:eastAsia="Arial" w:hAnsi="Arial"/>
          <w:sz w:val="22"/>
          <w:szCs w:val="22"/>
          <w:color w:val="auto"/>
        </w:rPr>
        <w:t>PA 3219</w:t>
      </w:r>
      <w:r>
        <w:rPr>
          <w:sz w:val="20"/>
          <w:szCs w:val="20"/>
          <w:color w:val="auto"/>
        </w:rPr>
        <w:tab/>
      </w:r>
      <w:r>
        <w:rPr>
          <w:rFonts w:ascii="Arial" w:cs="Arial" w:eastAsia="Arial" w:hAnsi="Arial"/>
          <w:sz w:val="19"/>
          <w:szCs w:val="19"/>
          <w:color w:val="auto"/>
        </w:rPr>
        <w:t>SA-14 Page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44" w:name="page145"/>
    <w:bookmarkEnd w:id="144"/>
    <w:p>
      <w:pPr>
        <w:ind w:left="600" w:hanging="592"/>
        <w:spacing w:after="0"/>
        <w:tabs>
          <w:tab w:leader="none" w:pos="60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Purchase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p>
    <w:p>
      <w:pPr>
        <w:spacing w:after="0" w:line="374" w:lineRule="exact"/>
        <w:rPr>
          <w:sz w:val="20"/>
          <w:szCs w:val="20"/>
          <w:color w:val="auto"/>
        </w:rPr>
      </w:pPr>
    </w:p>
    <w:p>
      <w:pPr>
        <w:jc w:val="both"/>
        <w:ind w:firstLine="729"/>
        <w:spacing w:after="0" w:line="302" w:lineRule="auto"/>
        <w:rPr>
          <w:sz w:val="20"/>
          <w:szCs w:val="20"/>
          <w:color w:val="auto"/>
        </w:rPr>
      </w:pPr>
      <w:r>
        <w:rPr>
          <w:rFonts w:ascii="Arial" w:cs="Arial" w:eastAsia="Arial" w:hAnsi="Arial"/>
          <w:sz w:val="19"/>
          <w:szCs w:val="19"/>
          <w:color w:val="auto"/>
        </w:rPr>
        <w:t>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358" w:lineRule="exact"/>
        <w:rPr>
          <w:sz w:val="20"/>
          <w:szCs w:val="20"/>
          <w:color w:val="auto"/>
        </w:rPr>
      </w:pPr>
    </w:p>
    <w:p>
      <w:pPr>
        <w:jc w:val="right"/>
        <w:spacing w:after="0"/>
        <w:tabs>
          <w:tab w:leader="none" w:pos="1180" w:val="left"/>
        </w:tabs>
        <w:rPr>
          <w:sz w:val="20"/>
          <w:szCs w:val="20"/>
          <w:color w:val="auto"/>
        </w:rPr>
      </w:pPr>
      <w:r>
        <w:rPr>
          <w:rFonts w:ascii="Arial" w:cs="Arial" w:eastAsia="Arial" w:hAnsi="Arial"/>
          <w:sz w:val="22"/>
          <w:szCs w:val="22"/>
          <w:color w:val="auto"/>
        </w:rPr>
        <w:t>PA 3219</w:t>
      </w:r>
      <w:r>
        <w:rPr>
          <w:sz w:val="20"/>
          <w:szCs w:val="20"/>
          <w:color w:val="auto"/>
        </w:rPr>
        <w:tab/>
      </w:r>
      <w:r>
        <w:rPr>
          <w:rFonts w:ascii="Arial" w:cs="Arial" w:eastAsia="Arial" w:hAnsi="Arial"/>
          <w:sz w:val="19"/>
          <w:szCs w:val="19"/>
          <w:color w:val="auto"/>
        </w:rPr>
        <w:t>SA-14 Page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5" w:name="page146"/>
    <w:bookmarkEnd w:id="145"/>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February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24130</wp:posOffset>
            </wp:positionV>
            <wp:extent cx="32829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2"/>
          <w:szCs w:val="22"/>
          <w:b w:val="1"/>
          <w:bCs w:val="1"/>
          <w:color w:val="auto"/>
        </w:rPr>
        <w:t>AMERICAN AIRLINES, INC.</w:t>
      </w:r>
    </w:p>
    <w:p>
      <w:pPr>
        <w:sectPr>
          <w:pgSz w:w="11900" w:h="16838" w:orient="portrait"/>
          <w:cols w:equalWidth="0" w:num="1">
            <w:col w:w="11200"/>
          </w:cols>
          <w:pgMar w:left="36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46355</wp:posOffset>
            </wp:positionV>
            <wp:extent cx="32829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24130</wp:posOffset>
            </wp:positionV>
            <wp:extent cx="32829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24130</wp:posOffset>
            </wp:positionV>
            <wp:extent cx="32829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wp:posOffset>
            </wp:positionV>
            <wp:extent cx="3566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wp:posOffset>
            </wp:positionV>
            <wp:extent cx="3566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wp:posOffset>
            </wp:positionV>
            <wp:extent cx="3566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63" w:lineRule="exact"/>
        <w:rPr>
          <w:sz w:val="20"/>
          <w:szCs w:val="20"/>
          <w:color w:val="auto"/>
        </w:rPr>
      </w:pPr>
    </w:p>
    <w:p>
      <w:pPr>
        <w:jc w:val="right"/>
        <w:spacing w:after="0"/>
        <w:tabs>
          <w:tab w:leader="none" w:pos="1180" w:val="left"/>
        </w:tabs>
        <w:rPr>
          <w:sz w:val="20"/>
          <w:szCs w:val="20"/>
          <w:color w:val="auto"/>
        </w:rPr>
      </w:pPr>
      <w:r>
        <w:rPr>
          <w:rFonts w:ascii="Arial" w:cs="Arial" w:eastAsia="Arial" w:hAnsi="Arial"/>
          <w:sz w:val="22"/>
          <w:szCs w:val="22"/>
          <w:color w:val="auto"/>
        </w:rPr>
        <w:t>PA 3219</w:t>
      </w:r>
      <w:r>
        <w:rPr>
          <w:sz w:val="20"/>
          <w:szCs w:val="20"/>
          <w:color w:val="auto"/>
        </w:rPr>
        <w:tab/>
      </w:r>
      <w:r>
        <w:rPr>
          <w:rFonts w:ascii="Arial" w:cs="Arial" w:eastAsia="Arial" w:hAnsi="Arial"/>
          <w:sz w:val="19"/>
          <w:szCs w:val="19"/>
          <w:color w:val="auto"/>
        </w:rPr>
        <w:t>SA-14 Page 4</w:t>
      </w:r>
    </w:p>
    <w:p>
      <w:pPr>
        <w:spacing w:after="0" w:line="21" w:lineRule="exact"/>
        <w:rPr>
          <w:sz w:val="20"/>
          <w:szCs w:val="20"/>
          <w:color w:val="auto"/>
        </w:rPr>
      </w:pPr>
    </w:p>
    <w:p>
      <w:pPr>
        <w:sectPr>
          <w:pgSz w:w="11900" w:h="16838" w:orient="portrait"/>
          <w:cols w:equalWidth="0" w:num="2">
            <w:col w:w="4900" w:space="720"/>
            <w:col w:w="5580"/>
          </w:cols>
          <w:pgMar w:left="360" w:top="1440" w:right="339" w:bottom="1440" w:gutter="0" w:footer="0" w:header="0"/>
          <w:type w:val="continuous"/>
        </w:sectPr>
      </w:pPr>
    </w:p>
    <w:p>
      <w:pPr>
        <w:jc w:val="center"/>
        <w:ind w:right="4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00"/>
          </w:cols>
          <w:pgMar w:left="360" w:top="1440" w:right="339"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40575" cy="4883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40575" cy="488315"/>
                    </a:xfrm>
                    <a:prstGeom prst="rect">
                      <a:avLst/>
                    </a:prstGeom>
                    <a:noFill/>
                  </pic:spPr>
                </pic:pic>
              </a:graphicData>
            </a:graphic>
          </wp:anchor>
        </w:drawing>
      </w:r>
    </w:p>
    <w:p>
      <w:pPr>
        <w:spacing w:after="0" w:line="372" w:lineRule="exact"/>
        <w:rPr>
          <w:sz w:val="20"/>
          <w:szCs w:val="20"/>
          <w:color w:val="auto"/>
        </w:rPr>
      </w:pPr>
    </w:p>
    <w:p>
      <w:pPr>
        <w:ind w:left="40" w:right="40"/>
        <w:spacing w:after="0" w:line="260" w:lineRule="auto"/>
        <w:rPr>
          <w:sz w:val="20"/>
          <w:szCs w:val="20"/>
          <w:color w:val="auto"/>
        </w:rPr>
      </w:pPr>
      <w:r>
        <w:rPr>
          <w:rFonts w:ascii="Arial" w:cs="Arial" w:eastAsia="Arial" w:hAnsi="Arial"/>
          <w:sz w:val="20"/>
          <w:szCs w:val="20"/>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SUPPLEMENTAL AGREEMENT NO. 15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 No. 3219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BOEING COMPANY</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Relating to Boeing Model 787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THIS SUPPLEMENTAL AGREEMENT No. 15 ( </w:t>
      </w:r>
      <w:r>
        <w:rPr>
          <w:rFonts w:ascii="Arial" w:cs="Arial" w:eastAsia="Arial" w:hAnsi="Arial"/>
          <w:sz w:val="22"/>
          <w:szCs w:val="22"/>
          <w:b w:val="1"/>
          <w:bCs w:val="1"/>
          <w:i w:val="1"/>
          <w:iCs w:val="1"/>
          <w:color w:val="auto"/>
        </w:rPr>
        <w:t>SA-15</w:t>
      </w:r>
      <w:r>
        <w:rPr>
          <w:rFonts w:ascii="Arial" w:cs="Arial" w:eastAsia="Arial" w:hAnsi="Arial"/>
          <w:sz w:val="22"/>
          <w:szCs w:val="22"/>
          <w:color w:val="auto"/>
        </w:rPr>
        <w:t xml:space="preserve"> ) is made between THE BOEING COMPANY, a Delaware corporation with offices in Seattle, Washington (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xml:space="preserve"> ), and AMERICAN AIRLINES, INC, a Delaware corporation with offices in Fort Worth, Texas, together with its successors and permitted assigns (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xml:space="preserve"> );</w:t>
      </w:r>
    </w:p>
    <w:p>
      <w:pPr>
        <w:spacing w:after="0" w:line="185"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 xml:space="preserve">WHEREAS, Boeing and Customer entered into Purchase Agreement No. 3219 dated October 15, 2008, relating to Boeing Model 787 aircraft, as amended and supplemented (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xml:space="preserve"> ) and capitalized terms used herein without definitions shall have the meanings specified in such Purchase Agreement;</w:t>
      </w:r>
    </w:p>
    <w:p>
      <w:pPr>
        <w:spacing w:after="0" w:line="185"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WHEREAS, Letter Agreement AAL-PA-3219-LA-2001170 entitled “[****]” is being entered into in order provide for [****] for the 787-8 Aircraft identified in Table 6 and, if applicable, any [****] (as defined in Letter Agreement AAL-PA-03219-LA-1804779) [****] by Customer where Customer has [****] (as defined in Letter Agreement AAL-PA-03219-LA-1802262); and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the parties agree that the Purchase Agreement is amended as set forth below and otherwise agree as follows:</w:t>
      </w:r>
    </w:p>
    <w:p>
      <w:pPr>
        <w:spacing w:after="0" w:line="391" w:lineRule="exact"/>
        <w:rPr>
          <w:sz w:val="20"/>
          <w:szCs w:val="20"/>
          <w:color w:val="auto"/>
        </w:rPr>
      </w:pPr>
    </w:p>
    <w:p>
      <w:pPr>
        <w:spacing w:after="0"/>
        <w:tabs>
          <w:tab w:leader="none" w:pos="1000" w:val="left"/>
          <w:tab w:leader="none" w:pos="2060" w:val="left"/>
        </w:tabs>
        <w:rPr>
          <w:sz w:val="20"/>
          <w:szCs w:val="20"/>
          <w:color w:val="auto"/>
        </w:rPr>
      </w:pPr>
      <w:r>
        <w:rPr>
          <w:rFonts w:ascii="Arial" w:cs="Arial" w:eastAsia="Arial" w:hAnsi="Arial"/>
          <w:sz w:val="22"/>
          <w:szCs w:val="22"/>
          <w:color w:val="auto"/>
        </w:rPr>
        <w:t>PA 3219</w:t>
        <w:tab/>
        <w:t>SA-15</w:t>
      </w:r>
      <w:r>
        <w:rPr>
          <w:sz w:val="20"/>
          <w:szCs w:val="20"/>
          <w:color w:val="auto"/>
        </w:rPr>
        <w:tab/>
      </w:r>
      <w:r>
        <w:rPr>
          <w:rFonts w:ascii="Arial" w:cs="Arial" w:eastAsia="Arial" w:hAnsi="Arial"/>
          <w:sz w:val="18"/>
          <w:szCs w:val="18"/>
          <w:color w:val="auto"/>
        </w:rPr>
        <w:t>Page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7" w:name="page148"/>
    <w:bookmarkEnd w:id="147"/>
    <w:p>
      <w:pPr>
        <w:ind w:left="660" w:hanging="652"/>
        <w:spacing w:after="0"/>
        <w:tabs>
          <w:tab w:leader="none" w:pos="660" w:val="left"/>
        </w:tabs>
        <w:numPr>
          <w:ilvl w:val="0"/>
          <w:numId w:val="121"/>
        </w:numPr>
        <w:rPr>
          <w:rFonts w:ascii="Arial" w:cs="Arial" w:eastAsia="Arial" w:hAnsi="Arial"/>
          <w:sz w:val="22"/>
          <w:szCs w:val="22"/>
          <w:color w:val="auto"/>
        </w:rPr>
      </w:pPr>
      <w:r>
        <w:rPr>
          <w:rFonts w:ascii="Arial" w:cs="Arial" w:eastAsia="Arial" w:hAnsi="Arial"/>
          <w:sz w:val="22"/>
          <w:szCs w:val="22"/>
          <w:b w:val="1"/>
          <w:bCs w:val="1"/>
          <w:u w:val="single" w:color="auto"/>
          <w:color w:val="auto"/>
        </w:rPr>
        <w:t>Table of Contents</w:t>
      </w:r>
      <w:r>
        <w:rPr>
          <w:rFonts w:ascii="Arial" w:cs="Arial" w:eastAsia="Arial" w:hAnsi="Arial"/>
          <w:sz w:val="22"/>
          <w:szCs w:val="22"/>
          <w:b w:val="1"/>
          <w:bCs w:val="1"/>
          <w:color w:val="auto"/>
        </w:rPr>
        <w:t xml:space="preserve"> .</w:t>
      </w:r>
    </w:p>
    <w:p>
      <w:pPr>
        <w:spacing w:after="0" w:line="17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Table of Contents referencing SA-13 in the footer is deleted in its entirety and is replaced with the new Table of Contents (attached hereto) referencing SA-15 in the footer. Such new Table of Contents is hereby incorporated into the Purchase Agreement in replacement of its predecessor.</w:t>
      </w:r>
    </w:p>
    <w:p>
      <w:pPr>
        <w:spacing w:after="0" w:line="220"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22"/>
          <w:szCs w:val="22"/>
          <w:color w:val="auto"/>
        </w:rPr>
      </w:pPr>
      <w:r>
        <w:rPr>
          <w:rFonts w:ascii="Arial" w:cs="Arial" w:eastAsia="Arial" w:hAnsi="Arial"/>
          <w:sz w:val="22"/>
          <w:szCs w:val="22"/>
          <w:b w:val="1"/>
          <w:bCs w:val="1"/>
          <w:u w:val="single" w:color="auto"/>
          <w:color w:val="auto"/>
        </w:rPr>
        <w:t>Letter Agreements</w:t>
      </w:r>
      <w:r>
        <w:rPr>
          <w:rFonts w:ascii="Arial" w:cs="Arial" w:eastAsia="Arial" w:hAnsi="Arial"/>
          <w:sz w:val="22"/>
          <w:szCs w:val="22"/>
          <w:b w:val="1"/>
          <w:bCs w:val="1"/>
          <w:color w:val="auto"/>
        </w:rPr>
        <w:t xml:space="preserve"> .</w:t>
      </w:r>
    </w:p>
    <w:p>
      <w:pPr>
        <w:spacing w:after="0" w:line="17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Letter Agreement AAL-PA-3219-LA-2001170 entitled “[****]” (attached hereto) referencing SA-15 in its footer, is hereby incorporated into the Purchase Agreement.</w:t>
      </w:r>
    </w:p>
    <w:p>
      <w:pPr>
        <w:spacing w:after="0" w:line="209"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 on Purchase Agreement</w:t>
      </w:r>
    </w:p>
    <w:p>
      <w:pPr>
        <w:spacing w:after="0" w:line="17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The rest of this page is left intentionally blank.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000" w:val="left"/>
          <w:tab w:leader="none" w:pos="2060" w:val="left"/>
        </w:tabs>
        <w:rPr>
          <w:sz w:val="20"/>
          <w:szCs w:val="20"/>
          <w:color w:val="auto"/>
        </w:rPr>
      </w:pPr>
      <w:r>
        <w:rPr>
          <w:rFonts w:ascii="Arial" w:cs="Arial" w:eastAsia="Arial" w:hAnsi="Arial"/>
          <w:sz w:val="22"/>
          <w:szCs w:val="22"/>
          <w:color w:val="auto"/>
        </w:rPr>
        <w:t>PA 3219</w:t>
        <w:tab/>
        <w:t>SA-15</w:t>
      </w:r>
      <w:r>
        <w:rPr>
          <w:sz w:val="20"/>
          <w:szCs w:val="20"/>
          <w:color w:val="auto"/>
        </w:rPr>
        <w:tab/>
      </w:r>
      <w:r>
        <w:rPr>
          <w:rFonts w:ascii="Arial" w:cs="Arial" w:eastAsia="Arial" w:hAnsi="Arial"/>
          <w:sz w:val="18"/>
          <w:szCs w:val="18"/>
          <w:color w:val="auto"/>
        </w:rPr>
        <w:t>Page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8" w:name="page149"/>
    <w:bookmarkEnd w:id="148"/>
    <w:p>
      <w:pPr>
        <w:spacing w:after="0" w:line="82" w:lineRule="exact"/>
        <w:rPr>
          <w:sz w:val="20"/>
          <w:szCs w:val="20"/>
          <w:color w:val="auto"/>
        </w:rPr>
      </w:pPr>
    </w:p>
    <w:p>
      <w:pPr>
        <w:ind w:left="40"/>
        <w:spacing w:after="0"/>
        <w:rPr>
          <w:sz w:val="20"/>
          <w:szCs w:val="20"/>
          <w:color w:val="auto"/>
        </w:rPr>
      </w:pPr>
      <w:r>
        <w:rPr>
          <w:rFonts w:ascii="Arial" w:cs="Arial" w:eastAsia="Arial" w:hAnsi="Arial"/>
          <w:sz w:val="22"/>
          <w:szCs w:val="22"/>
          <w:color w:val="auto"/>
        </w:rPr>
        <w:t>AGREED AND ACCEPTED</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March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2829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22"/>
          <w:szCs w:val="22"/>
          <w:b w:val="1"/>
          <w:bCs w:val="1"/>
          <w:color w:val="auto"/>
        </w:rPr>
        <w:t>THE BOEING COMPANY</w:t>
      </w:r>
      <w:r>
        <w:rPr>
          <w:sz w:val="20"/>
          <w:szCs w:val="20"/>
          <w:color w:val="auto"/>
        </w:rPr>
        <w:tab/>
      </w:r>
      <w:r>
        <w:rPr>
          <w:rFonts w:ascii="Arial" w:cs="Arial" w:eastAsia="Arial" w:hAnsi="Arial"/>
          <w:sz w:val="22"/>
          <w:szCs w:val="22"/>
          <w:b w:val="1"/>
          <w:bCs w:val="1"/>
          <w:color w:val="auto"/>
        </w:rPr>
        <w:t>AMERICAN AIRLINES, INC.</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2829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Signature</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2829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Printed name</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28295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1000" w:val="left"/>
          <w:tab w:leader="none" w:pos="2060" w:val="left"/>
        </w:tabs>
        <w:rPr>
          <w:sz w:val="20"/>
          <w:szCs w:val="20"/>
          <w:color w:val="auto"/>
        </w:rPr>
      </w:pPr>
      <w:r>
        <w:rPr>
          <w:rFonts w:ascii="Arial" w:cs="Arial" w:eastAsia="Arial" w:hAnsi="Arial"/>
          <w:sz w:val="22"/>
          <w:szCs w:val="22"/>
          <w:color w:val="auto"/>
        </w:rPr>
        <w:t>PA 3219</w:t>
        <w:tab/>
        <w:t>SA-15</w:t>
      </w:r>
      <w:r>
        <w:rPr>
          <w:sz w:val="20"/>
          <w:szCs w:val="20"/>
          <w:color w:val="auto"/>
        </w:rPr>
        <w:tab/>
      </w: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46355</wp:posOffset>
            </wp:positionV>
            <wp:extent cx="3566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wp:posOffset>
            </wp:positionV>
            <wp:extent cx="3566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Printed name</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wp:posOffset>
            </wp:positionV>
            <wp:extent cx="3566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993" w:lineRule="exact"/>
        <w:rPr>
          <w:sz w:val="20"/>
          <w:szCs w:val="20"/>
          <w:color w:val="auto"/>
        </w:rPr>
      </w:pPr>
    </w:p>
    <w:p>
      <w:pPr>
        <w:sectPr>
          <w:pgSz w:w="11900" w:h="16838" w:orient="portrait"/>
          <w:cols w:equalWidth="0" w:num="2">
            <w:col w:w="4940" w:space="720"/>
            <w:col w:w="4479"/>
          </w:cols>
          <w:pgMar w:left="320" w:top="1440" w:right="1440" w:bottom="1440" w:gutter="0" w:footer="0" w:header="0"/>
          <w:type w:val="continuous"/>
        </w:sectPr>
      </w:pPr>
    </w:p>
    <w:p>
      <w:pPr>
        <w:ind w:left="4380"/>
        <w:spacing w:after="0"/>
        <w:rPr>
          <w:sz w:val="20"/>
          <w:szCs w:val="20"/>
          <w:color w:val="auto"/>
        </w:rPr>
      </w:pPr>
      <w:r>
        <w:rPr>
          <w:rFonts w:ascii="Arial" w:cs="Arial" w:eastAsia="Arial" w:hAnsi="Arial"/>
          <w:sz w:val="21"/>
          <w:szCs w:val="21"/>
          <w:b w:val="1"/>
          <w:bCs w:val="1"/>
          <w:color w:val="auto"/>
        </w:rPr>
        <w:t>BOEING PROPRIETARY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149" w:name="page150"/>
    <w:bookmarkEnd w:id="149"/>
    <w:tbl>
      <w:tblPr>
        <w:tblLayout w:type="fixed"/>
        <w:tblInd w:w="660" w:type="dxa"/>
        <w:tblCellMar>
          <w:top w:w="0" w:type="dxa"/>
          <w:left w:w="0" w:type="dxa"/>
          <w:bottom w:w="0" w:type="dxa"/>
          <w:right w:w="0" w:type="dxa"/>
        </w:tblCellMar>
      </w:tblPr>
      <w:tr>
        <w:trPr>
          <w:trHeight w:val="250"/>
        </w:trPr>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160" w:type="dxa"/>
            <w:vAlign w:val="bottom"/>
            <w:gridSpan w:val="2"/>
          </w:tcPr>
          <w:p>
            <w:pPr>
              <w:ind w:left="1480"/>
              <w:spacing w:after="0"/>
              <w:rPr>
                <w:sz w:val="20"/>
                <w:szCs w:val="20"/>
                <w:color w:val="auto"/>
              </w:rPr>
            </w:pPr>
            <w:r>
              <w:rPr>
                <w:rFonts w:ascii="Arial" w:cs="Arial" w:eastAsia="Arial" w:hAnsi="Arial"/>
                <w:sz w:val="20"/>
                <w:szCs w:val="20"/>
                <w:color w:val="auto"/>
              </w:rPr>
              <w:t>TABLE OF CONTENTS</w:t>
            </w: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7"/>
              </w:rPr>
              <w:t>SA</w:t>
            </w:r>
          </w:p>
        </w:tc>
        <w:tc>
          <w:tcPr>
            <w:tcW w:w="0" w:type="dxa"/>
            <w:vAlign w:val="bottom"/>
          </w:tcPr>
          <w:p>
            <w:pPr>
              <w:spacing w:after="0"/>
              <w:rPr>
                <w:sz w:val="1"/>
                <w:szCs w:val="1"/>
                <w:color w:val="auto"/>
              </w:rPr>
            </w:pPr>
          </w:p>
        </w:tc>
      </w:tr>
      <w:tr>
        <w:trPr>
          <w:trHeight w:val="206"/>
        </w:trPr>
        <w:tc>
          <w:tcPr>
            <w:tcW w:w="220" w:type="dxa"/>
            <w:vAlign w:val="bottom"/>
          </w:tcPr>
          <w:p>
            <w:pPr>
              <w:spacing w:after="0"/>
              <w:rPr>
                <w:sz w:val="17"/>
                <w:szCs w:val="17"/>
                <w:color w:val="auto"/>
              </w:rPr>
            </w:pPr>
          </w:p>
        </w:tc>
        <w:tc>
          <w:tcPr>
            <w:tcW w:w="1640" w:type="dxa"/>
            <w:vAlign w:val="bottom"/>
            <w:gridSpan w:val="9"/>
          </w:tcPr>
          <w:p>
            <w:pPr>
              <w:jc w:val="center"/>
              <w:ind w:right="671"/>
              <w:spacing w:after="0" w:line="206" w:lineRule="exact"/>
              <w:rPr>
                <w:sz w:val="20"/>
                <w:szCs w:val="20"/>
                <w:color w:val="auto"/>
              </w:rPr>
            </w:pPr>
            <w:r>
              <w:rPr>
                <w:rFonts w:ascii="Arial" w:cs="Arial" w:eastAsia="Arial" w:hAnsi="Arial"/>
                <w:sz w:val="20"/>
                <w:szCs w:val="20"/>
                <w:color w:val="auto"/>
                <w:w w:val="94"/>
              </w:rPr>
              <w:t>ARTICLES</w:t>
            </w:r>
          </w:p>
        </w:tc>
        <w:tc>
          <w:tcPr>
            <w:tcW w:w="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80" w:type="dxa"/>
            <w:vAlign w:val="bottom"/>
            <w:gridSpan w:val="2"/>
          </w:tcPr>
          <w:p>
            <w:pPr>
              <w:jc w:val="center"/>
              <w:ind w:left="641"/>
              <w:spacing w:after="0" w:line="206" w:lineRule="exact"/>
              <w:rPr>
                <w:sz w:val="20"/>
                <w:szCs w:val="20"/>
                <w:color w:val="auto"/>
              </w:rPr>
            </w:pPr>
            <w:r>
              <w:rPr>
                <w:rFonts w:ascii="Arial" w:cs="Arial" w:eastAsia="Arial" w:hAnsi="Arial"/>
                <w:sz w:val="20"/>
                <w:szCs w:val="20"/>
                <w:color w:val="auto"/>
                <w:w w:val="96"/>
              </w:rPr>
              <w:t>NUMBER</w:t>
            </w: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540" w:type="dxa"/>
            <w:vAlign w:val="bottom"/>
            <w:tcBorders>
              <w:top w:val="single" w:sz="8" w:color="auto"/>
            </w:tcBorders>
            <w:gridSpan w:val="3"/>
          </w:tcPr>
          <w:p>
            <w:pPr>
              <w:jc w:val="center"/>
              <w:ind w:left="281"/>
              <w:spacing w:after="0"/>
              <w:rPr>
                <w:sz w:val="20"/>
                <w:szCs w:val="20"/>
                <w:color w:val="auto"/>
              </w:rPr>
            </w:pPr>
            <w:r>
              <w:rPr>
                <w:rFonts w:ascii="Arial" w:cs="Arial" w:eastAsia="Arial" w:hAnsi="Arial"/>
                <w:sz w:val="20"/>
                <w:szCs w:val="20"/>
                <w:color w:val="auto"/>
                <w:w w:val="95"/>
              </w:rPr>
              <w:t>1.</w:t>
            </w: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Quantity, Model and Description</w:t>
            </w:r>
          </w:p>
        </w:tc>
        <w:tc>
          <w:tcPr>
            <w:tcW w:w="740" w:type="dxa"/>
            <w:vAlign w:val="bottom"/>
          </w:tcPr>
          <w:p>
            <w:pPr>
              <w:spacing w:after="0"/>
              <w:rPr>
                <w:sz w:val="24"/>
                <w:szCs w:val="24"/>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283"/>
        </w:trPr>
        <w:tc>
          <w:tcPr>
            <w:tcW w:w="760" w:type="dxa"/>
            <w:vAlign w:val="bottom"/>
            <w:gridSpan w:val="4"/>
          </w:tcPr>
          <w:p>
            <w:pPr>
              <w:jc w:val="center"/>
              <w:ind w:left="501"/>
              <w:spacing w:after="0"/>
              <w:rPr>
                <w:sz w:val="20"/>
                <w:szCs w:val="20"/>
                <w:color w:val="auto"/>
              </w:rPr>
            </w:pPr>
            <w:r>
              <w:rPr>
                <w:rFonts w:ascii="Arial" w:cs="Arial" w:eastAsia="Arial" w:hAnsi="Arial"/>
                <w:sz w:val="20"/>
                <w:szCs w:val="20"/>
                <w:color w:val="auto"/>
                <w:w w:val="95"/>
              </w:rPr>
              <w:t>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Delivery Schedule</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283"/>
        </w:trPr>
        <w:tc>
          <w:tcPr>
            <w:tcW w:w="760" w:type="dxa"/>
            <w:vAlign w:val="bottom"/>
            <w:gridSpan w:val="4"/>
          </w:tcPr>
          <w:p>
            <w:pPr>
              <w:jc w:val="center"/>
              <w:ind w:left="501"/>
              <w:spacing w:after="0"/>
              <w:rPr>
                <w:sz w:val="20"/>
                <w:szCs w:val="20"/>
                <w:color w:val="auto"/>
              </w:rPr>
            </w:pPr>
            <w:r>
              <w:rPr>
                <w:rFonts w:ascii="Arial" w:cs="Arial" w:eastAsia="Arial" w:hAnsi="Arial"/>
                <w:sz w:val="20"/>
                <w:szCs w:val="20"/>
                <w:color w:val="auto"/>
                <w:w w:val="95"/>
              </w:rPr>
              <w:t>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Price</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283"/>
        </w:trPr>
        <w:tc>
          <w:tcPr>
            <w:tcW w:w="760" w:type="dxa"/>
            <w:vAlign w:val="bottom"/>
            <w:gridSpan w:val="4"/>
          </w:tcPr>
          <w:p>
            <w:pPr>
              <w:jc w:val="center"/>
              <w:ind w:left="501"/>
              <w:spacing w:after="0"/>
              <w:rPr>
                <w:sz w:val="20"/>
                <w:szCs w:val="20"/>
                <w:color w:val="auto"/>
              </w:rPr>
            </w:pPr>
            <w:r>
              <w:rPr>
                <w:rFonts w:ascii="Arial" w:cs="Arial" w:eastAsia="Arial" w:hAnsi="Arial"/>
                <w:sz w:val="20"/>
                <w:szCs w:val="20"/>
                <w:color w:val="auto"/>
                <w:w w:val="95"/>
              </w:rPr>
              <w:t>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Payment</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284"/>
        </w:trPr>
        <w:tc>
          <w:tcPr>
            <w:tcW w:w="760" w:type="dxa"/>
            <w:vAlign w:val="bottom"/>
            <w:gridSpan w:val="4"/>
          </w:tcPr>
          <w:p>
            <w:pPr>
              <w:jc w:val="center"/>
              <w:ind w:left="501"/>
              <w:spacing w:after="0"/>
              <w:rPr>
                <w:sz w:val="20"/>
                <w:szCs w:val="20"/>
                <w:color w:val="auto"/>
              </w:rPr>
            </w:pPr>
            <w:r>
              <w:rPr>
                <w:rFonts w:ascii="Arial" w:cs="Arial" w:eastAsia="Arial" w:hAnsi="Arial"/>
                <w:sz w:val="20"/>
                <w:szCs w:val="20"/>
                <w:color w:val="auto"/>
                <w:w w:val="95"/>
              </w:rPr>
              <w:t>5.</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Miscellaneous</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283"/>
        </w:trPr>
        <w:tc>
          <w:tcPr>
            <w:tcW w:w="760" w:type="dxa"/>
            <w:vAlign w:val="bottom"/>
            <w:gridSpan w:val="4"/>
          </w:tcPr>
          <w:p>
            <w:pPr>
              <w:jc w:val="center"/>
              <w:ind w:left="501"/>
              <w:spacing w:after="0"/>
              <w:rPr>
                <w:sz w:val="20"/>
                <w:szCs w:val="20"/>
                <w:color w:val="auto"/>
              </w:rPr>
            </w:pPr>
            <w:r>
              <w:rPr>
                <w:rFonts w:ascii="Arial" w:cs="Arial" w:eastAsia="Arial" w:hAnsi="Arial"/>
                <w:sz w:val="20"/>
                <w:szCs w:val="20"/>
                <w:color w:val="auto"/>
                <w:w w:val="95"/>
              </w:rPr>
              <w:t>6.</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Confidential Treatment</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8"/>
          </w:tcPr>
          <w:p>
            <w:pPr>
              <w:jc w:val="center"/>
              <w:ind w:right="751"/>
              <w:spacing w:after="0"/>
              <w:rPr>
                <w:sz w:val="20"/>
                <w:szCs w:val="20"/>
                <w:color w:val="auto"/>
              </w:rPr>
            </w:pPr>
            <w:r>
              <w:rPr>
                <w:rFonts w:ascii="Arial" w:cs="Arial" w:eastAsia="Arial" w:hAnsi="Arial"/>
                <w:sz w:val="20"/>
                <w:szCs w:val="20"/>
                <w:color w:val="auto"/>
                <w:w w:val="97"/>
              </w:rPr>
              <w:t>TABLE</w:t>
            </w:r>
          </w:p>
        </w:tc>
        <w:tc>
          <w:tcPr>
            <w:tcW w:w="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jc w:val="center"/>
              <w:ind w:left="141"/>
              <w:spacing w:after="0"/>
              <w:rPr>
                <w:sz w:val="20"/>
                <w:szCs w:val="20"/>
                <w:color w:val="auto"/>
              </w:rPr>
            </w:pPr>
            <w:r>
              <w:rPr>
                <w:rFonts w:ascii="Arial" w:cs="Arial" w:eastAsia="Arial" w:hAnsi="Arial"/>
                <w:sz w:val="20"/>
                <w:szCs w:val="20"/>
                <w:color w:val="auto"/>
                <w:strike w:val="1"/>
                <w:w w:val="95"/>
              </w:rPr>
              <w:t>1.</w:t>
            </w:r>
          </w:p>
        </w:tc>
        <w:tc>
          <w:tcPr>
            <w:tcW w:w="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60" w:type="dxa"/>
            <w:vAlign w:val="bottom"/>
            <w:gridSpan w:val="2"/>
          </w:tcPr>
          <w:p>
            <w:pPr>
              <w:ind w:left="180"/>
              <w:spacing w:after="0"/>
              <w:rPr>
                <w:sz w:val="20"/>
                <w:szCs w:val="20"/>
                <w:color w:val="auto"/>
              </w:rPr>
            </w:pPr>
            <w:r>
              <w:rPr>
                <w:rFonts w:ascii="Arial" w:cs="Arial" w:eastAsia="Arial" w:hAnsi="Arial"/>
                <w:sz w:val="20"/>
                <w:szCs w:val="20"/>
                <w:color w:val="auto"/>
                <w:strike w:val="1"/>
                <w:w w:val="94"/>
              </w:rPr>
              <w:t>Aircraft Information Table – TRENT</w:t>
            </w:r>
          </w:p>
        </w:tc>
        <w:tc>
          <w:tcPr>
            <w:tcW w:w="3620" w:type="dxa"/>
            <w:vAlign w:val="bottom"/>
          </w:tcPr>
          <w:p>
            <w:pPr>
              <w:ind w:left="100"/>
              <w:spacing w:after="0"/>
              <w:rPr>
                <w:sz w:val="20"/>
                <w:szCs w:val="20"/>
                <w:color w:val="auto"/>
              </w:rPr>
            </w:pPr>
            <w:r>
              <w:rPr>
                <w:rFonts w:ascii="Arial" w:cs="Arial" w:eastAsia="Arial" w:hAnsi="Arial"/>
                <w:sz w:val="20"/>
                <w:szCs w:val="20"/>
                <w:color w:val="auto"/>
              </w:rPr>
              <w:t>WITHDRAWN</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SA-2</w:t>
            </w: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center"/>
              <w:ind w:right="831"/>
              <w:spacing w:after="0"/>
              <w:rPr>
                <w:sz w:val="20"/>
                <w:szCs w:val="20"/>
                <w:color w:val="auto"/>
              </w:rPr>
            </w:pPr>
            <w:r>
              <w:rPr>
                <w:rFonts w:ascii="Arial" w:cs="Arial" w:eastAsia="Arial" w:hAnsi="Arial"/>
                <w:sz w:val="20"/>
                <w:szCs w:val="20"/>
                <w:color w:val="auto"/>
                <w:w w:val="91"/>
              </w:rPr>
              <w:t>1(R7)</w:t>
            </w: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787-9 Aircraft Information Table – GENX</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center"/>
              <w:ind w:right="831"/>
              <w:spacing w:after="0"/>
              <w:rPr>
                <w:sz w:val="20"/>
                <w:szCs w:val="20"/>
                <w:color w:val="auto"/>
              </w:rPr>
            </w:pPr>
            <w:r>
              <w:rPr>
                <w:rFonts w:ascii="Arial" w:cs="Arial" w:eastAsia="Arial" w:hAnsi="Arial"/>
                <w:sz w:val="20"/>
                <w:szCs w:val="20"/>
                <w:color w:val="auto"/>
                <w:w w:val="91"/>
              </w:rPr>
              <w:t>2(R1)</w:t>
            </w:r>
          </w:p>
        </w:tc>
        <w:tc>
          <w:tcPr>
            <w:tcW w:w="6780" w:type="dxa"/>
            <w:vAlign w:val="bottom"/>
            <w:gridSpan w:val="3"/>
            <w:vMerge w:val="restart"/>
          </w:tcPr>
          <w:p>
            <w:pPr>
              <w:ind w:left="180"/>
              <w:spacing w:after="0"/>
              <w:rPr>
                <w:sz w:val="20"/>
                <w:szCs w:val="20"/>
                <w:color w:val="auto"/>
              </w:rPr>
            </w:pPr>
            <w:r>
              <w:rPr>
                <w:rFonts w:ascii="Arial" w:cs="Arial" w:eastAsia="Arial" w:hAnsi="Arial"/>
                <w:sz w:val="20"/>
                <w:szCs w:val="20"/>
                <w:color w:val="auto"/>
              </w:rPr>
              <w:t>787-8 Aircraft Information Table – GENX</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SA-5</w:t>
            </w:r>
          </w:p>
        </w:tc>
        <w:tc>
          <w:tcPr>
            <w:tcW w:w="0" w:type="dxa"/>
            <w:vAlign w:val="bottom"/>
          </w:tcPr>
          <w:p>
            <w:pPr>
              <w:spacing w:after="0"/>
              <w:rPr>
                <w:sz w:val="1"/>
                <w:szCs w:val="1"/>
                <w:color w:val="auto"/>
              </w:rPr>
            </w:pPr>
          </w:p>
        </w:tc>
      </w:tr>
      <w:tr>
        <w:trPr>
          <w:trHeight w:val="87"/>
        </w:trPr>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78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780" w:type="dxa"/>
            <w:vAlign w:val="bottom"/>
            <w:gridSpan w:val="3"/>
          </w:tcPr>
          <w:p>
            <w:pPr>
              <w:ind w:left="500"/>
              <w:spacing w:after="0"/>
              <w:rPr>
                <w:sz w:val="20"/>
                <w:szCs w:val="20"/>
                <w:color w:val="auto"/>
              </w:rPr>
            </w:pPr>
            <w:r>
              <w:rPr>
                <w:rFonts w:ascii="Arial" w:cs="Arial" w:eastAsia="Arial" w:hAnsi="Arial"/>
                <w:sz w:val="20"/>
                <w:szCs w:val="20"/>
                <w:color w:val="auto"/>
              </w:rPr>
              <w:t>([****] (12) 787-8 Aircraft)</w:t>
            </w: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center"/>
              <w:ind w:right="831"/>
              <w:spacing w:after="0"/>
              <w:rPr>
                <w:sz w:val="20"/>
                <w:szCs w:val="20"/>
                <w:color w:val="auto"/>
              </w:rPr>
            </w:pPr>
            <w:r>
              <w:rPr>
                <w:rFonts w:ascii="Arial" w:cs="Arial" w:eastAsia="Arial" w:hAnsi="Arial"/>
                <w:sz w:val="20"/>
                <w:szCs w:val="20"/>
                <w:color w:val="auto"/>
                <w:w w:val="91"/>
              </w:rPr>
              <w:t>3(R1)</w:t>
            </w:r>
          </w:p>
        </w:tc>
        <w:tc>
          <w:tcPr>
            <w:tcW w:w="6780" w:type="dxa"/>
            <w:vAlign w:val="bottom"/>
            <w:gridSpan w:val="3"/>
            <w:vMerge w:val="restart"/>
          </w:tcPr>
          <w:p>
            <w:pPr>
              <w:ind w:left="180"/>
              <w:spacing w:after="0"/>
              <w:rPr>
                <w:sz w:val="20"/>
                <w:szCs w:val="20"/>
                <w:color w:val="auto"/>
              </w:rPr>
            </w:pPr>
            <w:r>
              <w:rPr>
                <w:rFonts w:ascii="Arial" w:cs="Arial" w:eastAsia="Arial" w:hAnsi="Arial"/>
                <w:sz w:val="20"/>
                <w:szCs w:val="20"/>
                <w:color w:val="auto"/>
              </w:rPr>
              <w:t>787-8 Aircraft Information Table – GENX</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SA-5</w:t>
            </w:r>
          </w:p>
        </w:tc>
        <w:tc>
          <w:tcPr>
            <w:tcW w:w="0" w:type="dxa"/>
            <w:vAlign w:val="bottom"/>
          </w:tcPr>
          <w:p>
            <w:pPr>
              <w:spacing w:after="0"/>
              <w:rPr>
                <w:sz w:val="1"/>
                <w:szCs w:val="1"/>
                <w:color w:val="auto"/>
              </w:rPr>
            </w:pPr>
          </w:p>
        </w:tc>
      </w:tr>
      <w:tr>
        <w:trPr>
          <w:trHeight w:val="87"/>
        </w:trPr>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78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780" w:type="dxa"/>
            <w:vAlign w:val="bottom"/>
            <w:gridSpan w:val="3"/>
          </w:tcPr>
          <w:p>
            <w:pPr>
              <w:ind w:left="500"/>
              <w:spacing w:after="0"/>
              <w:rPr>
                <w:sz w:val="20"/>
                <w:szCs w:val="20"/>
                <w:color w:val="auto"/>
              </w:rPr>
            </w:pPr>
            <w:r>
              <w:rPr>
                <w:rFonts w:ascii="Arial" w:cs="Arial" w:eastAsia="Arial" w:hAnsi="Arial"/>
                <w:sz w:val="20"/>
                <w:szCs w:val="20"/>
                <w:color w:val="auto"/>
              </w:rPr>
              <w:t>([****] Eight (8) 787-8 Aircraft, yielding Twenty (20) 787-8 Aircraft)</w:t>
            </w: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760" w:type="dxa"/>
            <w:vAlign w:val="bottom"/>
            <w:gridSpan w:val="4"/>
          </w:tcPr>
          <w:p>
            <w:pPr>
              <w:jc w:val="center"/>
              <w:ind w:left="481"/>
              <w:spacing w:after="0"/>
              <w:rPr>
                <w:sz w:val="20"/>
                <w:szCs w:val="20"/>
                <w:color w:val="auto"/>
              </w:rPr>
            </w:pPr>
            <w:r>
              <w:rPr>
                <w:rFonts w:ascii="Arial" w:cs="Arial" w:eastAsia="Arial" w:hAnsi="Arial"/>
                <w:sz w:val="20"/>
                <w:szCs w:val="20"/>
                <w:color w:val="auto"/>
                <w:w w:val="89"/>
              </w:rPr>
              <w:t>4</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WITHDRAWN</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SA-6</w:t>
            </w:r>
          </w:p>
        </w:tc>
        <w:tc>
          <w:tcPr>
            <w:tcW w:w="0" w:type="dxa"/>
            <w:vAlign w:val="bottom"/>
          </w:tcPr>
          <w:p>
            <w:pPr>
              <w:spacing w:after="0"/>
              <w:rPr>
                <w:sz w:val="1"/>
                <w:szCs w:val="1"/>
                <w:color w:val="auto"/>
              </w:rPr>
            </w:pPr>
          </w:p>
        </w:tc>
      </w:tr>
      <w:tr>
        <w:trPr>
          <w:trHeight w:val="473"/>
        </w:trPr>
        <w:tc>
          <w:tcPr>
            <w:tcW w:w="980" w:type="dxa"/>
            <w:vAlign w:val="bottom"/>
            <w:gridSpan w:val="5"/>
          </w:tcPr>
          <w:p>
            <w:pPr>
              <w:jc w:val="right"/>
              <w:ind w:right="1"/>
              <w:spacing w:after="0"/>
              <w:rPr>
                <w:sz w:val="20"/>
                <w:szCs w:val="20"/>
                <w:color w:val="auto"/>
              </w:rPr>
            </w:pPr>
            <w:r>
              <w:rPr>
                <w:rFonts w:ascii="Arial" w:cs="Arial" w:eastAsia="Arial" w:hAnsi="Arial"/>
                <w:sz w:val="20"/>
                <w:szCs w:val="20"/>
                <w:color w:val="auto"/>
              </w:rPr>
              <w:t>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2018 787-9 [****]Aircraft Information Table – GENX</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3"/>
              </w:rPr>
              <w:t>SA-11</w:t>
            </w:r>
          </w:p>
        </w:tc>
        <w:tc>
          <w:tcPr>
            <w:tcW w:w="0" w:type="dxa"/>
            <w:vAlign w:val="bottom"/>
          </w:tcPr>
          <w:p>
            <w:pPr>
              <w:spacing w:after="0"/>
              <w:rPr>
                <w:sz w:val="1"/>
                <w:szCs w:val="1"/>
                <w:color w:val="auto"/>
              </w:rPr>
            </w:pPr>
          </w:p>
        </w:tc>
      </w:tr>
      <w:tr>
        <w:trPr>
          <w:trHeight w:val="310"/>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right"/>
              <w:ind w:right="971"/>
              <w:spacing w:after="0"/>
              <w:rPr>
                <w:sz w:val="20"/>
                <w:szCs w:val="20"/>
                <w:color w:val="auto"/>
              </w:rPr>
            </w:pPr>
            <w:r>
              <w:rPr>
                <w:rFonts w:ascii="Arial" w:cs="Arial" w:eastAsia="Arial" w:hAnsi="Arial"/>
                <w:sz w:val="20"/>
                <w:szCs w:val="20"/>
                <w:color w:val="auto"/>
                <w:w w:val="91"/>
              </w:rPr>
              <w:t>6(R1)</w:t>
            </w: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2018 787-8 [****] Aircraft Information Table-GENX</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3"/>
              </w:rPr>
              <w:t>SA-12</w:t>
            </w:r>
          </w:p>
        </w:tc>
        <w:tc>
          <w:tcPr>
            <w:tcW w:w="0" w:type="dxa"/>
            <w:vAlign w:val="bottom"/>
          </w:tcPr>
          <w:p>
            <w:pPr>
              <w:spacing w:after="0"/>
              <w:rPr>
                <w:sz w:val="1"/>
                <w:szCs w:val="1"/>
                <w:color w:val="auto"/>
              </w:rPr>
            </w:pPr>
          </w:p>
        </w:tc>
      </w:tr>
      <w:tr>
        <w:trPr>
          <w:trHeight w:val="536"/>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Borders>
              <w:bottom w:val="single" w:sz="8" w:color="auto"/>
            </w:tcBorders>
            <w:gridSpan w:val="5"/>
          </w:tcPr>
          <w:p>
            <w:pPr>
              <w:jc w:val="center"/>
              <w:spacing w:after="0"/>
              <w:rPr>
                <w:sz w:val="20"/>
                <w:szCs w:val="20"/>
                <w:color w:val="auto"/>
              </w:rPr>
            </w:pPr>
            <w:r>
              <w:rPr>
                <w:rFonts w:ascii="Arial" w:cs="Arial" w:eastAsia="Arial" w:hAnsi="Arial"/>
                <w:sz w:val="20"/>
                <w:szCs w:val="20"/>
                <w:color w:val="auto"/>
              </w:rPr>
              <w:t>EXHIBIT</w:t>
            </w:r>
          </w:p>
        </w:tc>
        <w:tc>
          <w:tcPr>
            <w:tcW w:w="78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center"/>
              <w:ind w:right="811"/>
              <w:spacing w:after="0"/>
              <w:rPr>
                <w:sz w:val="20"/>
                <w:szCs w:val="20"/>
                <w:color w:val="auto"/>
              </w:rPr>
            </w:pPr>
            <w:r>
              <w:rPr>
                <w:rFonts w:ascii="Arial" w:cs="Arial" w:eastAsia="Arial" w:hAnsi="Arial"/>
                <w:sz w:val="20"/>
                <w:szCs w:val="20"/>
                <w:color w:val="auto"/>
                <w:w w:val="96"/>
              </w:rPr>
              <w:t>A(R3).</w:t>
            </w: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Aircraft Configuration for [****] Aircraft</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3"/>
              </w:rPr>
              <w:t>SA-11</w:t>
            </w:r>
          </w:p>
        </w:tc>
        <w:tc>
          <w:tcPr>
            <w:tcW w:w="0" w:type="dxa"/>
            <w:vAlign w:val="bottom"/>
          </w:tcPr>
          <w:p>
            <w:pPr>
              <w:spacing w:after="0"/>
              <w:rPr>
                <w:sz w:val="1"/>
                <w:szCs w:val="1"/>
                <w:color w:val="auto"/>
              </w:rPr>
            </w:pPr>
          </w:p>
        </w:tc>
      </w:tr>
      <w:tr>
        <w:trPr>
          <w:trHeight w:val="338"/>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center"/>
              <w:ind w:right="811"/>
              <w:spacing w:after="0"/>
              <w:rPr>
                <w:sz w:val="20"/>
                <w:szCs w:val="20"/>
                <w:color w:val="auto"/>
              </w:rPr>
            </w:pPr>
            <w:r>
              <w:rPr>
                <w:rFonts w:ascii="Arial" w:cs="Arial" w:eastAsia="Arial" w:hAnsi="Arial"/>
                <w:sz w:val="20"/>
                <w:szCs w:val="20"/>
                <w:color w:val="auto"/>
                <w:w w:val="94"/>
              </w:rPr>
              <w:t>A2(R5)</w:t>
            </w: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Aircraft Configuration for [****] Aircraft</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3"/>
              </w:rPr>
              <w:t>SA-12</w:t>
            </w: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center"/>
              <w:ind w:right="831"/>
              <w:spacing w:after="0"/>
              <w:rPr>
                <w:sz w:val="20"/>
                <w:szCs w:val="20"/>
                <w:color w:val="auto"/>
              </w:rPr>
            </w:pPr>
            <w:r>
              <w:rPr>
                <w:rFonts w:ascii="Arial" w:cs="Arial" w:eastAsia="Arial" w:hAnsi="Arial"/>
                <w:sz w:val="20"/>
                <w:szCs w:val="20"/>
                <w:color w:val="auto"/>
                <w:w w:val="93"/>
              </w:rPr>
              <w:t>B(R1).</w:t>
            </w: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Aircraft Delivery Requirements and Responsibilities</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338"/>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7"/>
          </w:tcPr>
          <w:p>
            <w:pPr>
              <w:jc w:val="center"/>
              <w:ind w:right="831"/>
              <w:spacing w:after="0"/>
              <w:rPr>
                <w:sz w:val="20"/>
                <w:szCs w:val="20"/>
                <w:color w:val="auto"/>
              </w:rPr>
            </w:pPr>
            <w:r>
              <w:rPr>
                <w:rFonts w:ascii="Arial" w:cs="Arial" w:eastAsia="Arial" w:hAnsi="Arial"/>
                <w:sz w:val="20"/>
                <w:szCs w:val="20"/>
                <w:color w:val="auto"/>
                <w:w w:val="91"/>
              </w:rPr>
              <w:t>C(R1).</w:t>
            </w:r>
          </w:p>
        </w:tc>
        <w:tc>
          <w:tcPr>
            <w:tcW w:w="6780" w:type="dxa"/>
            <w:vAlign w:val="bottom"/>
            <w:gridSpan w:val="3"/>
          </w:tcPr>
          <w:p>
            <w:pPr>
              <w:ind w:left="180"/>
              <w:spacing w:after="0"/>
              <w:rPr>
                <w:sz w:val="20"/>
                <w:szCs w:val="20"/>
                <w:color w:val="auto"/>
              </w:rPr>
            </w:pPr>
            <w:r>
              <w:rPr>
                <w:rFonts w:ascii="Arial" w:cs="Arial" w:eastAsia="Arial" w:hAnsi="Arial"/>
                <w:sz w:val="20"/>
                <w:szCs w:val="20"/>
                <w:color w:val="auto"/>
              </w:rPr>
              <w:t>Defined Terms</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833"/>
        </w:trPr>
        <w:tc>
          <w:tcPr>
            <w:tcW w:w="8640" w:type="dxa"/>
            <w:vAlign w:val="bottom"/>
            <w:gridSpan w:val="13"/>
          </w:tcPr>
          <w:p>
            <w:pPr>
              <w:spacing w:after="0"/>
              <w:rPr>
                <w:sz w:val="20"/>
                <w:szCs w:val="20"/>
                <w:color w:val="auto"/>
              </w:rPr>
            </w:pPr>
            <w:r>
              <w:rPr>
                <w:rFonts w:ascii="Arial" w:cs="Arial" w:eastAsia="Arial" w:hAnsi="Arial"/>
                <w:sz w:val="20"/>
                <w:szCs w:val="20"/>
                <w:color w:val="auto"/>
              </w:rPr>
              <w:t>SUPPLEMENTAL EXHIBITS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4"/>
          </w:tcPr>
          <w:p>
            <w:pPr>
              <w:jc w:val="center"/>
              <w:ind w:right="331"/>
              <w:spacing w:after="0"/>
              <w:rPr>
                <w:sz w:val="20"/>
                <w:szCs w:val="20"/>
                <w:color w:val="auto"/>
              </w:rPr>
            </w:pPr>
            <w:r>
              <w:rPr>
                <w:rFonts w:ascii="Arial" w:cs="Arial" w:eastAsia="Arial" w:hAnsi="Arial"/>
                <w:sz w:val="20"/>
                <w:szCs w:val="20"/>
                <w:color w:val="auto"/>
                <w:w w:val="96"/>
              </w:rPr>
              <w:t>AE1.</w:t>
            </w:r>
          </w:p>
        </w:tc>
        <w:tc>
          <w:tcPr>
            <w:tcW w:w="620" w:type="dxa"/>
            <w:vAlign w:val="bottom"/>
            <w:tcBorders>
              <w:top w:val="single" w:sz="8" w:color="auto"/>
            </w:tcBorders>
          </w:tcPr>
          <w:p>
            <w:pPr>
              <w:spacing w:after="0"/>
              <w:rPr>
                <w:sz w:val="24"/>
                <w:szCs w:val="24"/>
                <w:color w:val="auto"/>
              </w:rPr>
            </w:pPr>
          </w:p>
        </w:tc>
        <w:tc>
          <w:tcPr>
            <w:tcW w:w="2540" w:type="dxa"/>
            <w:vAlign w:val="bottom"/>
          </w:tcPr>
          <w:p>
            <w:pPr>
              <w:ind w:left="680"/>
              <w:spacing w:after="0"/>
              <w:rPr>
                <w:sz w:val="20"/>
                <w:szCs w:val="20"/>
                <w:color w:val="auto"/>
              </w:rPr>
            </w:pPr>
            <w:r>
              <w:rPr>
                <w:rFonts w:ascii="Arial" w:cs="Arial" w:eastAsia="Arial" w:hAnsi="Arial"/>
                <w:sz w:val="20"/>
                <w:szCs w:val="20"/>
                <w:color w:val="auto"/>
              </w:rPr>
              <w:t>[****]</w:t>
            </w: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gridSpan w:val="6"/>
          </w:tcPr>
          <w:p>
            <w:pPr>
              <w:jc w:val="center"/>
              <w:ind w:right="91"/>
              <w:spacing w:after="0"/>
              <w:rPr>
                <w:sz w:val="20"/>
                <w:szCs w:val="20"/>
                <w:color w:val="auto"/>
              </w:rPr>
            </w:pPr>
            <w:r>
              <w:rPr>
                <w:rFonts w:ascii="Arial" w:cs="Arial" w:eastAsia="Arial" w:hAnsi="Arial"/>
                <w:sz w:val="20"/>
                <w:szCs w:val="20"/>
                <w:color w:val="auto"/>
                <w:w w:val="93"/>
              </w:rPr>
              <w:t>BFE1(R1).</w:t>
            </w:r>
          </w:p>
        </w:tc>
        <w:tc>
          <w:tcPr>
            <w:tcW w:w="620" w:type="dxa"/>
            <w:vAlign w:val="bottom"/>
          </w:tcPr>
          <w:p>
            <w:pPr>
              <w:spacing w:after="0"/>
              <w:rPr>
                <w:sz w:val="24"/>
                <w:szCs w:val="24"/>
                <w:color w:val="auto"/>
              </w:rPr>
            </w:pPr>
          </w:p>
        </w:tc>
        <w:tc>
          <w:tcPr>
            <w:tcW w:w="6160" w:type="dxa"/>
            <w:vAlign w:val="bottom"/>
            <w:gridSpan w:val="2"/>
          </w:tcPr>
          <w:p>
            <w:pPr>
              <w:ind w:left="680"/>
              <w:spacing w:after="0"/>
              <w:rPr>
                <w:sz w:val="20"/>
                <w:szCs w:val="20"/>
                <w:color w:val="auto"/>
              </w:rPr>
            </w:pPr>
            <w:r>
              <w:rPr>
                <w:rFonts w:ascii="Arial" w:cs="Arial" w:eastAsia="Arial" w:hAnsi="Arial"/>
                <w:sz w:val="20"/>
                <w:szCs w:val="20"/>
                <w:color w:val="auto"/>
              </w:rPr>
              <w:t>Buyer Furnished Equipment Variables 787-9</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5"/>
          </w:tcPr>
          <w:p>
            <w:pPr>
              <w:jc w:val="center"/>
              <w:ind w:right="311"/>
              <w:spacing w:after="0"/>
              <w:rPr>
                <w:sz w:val="20"/>
                <w:szCs w:val="20"/>
                <w:color w:val="auto"/>
              </w:rPr>
            </w:pPr>
            <w:r>
              <w:rPr>
                <w:rFonts w:ascii="Arial" w:cs="Arial" w:eastAsia="Arial" w:hAnsi="Arial"/>
                <w:sz w:val="20"/>
                <w:szCs w:val="20"/>
                <w:color w:val="auto"/>
                <w:w w:val="93"/>
              </w:rPr>
              <w:t>BFE2.</w:t>
            </w:r>
          </w:p>
        </w:tc>
        <w:tc>
          <w:tcPr>
            <w:tcW w:w="620" w:type="dxa"/>
            <w:vAlign w:val="bottom"/>
          </w:tcPr>
          <w:p>
            <w:pPr>
              <w:spacing w:after="0"/>
              <w:rPr>
                <w:sz w:val="24"/>
                <w:szCs w:val="24"/>
                <w:color w:val="auto"/>
              </w:rPr>
            </w:pPr>
          </w:p>
        </w:tc>
        <w:tc>
          <w:tcPr>
            <w:tcW w:w="6160" w:type="dxa"/>
            <w:vAlign w:val="bottom"/>
            <w:gridSpan w:val="2"/>
          </w:tcPr>
          <w:p>
            <w:pPr>
              <w:ind w:left="680"/>
              <w:spacing w:after="0"/>
              <w:rPr>
                <w:sz w:val="20"/>
                <w:szCs w:val="20"/>
                <w:color w:val="auto"/>
              </w:rPr>
            </w:pPr>
            <w:r>
              <w:rPr>
                <w:rFonts w:ascii="Arial" w:cs="Arial" w:eastAsia="Arial" w:hAnsi="Arial"/>
                <w:sz w:val="20"/>
                <w:szCs w:val="20"/>
                <w:color w:val="auto"/>
              </w:rPr>
              <w:t>Buyer Furnished Equipment Variables 787-8</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SA-3</w:t>
            </w: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jc w:val="center"/>
              <w:ind w:right="351"/>
              <w:spacing w:after="0"/>
              <w:rPr>
                <w:sz w:val="20"/>
                <w:szCs w:val="20"/>
                <w:color w:val="auto"/>
              </w:rPr>
            </w:pPr>
            <w:r>
              <w:rPr>
                <w:rFonts w:ascii="Arial" w:cs="Arial" w:eastAsia="Arial" w:hAnsi="Arial"/>
                <w:sz w:val="20"/>
                <w:szCs w:val="20"/>
                <w:color w:val="auto"/>
                <w:w w:val="89"/>
              </w:rPr>
              <w:t>CS1.</w:t>
            </w:r>
          </w:p>
        </w:tc>
        <w:tc>
          <w:tcPr>
            <w:tcW w:w="620" w:type="dxa"/>
            <w:vAlign w:val="bottom"/>
          </w:tcPr>
          <w:p>
            <w:pPr>
              <w:spacing w:after="0"/>
              <w:rPr>
                <w:sz w:val="24"/>
                <w:szCs w:val="24"/>
                <w:color w:val="auto"/>
              </w:rPr>
            </w:pPr>
          </w:p>
        </w:tc>
        <w:tc>
          <w:tcPr>
            <w:tcW w:w="6160" w:type="dxa"/>
            <w:vAlign w:val="bottom"/>
            <w:gridSpan w:val="2"/>
          </w:tcPr>
          <w:p>
            <w:pPr>
              <w:ind w:left="680"/>
              <w:spacing w:after="0"/>
              <w:rPr>
                <w:sz w:val="20"/>
                <w:szCs w:val="20"/>
                <w:color w:val="auto"/>
              </w:rPr>
            </w:pPr>
            <w:r>
              <w:rPr>
                <w:rFonts w:ascii="Arial" w:cs="Arial" w:eastAsia="Arial" w:hAnsi="Arial"/>
                <w:sz w:val="20"/>
                <w:szCs w:val="20"/>
                <w:color w:val="auto"/>
              </w:rPr>
              <w:t>787 Customer Support Document</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jc w:val="center"/>
              <w:ind w:right="351"/>
              <w:spacing w:after="0"/>
              <w:rPr>
                <w:sz w:val="20"/>
                <w:szCs w:val="20"/>
                <w:color w:val="auto"/>
              </w:rPr>
            </w:pPr>
            <w:r>
              <w:rPr>
                <w:rFonts w:ascii="Arial" w:cs="Arial" w:eastAsia="Arial" w:hAnsi="Arial"/>
                <w:sz w:val="20"/>
                <w:szCs w:val="20"/>
                <w:color w:val="auto"/>
                <w:w w:val="92"/>
              </w:rPr>
              <w:t>EE1.</w:t>
            </w:r>
          </w:p>
        </w:tc>
        <w:tc>
          <w:tcPr>
            <w:tcW w:w="3160" w:type="dxa"/>
            <w:vAlign w:val="bottom"/>
            <w:gridSpan w:val="2"/>
          </w:tcPr>
          <w:p>
            <w:pPr>
              <w:ind w:left="1300"/>
              <w:spacing w:after="0"/>
              <w:rPr>
                <w:sz w:val="20"/>
                <w:szCs w:val="20"/>
                <w:color w:val="auto"/>
              </w:rPr>
            </w:pPr>
            <w:r>
              <w:rPr>
                <w:rFonts w:ascii="Arial" w:cs="Arial" w:eastAsia="Arial" w:hAnsi="Arial"/>
                <w:sz w:val="20"/>
                <w:szCs w:val="20"/>
                <w:color w:val="auto"/>
              </w:rPr>
              <w:t>[****]</w:t>
            </w: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3"/>
            <w:vMerge w:val="restart"/>
          </w:tcPr>
          <w:p>
            <w:pPr>
              <w:spacing w:after="0"/>
              <w:rPr>
                <w:sz w:val="20"/>
                <w:szCs w:val="20"/>
                <w:color w:val="auto"/>
              </w:rPr>
            </w:pPr>
            <w:r>
              <w:rPr>
                <w:rFonts w:ascii="Arial" w:cs="Arial" w:eastAsia="Arial" w:hAnsi="Arial"/>
                <w:sz w:val="20"/>
                <w:szCs w:val="20"/>
                <w:color w:val="auto"/>
                <w:strike w:val="1"/>
              </w:rPr>
              <w:t>EE1</w:t>
            </w:r>
          </w:p>
        </w:tc>
        <w:tc>
          <w:tcPr>
            <w:tcW w:w="440" w:type="dxa"/>
            <w:vAlign w:val="bottom"/>
            <w:vMerge w:val="restart"/>
          </w:tcPr>
          <w:p>
            <w:pPr>
              <w:jc w:val="right"/>
              <w:ind w:right="351"/>
              <w:spacing w:after="0"/>
              <w:rPr>
                <w:sz w:val="20"/>
                <w:szCs w:val="20"/>
                <w:color w:val="auto"/>
              </w:rPr>
            </w:pPr>
            <w:r>
              <w:rPr>
                <w:rFonts w:ascii="Arial" w:cs="Arial" w:eastAsia="Arial" w:hAnsi="Arial"/>
                <w:sz w:val="10"/>
                <w:szCs w:val="10"/>
                <w:color w:val="auto"/>
                <w:w w:val="70"/>
              </w:rPr>
              <w:t>.</w:t>
            </w:r>
          </w:p>
        </w:tc>
        <w:tc>
          <w:tcPr>
            <w:tcW w:w="620" w:type="dxa"/>
            <w:vAlign w:val="bottom"/>
          </w:tcPr>
          <w:p>
            <w:pPr>
              <w:spacing w:after="0"/>
              <w:rPr>
                <w:sz w:val="24"/>
                <w:szCs w:val="24"/>
                <w:color w:val="auto"/>
              </w:rPr>
            </w:pPr>
          </w:p>
        </w:tc>
        <w:tc>
          <w:tcPr>
            <w:tcW w:w="6160" w:type="dxa"/>
            <w:vAlign w:val="bottom"/>
            <w:gridSpan w:val="2"/>
            <w:vMerge w:val="restart"/>
          </w:tcPr>
          <w:p>
            <w:pPr>
              <w:ind w:left="680"/>
              <w:spacing w:after="0"/>
              <w:rPr>
                <w:sz w:val="20"/>
                <w:szCs w:val="20"/>
                <w:color w:val="auto"/>
              </w:rPr>
            </w:pPr>
            <w:r>
              <w:rPr>
                <w:rFonts w:ascii="Arial" w:cs="Arial" w:eastAsia="Arial" w:hAnsi="Arial"/>
                <w:sz w:val="20"/>
                <w:szCs w:val="20"/>
                <w:color w:val="auto"/>
              </w:rPr>
              <w:t>[****]-WITHDRAWN</w:t>
            </w: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SA-2</w:t>
            </w:r>
          </w:p>
        </w:tc>
        <w:tc>
          <w:tcPr>
            <w:tcW w:w="0" w:type="dxa"/>
            <w:vAlign w:val="bottom"/>
          </w:tcPr>
          <w:p>
            <w:pPr>
              <w:spacing w:after="0"/>
              <w:rPr>
                <w:sz w:val="1"/>
                <w:szCs w:val="1"/>
                <w:color w:val="auto"/>
              </w:rPr>
            </w:pPr>
          </w:p>
        </w:tc>
      </w:tr>
      <w:tr>
        <w:trPr>
          <w:trHeight w:val="112"/>
        </w:trPr>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616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gridSpan w:val="4"/>
          </w:tcPr>
          <w:p>
            <w:pPr>
              <w:jc w:val="center"/>
              <w:ind w:right="351"/>
              <w:spacing w:after="0"/>
              <w:rPr>
                <w:sz w:val="20"/>
                <w:szCs w:val="20"/>
                <w:color w:val="auto"/>
              </w:rPr>
            </w:pPr>
            <w:r>
              <w:rPr>
                <w:rFonts w:ascii="Arial" w:cs="Arial" w:eastAsia="Arial" w:hAnsi="Arial"/>
                <w:sz w:val="20"/>
                <w:szCs w:val="20"/>
                <w:color w:val="auto"/>
                <w:w w:val="92"/>
              </w:rPr>
              <w:t>EE2.</w:t>
            </w:r>
          </w:p>
        </w:tc>
        <w:tc>
          <w:tcPr>
            <w:tcW w:w="3160" w:type="dxa"/>
            <w:vAlign w:val="bottom"/>
            <w:gridSpan w:val="2"/>
          </w:tcPr>
          <w:p>
            <w:pPr>
              <w:ind w:left="1300"/>
              <w:spacing w:after="0"/>
              <w:rPr>
                <w:sz w:val="20"/>
                <w:szCs w:val="20"/>
                <w:color w:val="auto"/>
              </w:rPr>
            </w:pPr>
            <w:r>
              <w:rPr>
                <w:rFonts w:ascii="Arial" w:cs="Arial" w:eastAsia="Arial" w:hAnsi="Arial"/>
                <w:sz w:val="20"/>
                <w:szCs w:val="20"/>
                <w:color w:val="auto"/>
              </w:rPr>
              <w:t>[****]</w:t>
            </w: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94"/>
              </w:rPr>
              <w:t>SA-4</w:t>
            </w: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5"/>
          </w:tcPr>
          <w:p>
            <w:pPr>
              <w:jc w:val="center"/>
              <w:ind w:right="311"/>
              <w:spacing w:after="0"/>
              <w:rPr>
                <w:sz w:val="20"/>
                <w:szCs w:val="20"/>
                <w:color w:val="auto"/>
              </w:rPr>
            </w:pPr>
            <w:r>
              <w:rPr>
                <w:rFonts w:ascii="Arial" w:cs="Arial" w:eastAsia="Arial" w:hAnsi="Arial"/>
                <w:sz w:val="20"/>
                <w:szCs w:val="20"/>
                <w:color w:val="auto"/>
                <w:w w:val="88"/>
              </w:rPr>
              <w:t>SLP1.</w:t>
            </w:r>
          </w:p>
        </w:tc>
        <w:tc>
          <w:tcPr>
            <w:tcW w:w="620" w:type="dxa"/>
            <w:vAlign w:val="bottom"/>
          </w:tcPr>
          <w:p>
            <w:pPr>
              <w:spacing w:after="0"/>
              <w:rPr>
                <w:sz w:val="24"/>
                <w:szCs w:val="24"/>
                <w:color w:val="auto"/>
              </w:rPr>
            </w:pPr>
          </w:p>
        </w:tc>
        <w:tc>
          <w:tcPr>
            <w:tcW w:w="6160" w:type="dxa"/>
            <w:vAlign w:val="bottom"/>
            <w:gridSpan w:val="2"/>
          </w:tcPr>
          <w:p>
            <w:pPr>
              <w:ind w:left="680"/>
              <w:spacing w:after="0"/>
              <w:rPr>
                <w:sz w:val="20"/>
                <w:szCs w:val="20"/>
                <w:color w:val="auto"/>
              </w:rPr>
            </w:pPr>
            <w:r>
              <w:rPr>
                <w:rFonts w:ascii="Arial" w:cs="Arial" w:eastAsia="Arial" w:hAnsi="Arial"/>
                <w:sz w:val="20"/>
                <w:szCs w:val="20"/>
                <w:color w:val="auto"/>
              </w:rPr>
              <w:t>Service Life Policy Components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SA-15</w:t>
      </w:r>
    </w:p>
    <w:p>
      <w:pPr>
        <w:spacing w:after="0" w:line="21"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 xml:space="preserve">Page </w:t>
      </w:r>
      <w:r>
        <w:rPr>
          <w:rFonts w:ascii="Arial" w:cs="Arial" w:eastAsia="Arial" w:hAnsi="Arial"/>
          <w:sz w:val="16"/>
          <w:szCs w:val="16"/>
          <w:color w:val="auto"/>
        </w:rPr>
        <w:t>1</w:t>
      </w:r>
    </w:p>
    <w:p>
      <w:pPr>
        <w:spacing w:after="0" w:line="4"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880"/>
          </w:cols>
          <w:pgMar w:left="320" w:top="339" w:right="699" w:bottom="1440" w:gutter="0" w:footer="0" w:header="0"/>
        </w:sectPr>
      </w:pPr>
    </w:p>
    <w:p>
      <w:pPr>
        <w:spacing w:after="0" w:line="2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39" w:right="699" w:bottom="1440" w:gutter="0" w:footer="0" w:header="0"/>
          <w:type w:val="continuous"/>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LETTER AGREEMENTS</w:t>
      </w:r>
    </w:p>
    <w:p>
      <w:pPr>
        <w:spacing w:after="0" w:line="36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3219-01</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3219-02</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3219-04</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3219-05R1</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3219-06R1</w:t>
      </w:r>
    </w:p>
    <w:p>
      <w:pPr>
        <w:spacing w:after="0" w:line="135"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3219-08R2</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6-1162-AKP-071R1</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6-1162-AKP-072R2</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6-1162-AKP-073R1</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6-1162-CLO-1031R1</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6-1162-CLO-1032R1</w:t>
      </w:r>
    </w:p>
    <w:p>
      <w:pPr>
        <w:spacing w:after="0" w:line="39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6-1162-CLO-1039</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6-1162-CLO-1042</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6-1162-CLO-1043R1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6-1162-CLO-1045R1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6-1162-CLO-1046</w:t>
      </w: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6-1162-CLO-1047R4</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6-1162-CLO-1048</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6-1162-CLO-1049R2</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6-1162-TRW-0664R2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SA-15</w:t>
      </w:r>
    </w:p>
    <w:p>
      <w:pPr>
        <w:spacing w:after="0" w:line="21"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 xml:space="preserve">Page </w:t>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20"/>
          <w:szCs w:val="20"/>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19"/>
          <w:szCs w:val="19"/>
          <w:color w:val="auto"/>
        </w:rPr>
        <w:t>Special Terms – Seats and In-Flight Entertainment</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Spare Parts Commitments</w:t>
      </w:r>
    </w:p>
    <w:p>
      <w:pPr>
        <w:spacing w:after="0" w:line="135" w:lineRule="exact"/>
        <w:rPr>
          <w:sz w:val="20"/>
          <w:szCs w:val="20"/>
          <w:color w:val="auto"/>
        </w:rPr>
      </w:pPr>
    </w:p>
    <w:p>
      <w:pPr>
        <w:ind w:left="80"/>
        <w:spacing w:after="0"/>
        <w:rPr>
          <w:sz w:val="20"/>
          <w:szCs w:val="20"/>
          <w:color w:val="auto"/>
        </w:rPr>
      </w:pPr>
      <w:r>
        <w:rPr>
          <w:rFonts w:ascii="Arial" w:cs="Arial" w:eastAsia="Arial" w:hAnsi="Arial"/>
          <w:sz w:val="20"/>
          <w:szCs w:val="20"/>
          <w:color w:val="auto"/>
        </w:rPr>
        <w:t>Spare Parts Initial Provisioning</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20"/>
          <w:szCs w:val="20"/>
          <w:color w:val="auto"/>
          <w:strike w:val="1"/>
        </w:rPr>
        <w:t>Open Configuration Matters</w:t>
      </w:r>
      <w:r>
        <w:rPr>
          <w:rFonts w:ascii="Arial" w:cs="Arial" w:eastAsia="Arial" w:hAnsi="Arial"/>
          <w:sz w:val="20"/>
          <w:szCs w:val="20"/>
          <w:color w:val="auto"/>
        </w:rPr>
        <w:t xml:space="preserve"> WITHDRAWN</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left="80" w:right="1660" w:firstLine="324"/>
        <w:spacing w:after="0" w:line="324" w:lineRule="auto"/>
        <w:rPr>
          <w:sz w:val="20"/>
          <w:szCs w:val="20"/>
          <w:color w:val="auto"/>
        </w:rPr>
      </w:pPr>
      <w:r>
        <w:rPr>
          <w:rFonts w:ascii="Arial" w:cs="Arial" w:eastAsia="Arial" w:hAnsi="Arial"/>
          <w:sz w:val="20"/>
          <w:szCs w:val="20"/>
          <w:color w:val="auto"/>
        </w:rPr>
        <w:t>Terminated per AAL-PA-1977-LA-1105595 [****]</w:t>
      </w:r>
    </w:p>
    <w:p>
      <w:pPr>
        <w:ind w:left="80" w:right="1660" w:firstLine="324"/>
        <w:spacing w:after="0" w:line="300" w:lineRule="auto"/>
        <w:rPr>
          <w:sz w:val="20"/>
          <w:szCs w:val="20"/>
          <w:color w:val="auto"/>
        </w:rPr>
      </w:pPr>
      <w:r>
        <w:rPr>
          <w:rFonts w:ascii="Arial" w:cs="Arial" w:eastAsia="Arial" w:hAnsi="Arial"/>
          <w:sz w:val="20"/>
          <w:szCs w:val="20"/>
          <w:color w:val="auto"/>
        </w:rPr>
        <w:t>Terminated per AAL-PA-1977-LA-1105595 Accident Claims and Litigation</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20"/>
          <w:szCs w:val="20"/>
          <w:color w:val="auto"/>
        </w:rPr>
        <w:t>[****] WITHDRAWN</w:t>
      </w:r>
    </w:p>
    <w:p>
      <w:pPr>
        <w:spacing w:after="0" w:line="391"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Terminated</w:t>
      </w:r>
    </w:p>
    <w:p>
      <w:pPr>
        <w:spacing w:after="0" w:line="38"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787 Inspection Process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color w:val="auto"/>
          <w:strike w:val="1"/>
        </w:rPr>
        <w:t>SA-eE, COTS Software and End User License Matters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20"/>
          <w:szCs w:val="20"/>
          <w:color w:val="auto"/>
        </w:rPr>
        <w:t>WITHDRAWN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80"/>
        <w:spacing w:after="0"/>
        <w:tabs>
          <w:tab w:leader="none" w:pos="1320" w:val="left"/>
        </w:tabs>
        <w:rPr>
          <w:sz w:val="20"/>
          <w:szCs w:val="20"/>
          <w:color w:val="auto"/>
        </w:rPr>
      </w:pPr>
      <w:r>
        <w:rPr>
          <w:rFonts w:ascii="Arial" w:cs="Arial" w:eastAsia="Arial" w:hAnsi="Arial"/>
          <w:sz w:val="20"/>
          <w:szCs w:val="20"/>
          <w:color w:val="auto"/>
          <w:strike w:val="1"/>
        </w:rPr>
        <w:t>Final Matters</w:t>
      </w:r>
      <w:r>
        <w:rPr>
          <w:sz w:val="20"/>
          <w:szCs w:val="20"/>
          <w:color w:val="auto"/>
        </w:rPr>
        <w:tab/>
      </w:r>
      <w:r>
        <w:rPr>
          <w:rFonts w:ascii="Arial" w:cs="Arial" w:eastAsia="Arial" w:hAnsi="Arial"/>
          <w:sz w:val="19"/>
          <w:szCs w:val="19"/>
          <w:color w:val="auto"/>
        </w:rPr>
        <w:t>WITHDRAWN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CS1 Matters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Aircraft Purchase Rights and Substitution Rights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strike w:val="1"/>
        </w:rPr>
        <w:t>Attachment A(R2) – MADP Exercise Dates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WITHDRAWN</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strike w:val="1"/>
        </w:rPr>
        <w:t>Attachment B(R2) – QADP Exercise Dates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WITHDRAWN</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auto"/>
          <w:strike w:val="1"/>
        </w:rPr>
        <w:t>Attachment C(R3) – MADP &amp; QADP Rights Aircraft:</w:t>
      </w:r>
    </w:p>
    <w:p>
      <w:pPr>
        <w:spacing w:after="0" w:line="32" w:lineRule="exact"/>
        <w:rPr>
          <w:sz w:val="20"/>
          <w:szCs w:val="20"/>
          <w:color w:val="auto"/>
        </w:rPr>
      </w:pPr>
    </w:p>
    <w:p>
      <w:pPr>
        <w:spacing w:after="0"/>
        <w:tabs>
          <w:tab w:leader="none" w:pos="1980" w:val="left"/>
        </w:tabs>
        <w:rPr>
          <w:sz w:val="20"/>
          <w:szCs w:val="20"/>
          <w:color w:val="auto"/>
        </w:rPr>
      </w:pPr>
      <w:r>
        <w:rPr>
          <w:rFonts w:ascii="Arial" w:cs="Arial" w:eastAsia="Arial" w:hAnsi="Arial"/>
          <w:sz w:val="20"/>
          <w:szCs w:val="20"/>
          <w:color w:val="auto"/>
          <w:strike w:val="1"/>
        </w:rPr>
        <w:t>Description/Price Data</w:t>
      </w:r>
      <w:r>
        <w:rPr>
          <w:sz w:val="20"/>
          <w:szCs w:val="20"/>
          <w:color w:val="auto"/>
        </w:rPr>
        <w:tab/>
      </w:r>
      <w:r>
        <w:rPr>
          <w:rFonts w:ascii="Arial" w:cs="Arial" w:eastAsia="Arial" w:hAnsi="Arial"/>
          <w:sz w:val="18"/>
          <w:szCs w:val="18"/>
          <w:color w:val="auto"/>
        </w:rPr>
        <w:t>Attachment C(R4)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SA-3</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SA-3</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SA-2</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SA-3</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SA-3</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SA-2</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SA-3</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SA-11</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SA-2</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SA-6</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SA-11</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SA-11</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SA-11</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0"/>
          <w:szCs w:val="20"/>
          <w:color w:val="auto"/>
        </w:rPr>
        <w:t>SA-11</w:t>
      </w:r>
    </w:p>
    <w:p>
      <w:pPr>
        <w:spacing w:after="0" w:line="1697" w:lineRule="exact"/>
        <w:rPr>
          <w:sz w:val="20"/>
          <w:szCs w:val="20"/>
          <w:color w:val="auto"/>
        </w:rPr>
      </w:pPr>
    </w:p>
    <w:p>
      <w:pPr>
        <w:sectPr>
          <w:pgSz w:w="11900" w:h="16838" w:orient="portrait"/>
          <w:cols w:equalWidth="0" w:num="3">
            <w:col w:w="3020" w:space="720"/>
            <w:col w:w="5580" w:space="720"/>
            <w:col w:w="840"/>
          </w:cols>
          <w:pgMar w:left="320" w:top="1108" w:right="699" w:bottom="1440" w:gutter="0" w:footer="0" w:header="0"/>
        </w:sectPr>
      </w:pPr>
    </w:p>
    <w:p>
      <w:pPr>
        <w:spacing w:after="0" w:line="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08" w:right="699" w:bottom="1440" w:gutter="0" w:footer="0" w:header="0"/>
          <w:type w:val="continuous"/>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6-1162-TRW-0665</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6-1162-TRW-0666</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6-1162-TRW-0667R3</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6-1162-TRW-0668R1</w:t>
      </w:r>
    </w:p>
    <w:p>
      <w:pPr>
        <w:spacing w:after="0" w:line="28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6-1162-TRW-0670R1</w:t>
      </w:r>
    </w:p>
    <w:p>
      <w:pPr>
        <w:spacing w:after="0" w:line="283" w:lineRule="exact"/>
        <w:rPr>
          <w:sz w:val="20"/>
          <w:szCs w:val="20"/>
          <w:color w:val="auto"/>
        </w:rPr>
      </w:pPr>
    </w:p>
    <w:p>
      <w:pPr>
        <w:ind w:left="100"/>
        <w:spacing w:after="0"/>
        <w:rPr>
          <w:sz w:val="20"/>
          <w:szCs w:val="20"/>
          <w:color w:val="auto"/>
        </w:rPr>
      </w:pPr>
      <w:r>
        <w:rPr>
          <w:rFonts w:ascii="Arial" w:cs="Arial" w:eastAsia="Arial" w:hAnsi="Arial"/>
          <w:sz w:val="20"/>
          <w:szCs w:val="20"/>
          <w:color w:val="auto"/>
          <w:strike w:val="1"/>
        </w:rPr>
        <w:t>6-1162-TRW-0671</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6-1162-TRW-0672R1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6-1162-TRW-0673R1</w:t>
      </w:r>
    </w:p>
    <w:p>
      <w:pPr>
        <w:spacing w:after="0" w:line="54" w:lineRule="exact"/>
        <w:rPr>
          <w:sz w:val="20"/>
          <w:szCs w:val="20"/>
          <w:color w:val="auto"/>
        </w:rPr>
      </w:pPr>
    </w:p>
    <w:p>
      <w:pPr>
        <w:ind w:left="100" w:right="620"/>
        <w:spacing w:after="0" w:line="320" w:lineRule="auto"/>
        <w:rPr>
          <w:sz w:val="20"/>
          <w:szCs w:val="20"/>
          <w:color w:val="auto"/>
        </w:rPr>
      </w:pPr>
      <w:r>
        <w:rPr>
          <w:rFonts w:ascii="Arial" w:cs="Arial" w:eastAsia="Arial" w:hAnsi="Arial"/>
          <w:sz w:val="19"/>
          <w:szCs w:val="19"/>
          <w:color w:val="auto"/>
        </w:rPr>
        <w:t>6-1162-TRW-0674R4 AAL-PA-3219-LA-08836R2 AAL-PA-3219-LA-08837R1 AAL-PA-3219-LA-08838 AAL-LA-1106678</w:t>
      </w:r>
    </w:p>
    <w:p>
      <w:pPr>
        <w:spacing w:after="0" w:line="69" w:lineRule="exact"/>
        <w:rPr>
          <w:sz w:val="20"/>
          <w:szCs w:val="20"/>
          <w:color w:val="auto"/>
        </w:rPr>
      </w:pPr>
    </w:p>
    <w:p>
      <w:pPr>
        <w:ind w:left="100" w:right="420"/>
        <w:spacing w:after="0" w:line="378" w:lineRule="auto"/>
        <w:rPr>
          <w:sz w:val="20"/>
          <w:szCs w:val="20"/>
          <w:color w:val="auto"/>
        </w:rPr>
      </w:pPr>
      <w:r>
        <w:rPr>
          <w:rFonts w:ascii="Arial" w:cs="Arial" w:eastAsia="Arial" w:hAnsi="Arial"/>
          <w:sz w:val="18"/>
          <w:szCs w:val="18"/>
          <w:color w:val="auto"/>
        </w:rPr>
        <w:t>AAL-PA-3219-LA-1302236R2 AAL-PA-3219-LA-1604503R1</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AAL-PA-03219-LA-1701988</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AAL-PA-03219_LA-1804779</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AAL-PA-03219-LA-1802262R1</w:t>
      </w:r>
    </w:p>
    <w:p>
      <w:pPr>
        <w:spacing w:after="0" w:line="7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AAL-PA-03219-LA-1802492</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AAL-PA-3219-LA-2001170</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color w:val="auto"/>
        </w:rPr>
        <w:t>P.A. No. 3219</w:t>
      </w:r>
      <w:r>
        <w:rPr>
          <w:sz w:val="20"/>
          <w:szCs w:val="20"/>
          <w:color w:val="auto"/>
        </w:rPr>
        <w:tab/>
      </w:r>
      <w:r>
        <w:rPr>
          <w:rFonts w:ascii="Arial" w:cs="Arial" w:eastAsia="Arial" w:hAnsi="Arial"/>
          <w:sz w:val="19"/>
          <w:szCs w:val="19"/>
          <w:color w:val="auto"/>
        </w:rPr>
        <w:t>SA-15</w:t>
      </w:r>
    </w:p>
    <w:p>
      <w:pPr>
        <w:spacing w:after="0" w:line="21" w:lineRule="exact"/>
        <w:rPr>
          <w:sz w:val="20"/>
          <w:szCs w:val="20"/>
          <w:color w:val="auto"/>
        </w:rPr>
      </w:pPr>
    </w:p>
    <w:p>
      <w:pPr>
        <w:spacing w:after="0"/>
        <w:tabs>
          <w:tab w:leader="none" w:pos="2000" w:val="left"/>
        </w:tabs>
        <w:rPr>
          <w:sz w:val="20"/>
          <w:szCs w:val="20"/>
          <w:color w:val="auto"/>
        </w:rPr>
      </w:pPr>
      <w:r>
        <w:rPr>
          <w:rFonts w:ascii="Arial" w:cs="Arial" w:eastAsia="Arial" w:hAnsi="Arial"/>
          <w:sz w:val="22"/>
          <w:szCs w:val="22"/>
          <w:color w:val="auto"/>
        </w:rPr>
        <w:t>Table of Contents</w:t>
      </w:r>
      <w:r>
        <w:rPr>
          <w:sz w:val="20"/>
          <w:szCs w:val="20"/>
          <w:color w:val="auto"/>
        </w:rPr>
        <w:tab/>
      </w:r>
      <w:r>
        <w:rPr>
          <w:rFonts w:ascii="Arial" w:cs="Arial" w:eastAsia="Arial" w:hAnsi="Arial"/>
          <w:sz w:val="18"/>
          <w:szCs w:val="18"/>
          <w:color w:val="auto"/>
        </w:rPr>
        <w:t xml:space="preserve">Page </w:t>
      </w: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20"/>
          <w:szCs w:val="20"/>
          <w:color w:val="auto"/>
        </w:rPr>
        <w:t>TABLE OF CONTENTS, continued</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Attachment D – Form of Purchase Agreement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Supplement</w:t>
      </w:r>
    </w:p>
    <w:p>
      <w:pPr>
        <w:spacing w:after="0" w:line="308" w:lineRule="exact"/>
        <w:rPr>
          <w:sz w:val="20"/>
          <w:szCs w:val="20"/>
          <w:color w:val="auto"/>
        </w:rPr>
      </w:pPr>
    </w:p>
    <w:p>
      <w:pPr>
        <w:ind w:left="20" w:right="700"/>
        <w:spacing w:after="0" w:line="260" w:lineRule="auto"/>
        <w:rPr>
          <w:sz w:val="20"/>
          <w:szCs w:val="20"/>
          <w:color w:val="auto"/>
        </w:rPr>
      </w:pPr>
      <w:r>
        <w:rPr>
          <w:rFonts w:ascii="Arial" w:cs="Arial" w:eastAsia="Arial" w:hAnsi="Arial"/>
          <w:sz w:val="20"/>
          <w:szCs w:val="20"/>
          <w:color w:val="auto"/>
        </w:rPr>
        <w:t>Attachment E – Letter Agreements To Be Included In Purchase Agreement Supplement</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20"/>
          <w:szCs w:val="20"/>
          <w:color w:val="auto"/>
        </w:rPr>
        <w:t>[****] WITHDRAWN</w:t>
      </w:r>
    </w:p>
    <w:p>
      <w:pPr>
        <w:spacing w:after="0" w:line="162" w:lineRule="exact"/>
        <w:rPr>
          <w:sz w:val="20"/>
          <w:szCs w:val="20"/>
          <w:color w:val="auto"/>
        </w:rPr>
      </w:pPr>
    </w:p>
    <w:p>
      <w:pPr>
        <w:ind w:left="80"/>
        <w:spacing w:after="0"/>
        <w:rPr>
          <w:sz w:val="20"/>
          <w:szCs w:val="20"/>
          <w:color w:val="auto"/>
        </w:rPr>
      </w:pPr>
      <w:r>
        <w:rPr>
          <w:rFonts w:ascii="Arial" w:cs="Arial" w:eastAsia="Arial" w:hAnsi="Arial"/>
          <w:sz w:val="20"/>
          <w:szCs w:val="20"/>
          <w:color w:val="auto"/>
        </w:rPr>
        <w:t>[****] WITHDRAWN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440" w:right="1460" w:hanging="345"/>
        <w:spacing w:after="0" w:line="260" w:lineRule="auto"/>
        <w:rPr>
          <w:sz w:val="20"/>
          <w:szCs w:val="20"/>
          <w:color w:val="auto"/>
        </w:rPr>
      </w:pPr>
      <w:r>
        <w:rPr>
          <w:rFonts w:ascii="Arial" w:cs="Arial" w:eastAsia="Arial" w:hAnsi="Arial"/>
          <w:sz w:val="20"/>
          <w:szCs w:val="20"/>
          <w:color w:val="auto"/>
        </w:rPr>
        <w:t>Special Matters Relating to COTS Software and End User License Agreements</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20"/>
          <w:szCs w:val="20"/>
          <w:color w:val="auto"/>
        </w:rPr>
        <w:t>Miscellaneous Commitments for Model 787</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20"/>
          <w:szCs w:val="20"/>
          <w:color w:val="auto"/>
        </w:rPr>
        <w:t>Aircraft</w:t>
      </w:r>
    </w:p>
    <w:p>
      <w:pPr>
        <w:spacing w:after="0" w:line="146"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20"/>
          <w:szCs w:val="20"/>
          <w:color w:val="auto"/>
        </w:rPr>
        <w:t>WITHDRAWN</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Promotional Support Agreement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Confidentiality</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Business Considerations</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Assignment Matters</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270" w:lineRule="exact"/>
        <w:rPr>
          <w:sz w:val="20"/>
          <w:szCs w:val="20"/>
          <w:color w:val="auto"/>
        </w:rPr>
      </w:pPr>
    </w:p>
    <w:p>
      <w:pPr>
        <w:ind w:left="80"/>
        <w:spacing w:after="0"/>
        <w:rPr>
          <w:sz w:val="20"/>
          <w:szCs w:val="20"/>
          <w:color w:val="auto"/>
        </w:rPr>
      </w:pPr>
      <w:r>
        <w:rPr>
          <w:rFonts w:ascii="Arial" w:cs="Arial" w:eastAsia="Arial" w:hAnsi="Arial"/>
          <w:sz w:val="20"/>
          <w:szCs w:val="20"/>
          <w:color w:val="auto"/>
        </w:rPr>
        <w:t>787 [****] Matters</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Open Configuration Matters</w:t>
      </w:r>
    </w:p>
    <w:p>
      <w:pPr>
        <w:spacing w:after="0" w:line="54"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SA-11</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SA-6</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SA-11</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SA-11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SA-11</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SA-6</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SA-3</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SA-13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0"/>
          <w:szCs w:val="20"/>
          <w:color w:val="auto"/>
        </w:rPr>
        <w:t>SA-8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SA-10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SA-11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SA-12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SA-11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SA-15</w:t>
      </w:r>
    </w:p>
    <w:p>
      <w:pPr>
        <w:spacing w:after="0" w:line="1739" w:lineRule="exact"/>
        <w:rPr>
          <w:sz w:val="20"/>
          <w:szCs w:val="20"/>
          <w:color w:val="auto"/>
        </w:rPr>
      </w:pPr>
    </w:p>
    <w:p>
      <w:pPr>
        <w:sectPr>
          <w:pgSz w:w="11900" w:h="16838" w:orient="portrait"/>
          <w:cols w:equalWidth="0" w:num="3">
            <w:col w:w="3020" w:space="720"/>
            <w:col w:w="5740" w:space="720"/>
            <w:col w:w="520"/>
          </w:cols>
          <w:pgMar w:left="320" w:top="1108" w:right="859" w:bottom="1440" w:gutter="0" w:footer="0" w:header="0"/>
        </w:sectPr>
      </w:pPr>
    </w:p>
    <w:p>
      <w:pPr>
        <w:spacing w:after="0" w:line="1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08" w:right="859" w:bottom="1440" w:gutter="0" w:footer="0" w:header="0"/>
          <w:type w:val="continuous"/>
        </w:sectPr>
      </w:pPr>
    </w:p>
    <w:bookmarkStart w:id="152" w:name="page153"/>
    <w:bookmarkEnd w:id="152"/>
    <w:p>
      <w:pPr>
        <w:ind w:left="4180"/>
        <w:spacing w:after="0"/>
        <w:rPr>
          <w:sz w:val="20"/>
          <w:szCs w:val="20"/>
          <w:color w:val="auto"/>
        </w:rPr>
      </w:pPr>
      <w:r>
        <w:rPr>
          <w:rFonts w:ascii="Arial" w:cs="Arial" w:eastAsia="Arial" w:hAnsi="Arial"/>
          <w:sz w:val="20"/>
          <w:szCs w:val="20"/>
          <w:color w:val="auto"/>
        </w:rPr>
        <w:t>TABLE OF CONTENTS, continued</w:t>
      </w:r>
    </w:p>
    <w:p>
      <w:pPr>
        <w:spacing w:after="0" w:line="378"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ATTACHMENTS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ind w:left="100"/>
              <w:spacing w:after="0"/>
              <w:rPr>
                <w:sz w:val="20"/>
                <w:szCs w:val="20"/>
                <w:color w:val="auto"/>
              </w:rPr>
            </w:pPr>
            <w:r>
              <w:rPr>
                <w:rFonts w:ascii="Arial" w:cs="Arial" w:eastAsia="Arial" w:hAnsi="Arial"/>
                <w:sz w:val="18"/>
                <w:szCs w:val="18"/>
                <w:color w:val="auto"/>
              </w:rPr>
              <w:t>Attachment 1</w:t>
            </w:r>
          </w:p>
        </w:tc>
        <w:tc>
          <w:tcPr>
            <w:tcW w:w="420" w:type="dxa"/>
            <w:vAlign w:val="bottom"/>
          </w:tcPr>
          <w:p>
            <w:pPr>
              <w:spacing w:after="0"/>
              <w:rPr>
                <w:sz w:val="20"/>
                <w:szCs w:val="20"/>
                <w:color w:val="auto"/>
              </w:rPr>
            </w:pPr>
          </w:p>
        </w:tc>
        <w:tc>
          <w:tcPr>
            <w:tcW w:w="4160" w:type="dxa"/>
            <w:vAlign w:val="bottom"/>
          </w:tcPr>
          <w:p>
            <w:pPr>
              <w:ind w:left="2040"/>
              <w:spacing w:after="0"/>
              <w:rPr>
                <w:sz w:val="20"/>
                <w:szCs w:val="20"/>
                <w:color w:val="auto"/>
              </w:rPr>
            </w:pPr>
            <w:r>
              <w:rPr>
                <w:rFonts w:ascii="Arial" w:cs="Arial" w:eastAsia="Arial" w:hAnsi="Arial"/>
                <w:sz w:val="18"/>
                <w:szCs w:val="18"/>
                <w:color w:val="auto"/>
                <w:w w:val="97"/>
              </w:rPr>
              <w:t>Schedule for [****] of 787-9</w:t>
            </w:r>
          </w:p>
        </w:tc>
        <w:tc>
          <w:tcPr>
            <w:tcW w:w="2560" w:type="dxa"/>
            <w:vAlign w:val="bottom"/>
          </w:tcPr>
          <w:p>
            <w:pPr>
              <w:ind w:left="20"/>
              <w:spacing w:after="0"/>
              <w:rPr>
                <w:sz w:val="20"/>
                <w:szCs w:val="20"/>
                <w:color w:val="auto"/>
              </w:rPr>
            </w:pPr>
            <w:r>
              <w:rPr>
                <w:rFonts w:ascii="Arial" w:cs="Arial" w:eastAsia="Arial" w:hAnsi="Arial"/>
                <w:sz w:val="18"/>
                <w:szCs w:val="18"/>
                <w:color w:val="auto"/>
              </w:rPr>
              <w:t>MADP Rights</w:t>
            </w:r>
          </w:p>
        </w:tc>
        <w:tc>
          <w:tcPr>
            <w:tcW w:w="1680" w:type="dxa"/>
            <w:vAlign w:val="bottom"/>
          </w:tcPr>
          <w:p>
            <w:pPr>
              <w:ind w:left="1220"/>
              <w:spacing w:after="0"/>
              <w:rPr>
                <w:sz w:val="20"/>
                <w:szCs w:val="20"/>
                <w:color w:val="auto"/>
              </w:rPr>
            </w:pPr>
            <w:r>
              <w:rPr>
                <w:rFonts w:ascii="Arial" w:cs="Arial" w:eastAsia="Arial" w:hAnsi="Arial"/>
                <w:sz w:val="18"/>
                <w:szCs w:val="18"/>
                <w:color w:val="auto"/>
                <w:w w:val="87"/>
              </w:rPr>
              <w:t>SA-11</w:t>
            </w:r>
          </w:p>
        </w:tc>
      </w:tr>
      <w:tr>
        <w:trPr>
          <w:trHeight w:val="270"/>
        </w:trPr>
        <w:tc>
          <w:tcPr>
            <w:tcW w:w="1360" w:type="dxa"/>
            <w:vAlign w:val="bottom"/>
          </w:tcPr>
          <w:p>
            <w:pPr>
              <w:ind w:left="100"/>
              <w:spacing w:after="0"/>
              <w:rPr>
                <w:sz w:val="20"/>
                <w:szCs w:val="20"/>
                <w:color w:val="auto"/>
              </w:rPr>
            </w:pPr>
            <w:r>
              <w:rPr>
                <w:rFonts w:ascii="Arial" w:cs="Arial" w:eastAsia="Arial" w:hAnsi="Arial"/>
                <w:sz w:val="18"/>
                <w:szCs w:val="18"/>
                <w:color w:val="auto"/>
              </w:rPr>
              <w:t>Attachment 2</w:t>
            </w:r>
          </w:p>
        </w:tc>
        <w:tc>
          <w:tcPr>
            <w:tcW w:w="420" w:type="dxa"/>
            <w:vAlign w:val="bottom"/>
          </w:tcPr>
          <w:p>
            <w:pPr>
              <w:spacing w:after="0"/>
              <w:rPr>
                <w:sz w:val="23"/>
                <w:szCs w:val="23"/>
                <w:color w:val="auto"/>
              </w:rPr>
            </w:pPr>
          </w:p>
        </w:tc>
        <w:tc>
          <w:tcPr>
            <w:tcW w:w="4160" w:type="dxa"/>
            <w:vAlign w:val="bottom"/>
          </w:tcPr>
          <w:p>
            <w:pPr>
              <w:ind w:left="2040"/>
              <w:spacing w:after="0"/>
              <w:rPr>
                <w:sz w:val="20"/>
                <w:szCs w:val="20"/>
                <w:color w:val="auto"/>
              </w:rPr>
            </w:pPr>
            <w:r>
              <w:rPr>
                <w:rFonts w:ascii="Arial" w:cs="Arial" w:eastAsia="Arial" w:hAnsi="Arial"/>
                <w:sz w:val="18"/>
                <w:szCs w:val="18"/>
                <w:color w:val="auto"/>
                <w:w w:val="97"/>
              </w:rPr>
              <w:t>Schedule for [****] of 787-9</w:t>
            </w:r>
          </w:p>
        </w:tc>
        <w:tc>
          <w:tcPr>
            <w:tcW w:w="2560" w:type="dxa"/>
            <w:vAlign w:val="bottom"/>
          </w:tcPr>
          <w:p>
            <w:pPr>
              <w:ind w:left="20"/>
              <w:spacing w:after="0"/>
              <w:rPr>
                <w:sz w:val="20"/>
                <w:szCs w:val="20"/>
                <w:color w:val="auto"/>
              </w:rPr>
            </w:pPr>
            <w:r>
              <w:rPr>
                <w:rFonts w:ascii="Arial" w:cs="Arial" w:eastAsia="Arial" w:hAnsi="Arial"/>
                <w:sz w:val="18"/>
                <w:szCs w:val="18"/>
                <w:color w:val="auto"/>
              </w:rPr>
              <w:t>QADP Rights</w:t>
            </w:r>
          </w:p>
        </w:tc>
        <w:tc>
          <w:tcPr>
            <w:tcW w:w="1680" w:type="dxa"/>
            <w:vAlign w:val="bottom"/>
          </w:tcPr>
          <w:p>
            <w:pPr>
              <w:ind w:left="1220"/>
              <w:spacing w:after="0"/>
              <w:rPr>
                <w:sz w:val="20"/>
                <w:szCs w:val="20"/>
                <w:color w:val="auto"/>
              </w:rPr>
            </w:pPr>
            <w:r>
              <w:rPr>
                <w:rFonts w:ascii="Arial" w:cs="Arial" w:eastAsia="Arial" w:hAnsi="Arial"/>
                <w:sz w:val="18"/>
                <w:szCs w:val="18"/>
                <w:color w:val="auto"/>
                <w:w w:val="87"/>
              </w:rPr>
              <w:t>SA-11</w:t>
            </w:r>
          </w:p>
        </w:tc>
      </w:tr>
      <w:tr>
        <w:trPr>
          <w:trHeight w:val="270"/>
        </w:trPr>
        <w:tc>
          <w:tcPr>
            <w:tcW w:w="1360" w:type="dxa"/>
            <w:vAlign w:val="bottom"/>
          </w:tcPr>
          <w:p>
            <w:pPr>
              <w:ind w:left="100"/>
              <w:spacing w:after="0"/>
              <w:rPr>
                <w:sz w:val="20"/>
                <w:szCs w:val="20"/>
                <w:color w:val="auto"/>
              </w:rPr>
            </w:pPr>
            <w:r>
              <w:rPr>
                <w:rFonts w:ascii="Arial" w:cs="Arial" w:eastAsia="Arial" w:hAnsi="Arial"/>
                <w:sz w:val="18"/>
                <w:szCs w:val="18"/>
                <w:color w:val="auto"/>
              </w:rPr>
              <w:t>Attachment 3</w:t>
            </w:r>
          </w:p>
        </w:tc>
        <w:tc>
          <w:tcPr>
            <w:tcW w:w="420" w:type="dxa"/>
            <w:vAlign w:val="bottom"/>
          </w:tcPr>
          <w:p>
            <w:pPr>
              <w:spacing w:after="0"/>
              <w:rPr>
                <w:sz w:val="23"/>
                <w:szCs w:val="23"/>
                <w:color w:val="auto"/>
              </w:rPr>
            </w:pPr>
          </w:p>
        </w:tc>
        <w:tc>
          <w:tcPr>
            <w:tcW w:w="6720" w:type="dxa"/>
            <w:vAlign w:val="bottom"/>
            <w:gridSpan w:val="2"/>
          </w:tcPr>
          <w:p>
            <w:pPr>
              <w:ind w:left="2040"/>
              <w:spacing w:after="0"/>
              <w:rPr>
                <w:sz w:val="20"/>
                <w:szCs w:val="20"/>
                <w:color w:val="auto"/>
              </w:rPr>
            </w:pPr>
            <w:r>
              <w:rPr>
                <w:rFonts w:ascii="Arial" w:cs="Arial" w:eastAsia="Arial" w:hAnsi="Arial"/>
                <w:sz w:val="18"/>
                <w:szCs w:val="18"/>
                <w:color w:val="auto"/>
              </w:rPr>
              <w:t>787-9 Purchase Rights Aircraft [****] Schedule</w:t>
            </w:r>
          </w:p>
        </w:tc>
        <w:tc>
          <w:tcPr>
            <w:tcW w:w="1680" w:type="dxa"/>
            <w:vAlign w:val="bottom"/>
          </w:tcPr>
          <w:p>
            <w:pPr>
              <w:ind w:left="1220"/>
              <w:spacing w:after="0"/>
              <w:rPr>
                <w:sz w:val="20"/>
                <w:szCs w:val="20"/>
                <w:color w:val="auto"/>
              </w:rPr>
            </w:pPr>
            <w:r>
              <w:rPr>
                <w:rFonts w:ascii="Arial" w:cs="Arial" w:eastAsia="Arial" w:hAnsi="Arial"/>
                <w:sz w:val="18"/>
                <w:szCs w:val="18"/>
                <w:color w:val="auto"/>
                <w:w w:val="87"/>
              </w:rPr>
              <w:t>SA-11</w:t>
            </w:r>
          </w:p>
        </w:tc>
      </w:tr>
      <w:tr>
        <w:trPr>
          <w:trHeight w:val="708"/>
        </w:trPr>
        <w:tc>
          <w:tcPr>
            <w:tcW w:w="1360" w:type="dxa"/>
            <w:vAlign w:val="bottom"/>
          </w:tcPr>
          <w:p>
            <w:pPr>
              <w:spacing w:after="0"/>
              <w:rPr>
                <w:sz w:val="20"/>
                <w:szCs w:val="20"/>
                <w:color w:val="auto"/>
              </w:rPr>
            </w:pPr>
            <w:r>
              <w:rPr>
                <w:rFonts w:ascii="Arial" w:cs="Arial" w:eastAsia="Arial" w:hAnsi="Arial"/>
                <w:sz w:val="22"/>
                <w:szCs w:val="22"/>
                <w:color w:val="auto"/>
                <w:w w:val="97"/>
              </w:rPr>
              <w:t>P.A. No. 3219</w:t>
            </w:r>
          </w:p>
        </w:tc>
        <w:tc>
          <w:tcPr>
            <w:tcW w:w="4580" w:type="dxa"/>
            <w:vAlign w:val="bottom"/>
            <w:gridSpan w:val="2"/>
          </w:tcPr>
          <w:p>
            <w:pPr>
              <w:ind w:left="140"/>
              <w:spacing w:after="0"/>
              <w:rPr>
                <w:sz w:val="20"/>
                <w:szCs w:val="20"/>
                <w:color w:val="auto"/>
              </w:rPr>
            </w:pPr>
            <w:r>
              <w:rPr>
                <w:rFonts w:ascii="Arial" w:cs="Arial" w:eastAsia="Arial" w:hAnsi="Arial"/>
                <w:sz w:val="22"/>
                <w:szCs w:val="22"/>
                <w:color w:val="auto"/>
              </w:rPr>
              <w:t>SA-15</w:t>
            </w:r>
          </w:p>
        </w:tc>
        <w:tc>
          <w:tcPr>
            <w:tcW w:w="25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4"/>
        </w:trPr>
        <w:tc>
          <w:tcPr>
            <w:tcW w:w="1780" w:type="dxa"/>
            <w:vAlign w:val="bottom"/>
            <w:gridSpan w:val="2"/>
          </w:tcPr>
          <w:p>
            <w:pPr>
              <w:spacing w:after="0"/>
              <w:rPr>
                <w:sz w:val="20"/>
                <w:szCs w:val="20"/>
                <w:color w:val="auto"/>
              </w:rPr>
            </w:pPr>
            <w:r>
              <w:rPr>
                <w:rFonts w:ascii="Arial" w:cs="Arial" w:eastAsia="Arial" w:hAnsi="Arial"/>
                <w:sz w:val="22"/>
                <w:szCs w:val="22"/>
                <w:color w:val="auto"/>
              </w:rPr>
              <w:t>Table of Contents</w:t>
            </w:r>
          </w:p>
        </w:tc>
        <w:tc>
          <w:tcPr>
            <w:tcW w:w="4160" w:type="dxa"/>
            <w:vAlign w:val="bottom"/>
          </w:tcPr>
          <w:p>
            <w:pPr>
              <w:ind w:left="240"/>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19"/>
                <w:szCs w:val="19"/>
                <w:color w:val="auto"/>
              </w:rPr>
              <w:t>4</w:t>
            </w:r>
          </w:p>
        </w:tc>
        <w:tc>
          <w:tcPr>
            <w:tcW w:w="2560" w:type="dxa"/>
            <w:vAlign w:val="bottom"/>
          </w:tcPr>
          <w:p>
            <w:pPr>
              <w:spacing w:after="0"/>
              <w:rPr>
                <w:sz w:val="23"/>
                <w:szCs w:val="23"/>
                <w:color w:val="auto"/>
              </w:rPr>
            </w:pPr>
          </w:p>
        </w:tc>
        <w:tc>
          <w:tcPr>
            <w:tcW w:w="1680" w:type="dxa"/>
            <w:vAlign w:val="bottom"/>
          </w:tcPr>
          <w:p>
            <w:pPr>
              <w:spacing w:after="0"/>
              <w:rPr>
                <w:sz w:val="23"/>
                <w:szCs w:val="23"/>
                <w:color w:val="auto"/>
              </w:rPr>
            </w:pPr>
          </w:p>
        </w:tc>
      </w:tr>
    </w:tbl>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108" w:right="959" w:bottom="1440" w:gutter="0" w:footer="0" w:header="0"/>
        </w:sectPr>
      </w:pPr>
    </w:p>
    <w:bookmarkStart w:id="153" w:name="page154"/>
    <w:bookmarkEnd w:id="153"/>
    <w:p>
      <w:pPr>
        <w:ind w:left="85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499745</wp:posOffset>
            </wp:positionH>
            <wp:positionV relativeFrom="page">
              <wp:posOffset>620395</wp:posOffset>
            </wp:positionV>
            <wp:extent cx="1594485" cy="3600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1594485" cy="360045"/>
                    </a:xfrm>
                    <a:prstGeom prst="rect">
                      <a:avLst/>
                    </a:prstGeom>
                    <a:noFill/>
                  </pic:spPr>
                </pic:pic>
              </a:graphicData>
            </a:graphic>
          </wp:anchor>
        </w:drawing>
        <w:t>The Boeing Company</w:t>
      </w:r>
    </w:p>
    <w:p>
      <w:pPr>
        <w:ind w:left="8540"/>
        <w:spacing w:after="0" w:line="216" w:lineRule="auto"/>
        <w:rPr>
          <w:sz w:val="20"/>
          <w:szCs w:val="20"/>
          <w:color w:val="auto"/>
        </w:rPr>
      </w:pPr>
      <w:r>
        <w:rPr>
          <w:rFonts w:ascii="Arial" w:cs="Arial" w:eastAsia="Arial" w:hAnsi="Arial"/>
          <w:sz w:val="13"/>
          <w:szCs w:val="13"/>
          <w:color w:val="auto"/>
        </w:rPr>
        <w:t>P.O. Box 3707</w:t>
      </w:r>
    </w:p>
    <w:p>
      <w:pPr>
        <w:ind w:left="8540"/>
        <w:spacing w:after="0" w:line="150" w:lineRule="exact"/>
        <w:rPr>
          <w:sz w:val="20"/>
          <w:szCs w:val="20"/>
          <w:color w:val="auto"/>
        </w:rPr>
      </w:pPr>
      <w:r>
        <w:rPr>
          <w:rFonts w:ascii="Arial" w:cs="Arial" w:eastAsia="Arial" w:hAnsi="Arial"/>
          <w:sz w:val="13"/>
          <w:szCs w:val="13"/>
          <w:color w:val="auto"/>
        </w:rPr>
        <w:t>Seattle, WA 98124</w:t>
      </w:r>
      <w:r>
        <w:rPr>
          <w:rFonts w:ascii="MS PGothic" w:cs="MS PGothic" w:eastAsia="MS PGothic" w:hAnsi="MS PGothic"/>
          <w:sz w:val="13"/>
          <w:szCs w:val="13"/>
          <w:color w:val="auto"/>
        </w:rPr>
        <w:t>‑</w:t>
      </w:r>
      <w:r>
        <w:rPr>
          <w:rFonts w:ascii="Arial" w:cs="Arial" w:eastAsia="Arial" w:hAnsi="Arial"/>
          <w:sz w:val="13"/>
          <w:szCs w:val="13"/>
          <w:color w:val="auto"/>
        </w:rPr>
        <w:t>2207</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1"/>
          <w:szCs w:val="11"/>
          <w:u w:val="single" w:color="auto"/>
          <w:color w:val="auto"/>
        </w:rPr>
        <w:t>________________________________________________________________________________________________________________________________________________________________</w:t>
      </w:r>
    </w:p>
    <w:p>
      <w:pPr>
        <w:spacing w:after="0" w:line="226"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AAL</w:t>
      </w:r>
      <w:r>
        <w:rPr>
          <w:rFonts w:ascii="MS PGothic" w:cs="MS PGothic" w:eastAsia="MS PGothic" w:hAnsi="MS PGothic"/>
          <w:sz w:val="22"/>
          <w:szCs w:val="22"/>
          <w:color w:val="auto"/>
        </w:rPr>
        <w:t>‑</w:t>
      </w:r>
      <w:r>
        <w:rPr>
          <w:rFonts w:ascii="Arial" w:cs="Arial" w:eastAsia="Arial" w:hAnsi="Arial"/>
          <w:sz w:val="22"/>
          <w:szCs w:val="22"/>
          <w:color w:val="auto"/>
        </w:rPr>
        <w:t>PA</w:t>
      </w:r>
      <w:r>
        <w:rPr>
          <w:rFonts w:ascii="MS PGothic" w:cs="MS PGothic" w:eastAsia="MS PGothic" w:hAnsi="MS PGothic"/>
          <w:sz w:val="22"/>
          <w:szCs w:val="22"/>
          <w:color w:val="auto"/>
        </w:rPr>
        <w:t>‑</w:t>
      </w:r>
      <w:r>
        <w:rPr>
          <w:rFonts w:ascii="Arial" w:cs="Arial" w:eastAsia="Arial" w:hAnsi="Arial"/>
          <w:sz w:val="22"/>
          <w:szCs w:val="22"/>
          <w:color w:val="auto"/>
        </w:rPr>
        <w:t>3219</w:t>
      </w:r>
      <w:r>
        <w:rPr>
          <w:rFonts w:ascii="MS PGothic" w:cs="MS PGothic" w:eastAsia="MS PGothic" w:hAnsi="MS PGothic"/>
          <w:sz w:val="22"/>
          <w:szCs w:val="22"/>
          <w:color w:val="auto"/>
        </w:rPr>
        <w:t>‑</w:t>
      </w:r>
      <w:r>
        <w:rPr>
          <w:rFonts w:ascii="Arial" w:cs="Arial" w:eastAsia="Arial" w:hAnsi="Arial"/>
          <w:sz w:val="22"/>
          <w:szCs w:val="22"/>
          <w:color w:val="auto"/>
        </w:rPr>
        <w:t>LA</w:t>
      </w:r>
      <w:r>
        <w:rPr>
          <w:rFonts w:ascii="MS PGothic" w:cs="MS PGothic" w:eastAsia="MS PGothic" w:hAnsi="MS PGothic"/>
          <w:sz w:val="22"/>
          <w:szCs w:val="22"/>
          <w:color w:val="auto"/>
        </w:rPr>
        <w:t>‑</w:t>
      </w:r>
      <w:r>
        <w:rPr>
          <w:rFonts w:ascii="Arial" w:cs="Arial" w:eastAsia="Arial" w:hAnsi="Arial"/>
          <w:sz w:val="22"/>
          <w:szCs w:val="22"/>
          <w:color w:val="auto"/>
        </w:rPr>
        <w:t>2001170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P.O. Box 619616</w:t>
      </w:r>
    </w:p>
    <w:p>
      <w:pPr>
        <w:spacing w:after="0" w:line="4"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Dallas</w:t>
      </w:r>
      <w:r>
        <w:rPr>
          <w:rFonts w:ascii="MS PGothic" w:cs="MS PGothic" w:eastAsia="MS PGothic" w:hAnsi="MS PGothic"/>
          <w:sz w:val="22"/>
          <w:szCs w:val="22"/>
          <w:color w:val="auto"/>
        </w:rPr>
        <w:t>‑</w:t>
      </w:r>
      <w:r>
        <w:rPr>
          <w:rFonts w:ascii="Arial" w:cs="Arial" w:eastAsia="Arial" w:hAnsi="Arial"/>
          <w:sz w:val="22"/>
          <w:szCs w:val="22"/>
          <w:color w:val="auto"/>
        </w:rPr>
        <w:t>Fort Worth Airport, Texas 75261</w:t>
      </w:r>
      <w:r>
        <w:rPr>
          <w:rFonts w:ascii="MS PGothic" w:cs="MS PGothic" w:eastAsia="MS PGothic" w:hAnsi="MS PGothic"/>
          <w:sz w:val="22"/>
          <w:szCs w:val="22"/>
          <w:color w:val="auto"/>
        </w:rPr>
        <w:t>‑</w:t>
      </w:r>
      <w:r>
        <w:rPr>
          <w:rFonts w:ascii="Arial" w:cs="Arial" w:eastAsia="Arial" w:hAnsi="Arial"/>
          <w:sz w:val="22"/>
          <w:szCs w:val="22"/>
          <w:color w:val="auto"/>
        </w:rPr>
        <w:t>9616</w:t>
      </w:r>
    </w:p>
    <w:p>
      <w:pPr>
        <w:spacing w:after="0" w:line="200" w:lineRule="exact"/>
        <w:rPr>
          <w:sz w:val="20"/>
          <w:szCs w:val="20"/>
          <w:color w:val="auto"/>
        </w:rPr>
      </w:pP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Subject: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both"/>
        <w:ind w:left="1300" w:right="20" w:hanging="1299"/>
        <w:spacing w:after="0" w:line="265" w:lineRule="exact"/>
        <w:tabs>
          <w:tab w:leader="none" w:pos="1280" w:val="left"/>
        </w:tabs>
        <w:rPr>
          <w:sz w:val="20"/>
          <w:szCs w:val="20"/>
          <w:color w:val="auto"/>
        </w:rPr>
      </w:pPr>
      <w:r>
        <w:rPr>
          <w:rFonts w:ascii="Arial" w:cs="Arial" w:eastAsia="Arial" w:hAnsi="Arial"/>
          <w:sz w:val="22"/>
          <w:szCs w:val="22"/>
          <w:color w:val="auto"/>
        </w:rPr>
        <w:t>Reference:</w:t>
      </w:r>
      <w:r>
        <w:rPr>
          <w:sz w:val="20"/>
          <w:szCs w:val="20"/>
          <w:color w:val="auto"/>
        </w:rPr>
        <w:tab/>
      </w:r>
      <w:r>
        <w:rPr>
          <w:rFonts w:ascii="Arial" w:cs="Arial" w:eastAsia="Arial" w:hAnsi="Arial"/>
          <w:sz w:val="22"/>
          <w:szCs w:val="22"/>
          <w:color w:val="auto"/>
        </w:rPr>
        <w:t>Purchase Agreement No. PA</w:t>
      </w:r>
      <w:r>
        <w:rPr>
          <w:rFonts w:ascii="MS PGothic" w:cs="MS PGothic" w:eastAsia="MS PGothic" w:hAnsi="MS PGothic"/>
          <w:sz w:val="22"/>
          <w:szCs w:val="22"/>
          <w:color w:val="auto"/>
        </w:rPr>
        <w:t>‑</w:t>
      </w:r>
      <w:r>
        <w:rPr>
          <w:rFonts w:ascii="Arial" w:cs="Arial" w:eastAsia="Arial" w:hAnsi="Arial"/>
          <w:sz w:val="22"/>
          <w:szCs w:val="22"/>
          <w:color w:val="auto"/>
        </w:rPr>
        <w:t xml:space="preserve">3219 ( </w:t>
      </w:r>
      <w:r>
        <w:rPr>
          <w:rFonts w:ascii="Arial" w:cs="Arial" w:eastAsia="Arial" w:hAnsi="Arial"/>
          <w:sz w:val="22"/>
          <w:szCs w:val="22"/>
          <w:b w:val="1"/>
          <w:bCs w:val="1"/>
          <w:i w:val="1"/>
          <w:iCs w:val="1"/>
          <w:color w:val="auto"/>
        </w:rPr>
        <w:t>Purchase Agreement</w:t>
      </w:r>
      <w:r>
        <w:rPr>
          <w:rFonts w:ascii="Arial" w:cs="Arial" w:eastAsia="Arial" w:hAnsi="Arial"/>
          <w:sz w:val="22"/>
          <w:szCs w:val="22"/>
          <w:color w:val="auto"/>
        </w:rPr>
        <w:t xml:space="preserve"> ) between The Boeing Company ( </w:t>
      </w:r>
      <w:r>
        <w:rPr>
          <w:rFonts w:ascii="Arial" w:cs="Arial" w:eastAsia="Arial" w:hAnsi="Arial"/>
          <w:sz w:val="22"/>
          <w:szCs w:val="22"/>
          <w:b w:val="1"/>
          <w:bCs w:val="1"/>
          <w:i w:val="1"/>
          <w:iCs w:val="1"/>
          <w:color w:val="auto"/>
        </w:rPr>
        <w:t>Boeing</w:t>
      </w:r>
      <w:r>
        <w:rPr>
          <w:rFonts w:ascii="Arial" w:cs="Arial" w:eastAsia="Arial" w:hAnsi="Arial"/>
          <w:sz w:val="22"/>
          <w:szCs w:val="22"/>
          <w:color w:val="auto"/>
        </w:rPr>
        <w:t xml:space="preserve"> ) and American Airlines, Inc. ( </w:t>
      </w:r>
      <w:r>
        <w:rPr>
          <w:rFonts w:ascii="Arial" w:cs="Arial" w:eastAsia="Arial" w:hAnsi="Arial"/>
          <w:sz w:val="22"/>
          <w:szCs w:val="22"/>
          <w:b w:val="1"/>
          <w:bCs w:val="1"/>
          <w:i w:val="1"/>
          <w:iCs w:val="1"/>
          <w:color w:val="auto"/>
        </w:rPr>
        <w:t>Customer</w:t>
      </w:r>
      <w:r>
        <w:rPr>
          <w:rFonts w:ascii="Arial" w:cs="Arial" w:eastAsia="Arial" w:hAnsi="Arial"/>
          <w:sz w:val="22"/>
          <w:szCs w:val="22"/>
          <w:color w:val="auto"/>
        </w:rPr>
        <w:t xml:space="preserve"> ) relating to Model 787aircraft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This letter agreement ( </w:t>
      </w:r>
      <w:r>
        <w:rPr>
          <w:rFonts w:ascii="Arial" w:cs="Arial" w:eastAsia="Arial" w:hAnsi="Arial"/>
          <w:sz w:val="22"/>
          <w:szCs w:val="22"/>
          <w:b w:val="1"/>
          <w:bCs w:val="1"/>
          <w:i w:val="1"/>
          <w:iCs w:val="1"/>
          <w:color w:val="auto"/>
        </w:rPr>
        <w:t>Letter Agreement</w:t>
      </w:r>
      <w:r>
        <w:rPr>
          <w:rFonts w:ascii="Arial" w:cs="Arial" w:eastAsia="Arial" w:hAnsi="Arial"/>
          <w:sz w:val="22"/>
          <w:szCs w:val="22"/>
          <w:color w:val="auto"/>
        </w:rPr>
        <w:t xml:space="preserve"> ) amends and supplements the Purchase Agreement. All terms used but not defined in this Letter Agreement shall have the same meaning as in the Purchase Agreement.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For the aircraft set forth on Table 6 and any [****] Aircraft (as defined in Letter Agreement AAL-PA-03219-LA-1804779) [****] by Customer where Customer [****] (as defined in Letter Agreement AAL-PA-03219-LA-1802262) (collectively, </w:t>
      </w:r>
      <w:r>
        <w:rPr>
          <w:rFonts w:ascii="Arial" w:cs="Arial" w:eastAsia="Arial" w:hAnsi="Arial"/>
          <w:sz w:val="22"/>
          <w:szCs w:val="22"/>
          <w:b w:val="1"/>
          <w:bCs w:val="1"/>
          <w:i w:val="1"/>
          <w:iCs w:val="1"/>
          <w:color w:val="auto"/>
        </w:rPr>
        <w:t xml:space="preserve">Aircraft </w:t>
      </w:r>
      <w:r>
        <w:rPr>
          <w:rFonts w:ascii="Arial" w:cs="Arial" w:eastAsia="Arial" w:hAnsi="Arial"/>
          <w:sz w:val="22"/>
          <w:szCs w:val="22"/>
          <w:color w:val="auto"/>
        </w:rPr>
        <w:t>), Boeing agrees to provide Customer with the [****] in Attachment A. [****].</w:t>
      </w:r>
    </w:p>
    <w:p>
      <w:pPr>
        <w:spacing w:after="0" w:line="185"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w:t>
      </w:r>
    </w:p>
    <w:p>
      <w:pPr>
        <w:spacing w:after="0" w:line="226"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Confidential Treatment</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herein represents confidential business information and has value precisely because it is not available generally or to other parties. Customer will limit the disclosure of its contents to employees of Customer with a need to know the contents for purposes of helping Customer perform its obligations under the Purchase Agreement and who understand they are not to disclose its contents to any other person or entity without the prior written consent of Boeing.</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980" w:type="dxa"/>
            <w:vAlign w:val="bottom"/>
            <w:gridSpan w:val="2"/>
          </w:tcPr>
          <w:p>
            <w:pPr>
              <w:spacing w:after="0"/>
              <w:rPr>
                <w:sz w:val="20"/>
                <w:szCs w:val="20"/>
                <w:color w:val="auto"/>
              </w:rPr>
            </w:pPr>
            <w:r>
              <w:rPr>
                <w:rFonts w:ascii="Arial" w:cs="Arial" w:eastAsia="Arial" w:hAnsi="Arial"/>
                <w:sz w:val="22"/>
                <w:szCs w:val="22"/>
                <w:color w:val="auto"/>
              </w:rPr>
              <w:t>P.A. No. 3219</w:t>
            </w:r>
          </w:p>
        </w:tc>
        <w:tc>
          <w:tcPr>
            <w:tcW w:w="1240" w:type="dxa"/>
            <w:vAlign w:val="bottom"/>
          </w:tcPr>
          <w:p>
            <w:pPr>
              <w:ind w:left="320"/>
              <w:spacing w:after="0"/>
              <w:rPr>
                <w:sz w:val="20"/>
                <w:szCs w:val="20"/>
                <w:color w:val="auto"/>
              </w:rPr>
            </w:pPr>
            <w:r>
              <w:rPr>
                <w:rFonts w:ascii="Arial" w:cs="Arial" w:eastAsia="Arial" w:hAnsi="Arial"/>
                <w:sz w:val="22"/>
                <w:szCs w:val="22"/>
                <w:color w:val="auto"/>
              </w:rPr>
              <w:t>SA-15</w:t>
            </w:r>
          </w:p>
        </w:tc>
        <w:tc>
          <w:tcPr>
            <w:tcW w:w="2800" w:type="dxa"/>
            <w:vAlign w:val="bottom"/>
          </w:tcPr>
          <w:p>
            <w:pPr>
              <w:ind w:left="360"/>
              <w:spacing w:after="0"/>
              <w:rPr>
                <w:sz w:val="20"/>
                <w:szCs w:val="20"/>
                <w:color w:val="auto"/>
              </w:rPr>
            </w:pPr>
            <w:r>
              <w:rPr>
                <w:rFonts w:ascii="Arial" w:cs="Arial" w:eastAsia="Arial" w:hAnsi="Arial"/>
                <w:sz w:val="22"/>
                <w:szCs w:val="22"/>
                <w:color w:val="auto"/>
                <w:w w:val="92"/>
              </w:rPr>
              <w:t>AAL-PA-3219-LA-2001170</w:t>
            </w: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w:t>
            </w:r>
          </w:p>
        </w:tc>
        <w:tc>
          <w:tcPr>
            <w:tcW w:w="1160" w:type="dxa"/>
            <w:vAlign w:val="bottom"/>
          </w:tcPr>
          <w:p>
            <w:pPr>
              <w:ind w:left="240"/>
              <w:spacing w:after="0"/>
              <w:rPr>
                <w:sz w:val="20"/>
                <w:szCs w:val="20"/>
                <w:color w:val="auto"/>
              </w:rPr>
            </w:pPr>
            <w:r>
              <w:rPr>
                <w:rFonts w:ascii="Arial" w:cs="Arial" w:eastAsia="Arial" w:hAnsi="Arial"/>
                <w:sz w:val="22"/>
                <w:szCs w:val="22"/>
                <w:color w:val="auto"/>
              </w:rPr>
              <w:t>Page 1</w:t>
            </w: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bl>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1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54" w:name="page155"/>
    <w:bookmarkEnd w:id="154"/>
    <w:p>
      <w:pPr>
        <w:spacing w:after="0" w:line="3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637540</wp:posOffset>
            </wp:positionV>
            <wp:extent cx="1594485" cy="3600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1594485" cy="3600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Very truly yours,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BOEING COMPANY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By: /s/ The Boing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6573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line="253" w:lineRule="exact"/>
        <w:tabs>
          <w:tab w:leader="none" w:pos="8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color w:val="auto"/>
        </w:rPr>
        <w:t>Attorney</w:t>
      </w:r>
      <w:r>
        <w:rPr>
          <w:rFonts w:ascii="MS PGothic" w:cs="MS PGothic" w:eastAsia="MS PGothic" w:hAnsi="MS PGothic"/>
          <w:sz w:val="22"/>
          <w:szCs w:val="22"/>
          <w:color w:val="auto"/>
        </w:rPr>
        <w:t>‑</w:t>
      </w:r>
      <w:r>
        <w:rPr>
          <w:rFonts w:ascii="Arial" w:cs="Arial" w:eastAsia="Arial" w:hAnsi="Arial"/>
          <w:sz w:val="22"/>
          <w:szCs w:val="22"/>
          <w:color w:val="auto"/>
        </w:rPr>
        <w:t>In</w:t>
      </w:r>
      <w:r>
        <w:rPr>
          <w:rFonts w:ascii="MS PGothic" w:cs="MS PGothic" w:eastAsia="MS PGothic" w:hAnsi="MS PGothic"/>
          <w:sz w:val="22"/>
          <w:szCs w:val="22"/>
          <w:color w:val="auto"/>
        </w:rPr>
        <w:t>‑</w:t>
      </w:r>
      <w:r>
        <w:rPr>
          <w:rFonts w:ascii="Arial" w:cs="Arial" w:eastAsia="Arial" w:hAnsi="Arial"/>
          <w:sz w:val="22"/>
          <w:szCs w:val="22"/>
          <w:color w:val="auto"/>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-17780</wp:posOffset>
            </wp:positionV>
            <wp:extent cx="15386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5386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 this</w:t>
      </w:r>
    </w:p>
    <w:p>
      <w:pPr>
        <w:spacing w:after="0" w:line="328"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March 16, 2020__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11468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-17780</wp:posOffset>
            </wp:positionV>
            <wp:extent cx="15271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4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18"/>
          <w:szCs w:val="18"/>
          <w:color w:val="auto"/>
        </w:rPr>
        <w:t>VP,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-17780</wp:posOffset>
            </wp:positionV>
            <wp:extent cx="15011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80" w:type="dxa"/>
            <w:vAlign w:val="bottom"/>
            <w:gridSpan w:val="2"/>
          </w:tcPr>
          <w:p>
            <w:pPr>
              <w:spacing w:after="0"/>
              <w:rPr>
                <w:sz w:val="20"/>
                <w:szCs w:val="20"/>
                <w:color w:val="auto"/>
              </w:rPr>
            </w:pPr>
            <w:r>
              <w:rPr>
                <w:rFonts w:ascii="Arial" w:cs="Arial" w:eastAsia="Arial" w:hAnsi="Arial"/>
                <w:sz w:val="22"/>
                <w:szCs w:val="22"/>
                <w:color w:val="auto"/>
              </w:rPr>
              <w:t>P.A. No. 3219</w:t>
            </w:r>
          </w:p>
        </w:tc>
        <w:tc>
          <w:tcPr>
            <w:tcW w:w="1240" w:type="dxa"/>
            <w:vAlign w:val="bottom"/>
          </w:tcPr>
          <w:p>
            <w:pPr>
              <w:ind w:left="320"/>
              <w:spacing w:after="0"/>
              <w:rPr>
                <w:sz w:val="20"/>
                <w:szCs w:val="20"/>
                <w:color w:val="auto"/>
              </w:rPr>
            </w:pPr>
            <w:r>
              <w:rPr>
                <w:rFonts w:ascii="Arial" w:cs="Arial" w:eastAsia="Arial" w:hAnsi="Arial"/>
                <w:sz w:val="22"/>
                <w:szCs w:val="22"/>
                <w:color w:val="auto"/>
              </w:rPr>
              <w:t>SA-15</w:t>
            </w:r>
          </w:p>
        </w:tc>
        <w:tc>
          <w:tcPr>
            <w:tcW w:w="2800" w:type="dxa"/>
            <w:vAlign w:val="bottom"/>
          </w:tcPr>
          <w:p>
            <w:pPr>
              <w:ind w:left="360"/>
              <w:spacing w:after="0"/>
              <w:rPr>
                <w:sz w:val="20"/>
                <w:szCs w:val="20"/>
                <w:color w:val="auto"/>
              </w:rPr>
            </w:pPr>
            <w:r>
              <w:rPr>
                <w:rFonts w:ascii="Arial" w:cs="Arial" w:eastAsia="Arial" w:hAnsi="Arial"/>
                <w:sz w:val="22"/>
                <w:szCs w:val="22"/>
                <w:color w:val="auto"/>
                <w:w w:val="92"/>
              </w:rPr>
              <w:t>AAL-PA-3219-LA-2001170</w:t>
            </w:r>
          </w:p>
        </w:tc>
      </w:tr>
      <w:tr>
        <w:trPr>
          <w:trHeight w:val="274"/>
        </w:trPr>
        <w:tc>
          <w:tcPr>
            <w:tcW w:w="820" w:type="dxa"/>
            <w:vAlign w:val="bottom"/>
          </w:tcPr>
          <w:p>
            <w:pPr>
              <w:spacing w:after="0"/>
              <w:rPr>
                <w:sz w:val="20"/>
                <w:szCs w:val="20"/>
                <w:color w:val="auto"/>
              </w:rPr>
            </w:pPr>
            <w:r>
              <w:rPr>
                <w:rFonts w:ascii="Arial" w:cs="Arial" w:eastAsia="Arial" w:hAnsi="Arial"/>
                <w:sz w:val="22"/>
                <w:szCs w:val="22"/>
                <w:color w:val="auto"/>
              </w:rPr>
              <w:t>[****]</w:t>
            </w:r>
          </w:p>
        </w:tc>
        <w:tc>
          <w:tcPr>
            <w:tcW w:w="1160" w:type="dxa"/>
            <w:vAlign w:val="bottom"/>
          </w:tcPr>
          <w:p>
            <w:pPr>
              <w:ind w:left="240"/>
              <w:spacing w:after="0"/>
              <w:rPr>
                <w:sz w:val="20"/>
                <w:szCs w:val="20"/>
                <w:color w:val="auto"/>
              </w:rPr>
            </w:pPr>
            <w:r>
              <w:rPr>
                <w:rFonts w:ascii="Arial" w:cs="Arial" w:eastAsia="Arial" w:hAnsi="Arial"/>
                <w:sz w:val="22"/>
                <w:szCs w:val="22"/>
                <w:color w:val="auto"/>
              </w:rPr>
              <w:t>Page 2</w:t>
            </w:r>
          </w:p>
        </w:tc>
        <w:tc>
          <w:tcPr>
            <w:tcW w:w="1240" w:type="dxa"/>
            <w:vAlign w:val="bottom"/>
          </w:tcPr>
          <w:p>
            <w:pPr>
              <w:spacing w:after="0"/>
              <w:rPr>
                <w:sz w:val="23"/>
                <w:szCs w:val="23"/>
                <w:color w:val="auto"/>
              </w:rPr>
            </w:pPr>
          </w:p>
        </w:tc>
        <w:tc>
          <w:tcPr>
            <w:tcW w:w="2800" w:type="dxa"/>
            <w:vAlign w:val="bottom"/>
          </w:tcPr>
          <w:p>
            <w:pPr>
              <w:spacing w:after="0"/>
              <w:rPr>
                <w:sz w:val="23"/>
                <w:szCs w:val="23"/>
                <w:color w:val="auto"/>
              </w:rPr>
            </w:pPr>
          </w:p>
        </w:tc>
      </w:tr>
    </w:tbl>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155" w:name="page156"/>
    <w:bookmarkEnd w:id="155"/>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1</w:t>
      </w:r>
    </w:p>
    <w:p>
      <w:pPr>
        <w:spacing w:after="0" w:line="200" w:lineRule="exact"/>
        <w:rPr>
          <w:sz w:val="20"/>
          <w:szCs w:val="20"/>
          <w:color w:val="auto"/>
        </w:rPr>
      </w:pPr>
    </w:p>
    <w:p>
      <w:pPr>
        <w:spacing w:after="0" w:line="377"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w:t>
      </w:r>
    </w:p>
    <w:p>
      <w:pPr>
        <w:spacing w:after="0" w:line="242"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FOR 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SECTION CONTENTS</w:t>
      </w:r>
    </w:p>
    <w:p>
      <w:pPr>
        <w:spacing w:after="0" w:line="220" w:lineRule="exact"/>
        <w:rPr>
          <w:sz w:val="20"/>
          <w:szCs w:val="20"/>
          <w:color w:val="auto"/>
        </w:rPr>
      </w:pPr>
    </w:p>
    <w:p>
      <w:pPr>
        <w:ind w:left="2600" w:hanging="905"/>
        <w:spacing w:after="0"/>
        <w:tabs>
          <w:tab w:leader="none" w:pos="260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AIRCRAFT MODEL APPLICABILITY</w:t>
      </w:r>
    </w:p>
    <w:p>
      <w:pPr>
        <w:spacing w:after="0" w:line="219" w:lineRule="exact"/>
        <w:rPr>
          <w:rFonts w:ascii="Arial" w:cs="Arial" w:eastAsia="Arial" w:hAnsi="Arial"/>
          <w:sz w:val="22"/>
          <w:szCs w:val="22"/>
          <w:b w:val="1"/>
          <w:bCs w:val="1"/>
          <w:color w:val="auto"/>
        </w:rPr>
      </w:pPr>
    </w:p>
    <w:p>
      <w:pPr>
        <w:ind w:left="17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2</w:t>
      </w:r>
      <w:r>
        <w:rPr>
          <w:rFonts w:ascii="Arial" w:cs="Arial" w:eastAsia="Arial" w:hAnsi="Arial"/>
          <w:sz w:val="21"/>
          <w:szCs w:val="21"/>
          <w:b w:val="1"/>
          <w:bCs w:val="1"/>
          <w:color w:val="auto"/>
        </w:rPr>
        <w:t>FLIGHT PERFORMANCE</w:t>
      </w:r>
    </w:p>
    <w:p>
      <w:pPr>
        <w:spacing w:after="0" w:line="225" w:lineRule="exact"/>
        <w:rPr>
          <w:sz w:val="20"/>
          <w:szCs w:val="20"/>
          <w:color w:val="auto"/>
        </w:rPr>
      </w:pPr>
    </w:p>
    <w:p>
      <w:pPr>
        <w:ind w:left="2600" w:hanging="905"/>
        <w:spacing w:after="0"/>
        <w:tabs>
          <w:tab w:leader="none" w:pos="260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color w:val="auto"/>
        </w:rPr>
        <w:t>[****]</w:t>
      </w:r>
    </w:p>
    <w:p>
      <w:pPr>
        <w:spacing w:after="0" w:line="220" w:lineRule="exact"/>
        <w:rPr>
          <w:sz w:val="20"/>
          <w:szCs w:val="20"/>
          <w:color w:val="auto"/>
        </w:rPr>
      </w:pPr>
    </w:p>
    <w:p>
      <w:pPr>
        <w:ind w:left="2600" w:hanging="905"/>
        <w:spacing w:after="0"/>
        <w:tabs>
          <w:tab w:leader="none" w:pos="260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color w:val="auto"/>
        </w:rPr>
        <w:t>[****]</w:t>
      </w:r>
    </w:p>
    <w:p>
      <w:pPr>
        <w:spacing w:after="0" w:line="215" w:lineRule="exact"/>
        <w:rPr>
          <w:sz w:val="20"/>
          <w:szCs w:val="20"/>
          <w:color w:val="auto"/>
        </w:rPr>
      </w:pPr>
    </w:p>
    <w:p>
      <w:pPr>
        <w:ind w:left="2600" w:hanging="905"/>
        <w:spacing w:after="0"/>
        <w:tabs>
          <w:tab w:leader="none" w:pos="260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AIRCRAFT CONFIGURATION</w:t>
      </w:r>
    </w:p>
    <w:p>
      <w:pPr>
        <w:spacing w:after="0" w:line="219" w:lineRule="exact"/>
        <w:rPr>
          <w:rFonts w:ascii="Arial" w:cs="Arial" w:eastAsia="Arial" w:hAnsi="Arial"/>
          <w:sz w:val="22"/>
          <w:szCs w:val="22"/>
          <w:b w:val="1"/>
          <w:bCs w:val="1"/>
          <w:color w:val="auto"/>
        </w:rPr>
      </w:pPr>
    </w:p>
    <w:p>
      <w:pPr>
        <w:ind w:left="17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6</w:t>
      </w:r>
      <w:r>
        <w:rPr>
          <w:rFonts w:ascii="Arial" w:cs="Arial" w:eastAsia="Arial" w:hAnsi="Arial"/>
          <w:sz w:val="21"/>
          <w:szCs w:val="21"/>
          <w:b w:val="1"/>
          <w:bCs w:val="1"/>
          <w:color w:val="auto"/>
        </w:rPr>
        <w:t>GUARANTEE CONDITIONS</w:t>
      </w:r>
    </w:p>
    <w:p>
      <w:pPr>
        <w:spacing w:after="0" w:line="219" w:lineRule="exact"/>
        <w:rPr>
          <w:rFonts w:ascii="Arial" w:cs="Arial" w:eastAsia="Arial" w:hAnsi="Arial"/>
          <w:sz w:val="22"/>
          <w:szCs w:val="22"/>
          <w:b w:val="1"/>
          <w:bCs w:val="1"/>
          <w:color w:val="auto"/>
        </w:rPr>
      </w:pPr>
    </w:p>
    <w:p>
      <w:pPr>
        <w:ind w:left="17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7</w:t>
      </w:r>
      <w:r>
        <w:rPr>
          <w:rFonts w:ascii="Arial" w:cs="Arial" w:eastAsia="Arial" w:hAnsi="Arial"/>
          <w:sz w:val="21"/>
          <w:szCs w:val="21"/>
          <w:b w:val="1"/>
          <w:bCs w:val="1"/>
          <w:color w:val="auto"/>
        </w:rPr>
        <w:t>GUARANTEE COMPLIANCE</w:t>
      </w:r>
    </w:p>
    <w:p>
      <w:pPr>
        <w:spacing w:after="0" w:line="219" w:lineRule="exact"/>
        <w:rPr>
          <w:rFonts w:ascii="Arial" w:cs="Arial" w:eastAsia="Arial" w:hAnsi="Arial"/>
          <w:sz w:val="22"/>
          <w:szCs w:val="22"/>
          <w:b w:val="1"/>
          <w:bCs w:val="1"/>
          <w:color w:val="auto"/>
        </w:rPr>
      </w:pPr>
    </w:p>
    <w:p>
      <w:pPr>
        <w:ind w:left="17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8</w:t>
      </w:r>
      <w:r>
        <w:rPr>
          <w:rFonts w:ascii="Arial" w:cs="Arial" w:eastAsia="Arial" w:hAnsi="Arial"/>
          <w:sz w:val="21"/>
          <w:szCs w:val="21"/>
          <w:b w:val="1"/>
          <w:bCs w:val="1"/>
          <w:color w:val="auto"/>
        </w:rPr>
        <w:t>EXCLUSIVE GUARANTEES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1" w:right="959" w:bottom="1440" w:gutter="0" w:footer="0" w:header="0"/>
        </w:sectPr>
      </w:pPr>
    </w:p>
    <w:bookmarkStart w:id="156" w:name="page157"/>
    <w:bookmarkEnd w:id="156"/>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384" w:lineRule="exact"/>
        <w:rPr>
          <w:sz w:val="20"/>
          <w:szCs w:val="20"/>
          <w:color w:val="auto"/>
        </w:rPr>
      </w:pPr>
    </w:p>
    <w:p>
      <w:pPr>
        <w:ind w:left="4180" w:hanging="659"/>
        <w:spacing w:after="0"/>
        <w:tabs>
          <w:tab w:leader="none" w:pos="4180" w:val="left"/>
        </w:tabs>
        <w:numPr>
          <w:ilvl w:val="0"/>
          <w:numId w:val="130"/>
        </w:numPr>
        <w:rPr>
          <w:rFonts w:ascii="Arial" w:cs="Arial" w:eastAsia="Arial" w:hAnsi="Arial"/>
          <w:sz w:val="22"/>
          <w:szCs w:val="22"/>
          <w:b w:val="1"/>
          <w:bCs w:val="1"/>
          <w:color w:val="auto"/>
        </w:rPr>
      </w:pPr>
      <w:r>
        <w:rPr>
          <w:rFonts w:ascii="Arial" w:cs="Arial" w:eastAsia="Arial" w:hAnsi="Arial"/>
          <w:sz w:val="22"/>
          <w:szCs w:val="22"/>
          <w:color w:val="auto"/>
        </w:rPr>
        <w:t>AIRCRAFT MODEL APPLICABILITY</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guarantees contained in this Attachment (the " [****] ") are applicable to the [****] .</w:t>
      </w:r>
    </w:p>
    <w:p>
      <w:pPr>
        <w:spacing w:after="0" w:line="343" w:lineRule="exact"/>
        <w:rPr>
          <w:sz w:val="20"/>
          <w:szCs w:val="20"/>
          <w:color w:val="auto"/>
        </w:rPr>
      </w:pPr>
    </w:p>
    <w:p>
      <w:pPr>
        <w:ind w:left="680" w:hanging="672"/>
        <w:spacing w:after="0"/>
        <w:tabs>
          <w:tab w:leader="none" w:pos="680" w:val="left"/>
        </w:tabs>
        <w:numPr>
          <w:ilvl w:val="0"/>
          <w:numId w:val="131"/>
        </w:numPr>
        <w:rPr>
          <w:rFonts w:ascii="Arial" w:cs="Arial" w:eastAsia="Arial" w:hAnsi="Arial"/>
          <w:sz w:val="22"/>
          <w:szCs w:val="22"/>
          <w:b w:val="1"/>
          <w:bCs w:val="1"/>
          <w:color w:val="auto"/>
        </w:rPr>
      </w:pPr>
      <w:r>
        <w:rPr>
          <w:rFonts w:ascii="Arial" w:cs="Arial" w:eastAsia="Arial" w:hAnsi="Arial"/>
          <w:sz w:val="22"/>
          <w:szCs w:val="22"/>
          <w:color w:val="auto"/>
        </w:rPr>
        <w:t>FLIGHT PERFORMANCE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40" w:type="dxa"/>
            <w:vAlign w:val="bottom"/>
          </w:tcPr>
          <w:p>
            <w:pPr>
              <w:spacing w:after="0"/>
              <w:rPr>
                <w:sz w:val="20"/>
                <w:szCs w:val="20"/>
                <w:color w:val="auto"/>
              </w:rPr>
            </w:pPr>
            <w:r>
              <w:rPr>
                <w:rFonts w:ascii="Arial" w:cs="Arial" w:eastAsia="Arial" w:hAnsi="Arial"/>
                <w:sz w:val="22"/>
                <w:szCs w:val="22"/>
                <w:b w:val="1"/>
                <w:bCs w:val="1"/>
                <w:color w:val="auto"/>
              </w:rPr>
              <w:t>2.1</w:t>
            </w:r>
          </w:p>
        </w:tc>
        <w:tc>
          <w:tcPr>
            <w:tcW w:w="1300" w:type="dxa"/>
            <w:vAlign w:val="bottom"/>
          </w:tcPr>
          <w:p>
            <w:pPr>
              <w:ind w:left="160"/>
              <w:spacing w:after="0"/>
              <w:rPr>
                <w:sz w:val="20"/>
                <w:szCs w:val="20"/>
                <w:color w:val="auto"/>
              </w:rPr>
            </w:pPr>
            <w:r>
              <w:rPr>
                <w:rFonts w:ascii="Arial" w:cs="Arial" w:eastAsia="Arial" w:hAnsi="Arial"/>
                <w:sz w:val="22"/>
                <w:szCs w:val="22"/>
                <w:color w:val="auto"/>
              </w:rPr>
              <w:t>[****]</w:t>
            </w:r>
          </w:p>
        </w:tc>
        <w:tc>
          <w:tcPr>
            <w:tcW w:w="9300" w:type="dxa"/>
            <w:vAlign w:val="bottom"/>
          </w:tcPr>
          <w:p>
            <w:pPr>
              <w:spacing w:after="0"/>
              <w:rPr>
                <w:sz w:val="24"/>
                <w:szCs w:val="24"/>
                <w:color w:val="auto"/>
              </w:rPr>
            </w:pPr>
          </w:p>
        </w:tc>
      </w:tr>
      <w:tr>
        <w:trPr>
          <w:trHeight w:val="364"/>
        </w:trPr>
        <w:tc>
          <w:tcPr>
            <w:tcW w:w="640" w:type="dxa"/>
            <w:vAlign w:val="bottom"/>
          </w:tcPr>
          <w:p>
            <w:pPr>
              <w:spacing w:after="0"/>
              <w:rPr>
                <w:sz w:val="20"/>
                <w:szCs w:val="20"/>
                <w:color w:val="auto"/>
              </w:rPr>
            </w:pPr>
            <w:r>
              <w:rPr>
                <w:rFonts w:ascii="Arial" w:cs="Arial" w:eastAsia="Arial" w:hAnsi="Arial"/>
                <w:sz w:val="22"/>
                <w:szCs w:val="22"/>
                <w:b w:val="1"/>
                <w:bCs w:val="1"/>
                <w:color w:val="auto"/>
              </w:rPr>
              <w:t>2.1.1</w:t>
            </w: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The FAA-approved [****] :</w:t>
            </w:r>
          </w:p>
        </w:tc>
      </w:tr>
      <w:tr>
        <w:trPr>
          <w:trHeight w:val="473"/>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r>
        <w:trPr>
          <w:trHeight w:val="473"/>
        </w:trPr>
        <w:tc>
          <w:tcPr>
            <w:tcW w:w="640" w:type="dxa"/>
            <w:vAlign w:val="bottom"/>
          </w:tcPr>
          <w:p>
            <w:pPr>
              <w:spacing w:after="0"/>
              <w:rPr>
                <w:sz w:val="20"/>
                <w:szCs w:val="20"/>
                <w:color w:val="auto"/>
              </w:rPr>
            </w:pPr>
            <w:r>
              <w:rPr>
                <w:rFonts w:ascii="Arial" w:cs="Arial" w:eastAsia="Arial" w:hAnsi="Arial"/>
                <w:sz w:val="22"/>
                <w:szCs w:val="22"/>
                <w:b w:val="1"/>
                <w:bCs w:val="1"/>
                <w:color w:val="auto"/>
              </w:rPr>
              <w:t>2.1.2</w:t>
            </w: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The FAA-approved [****] :</w:t>
            </w:r>
          </w:p>
        </w:tc>
      </w:tr>
      <w:tr>
        <w:trPr>
          <w:trHeight w:val="473"/>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r>
        <w:trPr>
          <w:trHeight w:val="473"/>
        </w:trPr>
        <w:tc>
          <w:tcPr>
            <w:tcW w:w="640" w:type="dxa"/>
            <w:vAlign w:val="bottom"/>
          </w:tcPr>
          <w:p>
            <w:pPr>
              <w:spacing w:after="0"/>
              <w:rPr>
                <w:sz w:val="20"/>
                <w:szCs w:val="20"/>
                <w:color w:val="auto"/>
              </w:rPr>
            </w:pPr>
            <w:r>
              <w:rPr>
                <w:rFonts w:ascii="Arial" w:cs="Arial" w:eastAsia="Arial" w:hAnsi="Arial"/>
                <w:sz w:val="22"/>
                <w:szCs w:val="22"/>
                <w:b w:val="1"/>
                <w:bCs w:val="1"/>
                <w:color w:val="auto"/>
              </w:rPr>
              <w:t>2.1.3</w:t>
            </w: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The FAA-approved [****] :</w:t>
            </w:r>
          </w:p>
        </w:tc>
      </w:tr>
      <w:tr>
        <w:trPr>
          <w:trHeight w:val="473"/>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r>
        <w:trPr>
          <w:trHeight w:val="473"/>
        </w:trPr>
        <w:tc>
          <w:tcPr>
            <w:tcW w:w="640" w:type="dxa"/>
            <w:vAlign w:val="bottom"/>
          </w:tcPr>
          <w:p>
            <w:pPr>
              <w:spacing w:after="0"/>
              <w:rPr>
                <w:sz w:val="20"/>
                <w:szCs w:val="20"/>
                <w:color w:val="auto"/>
              </w:rPr>
            </w:pPr>
            <w:r>
              <w:rPr>
                <w:rFonts w:ascii="Arial" w:cs="Arial" w:eastAsia="Arial" w:hAnsi="Arial"/>
                <w:sz w:val="22"/>
                <w:szCs w:val="22"/>
                <w:b w:val="1"/>
                <w:bCs w:val="1"/>
                <w:color w:val="auto"/>
              </w:rPr>
              <w:t>2.1.4</w:t>
            </w: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The FAA-approved [****] :</w:t>
            </w:r>
          </w:p>
        </w:tc>
      </w:tr>
      <w:tr>
        <w:trPr>
          <w:trHeight w:val="473"/>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r>
        <w:trPr>
          <w:trHeight w:val="887"/>
        </w:trPr>
        <w:tc>
          <w:tcPr>
            <w:tcW w:w="640" w:type="dxa"/>
            <w:vAlign w:val="bottom"/>
          </w:tcPr>
          <w:p>
            <w:pPr>
              <w:spacing w:after="0"/>
              <w:rPr>
                <w:sz w:val="24"/>
                <w:szCs w:val="24"/>
                <w:color w:val="auto"/>
              </w:rPr>
            </w:pPr>
          </w:p>
        </w:tc>
        <w:tc>
          <w:tcPr>
            <w:tcW w:w="1300" w:type="dxa"/>
            <w:vAlign w:val="bottom"/>
          </w:tcPr>
          <w:p>
            <w:pPr>
              <w:ind w:left="500"/>
              <w:spacing w:after="0"/>
              <w:rPr>
                <w:sz w:val="20"/>
                <w:szCs w:val="20"/>
                <w:color w:val="auto"/>
              </w:rPr>
            </w:pPr>
            <w:r>
              <w:rPr>
                <w:rFonts w:ascii="Arial" w:cs="Arial" w:eastAsia="Arial" w:hAnsi="Arial"/>
                <w:sz w:val="22"/>
                <w:szCs w:val="22"/>
                <w:color w:val="auto"/>
              </w:rPr>
              <w:t>2.2</w:t>
            </w:r>
          </w:p>
        </w:tc>
        <w:tc>
          <w:tcPr>
            <w:tcW w:w="9300" w:type="dxa"/>
            <w:vAlign w:val="bottom"/>
          </w:tcPr>
          <w:p>
            <w:pPr>
              <w:jc w:val="right"/>
              <w:ind w:right="8272"/>
              <w:spacing w:after="0"/>
              <w:rPr>
                <w:sz w:val="20"/>
                <w:szCs w:val="20"/>
                <w:color w:val="auto"/>
              </w:rPr>
            </w:pPr>
            <w:r>
              <w:rPr>
                <w:rFonts w:ascii="Arial" w:cs="Arial" w:eastAsia="Arial" w:hAnsi="Arial"/>
                <w:sz w:val="22"/>
                <w:szCs w:val="22"/>
                <w:color w:val="auto"/>
              </w:rPr>
              <w:t>[****]</w:t>
            </w:r>
          </w:p>
        </w:tc>
      </w:tr>
      <w:tr>
        <w:trPr>
          <w:trHeight w:val="274"/>
        </w:trPr>
        <w:tc>
          <w:tcPr>
            <w:tcW w:w="640" w:type="dxa"/>
            <w:vAlign w:val="bottom"/>
          </w:tcPr>
          <w:p>
            <w:pPr>
              <w:spacing w:after="0"/>
              <w:rPr>
                <w:sz w:val="23"/>
                <w:szCs w:val="23"/>
                <w:color w:val="auto"/>
              </w:rPr>
            </w:pP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The FAA-approved [****] :</w:t>
            </w:r>
          </w:p>
        </w:tc>
      </w:tr>
      <w:tr>
        <w:trPr>
          <w:trHeight w:val="473"/>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r>
        <w:trPr>
          <w:trHeight w:val="580"/>
        </w:trPr>
        <w:tc>
          <w:tcPr>
            <w:tcW w:w="640" w:type="dxa"/>
            <w:vAlign w:val="bottom"/>
          </w:tcPr>
          <w:p>
            <w:pPr>
              <w:spacing w:after="0"/>
              <w:rPr>
                <w:sz w:val="20"/>
                <w:szCs w:val="20"/>
                <w:color w:val="auto"/>
              </w:rPr>
            </w:pPr>
            <w:r>
              <w:rPr>
                <w:rFonts w:ascii="Arial" w:cs="Arial" w:eastAsia="Arial" w:hAnsi="Arial"/>
                <w:sz w:val="22"/>
                <w:szCs w:val="22"/>
                <w:b w:val="1"/>
                <w:bCs w:val="1"/>
                <w:color w:val="auto"/>
              </w:rPr>
              <w:t>2.3</w:t>
            </w:r>
          </w:p>
        </w:tc>
        <w:tc>
          <w:tcPr>
            <w:tcW w:w="1300" w:type="dxa"/>
            <w:vAlign w:val="bottom"/>
          </w:tcPr>
          <w:p>
            <w:pPr>
              <w:ind w:left="220"/>
              <w:spacing w:after="0"/>
              <w:rPr>
                <w:sz w:val="20"/>
                <w:szCs w:val="20"/>
                <w:color w:val="auto"/>
              </w:rPr>
            </w:pPr>
            <w:r>
              <w:rPr>
                <w:rFonts w:ascii="Arial" w:cs="Arial" w:eastAsia="Arial" w:hAnsi="Arial"/>
                <w:sz w:val="22"/>
                <w:szCs w:val="22"/>
                <w:color w:val="auto"/>
              </w:rPr>
              <w:t>Mission</w:t>
            </w:r>
          </w:p>
        </w:tc>
        <w:tc>
          <w:tcPr>
            <w:tcW w:w="9300" w:type="dxa"/>
            <w:vAlign w:val="bottom"/>
          </w:tcPr>
          <w:p>
            <w:pPr>
              <w:spacing w:after="0"/>
              <w:rPr>
                <w:sz w:val="24"/>
                <w:szCs w:val="24"/>
                <w:color w:val="auto"/>
              </w:rPr>
            </w:pPr>
          </w:p>
        </w:tc>
      </w:tr>
      <w:tr>
        <w:trPr>
          <w:trHeight w:val="473"/>
        </w:trPr>
        <w:tc>
          <w:tcPr>
            <w:tcW w:w="640" w:type="dxa"/>
            <w:vAlign w:val="bottom"/>
          </w:tcPr>
          <w:p>
            <w:pPr>
              <w:spacing w:after="0"/>
              <w:rPr>
                <w:sz w:val="20"/>
                <w:szCs w:val="20"/>
                <w:color w:val="auto"/>
              </w:rPr>
            </w:pPr>
            <w:r>
              <w:rPr>
                <w:rFonts w:ascii="Arial" w:cs="Arial" w:eastAsia="Arial" w:hAnsi="Arial"/>
                <w:sz w:val="22"/>
                <w:szCs w:val="22"/>
                <w:b w:val="1"/>
                <w:bCs w:val="1"/>
                <w:color w:val="auto"/>
              </w:rPr>
              <w:t>2.3.1</w:t>
            </w:r>
          </w:p>
        </w:tc>
        <w:tc>
          <w:tcPr>
            <w:tcW w:w="10600" w:type="dxa"/>
            <w:vAlign w:val="bottom"/>
            <w:gridSpan w:val="2"/>
          </w:tcPr>
          <w:p>
            <w:pPr>
              <w:jc w:val="right"/>
              <w:ind w:right="8532"/>
              <w:spacing w:after="0"/>
              <w:rPr>
                <w:sz w:val="20"/>
                <w:szCs w:val="20"/>
                <w:color w:val="auto"/>
              </w:rPr>
            </w:pPr>
            <w:r>
              <w:rPr>
                <w:rFonts w:ascii="Arial" w:cs="Arial" w:eastAsia="Arial" w:hAnsi="Arial"/>
                <w:sz w:val="22"/>
                <w:szCs w:val="22"/>
                <w:color w:val="auto"/>
              </w:rPr>
              <w:t>Mission Payload</w:t>
            </w:r>
          </w:p>
        </w:tc>
      </w:tr>
      <w:tr>
        <w:trPr>
          <w:trHeight w:val="362"/>
        </w:trPr>
        <w:tc>
          <w:tcPr>
            <w:tcW w:w="640" w:type="dxa"/>
            <w:vAlign w:val="bottom"/>
          </w:tcPr>
          <w:p>
            <w:pPr>
              <w:spacing w:after="0"/>
              <w:rPr>
                <w:sz w:val="24"/>
                <w:szCs w:val="24"/>
                <w:color w:val="auto"/>
              </w:rPr>
            </w:pP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The payload for a stage length of [****] nautical miles in still air (representative of a Dallas to Tokyo</w:t>
            </w:r>
          </w:p>
        </w:tc>
      </w:tr>
      <w:tr>
        <w:trPr>
          <w:trHeight w:val="257"/>
        </w:trPr>
        <w:tc>
          <w:tcPr>
            <w:tcW w:w="640" w:type="dxa"/>
            <w:vAlign w:val="bottom"/>
          </w:tcPr>
          <w:p>
            <w:pPr>
              <w:spacing w:after="0"/>
              <w:rPr>
                <w:sz w:val="22"/>
                <w:szCs w:val="22"/>
                <w:color w:val="auto"/>
              </w:rPr>
            </w:pP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route) using the conditions and operating rules defined below, will not be less than the following</w:t>
            </w:r>
          </w:p>
        </w:tc>
      </w:tr>
      <w:tr>
        <w:trPr>
          <w:trHeight w:val="259"/>
        </w:trPr>
        <w:tc>
          <w:tcPr>
            <w:tcW w:w="640" w:type="dxa"/>
            <w:vAlign w:val="bottom"/>
          </w:tcPr>
          <w:p>
            <w:pPr>
              <w:spacing w:after="0"/>
              <w:rPr>
                <w:sz w:val="22"/>
                <w:szCs w:val="22"/>
                <w:color w:val="auto"/>
              </w:rPr>
            </w:pPr>
          </w:p>
        </w:tc>
        <w:tc>
          <w:tcPr>
            <w:tcW w:w="10600" w:type="dxa"/>
            <w:vAlign w:val="bottom"/>
            <w:gridSpan w:val="2"/>
          </w:tcPr>
          <w:p>
            <w:pPr>
              <w:ind w:left="660"/>
              <w:spacing w:after="0"/>
              <w:rPr>
                <w:sz w:val="20"/>
                <w:szCs w:val="20"/>
                <w:color w:val="auto"/>
              </w:rPr>
            </w:pPr>
            <w:r>
              <w:rPr>
                <w:rFonts w:ascii="Arial" w:cs="Arial" w:eastAsia="Arial" w:hAnsi="Arial"/>
                <w:sz w:val="22"/>
                <w:szCs w:val="22"/>
                <w:color w:val="auto"/>
              </w:rPr>
              <w:t>guarantee value:</w:t>
            </w:r>
          </w:p>
        </w:tc>
      </w:tr>
      <w:tr>
        <w:trPr>
          <w:trHeight w:val="455"/>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r>
        <w:trPr>
          <w:trHeight w:val="256"/>
        </w:trPr>
        <w:tc>
          <w:tcPr>
            <w:tcW w:w="6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r>
        <w:trPr>
          <w:trHeight w:val="274"/>
        </w:trPr>
        <w:tc>
          <w:tcPr>
            <w:tcW w:w="6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300" w:type="dxa"/>
            <w:vAlign w:val="bottom"/>
          </w:tcPr>
          <w:p>
            <w:pPr>
              <w:jc w:val="right"/>
              <w:ind w:right="745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511" w:right="339" w:bottom="1440" w:gutter="0" w:footer="0" w:header="0"/>
        </w:sectPr>
      </w:pPr>
    </w:p>
    <w:p>
      <w:pPr>
        <w:spacing w:after="0" w:line="2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57" w:name="page158"/>
    <w:bookmarkEnd w:id="157"/>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Conditions and operating rules:</w:t>
      </w:r>
    </w:p>
    <w:p>
      <w:pPr>
        <w:sectPr>
          <w:pgSz w:w="11900" w:h="16838" w:orient="portrait"/>
          <w:cols w:equalWidth="0" w:num="1">
            <w:col w:w="10620"/>
          </w:cols>
          <w:pgMar w:left="320" w:top="511" w:right="959" w:bottom="1440" w:gutter="0" w:footer="0" w:header="0"/>
        </w:sectPr>
      </w:pPr>
    </w:p>
    <w:p>
      <w:pPr>
        <w:spacing w:after="0" w:line="370"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Stage</w:t>
      </w:r>
    </w:p>
    <w:p>
      <w:pPr>
        <w:ind w:left="1200"/>
        <w:spacing w:after="0"/>
        <w:rPr>
          <w:sz w:val="20"/>
          <w:szCs w:val="20"/>
          <w:color w:val="auto"/>
        </w:rPr>
      </w:pPr>
      <w:r>
        <w:rPr>
          <w:rFonts w:ascii="Arial" w:cs="Arial" w:eastAsia="Arial" w:hAnsi="Arial"/>
          <w:sz w:val="21"/>
          <w:szCs w:val="21"/>
          <w:color w:val="auto"/>
        </w:rPr>
        <w:t>Length:</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The stage length is defined as the sum of the distances for the climbout maneuver, climb, cruise, and descent.</w:t>
      </w:r>
    </w:p>
    <w:p>
      <w:pPr>
        <w:spacing w:after="0" w:line="38"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1200"/>
        <w:spacing w:after="0"/>
        <w:rPr>
          <w:sz w:val="20"/>
          <w:szCs w:val="20"/>
          <w:color w:val="auto"/>
        </w:rPr>
      </w:pPr>
      <w:r>
        <w:rPr>
          <w:rFonts w:ascii="Arial" w:cs="Arial" w:eastAsia="Arial" w:hAnsi="Arial"/>
          <w:sz w:val="21"/>
          <w:szCs w:val="21"/>
          <w:color w:val="auto"/>
        </w:rPr>
        <w:t>Takeoff: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The takeoff gross weight will conform to FAA Regulations.</w:t>
      </w:r>
    </w:p>
    <w:p>
      <w:pPr>
        <w:sectPr>
          <w:pgSz w:w="11900" w:h="16838" w:orient="portrait"/>
          <w:cols w:equalWidth="0" w:num="1">
            <w:col w:w="10620"/>
          </w:cols>
          <w:pgMar w:left="320" w:top="511" w:right="959" w:bottom="1440" w:gutter="0" w:footer="0" w:header="0"/>
          <w:type w:val="continuous"/>
        </w:sectPr>
      </w:pPr>
    </w:p>
    <w:p>
      <w:pPr>
        <w:spacing w:after="0" w:line="56"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Climbout Maneuver: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3140" w:space="560"/>
            <w:col w:w="6920"/>
          </w:cols>
          <w:pgMar w:left="320" w:top="511" w:right="959" w:bottom="1440" w:gutter="0" w:footer="0" w:header="0"/>
          <w:type w:val="continuous"/>
        </w:sectPr>
      </w:pPr>
    </w:p>
    <w:p>
      <w:pPr>
        <w:ind w:left="1200"/>
        <w:spacing w:after="0"/>
        <w:rPr>
          <w:sz w:val="20"/>
          <w:szCs w:val="20"/>
          <w:color w:val="auto"/>
        </w:rPr>
      </w:pPr>
      <w:r>
        <w:rPr>
          <w:rFonts w:ascii="Arial" w:cs="Arial" w:eastAsia="Arial" w:hAnsi="Arial"/>
          <w:sz w:val="21"/>
          <w:szCs w:val="21"/>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20"/>
          </w:cols>
          <w:pgMar w:left="320" w:top="511" w:right="959" w:bottom="1440" w:gutter="0" w:footer="0" w:header="0"/>
          <w:type w:val="continuous"/>
        </w:sectPr>
      </w:pPr>
    </w:p>
    <w:p>
      <w:pPr>
        <w:spacing w:after="0" w:line="56"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Cruise: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20"/>
          </w:cols>
          <w:pgMar w:left="320" w:top="511" w:right="959" w:bottom="1440" w:gutter="0" w:footer="0" w:header="0"/>
          <w:type w:val="continuous"/>
        </w:sectPr>
      </w:pPr>
    </w:p>
    <w:p>
      <w:pPr>
        <w:spacing w:after="0" w:line="56"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Descent: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1" w:right="959" w:bottom="1440" w:gutter="0" w:footer="0" w:header="0"/>
          <w:type w:val="continuous"/>
        </w:sectPr>
      </w:pPr>
    </w:p>
    <w:bookmarkStart w:id="158" w:name="page159"/>
    <w:bookmarkEnd w:id="158"/>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97"/>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81"/>
        </w:trPr>
        <w:tc>
          <w:tcPr>
            <w:tcW w:w="760" w:type="dxa"/>
            <w:vAlign w:val="bottom"/>
          </w:tcPr>
          <w:p>
            <w:pPr>
              <w:spacing w:after="0"/>
              <w:rPr>
                <w:sz w:val="24"/>
                <w:szCs w:val="24"/>
                <w:color w:val="auto"/>
              </w:rPr>
            </w:pPr>
          </w:p>
        </w:tc>
        <w:tc>
          <w:tcPr>
            <w:tcW w:w="2820" w:type="dxa"/>
            <w:vAlign w:val="bottom"/>
          </w:tcPr>
          <w:p>
            <w:pPr>
              <w:ind w:left="440"/>
              <w:spacing w:after="0"/>
              <w:rPr>
                <w:sz w:val="20"/>
                <w:szCs w:val="20"/>
                <w:color w:val="auto"/>
              </w:rPr>
            </w:pPr>
            <w:r>
              <w:rPr>
                <w:rFonts w:ascii="Arial" w:cs="Arial" w:eastAsia="Arial" w:hAnsi="Arial"/>
                <w:sz w:val="22"/>
                <w:szCs w:val="22"/>
                <w:color w:val="auto"/>
              </w:rPr>
              <w:t>Approach</w:t>
            </w:r>
          </w:p>
        </w:tc>
        <w:tc>
          <w:tcPr>
            <w:tcW w:w="646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59"/>
        </w:trPr>
        <w:tc>
          <w:tcPr>
            <w:tcW w:w="760" w:type="dxa"/>
            <w:vAlign w:val="bottom"/>
          </w:tcPr>
          <w:p>
            <w:pPr>
              <w:spacing w:after="0"/>
              <w:rPr>
                <w:sz w:val="22"/>
                <w:szCs w:val="22"/>
                <w:color w:val="auto"/>
              </w:rPr>
            </w:pPr>
          </w:p>
        </w:tc>
        <w:tc>
          <w:tcPr>
            <w:tcW w:w="2820" w:type="dxa"/>
            <w:vAlign w:val="bottom"/>
          </w:tcPr>
          <w:p>
            <w:pPr>
              <w:ind w:left="440"/>
              <w:spacing w:after="0"/>
              <w:rPr>
                <w:sz w:val="20"/>
                <w:szCs w:val="20"/>
                <w:color w:val="auto"/>
              </w:rPr>
            </w:pPr>
            <w:r>
              <w:rPr>
                <w:rFonts w:ascii="Arial" w:cs="Arial" w:eastAsia="Arial" w:hAnsi="Arial"/>
                <w:sz w:val="22"/>
                <w:szCs w:val="22"/>
                <w:color w:val="auto"/>
              </w:rPr>
              <w:t>and Landing Maneuver:</w:t>
            </w:r>
          </w:p>
        </w:tc>
        <w:tc>
          <w:tcPr>
            <w:tcW w:w="6460" w:type="dxa"/>
            <w:vAlign w:val="bottom"/>
          </w:tcPr>
          <w:p>
            <w:pPr>
              <w:spacing w:after="0"/>
              <w:rPr>
                <w:sz w:val="22"/>
                <w:szCs w:val="22"/>
                <w:color w:val="auto"/>
              </w:rPr>
            </w:pPr>
          </w:p>
        </w:tc>
      </w:tr>
      <w:tr>
        <w:trPr>
          <w:trHeight w:val="297"/>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81"/>
        </w:trPr>
        <w:tc>
          <w:tcPr>
            <w:tcW w:w="760" w:type="dxa"/>
            <w:vAlign w:val="bottom"/>
          </w:tcPr>
          <w:p>
            <w:pPr>
              <w:spacing w:after="0"/>
              <w:rPr>
                <w:sz w:val="24"/>
                <w:szCs w:val="24"/>
                <w:color w:val="auto"/>
              </w:rPr>
            </w:pPr>
          </w:p>
        </w:tc>
        <w:tc>
          <w:tcPr>
            <w:tcW w:w="2820" w:type="dxa"/>
            <w:vAlign w:val="bottom"/>
          </w:tcPr>
          <w:p>
            <w:pPr>
              <w:ind w:left="440"/>
              <w:spacing w:after="0"/>
              <w:rPr>
                <w:sz w:val="20"/>
                <w:szCs w:val="20"/>
                <w:color w:val="auto"/>
              </w:rPr>
            </w:pPr>
            <w:r>
              <w:rPr>
                <w:rFonts w:ascii="Arial" w:cs="Arial" w:eastAsia="Arial" w:hAnsi="Arial"/>
                <w:sz w:val="22"/>
                <w:szCs w:val="22"/>
                <w:color w:val="auto"/>
              </w:rPr>
              <w:t>Fixed</w:t>
            </w:r>
          </w:p>
        </w:tc>
        <w:tc>
          <w:tcPr>
            <w:tcW w:w="6460" w:type="dxa"/>
            <w:vAlign w:val="bottom"/>
          </w:tcPr>
          <w:p>
            <w:pPr>
              <w:ind w:left="120"/>
              <w:spacing w:after="0"/>
              <w:rPr>
                <w:sz w:val="20"/>
                <w:szCs w:val="20"/>
                <w:color w:val="auto"/>
              </w:rPr>
            </w:pPr>
            <w:r>
              <w:rPr>
                <w:rFonts w:ascii="Arial" w:cs="Arial" w:eastAsia="Arial" w:hAnsi="Arial"/>
                <w:sz w:val="22"/>
                <w:szCs w:val="22"/>
                <w:color w:val="auto"/>
              </w:rPr>
              <w:t>For  the  purpose  of  this  guarantee  and  for  the  purpose  of</w:t>
            </w:r>
          </w:p>
        </w:tc>
      </w:tr>
      <w:tr>
        <w:trPr>
          <w:trHeight w:val="243"/>
        </w:trPr>
        <w:tc>
          <w:tcPr>
            <w:tcW w:w="760" w:type="dxa"/>
            <w:vAlign w:val="bottom"/>
          </w:tcPr>
          <w:p>
            <w:pPr>
              <w:spacing w:after="0"/>
              <w:rPr>
                <w:sz w:val="21"/>
                <w:szCs w:val="21"/>
                <w:color w:val="auto"/>
              </w:rPr>
            </w:pPr>
          </w:p>
        </w:tc>
        <w:tc>
          <w:tcPr>
            <w:tcW w:w="2820" w:type="dxa"/>
            <w:vAlign w:val="bottom"/>
          </w:tcPr>
          <w:p>
            <w:pPr>
              <w:ind w:left="440"/>
              <w:spacing w:after="0" w:line="243" w:lineRule="exact"/>
              <w:rPr>
                <w:sz w:val="20"/>
                <w:szCs w:val="20"/>
                <w:color w:val="auto"/>
              </w:rPr>
            </w:pPr>
            <w:r>
              <w:rPr>
                <w:rFonts w:ascii="Arial" w:cs="Arial" w:eastAsia="Arial" w:hAnsi="Arial"/>
                <w:sz w:val="22"/>
                <w:szCs w:val="22"/>
                <w:color w:val="auto"/>
              </w:rPr>
              <w:t>Allowances:</w:t>
            </w:r>
          </w:p>
        </w:tc>
        <w:tc>
          <w:tcPr>
            <w:tcW w:w="6460" w:type="dxa"/>
            <w:vAlign w:val="bottom"/>
          </w:tcPr>
          <w:p>
            <w:pPr>
              <w:ind w:left="120"/>
              <w:spacing w:after="0" w:line="243" w:lineRule="exact"/>
              <w:rPr>
                <w:sz w:val="20"/>
                <w:szCs w:val="20"/>
                <w:color w:val="auto"/>
              </w:rPr>
            </w:pPr>
            <w:r>
              <w:rPr>
                <w:rFonts w:ascii="Arial" w:cs="Arial" w:eastAsia="Arial" w:hAnsi="Arial"/>
                <w:sz w:val="22"/>
                <w:szCs w:val="22"/>
                <w:color w:val="auto"/>
              </w:rPr>
              <w:t>establishing compliance with this guarantee, the following will be</w:t>
            </w:r>
          </w:p>
        </w:tc>
      </w:tr>
      <w:tr>
        <w:trPr>
          <w:trHeight w:val="259"/>
        </w:trPr>
        <w:tc>
          <w:tcPr>
            <w:tcW w:w="7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used as fixed quantities and allowances:</w:t>
            </w:r>
          </w:p>
        </w:tc>
      </w:tr>
      <w:tr>
        <w:trPr>
          <w:trHeight w:val="281"/>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Taxi-Out:</w:t>
            </w:r>
          </w:p>
        </w:tc>
      </w:tr>
      <w:tr>
        <w:trPr>
          <w:trHeight w:val="259"/>
        </w:trPr>
        <w:tc>
          <w:tcPr>
            <w:tcW w:w="7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460" w:type="dxa"/>
            <w:vAlign w:val="bottom"/>
          </w:tcPr>
          <w:p>
            <w:pPr>
              <w:ind w:left="760"/>
              <w:spacing w:after="0"/>
              <w:rPr>
                <w:sz w:val="20"/>
                <w:szCs w:val="20"/>
                <w:color w:val="auto"/>
              </w:rPr>
            </w:pPr>
            <w:r>
              <w:rPr>
                <w:rFonts w:ascii="Arial" w:cs="Arial" w:eastAsia="Arial" w:hAnsi="Arial"/>
                <w:sz w:val="22"/>
                <w:szCs w:val="22"/>
                <w:color w:val="auto"/>
              </w:rPr>
              <w:t>[****]</w:t>
            </w:r>
          </w:p>
        </w:tc>
      </w:tr>
      <w:tr>
        <w:trPr>
          <w:trHeight w:val="281"/>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Takeoff and Climbout Maneuver:</w:t>
            </w:r>
          </w:p>
        </w:tc>
      </w:tr>
      <w:tr>
        <w:trPr>
          <w:trHeight w:val="243"/>
        </w:trPr>
        <w:tc>
          <w:tcPr>
            <w:tcW w:w="7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6460" w:type="dxa"/>
            <w:vAlign w:val="bottom"/>
          </w:tcPr>
          <w:p>
            <w:pPr>
              <w:ind w:left="760"/>
              <w:spacing w:after="0" w:line="243" w:lineRule="exact"/>
              <w:rPr>
                <w:sz w:val="20"/>
                <w:szCs w:val="20"/>
                <w:color w:val="auto"/>
              </w:rPr>
            </w:pPr>
            <w:r>
              <w:rPr>
                <w:rFonts w:ascii="Arial" w:cs="Arial" w:eastAsia="Arial" w:hAnsi="Arial"/>
                <w:sz w:val="22"/>
                <w:szCs w:val="22"/>
                <w:color w:val="auto"/>
              </w:rPr>
              <w:t>[****]</w:t>
            </w:r>
          </w:p>
        </w:tc>
      </w:tr>
      <w:tr>
        <w:trPr>
          <w:trHeight w:val="259"/>
        </w:trPr>
        <w:tc>
          <w:tcPr>
            <w:tcW w:w="7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460" w:type="dxa"/>
            <w:vAlign w:val="bottom"/>
          </w:tcPr>
          <w:p>
            <w:pPr>
              <w:ind w:left="760"/>
              <w:spacing w:after="0"/>
              <w:rPr>
                <w:sz w:val="20"/>
                <w:szCs w:val="20"/>
                <w:color w:val="auto"/>
              </w:rPr>
            </w:pPr>
            <w:r>
              <w:rPr>
                <w:rFonts w:ascii="Arial" w:cs="Arial" w:eastAsia="Arial" w:hAnsi="Arial"/>
                <w:sz w:val="22"/>
                <w:szCs w:val="22"/>
                <w:color w:val="auto"/>
              </w:rPr>
              <w:t>[****]</w:t>
            </w:r>
          </w:p>
        </w:tc>
      </w:tr>
      <w:tr>
        <w:trPr>
          <w:trHeight w:val="281"/>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Approach and Landing Maneuver:</w:t>
            </w:r>
          </w:p>
        </w:tc>
      </w:tr>
      <w:tr>
        <w:trPr>
          <w:trHeight w:val="259"/>
        </w:trPr>
        <w:tc>
          <w:tcPr>
            <w:tcW w:w="7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460" w:type="dxa"/>
            <w:vAlign w:val="bottom"/>
          </w:tcPr>
          <w:p>
            <w:pPr>
              <w:ind w:left="760"/>
              <w:spacing w:after="0"/>
              <w:rPr>
                <w:sz w:val="20"/>
                <w:szCs w:val="20"/>
                <w:color w:val="auto"/>
              </w:rPr>
            </w:pPr>
            <w:r>
              <w:rPr>
                <w:rFonts w:ascii="Arial" w:cs="Arial" w:eastAsia="Arial" w:hAnsi="Arial"/>
                <w:sz w:val="22"/>
                <w:szCs w:val="22"/>
                <w:color w:val="auto"/>
              </w:rPr>
              <w:t>[****]</w:t>
            </w:r>
          </w:p>
        </w:tc>
      </w:tr>
      <w:tr>
        <w:trPr>
          <w:trHeight w:val="281"/>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Taxi-In (will be consumed from the reserve fuel):</w:t>
            </w:r>
          </w:p>
        </w:tc>
      </w:tr>
      <w:tr>
        <w:trPr>
          <w:trHeight w:val="259"/>
        </w:trPr>
        <w:tc>
          <w:tcPr>
            <w:tcW w:w="7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460" w:type="dxa"/>
            <w:vAlign w:val="bottom"/>
          </w:tcPr>
          <w:p>
            <w:pPr>
              <w:ind w:left="760"/>
              <w:spacing w:after="0"/>
              <w:rPr>
                <w:sz w:val="20"/>
                <w:szCs w:val="20"/>
                <w:color w:val="auto"/>
              </w:rPr>
            </w:pPr>
            <w:r>
              <w:rPr>
                <w:rFonts w:ascii="Arial" w:cs="Arial" w:eastAsia="Arial" w:hAnsi="Arial"/>
                <w:sz w:val="22"/>
                <w:szCs w:val="22"/>
                <w:color w:val="auto"/>
              </w:rPr>
              <w:t>[****]</w:t>
            </w:r>
          </w:p>
        </w:tc>
      </w:tr>
      <w:tr>
        <w:trPr>
          <w:trHeight w:val="281"/>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Usable reserve fuel remaining upon completion of the approach</w:t>
            </w:r>
          </w:p>
        </w:tc>
      </w:tr>
      <w:tr>
        <w:trPr>
          <w:trHeight w:val="259"/>
        </w:trPr>
        <w:tc>
          <w:tcPr>
            <w:tcW w:w="7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and landing maneuver: [****]</w:t>
            </w:r>
          </w:p>
        </w:tc>
      </w:tr>
      <w:tr>
        <w:trPr>
          <w:trHeight w:val="513"/>
        </w:trPr>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6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391"/>
        </w:trPr>
        <w:tc>
          <w:tcPr>
            <w:tcW w:w="760" w:type="dxa"/>
            <w:vAlign w:val="bottom"/>
          </w:tcPr>
          <w:p>
            <w:pPr>
              <w:jc w:val="right"/>
              <w:ind w:right="172"/>
              <w:spacing w:after="0"/>
              <w:rPr>
                <w:sz w:val="20"/>
                <w:szCs w:val="20"/>
                <w:color w:val="auto"/>
              </w:rPr>
            </w:pPr>
            <w:r>
              <w:rPr>
                <w:rFonts w:ascii="Arial" w:cs="Arial" w:eastAsia="Arial" w:hAnsi="Arial"/>
                <w:sz w:val="22"/>
                <w:szCs w:val="22"/>
                <w:b w:val="1"/>
                <w:bCs w:val="1"/>
                <w:color w:val="auto"/>
                <w:w w:val="93"/>
              </w:rPr>
              <w:t>2.3.2</w:t>
            </w:r>
          </w:p>
        </w:tc>
        <w:tc>
          <w:tcPr>
            <w:tcW w:w="2820" w:type="dxa"/>
            <w:vAlign w:val="bottom"/>
          </w:tcPr>
          <w:p>
            <w:pPr>
              <w:ind w:left="260"/>
              <w:spacing w:after="0"/>
              <w:rPr>
                <w:sz w:val="20"/>
                <w:szCs w:val="20"/>
                <w:color w:val="auto"/>
              </w:rPr>
            </w:pPr>
            <w:r>
              <w:rPr>
                <w:rFonts w:ascii="Arial" w:cs="Arial" w:eastAsia="Arial" w:hAnsi="Arial"/>
                <w:sz w:val="22"/>
                <w:szCs w:val="22"/>
                <w:color w:val="auto"/>
              </w:rPr>
              <w:t>Mission Block Fuel</w:t>
            </w:r>
          </w:p>
        </w:tc>
        <w:tc>
          <w:tcPr>
            <w:tcW w:w="6460" w:type="dxa"/>
            <w:vAlign w:val="bottom"/>
          </w:tcPr>
          <w:p>
            <w:pPr>
              <w:spacing w:after="0"/>
              <w:rPr>
                <w:sz w:val="24"/>
                <w:szCs w:val="24"/>
                <w:color w:val="auto"/>
              </w:rPr>
            </w:pPr>
          </w:p>
        </w:tc>
      </w:tr>
    </w:tbl>
    <w:p>
      <w:pPr>
        <w:spacing w:after="0" w:line="90"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The block fuel for a stage length of [****] pound payload using the conditions and operating rules defined below, will not be more than the following guarantee value:</w:t>
      </w:r>
    </w:p>
    <w:p>
      <w:pPr>
        <w:spacing w:after="0" w:line="175"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59" w:name="page160"/>
    <w:bookmarkEnd w:id="159"/>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7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Conditions and operating rules:</w:t>
      </w:r>
    </w:p>
    <w:p>
      <w:pPr>
        <w:sectPr>
          <w:pgSz w:w="11900" w:h="16838" w:orient="portrait"/>
          <w:cols w:equalWidth="0" w:num="1">
            <w:col w:w="10620"/>
          </w:cols>
          <w:pgMar w:left="320" w:top="511" w:right="959" w:bottom="1440" w:gutter="0" w:footer="0" w:header="0"/>
        </w:sectPr>
      </w:pPr>
    </w:p>
    <w:p>
      <w:pPr>
        <w:spacing w:after="0" w:line="370"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Stage</w:t>
      </w:r>
    </w:p>
    <w:p>
      <w:pPr>
        <w:ind w:left="1200"/>
        <w:spacing w:after="0"/>
        <w:rPr>
          <w:sz w:val="20"/>
          <w:szCs w:val="20"/>
          <w:color w:val="auto"/>
        </w:rPr>
      </w:pPr>
      <w:r>
        <w:rPr>
          <w:rFonts w:ascii="Arial" w:cs="Arial" w:eastAsia="Arial" w:hAnsi="Arial"/>
          <w:sz w:val="21"/>
          <w:szCs w:val="21"/>
          <w:color w:val="auto"/>
        </w:rPr>
        <w:t>Length:</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The stage length is defined as the sum of the distances for the climbout maneuver, climb, cruise, and descent.</w:t>
      </w:r>
    </w:p>
    <w:p>
      <w:pPr>
        <w:spacing w:after="0" w:line="38"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1200"/>
        <w:spacing w:after="0"/>
        <w:rPr>
          <w:sz w:val="20"/>
          <w:szCs w:val="20"/>
          <w:color w:val="auto"/>
        </w:rPr>
      </w:pPr>
      <w:r>
        <w:rPr>
          <w:rFonts w:ascii="Arial" w:cs="Arial" w:eastAsia="Arial" w:hAnsi="Arial"/>
          <w:sz w:val="21"/>
          <w:szCs w:val="21"/>
          <w:color w:val="auto"/>
        </w:rPr>
        <w:t>Block Fuel:</w:t>
      </w:r>
    </w:p>
    <w:p>
      <w:pPr>
        <w:spacing w:after="0" w:line="20" w:lineRule="exact"/>
        <w:rPr>
          <w:sz w:val="20"/>
          <w:szCs w:val="20"/>
          <w:color w:val="auto"/>
        </w:rPr>
      </w:pPr>
      <w:r>
        <w:rPr>
          <w:sz w:val="20"/>
          <w:szCs w:val="20"/>
          <w:color w:val="auto"/>
        </w:rPr>
        <w:br w:type="column"/>
      </w:r>
    </w:p>
    <w:p>
      <w:pPr>
        <w:jc w:val="both"/>
        <w:ind w:right="580"/>
        <w:spacing w:after="0" w:line="235" w:lineRule="auto"/>
        <w:rPr>
          <w:sz w:val="20"/>
          <w:szCs w:val="20"/>
          <w:color w:val="auto"/>
        </w:rPr>
      </w:pPr>
      <w:r>
        <w:rPr>
          <w:rFonts w:ascii="Arial" w:cs="Arial" w:eastAsia="Arial" w:hAnsi="Arial"/>
          <w:sz w:val="22"/>
          <w:szCs w:val="22"/>
          <w:color w:val="auto"/>
        </w:rPr>
        <w:t>The block fuel is defined as the sum of the fuel used for taxi-out, takeoff and climbout maneuver, climb, cruise, descent, approach and landing maneuver, and taxi-in.</w:t>
      </w:r>
    </w:p>
    <w:p>
      <w:pPr>
        <w:spacing w:after="0" w:line="40"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1200"/>
        <w:spacing w:after="0"/>
        <w:rPr>
          <w:sz w:val="20"/>
          <w:szCs w:val="20"/>
          <w:color w:val="auto"/>
        </w:rPr>
      </w:pPr>
      <w:r>
        <w:rPr>
          <w:rFonts w:ascii="Arial" w:cs="Arial" w:eastAsia="Arial" w:hAnsi="Arial"/>
          <w:sz w:val="21"/>
          <w:szCs w:val="21"/>
          <w:color w:val="auto"/>
        </w:rPr>
        <w:t>Takeoff: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1"/>
          <w:szCs w:val="21"/>
          <w:color w:val="auto"/>
        </w:rPr>
        <w:t>The takeoff gross weight is not limited by the airport conditions.</w:t>
      </w:r>
    </w:p>
    <w:p>
      <w:pPr>
        <w:spacing w:after="0" w:line="272"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Maximum takeoff thrust is used for the takeoff.</w:t>
      </w:r>
    </w:p>
    <w:p>
      <w:pPr>
        <w:spacing w:after="0" w:line="260"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The takeoff gross weight will conform to FAA Regulations.</w:t>
      </w:r>
    </w:p>
    <w:p>
      <w:pPr>
        <w:sectPr>
          <w:pgSz w:w="11900" w:h="16838" w:orient="portrait"/>
          <w:cols w:equalWidth="0" w:num="1">
            <w:col w:w="10620"/>
          </w:cols>
          <w:pgMar w:left="320" w:top="511" w:right="959" w:bottom="1440" w:gutter="0" w:footer="0" w:header="0"/>
          <w:type w:val="continuous"/>
        </w:sectPr>
      </w:pPr>
    </w:p>
    <w:p>
      <w:pPr>
        <w:spacing w:after="0" w:line="44"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Climbout Maneuver: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3140" w:space="560"/>
            <w:col w:w="6920"/>
          </w:cols>
          <w:pgMar w:left="320" w:top="511" w:right="959" w:bottom="1440" w:gutter="0" w:footer="0" w:header="0"/>
          <w:type w:val="continuous"/>
        </w:sectPr>
      </w:pPr>
    </w:p>
    <w:p>
      <w:pPr>
        <w:ind w:left="1200"/>
        <w:spacing w:after="0"/>
        <w:rPr>
          <w:sz w:val="20"/>
          <w:szCs w:val="20"/>
          <w:color w:val="auto"/>
        </w:rPr>
      </w:pPr>
      <w:r>
        <w:rPr>
          <w:rFonts w:ascii="Arial" w:cs="Arial" w:eastAsia="Arial" w:hAnsi="Arial"/>
          <w:sz w:val="21"/>
          <w:szCs w:val="21"/>
          <w:color w:val="auto"/>
        </w:rPr>
        <w:t>Climb: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20"/>
          </w:cols>
          <w:pgMar w:left="320" w:top="511" w:right="959" w:bottom="1440" w:gutter="0" w:footer="0" w:header="0"/>
          <w:type w:val="continuous"/>
        </w:sectPr>
      </w:pPr>
    </w:p>
    <w:p>
      <w:pPr>
        <w:spacing w:after="0" w:line="56"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Cruise: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20"/>
          </w:cols>
          <w:pgMar w:left="320" w:top="511" w:right="9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1" w:right="959" w:bottom="1440" w:gutter="0" w:footer="0" w:header="0"/>
          <w:type w:val="continuous"/>
        </w:sectPr>
      </w:pPr>
    </w:p>
    <w:bookmarkStart w:id="160" w:name="page161"/>
    <w:bookmarkEnd w:id="160"/>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20"/>
          </w:cols>
          <w:pgMar w:left="320" w:top="511" w:right="959" w:bottom="1440" w:gutter="0" w:footer="0" w:header="0"/>
        </w:sectPr>
      </w:pPr>
    </w:p>
    <w:p>
      <w:pPr>
        <w:spacing w:after="0" w:line="56"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Descent: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pacing w:after="0" w:line="5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20"/>
          </w:cols>
          <w:pgMar w:left="320" w:top="511" w:right="959" w:bottom="1440" w:gutter="0" w:footer="0" w:header="0"/>
          <w:type w:val="continuous"/>
        </w:sectPr>
      </w:pPr>
    </w:p>
    <w:p>
      <w:pPr>
        <w:spacing w:after="0" w:line="46"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Approach</w:t>
      </w:r>
    </w:p>
    <w:p>
      <w:pPr>
        <w:ind w:left="1200"/>
        <w:spacing w:after="0"/>
        <w:rPr>
          <w:sz w:val="20"/>
          <w:szCs w:val="20"/>
          <w:color w:val="auto"/>
        </w:rPr>
      </w:pPr>
      <w:r>
        <w:rPr>
          <w:rFonts w:ascii="Arial" w:cs="Arial" w:eastAsia="Arial" w:hAnsi="Arial"/>
          <w:sz w:val="21"/>
          <w:szCs w:val="21"/>
          <w:color w:val="auto"/>
        </w:rPr>
        <w:t>and Landing Maneuver: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99" w:lineRule="exact"/>
        <w:rPr>
          <w:sz w:val="20"/>
          <w:szCs w:val="20"/>
          <w:color w:val="auto"/>
        </w:rPr>
      </w:pPr>
    </w:p>
    <w:p>
      <w:pPr>
        <w:sectPr>
          <w:pgSz w:w="11900" w:h="16838" w:orient="portrait"/>
          <w:cols w:equalWidth="0" w:num="2">
            <w:col w:w="3480" w:space="2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620"/>
          </w:cols>
          <w:pgMar w:left="320" w:top="511" w:right="959" w:bottom="1440" w:gutter="0" w:footer="0" w:header="0"/>
          <w:type w:val="continuous"/>
        </w:sectPr>
      </w:pPr>
    </w:p>
    <w:p>
      <w:pPr>
        <w:spacing w:after="0" w:line="46"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Fixed</w:t>
      </w:r>
    </w:p>
    <w:p>
      <w:pPr>
        <w:ind w:left="1200"/>
        <w:spacing w:after="0"/>
        <w:rPr>
          <w:sz w:val="20"/>
          <w:szCs w:val="20"/>
          <w:color w:val="auto"/>
        </w:rPr>
      </w:pPr>
      <w:r>
        <w:rPr>
          <w:rFonts w:ascii="Arial" w:cs="Arial" w:eastAsia="Arial" w:hAnsi="Arial"/>
          <w:sz w:val="21"/>
          <w:szCs w:val="21"/>
          <w:color w:val="auto"/>
        </w:rPr>
        <w:t>Allowances: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580"/>
        <w:spacing w:after="0" w:line="235" w:lineRule="auto"/>
        <w:rPr>
          <w:sz w:val="20"/>
          <w:szCs w:val="20"/>
          <w:color w:val="auto"/>
        </w:rPr>
      </w:pPr>
      <w:r>
        <w:rPr>
          <w:rFonts w:ascii="Arial" w:cs="Arial" w:eastAsia="Arial" w:hAnsi="Arial"/>
          <w:sz w:val="22"/>
          <w:szCs w:val="22"/>
          <w:color w:val="auto"/>
        </w:rPr>
        <w:t>For the purpose of this guarantee and for the purpose of establishing compliance with this guarantee, the following will be used as fixed quantities and allowances:</w:t>
      </w:r>
    </w:p>
    <w:p>
      <w:pPr>
        <w:spacing w:after="0" w:line="30" w:lineRule="exact"/>
        <w:rPr>
          <w:sz w:val="20"/>
          <w:szCs w:val="20"/>
          <w:color w:val="auto"/>
        </w:rPr>
      </w:pPr>
    </w:p>
    <w:p>
      <w:pPr>
        <w:sectPr>
          <w:pgSz w:w="11900" w:h="16838" w:orient="portrait"/>
          <w:cols w:equalWidth="0" w:num="2">
            <w:col w:w="2980" w:space="720"/>
            <w:col w:w="6920"/>
          </w:cols>
          <w:pgMar w:left="320" w:top="511" w:right="959" w:bottom="1440" w:gutter="0" w:footer="0" w:header="0"/>
          <w:type w:val="continuous"/>
        </w:sectPr>
      </w:pPr>
    </w:p>
    <w:p>
      <w:pPr>
        <w:ind w:left="3700"/>
        <w:spacing w:after="0"/>
        <w:rPr>
          <w:sz w:val="20"/>
          <w:szCs w:val="20"/>
          <w:color w:val="auto"/>
        </w:rPr>
      </w:pPr>
      <w:r>
        <w:rPr>
          <w:rFonts w:ascii="Arial" w:cs="Arial" w:eastAsia="Arial" w:hAnsi="Arial"/>
          <w:sz w:val="22"/>
          <w:szCs w:val="22"/>
          <w:color w:val="auto"/>
        </w:rPr>
        <w:t>Taxi-Out:</w:t>
      </w:r>
    </w:p>
    <w:p>
      <w:pPr>
        <w:ind w:left="4340"/>
        <w:spacing w:after="0"/>
        <w:rPr>
          <w:sz w:val="20"/>
          <w:szCs w:val="20"/>
          <w:color w:val="auto"/>
        </w:rPr>
      </w:pPr>
      <w:r>
        <w:rPr>
          <w:rFonts w:ascii="Arial" w:cs="Arial" w:eastAsia="Arial" w:hAnsi="Arial"/>
          <w:sz w:val="22"/>
          <w:szCs w:val="22"/>
          <w:color w:val="auto"/>
        </w:rPr>
        <w:t>[****]</w:t>
      </w:r>
    </w:p>
    <w:p>
      <w:pPr>
        <w:spacing w:after="0" w:line="3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Takeoff and Climbout Maneuver:</w:t>
      </w:r>
    </w:p>
    <w:p>
      <w:pPr>
        <w:ind w:left="4340"/>
        <w:spacing w:after="0" w:line="230"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w:t>
      </w:r>
    </w:p>
    <w:p>
      <w:pPr>
        <w:spacing w:after="0" w:line="3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Approach and Landing Maneuver:</w:t>
      </w:r>
    </w:p>
    <w:p>
      <w:pPr>
        <w:ind w:left="4340"/>
        <w:spacing w:after="0"/>
        <w:rPr>
          <w:sz w:val="20"/>
          <w:szCs w:val="20"/>
          <w:color w:val="auto"/>
        </w:rPr>
      </w:pPr>
      <w:r>
        <w:rPr>
          <w:rFonts w:ascii="Arial" w:cs="Arial" w:eastAsia="Arial" w:hAnsi="Arial"/>
          <w:sz w:val="22"/>
          <w:szCs w:val="22"/>
          <w:color w:val="auto"/>
        </w:rPr>
        <w:t>[****]</w:t>
      </w:r>
    </w:p>
    <w:p>
      <w:pPr>
        <w:spacing w:after="0" w:line="3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Taxi-In (will be consumed from the reserve fuel):</w:t>
      </w:r>
    </w:p>
    <w:p>
      <w:pPr>
        <w:ind w:left="43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3700" w:right="840"/>
        <w:spacing w:after="0" w:line="238" w:lineRule="auto"/>
        <w:rPr>
          <w:sz w:val="20"/>
          <w:szCs w:val="20"/>
          <w:color w:val="auto"/>
        </w:rPr>
      </w:pPr>
      <w:r>
        <w:rPr>
          <w:rFonts w:ascii="Arial" w:cs="Arial" w:eastAsia="Arial" w:hAnsi="Arial"/>
          <w:sz w:val="22"/>
          <w:szCs w:val="22"/>
          <w:color w:val="auto"/>
        </w:rPr>
        <w:t>Usable reserve fuel remaining upon completion of the approach and landing maneuver: [****]</w:t>
      </w:r>
    </w:p>
    <w:p>
      <w:pPr>
        <w:spacing w:after="0" w:line="254" w:lineRule="exact"/>
        <w:rPr>
          <w:sz w:val="20"/>
          <w:szCs w:val="20"/>
          <w:color w:val="auto"/>
        </w:rPr>
      </w:pPr>
    </w:p>
    <w:p>
      <w:pPr>
        <w:ind w:left="3700"/>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620"/>
          </w:cols>
          <w:pgMar w:left="320" w:top="511" w:right="95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b w:val="1"/>
          <w:bCs w:val="1"/>
          <w:color w:val="auto"/>
        </w:rPr>
        <w:t>2.3.3</w:t>
      </w:r>
      <w:r>
        <w:rPr>
          <w:sz w:val="20"/>
          <w:szCs w:val="20"/>
          <w:color w:val="auto"/>
        </w:rPr>
        <w:tab/>
      </w:r>
      <w:r>
        <w:rPr>
          <w:rFonts w:ascii="Arial" w:cs="Arial" w:eastAsia="Arial" w:hAnsi="Arial"/>
          <w:sz w:val="21"/>
          <w:szCs w:val="21"/>
          <w:color w:val="auto"/>
        </w:rPr>
        <w:t>Operational Empty Weight Basis</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1" w:right="959" w:bottom="1440" w:gutter="0" w:footer="0" w:header="0"/>
          <w:type w:val="continuous"/>
        </w:sectPr>
      </w:pPr>
    </w:p>
    <w:bookmarkStart w:id="161" w:name="page162"/>
    <w:bookmarkEnd w:id="161"/>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76" w:lineRule="exact"/>
        <w:rPr>
          <w:sz w:val="20"/>
          <w:szCs w:val="20"/>
          <w:color w:val="auto"/>
        </w:rPr>
      </w:pPr>
    </w:p>
    <w:p>
      <w:pPr>
        <w:ind w:left="1300"/>
        <w:spacing w:after="0" w:line="249" w:lineRule="auto"/>
        <w:rPr>
          <w:sz w:val="20"/>
          <w:szCs w:val="20"/>
          <w:color w:val="auto"/>
        </w:rPr>
      </w:pPr>
      <w:r>
        <w:rPr>
          <w:rFonts w:ascii="Arial" w:cs="Arial" w:eastAsia="Arial" w:hAnsi="Arial"/>
          <w:sz w:val="22"/>
          <w:szCs w:val="22"/>
          <w:color w:val="auto"/>
        </w:rPr>
        <w:t>The Operational Empty Weight (OEW) derived in paragraph 2.3.4 is the basis for the mission guarantees of paragraphs 2.3.1 through 2.3.2.</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62" w:name="page163"/>
    <w:bookmarkEnd w:id="162"/>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40" w:type="dxa"/>
            <w:vAlign w:val="bottom"/>
          </w:tcPr>
          <w:p>
            <w:pPr>
              <w:jc w:val="right"/>
              <w:ind w:right="152"/>
              <w:spacing w:after="0"/>
              <w:rPr>
                <w:sz w:val="20"/>
                <w:szCs w:val="20"/>
                <w:color w:val="auto"/>
              </w:rPr>
            </w:pPr>
            <w:r>
              <w:rPr>
                <w:rFonts w:ascii="Arial" w:cs="Arial" w:eastAsia="Arial" w:hAnsi="Arial"/>
                <w:sz w:val="22"/>
                <w:szCs w:val="22"/>
                <w:b w:val="1"/>
                <w:bCs w:val="1"/>
                <w:color w:val="auto"/>
                <w:w w:val="93"/>
              </w:rPr>
              <w:t>2.3.4</w:t>
            </w:r>
          </w:p>
        </w:tc>
        <w:tc>
          <w:tcPr>
            <w:tcW w:w="8580" w:type="dxa"/>
            <w:vAlign w:val="bottom"/>
          </w:tcPr>
          <w:p>
            <w:pPr>
              <w:ind w:left="240"/>
              <w:spacing w:after="0"/>
              <w:rPr>
                <w:sz w:val="20"/>
                <w:szCs w:val="20"/>
                <w:color w:val="auto"/>
              </w:rPr>
            </w:pPr>
            <w:r>
              <w:rPr>
                <w:rFonts w:ascii="Arial" w:cs="Arial" w:eastAsia="Arial" w:hAnsi="Arial"/>
                <w:sz w:val="22"/>
                <w:szCs w:val="22"/>
                <w:color w:val="auto"/>
              </w:rPr>
              <w:t>[****] Weight Summary - American Airlines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63"/>
        </w:trPr>
        <w:tc>
          <w:tcPr>
            <w:tcW w:w="74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pounds</w:t>
            </w:r>
          </w:p>
        </w:tc>
        <w:tc>
          <w:tcPr>
            <w:tcW w:w="280" w:type="dxa"/>
            <w:vAlign w:val="bottom"/>
          </w:tcPr>
          <w:p>
            <w:pPr>
              <w:spacing w:after="0"/>
              <w:rPr>
                <w:sz w:val="24"/>
                <w:szCs w:val="24"/>
                <w:color w:val="auto"/>
              </w:rPr>
            </w:pPr>
          </w:p>
        </w:tc>
      </w:tr>
      <w:tr>
        <w:trPr>
          <w:trHeight w:val="652"/>
        </w:trPr>
        <w:tc>
          <w:tcPr>
            <w:tcW w:w="9320" w:type="dxa"/>
            <w:vAlign w:val="bottom"/>
            <w:gridSpan w:val="2"/>
          </w:tcPr>
          <w:p>
            <w:pPr>
              <w:ind w:left="40"/>
              <w:spacing w:after="0"/>
              <w:rPr>
                <w:sz w:val="20"/>
                <w:szCs w:val="20"/>
                <w:color w:val="auto"/>
              </w:rPr>
            </w:pPr>
            <w:r>
              <w:rPr>
                <w:rFonts w:ascii="Arial" w:cs="Arial" w:eastAsia="Arial" w:hAnsi="Arial"/>
                <w:sz w:val="22"/>
                <w:szCs w:val="22"/>
                <w:b w:val="1"/>
                <w:bCs w:val="1"/>
                <w:color w:val="auto"/>
              </w:rPr>
              <w:t>Standard Model Specification MEW</w:t>
            </w:r>
          </w:p>
        </w:tc>
        <w:tc>
          <w:tcPr>
            <w:tcW w:w="1000" w:type="dxa"/>
            <w:vAlign w:val="bottom"/>
            <w:gridSpan w:val="2"/>
          </w:tcPr>
          <w:p>
            <w:pPr>
              <w:jc w:val="right"/>
              <w:spacing w:after="0"/>
              <w:rPr>
                <w:sz w:val="20"/>
                <w:szCs w:val="20"/>
                <w:color w:val="auto"/>
              </w:rPr>
            </w:pPr>
            <w:r>
              <w:rPr>
                <w:rFonts w:ascii="Arial" w:cs="Arial" w:eastAsia="Arial" w:hAnsi="Arial"/>
                <w:sz w:val="22"/>
                <w:szCs w:val="22"/>
                <w:b w:val="1"/>
                <w:bCs w:val="1"/>
                <w:color w:val="auto"/>
              </w:rPr>
              <w:t>[****]</w:t>
            </w:r>
          </w:p>
        </w:tc>
      </w:tr>
      <w:tr>
        <w:trPr>
          <w:trHeight w:val="297"/>
        </w:trPr>
        <w:tc>
          <w:tcPr>
            <w:tcW w:w="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8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7"/>
        </w:trPr>
        <w:tc>
          <w:tcPr>
            <w:tcW w:w="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8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36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7920" w:type="dxa"/>
            <w:vAlign w:val="bottom"/>
          </w:tcPr>
          <w:p>
            <w:pPr>
              <w:jc w:val="right"/>
              <w:ind w:right="7112"/>
              <w:spacing w:after="0"/>
              <w:rPr>
                <w:sz w:val="20"/>
                <w:szCs w:val="20"/>
                <w:color w:val="auto"/>
              </w:rPr>
            </w:pPr>
            <w:r>
              <w:rPr>
                <w:rFonts w:ascii="Arial" w:cs="Arial" w:eastAsia="Arial" w:hAnsi="Arial"/>
                <w:sz w:val="22"/>
                <w:szCs w:val="22"/>
                <w:color w:val="auto"/>
              </w:rPr>
              <w:t>[****]</w:t>
            </w:r>
          </w:p>
        </w:tc>
        <w:tc>
          <w:tcPr>
            <w:tcW w:w="2360" w:type="dxa"/>
            <w:vAlign w:val="bottom"/>
          </w:tcPr>
          <w:p>
            <w:pPr>
              <w:spacing w:after="0"/>
              <w:rPr>
                <w:sz w:val="22"/>
                <w:szCs w:val="22"/>
                <w:color w:val="auto"/>
              </w:rPr>
            </w:pPr>
          </w:p>
        </w:tc>
      </w:tr>
      <w:tr>
        <w:trPr>
          <w:trHeight w:val="297"/>
        </w:trPr>
        <w:tc>
          <w:tcPr>
            <w:tcW w:w="7920" w:type="dxa"/>
            <w:vAlign w:val="bottom"/>
          </w:tcPr>
          <w:p>
            <w:pPr>
              <w:jc w:val="right"/>
              <w:ind w:right="6992"/>
              <w:spacing w:after="0"/>
              <w:rPr>
                <w:sz w:val="20"/>
                <w:szCs w:val="20"/>
                <w:color w:val="auto"/>
              </w:rPr>
            </w:pPr>
            <w:r>
              <w:rPr>
                <w:rFonts w:ascii="Arial" w:cs="Arial" w:eastAsia="Arial" w:hAnsi="Arial"/>
                <w:sz w:val="22"/>
                <w:szCs w:val="22"/>
                <w:color w:val="auto"/>
              </w:rPr>
              <w:t>[****]</w:t>
            </w:r>
          </w:p>
        </w:tc>
        <w:tc>
          <w:tcPr>
            <w:tcW w:w="23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7920" w:type="dxa"/>
            <w:vAlign w:val="bottom"/>
          </w:tcPr>
          <w:p>
            <w:pPr>
              <w:jc w:val="right"/>
              <w:ind w:right="6992"/>
              <w:spacing w:after="0"/>
              <w:rPr>
                <w:sz w:val="20"/>
                <w:szCs w:val="20"/>
                <w:color w:val="auto"/>
              </w:rPr>
            </w:pPr>
            <w:r>
              <w:rPr>
                <w:rFonts w:ascii="Arial" w:cs="Arial" w:eastAsia="Arial" w:hAnsi="Arial"/>
                <w:sz w:val="22"/>
                <w:szCs w:val="22"/>
                <w:color w:val="auto"/>
              </w:rPr>
              <w:t>[****]</w:t>
            </w:r>
          </w:p>
        </w:tc>
        <w:tc>
          <w:tcPr>
            <w:tcW w:w="2360" w:type="dxa"/>
            <w:vAlign w:val="bottom"/>
          </w:tcPr>
          <w:p>
            <w:pPr>
              <w:spacing w:after="0"/>
              <w:rPr>
                <w:sz w:val="24"/>
                <w:szCs w:val="24"/>
                <w:color w:val="auto"/>
              </w:rPr>
            </w:pPr>
          </w:p>
        </w:tc>
      </w:tr>
      <w:tr>
        <w:trPr>
          <w:trHeight w:val="297"/>
        </w:trPr>
        <w:tc>
          <w:tcPr>
            <w:tcW w:w="7920" w:type="dxa"/>
            <w:vAlign w:val="bottom"/>
          </w:tcPr>
          <w:p>
            <w:pPr>
              <w:jc w:val="right"/>
              <w:ind w:right="6992"/>
              <w:spacing w:after="0"/>
              <w:rPr>
                <w:sz w:val="20"/>
                <w:szCs w:val="20"/>
                <w:color w:val="auto"/>
              </w:rPr>
            </w:pPr>
            <w:r>
              <w:rPr>
                <w:rFonts w:ascii="Arial" w:cs="Arial" w:eastAsia="Arial" w:hAnsi="Arial"/>
                <w:sz w:val="22"/>
                <w:szCs w:val="22"/>
                <w:color w:val="auto"/>
              </w:rPr>
              <w:t>[****]</w:t>
            </w:r>
          </w:p>
        </w:tc>
        <w:tc>
          <w:tcPr>
            <w:tcW w:w="23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7920" w:type="dxa"/>
            <w:vAlign w:val="bottom"/>
          </w:tcPr>
          <w:p>
            <w:pPr>
              <w:jc w:val="right"/>
              <w:ind w:right="6992"/>
              <w:spacing w:after="0"/>
              <w:rPr>
                <w:sz w:val="20"/>
                <w:szCs w:val="20"/>
                <w:color w:val="auto"/>
              </w:rPr>
            </w:pPr>
            <w:r>
              <w:rPr>
                <w:rFonts w:ascii="Arial" w:cs="Arial" w:eastAsia="Arial" w:hAnsi="Arial"/>
                <w:sz w:val="22"/>
                <w:szCs w:val="22"/>
                <w:color w:val="auto"/>
              </w:rPr>
              <w:t>[****]</w:t>
            </w:r>
          </w:p>
        </w:tc>
        <w:tc>
          <w:tcPr>
            <w:tcW w:w="23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7920" w:type="dxa"/>
            <w:vAlign w:val="bottom"/>
          </w:tcPr>
          <w:p>
            <w:pPr>
              <w:jc w:val="right"/>
              <w:ind w:right="6992"/>
              <w:spacing w:after="0"/>
              <w:rPr>
                <w:sz w:val="20"/>
                <w:szCs w:val="20"/>
                <w:color w:val="auto"/>
              </w:rPr>
            </w:pPr>
            <w:r>
              <w:rPr>
                <w:rFonts w:ascii="Arial" w:cs="Arial" w:eastAsia="Arial" w:hAnsi="Arial"/>
                <w:sz w:val="22"/>
                <w:szCs w:val="22"/>
                <w:color w:val="auto"/>
              </w:rPr>
              <w:t>[****]</w:t>
            </w:r>
          </w:p>
        </w:tc>
        <w:tc>
          <w:tcPr>
            <w:tcW w:w="23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7920" w:type="dxa"/>
            <w:vAlign w:val="bottom"/>
          </w:tcPr>
          <w:p>
            <w:pPr>
              <w:jc w:val="right"/>
              <w:ind w:right="6992"/>
              <w:spacing w:after="0"/>
              <w:rPr>
                <w:sz w:val="20"/>
                <w:szCs w:val="20"/>
                <w:color w:val="auto"/>
              </w:rPr>
            </w:pPr>
            <w:r>
              <w:rPr>
                <w:rFonts w:ascii="Arial" w:cs="Arial" w:eastAsia="Arial" w:hAnsi="Arial"/>
                <w:sz w:val="22"/>
                <w:szCs w:val="22"/>
                <w:color w:val="auto"/>
              </w:rPr>
              <w:t>[****]</w:t>
            </w:r>
          </w:p>
        </w:tc>
        <w:tc>
          <w:tcPr>
            <w:tcW w:w="23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7"/>
        </w:trPr>
        <w:tc>
          <w:tcPr>
            <w:tcW w:w="7920" w:type="dxa"/>
            <w:vAlign w:val="bottom"/>
          </w:tcPr>
          <w:p>
            <w:pPr>
              <w:jc w:val="right"/>
              <w:ind w:right="5472"/>
              <w:spacing w:after="0"/>
              <w:rPr>
                <w:sz w:val="20"/>
                <w:szCs w:val="20"/>
                <w:color w:val="auto"/>
              </w:rPr>
            </w:pPr>
            <w:r>
              <w:rPr>
                <w:rFonts w:ascii="Arial" w:cs="Arial" w:eastAsia="Arial" w:hAnsi="Arial"/>
                <w:sz w:val="22"/>
                <w:szCs w:val="22"/>
                <w:b w:val="1"/>
                <w:bCs w:val="1"/>
                <w:color w:val="auto"/>
                <w:w w:val="96"/>
              </w:rPr>
              <w:t xml:space="preserve">American Airlines </w:t>
            </w:r>
            <w:r>
              <w:rPr>
                <w:rFonts w:ascii="Arial" w:cs="Arial" w:eastAsia="Arial" w:hAnsi="Arial"/>
                <w:sz w:val="22"/>
                <w:szCs w:val="22"/>
                <w:color w:val="auto"/>
                <w:w w:val="96"/>
              </w:rPr>
              <w:t>[****]</w:t>
            </w:r>
          </w:p>
        </w:tc>
        <w:tc>
          <w:tcPr>
            <w:tcW w:w="236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r>
        <w:trPr>
          <w:trHeight w:val="621"/>
        </w:trPr>
        <w:tc>
          <w:tcPr>
            <w:tcW w:w="7920" w:type="dxa"/>
            <w:vAlign w:val="bottom"/>
          </w:tcPr>
          <w:p>
            <w:pPr>
              <w:jc w:val="right"/>
              <w:ind w:right="1772"/>
              <w:spacing w:after="0"/>
              <w:rPr>
                <w:sz w:val="20"/>
                <w:szCs w:val="20"/>
                <w:color w:val="auto"/>
              </w:rPr>
            </w:pPr>
            <w:r>
              <w:rPr>
                <w:rFonts w:ascii="Arial" w:cs="Arial" w:eastAsia="Arial" w:hAnsi="Arial"/>
                <w:sz w:val="22"/>
                <w:szCs w:val="22"/>
                <w:color w:val="auto"/>
              </w:rPr>
              <w:t>Standard and Operational Items Allowance (Paragraph 2.3.5)</w:t>
            </w:r>
          </w:p>
        </w:tc>
        <w:tc>
          <w:tcPr>
            <w:tcW w:w="23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621"/>
        </w:trPr>
        <w:tc>
          <w:tcPr>
            <w:tcW w:w="7920" w:type="dxa"/>
            <w:vAlign w:val="bottom"/>
          </w:tcPr>
          <w:p>
            <w:pPr>
              <w:jc w:val="right"/>
              <w:ind w:right="5472"/>
              <w:spacing w:after="0"/>
              <w:rPr>
                <w:sz w:val="20"/>
                <w:szCs w:val="20"/>
                <w:color w:val="auto"/>
              </w:rPr>
            </w:pPr>
            <w:r>
              <w:rPr>
                <w:rFonts w:ascii="Arial" w:cs="Arial" w:eastAsia="Arial" w:hAnsi="Arial"/>
                <w:sz w:val="22"/>
                <w:szCs w:val="22"/>
                <w:b w:val="1"/>
                <w:bCs w:val="1"/>
                <w:color w:val="auto"/>
                <w:w w:val="96"/>
              </w:rPr>
              <w:t xml:space="preserve">American Airlines </w:t>
            </w:r>
            <w:r>
              <w:rPr>
                <w:rFonts w:ascii="Arial" w:cs="Arial" w:eastAsia="Arial" w:hAnsi="Arial"/>
                <w:sz w:val="22"/>
                <w:szCs w:val="22"/>
                <w:color w:val="auto"/>
                <w:w w:val="96"/>
              </w:rPr>
              <w:t>[****]</w:t>
            </w:r>
          </w:p>
        </w:tc>
        <w:tc>
          <w:tcPr>
            <w:tcW w:w="2360" w:type="dxa"/>
            <w:vAlign w:val="bottom"/>
          </w:tcPr>
          <w:p>
            <w:pPr>
              <w:jc w:val="right"/>
              <w:spacing w:after="0"/>
              <w:rPr>
                <w:sz w:val="20"/>
                <w:szCs w:val="20"/>
                <w:color w:val="auto"/>
              </w:rPr>
            </w:pPr>
            <w:r>
              <w:rPr>
                <w:rFonts w:ascii="Arial" w:cs="Arial" w:eastAsia="Arial" w:hAnsi="Arial"/>
                <w:sz w:val="22"/>
                <w:szCs w:val="22"/>
                <w:b w:val="1"/>
                <w:bCs w:val="1"/>
                <w:color w:val="auto"/>
              </w:rPr>
              <w:t>[****]</w:t>
            </w:r>
          </w:p>
        </w:tc>
      </w:tr>
    </w:tbl>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0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1160" w:type="dxa"/>
            <w:vAlign w:val="bottom"/>
          </w:tcPr>
          <w:p>
            <w:pPr>
              <w:jc w:val="right"/>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552"/>
              <w:spacing w:after="0"/>
              <w:rPr>
                <w:sz w:val="20"/>
                <w:szCs w:val="20"/>
                <w:color w:val="auto"/>
              </w:rPr>
            </w:pPr>
            <w:r>
              <w:rPr>
                <w:rFonts w:ascii="Arial" w:cs="Arial" w:eastAsia="Arial" w:hAnsi="Arial"/>
                <w:sz w:val="22"/>
                <w:szCs w:val="22"/>
                <w:color w:val="auto"/>
              </w:rPr>
              <w:t>[****]</w:t>
            </w:r>
          </w:p>
        </w:tc>
      </w:tr>
      <w:tr>
        <w:trPr>
          <w:trHeight w:val="621"/>
        </w:trPr>
        <w:tc>
          <w:tcPr>
            <w:tcW w:w="3600" w:type="dxa"/>
            <w:vAlign w:val="bottom"/>
          </w:tcPr>
          <w:p>
            <w:pPr>
              <w:jc w:val="right"/>
              <w:ind w:right="2992"/>
              <w:spacing w:after="0"/>
              <w:rPr>
                <w:sz w:val="20"/>
                <w:szCs w:val="20"/>
                <w:color w:val="auto"/>
              </w:rPr>
            </w:pPr>
            <w:r>
              <w:rPr>
                <w:rFonts w:ascii="Arial" w:cs="Arial" w:eastAsia="Arial" w:hAnsi="Arial"/>
                <w:sz w:val="22"/>
                <w:szCs w:val="22"/>
                <w:color w:val="auto"/>
              </w:rPr>
              <w:t>[****]</w:t>
            </w:r>
          </w:p>
        </w:tc>
        <w:tc>
          <w:tcPr>
            <w:tcW w:w="116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621"/>
        </w:trPr>
        <w:tc>
          <w:tcPr>
            <w:tcW w:w="3600" w:type="dxa"/>
            <w:vAlign w:val="bottom"/>
          </w:tcPr>
          <w:p>
            <w:pPr>
              <w:jc w:val="right"/>
              <w:ind w:right="29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1052"/>
              <w:spacing w:after="0"/>
              <w:rPr>
                <w:sz w:val="20"/>
                <w:szCs w:val="20"/>
                <w:color w:val="auto"/>
              </w:rPr>
            </w:pPr>
            <w:r>
              <w:rPr>
                <w:rFonts w:ascii="Arial" w:cs="Arial" w:eastAsia="Arial" w:hAnsi="Arial"/>
                <w:sz w:val="22"/>
                <w:szCs w:val="22"/>
                <w:color w:val="auto"/>
              </w:rPr>
              <w:t>[****]</w:t>
            </w:r>
          </w:p>
        </w:tc>
      </w:tr>
      <w:tr>
        <w:trPr>
          <w:trHeight w:val="297"/>
        </w:trPr>
        <w:tc>
          <w:tcPr>
            <w:tcW w:w="3600" w:type="dxa"/>
            <w:vAlign w:val="bottom"/>
          </w:tcPr>
          <w:p>
            <w:pPr>
              <w:jc w:val="right"/>
              <w:ind w:right="29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1052"/>
              <w:spacing w:after="0"/>
              <w:rPr>
                <w:sz w:val="20"/>
                <w:szCs w:val="20"/>
                <w:color w:val="auto"/>
              </w:rPr>
            </w:pPr>
            <w:r>
              <w:rPr>
                <w:rFonts w:ascii="Arial" w:cs="Arial" w:eastAsia="Arial" w:hAnsi="Arial"/>
                <w:sz w:val="22"/>
                <w:szCs w:val="22"/>
                <w:color w:val="auto"/>
              </w:rPr>
              <w:t>[****]</w:t>
            </w:r>
          </w:p>
        </w:tc>
      </w:tr>
      <w:tr>
        <w:trPr>
          <w:trHeight w:val="621"/>
        </w:trPr>
        <w:tc>
          <w:tcPr>
            <w:tcW w:w="3600" w:type="dxa"/>
            <w:vAlign w:val="bottom"/>
          </w:tcPr>
          <w:p>
            <w:pPr>
              <w:jc w:val="right"/>
              <w:ind w:right="29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1052"/>
              <w:spacing w:after="0"/>
              <w:rPr>
                <w:sz w:val="20"/>
                <w:szCs w:val="20"/>
                <w:color w:val="auto"/>
              </w:rPr>
            </w:pPr>
            <w:r>
              <w:rPr>
                <w:rFonts w:ascii="Arial" w:cs="Arial" w:eastAsia="Arial" w:hAnsi="Arial"/>
                <w:sz w:val="22"/>
                <w:szCs w:val="22"/>
                <w:color w:val="auto"/>
              </w:rPr>
              <w:t>[****]</w:t>
            </w:r>
          </w:p>
        </w:tc>
      </w:tr>
      <w:tr>
        <w:trPr>
          <w:trHeight w:val="297"/>
        </w:trPr>
        <w:tc>
          <w:tcPr>
            <w:tcW w:w="3600" w:type="dxa"/>
            <w:vAlign w:val="bottom"/>
          </w:tcPr>
          <w:p>
            <w:pPr>
              <w:jc w:val="right"/>
              <w:ind w:right="29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1052"/>
              <w:spacing w:after="0"/>
              <w:rPr>
                <w:sz w:val="20"/>
                <w:szCs w:val="20"/>
                <w:color w:val="auto"/>
              </w:rPr>
            </w:pPr>
            <w:r>
              <w:rPr>
                <w:rFonts w:ascii="Arial" w:cs="Arial" w:eastAsia="Arial" w:hAnsi="Arial"/>
                <w:sz w:val="22"/>
                <w:szCs w:val="22"/>
                <w:color w:val="auto"/>
              </w:rPr>
              <w:t>[****]</w:t>
            </w:r>
          </w:p>
        </w:tc>
      </w:tr>
      <w:tr>
        <w:trPr>
          <w:trHeight w:val="621"/>
        </w:trPr>
        <w:tc>
          <w:tcPr>
            <w:tcW w:w="3600" w:type="dxa"/>
            <w:vAlign w:val="bottom"/>
          </w:tcPr>
          <w:p>
            <w:pPr>
              <w:jc w:val="right"/>
              <w:ind w:right="2992"/>
              <w:spacing w:after="0"/>
              <w:rPr>
                <w:sz w:val="20"/>
                <w:szCs w:val="20"/>
                <w:color w:val="auto"/>
              </w:rPr>
            </w:pPr>
            <w:r>
              <w:rPr>
                <w:rFonts w:ascii="Arial" w:cs="Arial" w:eastAsia="Arial" w:hAnsi="Arial"/>
                <w:sz w:val="22"/>
                <w:szCs w:val="22"/>
                <w:color w:val="auto"/>
              </w:rPr>
              <w:t>[****]</w:t>
            </w:r>
          </w:p>
        </w:tc>
        <w:tc>
          <w:tcPr>
            <w:tcW w:w="1160" w:type="dxa"/>
            <w:vAlign w:val="bottom"/>
          </w:tcPr>
          <w:p>
            <w:pPr>
              <w:jc w:val="right"/>
              <w:ind w:right="492"/>
              <w:spacing w:after="0"/>
              <w:rPr>
                <w:sz w:val="20"/>
                <w:szCs w:val="20"/>
                <w:color w:val="auto"/>
              </w:rPr>
            </w:pPr>
            <w:r>
              <w:rPr>
                <w:rFonts w:ascii="Arial" w:cs="Arial" w:eastAsia="Arial" w:hAnsi="Arial"/>
                <w:sz w:val="22"/>
                <w:szCs w:val="22"/>
                <w:color w:val="auto"/>
              </w:rPr>
              <w:t>[****]</w:t>
            </w:r>
          </w:p>
        </w:tc>
        <w:tc>
          <w:tcPr>
            <w:tcW w:w="1720" w:type="dxa"/>
            <w:vAlign w:val="bottom"/>
          </w:tcPr>
          <w:p>
            <w:pPr>
              <w:jc w:val="right"/>
              <w:ind w:right="1052"/>
              <w:spacing w:after="0"/>
              <w:rPr>
                <w:sz w:val="20"/>
                <w:szCs w:val="20"/>
                <w:color w:val="auto"/>
              </w:rPr>
            </w:pPr>
            <w:r>
              <w:rPr>
                <w:rFonts w:ascii="Arial" w:cs="Arial" w:eastAsia="Arial" w:hAnsi="Arial"/>
                <w:sz w:val="22"/>
                <w:szCs w:val="22"/>
                <w:color w:val="auto"/>
              </w:rPr>
              <w:t>[****]</w:t>
            </w:r>
          </w:p>
        </w:tc>
      </w:tr>
      <w:tr>
        <w:trPr>
          <w:trHeight w:val="715"/>
        </w:trPr>
        <w:tc>
          <w:tcPr>
            <w:tcW w:w="3600" w:type="dxa"/>
            <w:vAlign w:val="bottom"/>
          </w:tcPr>
          <w:p>
            <w:pPr>
              <w:jc w:val="right"/>
              <w:ind w:right="2172"/>
              <w:spacing w:after="0"/>
              <w:rPr>
                <w:sz w:val="20"/>
                <w:szCs w:val="20"/>
                <w:color w:val="auto"/>
              </w:rPr>
            </w:pPr>
            <w:r>
              <w:rPr>
                <w:rFonts w:ascii="Arial" w:cs="Arial" w:eastAsia="Arial" w:hAnsi="Arial"/>
                <w:sz w:val="22"/>
                <w:szCs w:val="22"/>
                <w:color w:val="auto"/>
                <w:w w:val="94"/>
              </w:rPr>
              <w:t>P.A. No. 3219</w:t>
            </w: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62"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right"/>
        <w:ind w:right="376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620"/>
          </w:cols>
          <w:pgMar w:left="320" w:top="511" w:right="959" w:bottom="955" w:gutter="0" w:footer="0" w:header="0"/>
        </w:sect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1" w:right="959" w:bottom="955" w:gutter="0" w:footer="0" w:header="0"/>
          <w:type w:val="continuous"/>
        </w:sectPr>
      </w:pPr>
    </w:p>
    <w:bookmarkStart w:id="163" w:name="page164"/>
    <w:bookmarkEnd w:id="163"/>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920" w:type="dxa"/>
            <w:vAlign w:val="bottom"/>
          </w:tcPr>
          <w:p>
            <w:pPr>
              <w:jc w:val="right"/>
              <w:ind w:right="312"/>
              <w:spacing w:after="0"/>
              <w:rPr>
                <w:sz w:val="20"/>
                <w:szCs w:val="20"/>
                <w:color w:val="auto"/>
              </w:rPr>
            </w:pPr>
            <w:r>
              <w:rPr>
                <w:rFonts w:ascii="Arial" w:cs="Arial" w:eastAsia="Arial" w:hAnsi="Arial"/>
                <w:sz w:val="22"/>
                <w:szCs w:val="22"/>
                <w:color w:val="auto"/>
              </w:rPr>
              <w:t>[****]</w:t>
            </w:r>
          </w:p>
        </w:tc>
        <w:tc>
          <w:tcPr>
            <w:tcW w:w="3760" w:type="dxa"/>
            <w:vAlign w:val="bottom"/>
          </w:tcPr>
          <w:p>
            <w:pPr>
              <w:jc w:val="right"/>
              <w:ind w:right="412"/>
              <w:spacing w:after="0"/>
              <w:rPr>
                <w:sz w:val="20"/>
                <w:szCs w:val="20"/>
                <w:color w:val="auto"/>
              </w:rPr>
            </w:pPr>
            <w:r>
              <w:rPr>
                <w:rFonts w:ascii="Arial" w:cs="Arial" w:eastAsia="Arial" w:hAnsi="Arial"/>
                <w:sz w:val="22"/>
                <w:szCs w:val="22"/>
                <w:color w:val="auto"/>
              </w:rPr>
              <w:t>[****]</w:t>
            </w:r>
          </w:p>
        </w:tc>
        <w:tc>
          <w:tcPr>
            <w:tcW w:w="1580" w:type="dxa"/>
            <w:vAlign w:val="bottom"/>
          </w:tcPr>
          <w:p>
            <w:pPr>
              <w:jc w:val="right"/>
              <w:ind w:right="832"/>
              <w:spacing w:after="0"/>
              <w:rPr>
                <w:sz w:val="20"/>
                <w:szCs w:val="20"/>
                <w:color w:val="auto"/>
              </w:rPr>
            </w:pPr>
            <w:r>
              <w:rPr>
                <w:rFonts w:ascii="Arial" w:cs="Arial" w:eastAsia="Arial" w:hAnsi="Arial"/>
                <w:sz w:val="22"/>
                <w:szCs w:val="22"/>
                <w:color w:val="auto"/>
              </w:rPr>
              <w:t>[****]</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392"/>
        </w:trPr>
        <w:tc>
          <w:tcPr>
            <w:tcW w:w="920" w:type="dxa"/>
            <w:vAlign w:val="bottom"/>
          </w:tcPr>
          <w:p>
            <w:pPr>
              <w:jc w:val="right"/>
              <w:ind w:right="332"/>
              <w:spacing w:after="0"/>
              <w:rPr>
                <w:sz w:val="20"/>
                <w:szCs w:val="20"/>
                <w:color w:val="auto"/>
              </w:rPr>
            </w:pPr>
            <w:r>
              <w:rPr>
                <w:rFonts w:ascii="Arial" w:cs="Arial" w:eastAsia="Arial" w:hAnsi="Arial"/>
                <w:sz w:val="22"/>
                <w:szCs w:val="22"/>
                <w:b w:val="1"/>
                <w:bCs w:val="1"/>
                <w:color w:val="auto"/>
                <w:w w:val="93"/>
              </w:rPr>
              <w:t>2.3.5</w:t>
            </w:r>
          </w:p>
        </w:tc>
        <w:tc>
          <w:tcPr>
            <w:tcW w:w="6560" w:type="dxa"/>
            <w:vAlign w:val="bottom"/>
            <w:gridSpan w:val="4"/>
          </w:tcPr>
          <w:p>
            <w:pPr>
              <w:jc w:val="right"/>
              <w:ind w:right="2060"/>
              <w:spacing w:after="0"/>
              <w:rPr>
                <w:sz w:val="20"/>
                <w:szCs w:val="20"/>
                <w:color w:val="auto"/>
              </w:rPr>
            </w:pPr>
            <w:r>
              <w:rPr>
                <w:rFonts w:ascii="Arial" w:cs="Arial" w:eastAsia="Arial" w:hAnsi="Arial"/>
                <w:sz w:val="22"/>
                <w:szCs w:val="22"/>
                <w:color w:val="auto"/>
              </w:rPr>
              <w:t>Standard and Operational Items Allowance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2"/>
        </w:trPr>
        <w:tc>
          <w:tcPr>
            <w:tcW w:w="9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0" w:type="dxa"/>
            <w:vAlign w:val="bottom"/>
            <w:gridSpan w:val="3"/>
          </w:tcPr>
          <w:p>
            <w:pPr>
              <w:jc w:val="right"/>
              <w:ind w:right="460"/>
              <w:spacing w:after="0"/>
              <w:rPr>
                <w:sz w:val="20"/>
                <w:szCs w:val="20"/>
                <w:color w:val="auto"/>
              </w:rPr>
            </w:pPr>
            <w:r>
              <w:rPr>
                <w:rFonts w:ascii="Arial" w:cs="Arial" w:eastAsia="Arial" w:hAnsi="Arial"/>
                <w:sz w:val="22"/>
                <w:szCs w:val="22"/>
                <w:color w:val="auto"/>
              </w:rPr>
              <w:t>quantity</w:t>
            </w:r>
          </w:p>
        </w:tc>
        <w:tc>
          <w:tcPr>
            <w:tcW w:w="1360" w:type="dxa"/>
            <w:vAlign w:val="bottom"/>
            <w:gridSpan w:val="3"/>
          </w:tcPr>
          <w:p>
            <w:pPr>
              <w:jc w:val="right"/>
              <w:ind w:right="460"/>
              <w:spacing w:after="0"/>
              <w:rPr>
                <w:sz w:val="20"/>
                <w:szCs w:val="20"/>
                <w:color w:val="auto"/>
              </w:rPr>
            </w:pPr>
            <w:r>
              <w:rPr>
                <w:rFonts w:ascii="Arial" w:cs="Arial" w:eastAsia="Arial" w:hAnsi="Arial"/>
                <w:sz w:val="22"/>
                <w:szCs w:val="22"/>
                <w:color w:val="auto"/>
              </w:rPr>
              <w:t>pounds</w:t>
            </w:r>
          </w:p>
        </w:tc>
        <w:tc>
          <w:tcPr>
            <w:tcW w:w="1220" w:type="dxa"/>
            <w:vAlign w:val="bottom"/>
            <w:gridSpan w:val="3"/>
          </w:tcPr>
          <w:p>
            <w:pPr>
              <w:jc w:val="right"/>
              <w:ind w:right="360"/>
              <w:spacing w:after="0"/>
              <w:rPr>
                <w:sz w:val="20"/>
                <w:szCs w:val="20"/>
                <w:color w:val="auto"/>
              </w:rPr>
            </w:pPr>
            <w:r>
              <w:rPr>
                <w:rFonts w:ascii="Arial" w:cs="Arial" w:eastAsia="Arial" w:hAnsi="Arial"/>
                <w:sz w:val="22"/>
                <w:szCs w:val="22"/>
                <w:color w:val="auto"/>
              </w:rPr>
              <w:t>pounds</w:t>
            </w:r>
          </w:p>
        </w:tc>
        <w:tc>
          <w:tcPr>
            <w:tcW w:w="1080" w:type="dxa"/>
            <w:vAlign w:val="bottom"/>
            <w:gridSpan w:val="3"/>
          </w:tcPr>
          <w:p>
            <w:pPr>
              <w:jc w:val="right"/>
              <w:ind w:right="220"/>
              <w:spacing w:after="0"/>
              <w:rPr>
                <w:sz w:val="20"/>
                <w:szCs w:val="20"/>
                <w:color w:val="auto"/>
              </w:rPr>
            </w:pPr>
            <w:r>
              <w:rPr>
                <w:rFonts w:ascii="Arial" w:cs="Arial" w:eastAsia="Arial" w:hAnsi="Arial"/>
                <w:sz w:val="22"/>
                <w:szCs w:val="22"/>
                <w:color w:val="auto"/>
              </w:rPr>
              <w:t>pounds</w:t>
            </w:r>
          </w:p>
        </w:tc>
      </w:tr>
      <w:tr>
        <w:trPr>
          <w:trHeight w:val="20"/>
        </w:trPr>
        <w:tc>
          <w:tcPr>
            <w:tcW w:w="46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52"/>
        </w:trPr>
        <w:tc>
          <w:tcPr>
            <w:tcW w:w="4680" w:type="dxa"/>
            <w:vAlign w:val="bottom"/>
            <w:gridSpan w:val="2"/>
          </w:tcPr>
          <w:p>
            <w:pPr>
              <w:ind w:left="100"/>
              <w:spacing w:after="0"/>
              <w:rPr>
                <w:sz w:val="20"/>
                <w:szCs w:val="20"/>
                <w:color w:val="auto"/>
              </w:rPr>
            </w:pPr>
            <w:r>
              <w:rPr>
                <w:rFonts w:ascii="Arial" w:cs="Arial" w:eastAsia="Arial" w:hAnsi="Arial"/>
                <w:sz w:val="22"/>
                <w:szCs w:val="22"/>
                <w:b w:val="1"/>
                <w:bCs w:val="1"/>
                <w:color w:val="auto"/>
              </w:rPr>
              <w:t>Standard Items Allowance</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22"/>
                <w:szCs w:val="22"/>
                <w:b w:val="1"/>
                <w:bCs w:val="1"/>
                <w:color w:val="auto"/>
              </w:rPr>
              <w:t>[****]</w:t>
            </w:r>
          </w:p>
        </w:tc>
      </w:tr>
      <w:tr>
        <w:trPr>
          <w:trHeight w:val="621"/>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Unusable Fuel</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920" w:type="dxa"/>
            <w:vAlign w:val="bottom"/>
          </w:tcPr>
          <w:p>
            <w:pPr>
              <w:ind w:left="280"/>
              <w:spacing w:after="0"/>
              <w:rPr>
                <w:sz w:val="20"/>
                <w:szCs w:val="20"/>
                <w:color w:val="auto"/>
              </w:rPr>
            </w:pPr>
            <w:r>
              <w:rPr>
                <w:rFonts w:ascii="Arial" w:cs="Arial" w:eastAsia="Arial" w:hAnsi="Arial"/>
                <w:sz w:val="22"/>
                <w:szCs w:val="22"/>
                <w:color w:val="auto"/>
              </w:rPr>
              <w:t>Oil</w:t>
            </w:r>
          </w:p>
        </w:tc>
        <w:tc>
          <w:tcPr>
            <w:tcW w:w="3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Oxygen Equipment</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Miscellaneous Equipment</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Galley Structure and Fixed Inserts</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21"/>
        </w:trPr>
        <w:tc>
          <w:tcPr>
            <w:tcW w:w="4680" w:type="dxa"/>
            <w:vAlign w:val="bottom"/>
            <w:gridSpan w:val="2"/>
          </w:tcPr>
          <w:p>
            <w:pPr>
              <w:ind w:left="100"/>
              <w:spacing w:after="0"/>
              <w:rPr>
                <w:sz w:val="20"/>
                <w:szCs w:val="20"/>
                <w:color w:val="auto"/>
              </w:rPr>
            </w:pPr>
            <w:r>
              <w:rPr>
                <w:rFonts w:ascii="Arial" w:cs="Arial" w:eastAsia="Arial" w:hAnsi="Arial"/>
                <w:sz w:val="22"/>
                <w:szCs w:val="22"/>
                <w:b w:val="1"/>
                <w:bCs w:val="1"/>
                <w:color w:val="auto"/>
              </w:rPr>
              <w:t>Operational Items Allowance</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r>
      <w:tr>
        <w:trPr>
          <w:trHeight w:val="621"/>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Crew and Crew Baggage</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460"/>
              <w:spacing w:after="0"/>
              <w:rPr>
                <w:sz w:val="20"/>
                <w:szCs w:val="20"/>
                <w:color w:val="auto"/>
              </w:rPr>
            </w:pPr>
            <w:r>
              <w:rPr>
                <w:rFonts w:ascii="Arial" w:cs="Arial" w:eastAsia="Arial" w:hAnsi="Arial"/>
                <w:sz w:val="22"/>
                <w:szCs w:val="22"/>
                <w:color w:val="auto"/>
              </w:rPr>
              <w:t>Flight Crew (Inc. Baggage)</w:t>
            </w:r>
          </w:p>
        </w:tc>
        <w:tc>
          <w:tcPr>
            <w:tcW w:w="280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460"/>
              <w:spacing w:after="0"/>
              <w:rPr>
                <w:sz w:val="20"/>
                <w:szCs w:val="20"/>
                <w:color w:val="auto"/>
              </w:rPr>
            </w:pPr>
            <w:r>
              <w:rPr>
                <w:rFonts w:ascii="Arial" w:cs="Arial" w:eastAsia="Arial" w:hAnsi="Arial"/>
                <w:sz w:val="22"/>
                <w:szCs w:val="22"/>
                <w:color w:val="auto"/>
              </w:rPr>
              <w:t>Cabin Crew (Inc. Baggage)</w:t>
            </w:r>
          </w:p>
        </w:tc>
        <w:tc>
          <w:tcPr>
            <w:tcW w:w="280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460"/>
              <w:spacing w:after="0"/>
              <w:rPr>
                <w:sz w:val="20"/>
                <w:szCs w:val="20"/>
                <w:color w:val="auto"/>
              </w:rPr>
            </w:pPr>
            <w:r>
              <w:rPr>
                <w:rFonts w:ascii="Arial" w:cs="Arial" w:eastAsia="Arial" w:hAnsi="Arial"/>
                <w:sz w:val="22"/>
                <w:szCs w:val="22"/>
                <w:color w:val="auto"/>
              </w:rPr>
              <w:t>Flight Crew Briefcase</w:t>
            </w:r>
          </w:p>
        </w:tc>
        <w:tc>
          <w:tcPr>
            <w:tcW w:w="280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7480" w:type="dxa"/>
            <w:vAlign w:val="bottom"/>
            <w:gridSpan w:val="5"/>
          </w:tcPr>
          <w:p>
            <w:pPr>
              <w:ind w:left="280"/>
              <w:spacing w:after="0"/>
              <w:rPr>
                <w:sz w:val="20"/>
                <w:szCs w:val="20"/>
                <w:color w:val="auto"/>
              </w:rPr>
            </w:pPr>
            <w:r>
              <w:rPr>
                <w:rFonts w:ascii="Arial" w:cs="Arial" w:eastAsia="Arial" w:hAnsi="Arial"/>
                <w:sz w:val="22"/>
                <w:szCs w:val="22"/>
                <w:color w:val="auto"/>
              </w:rPr>
              <w:t>Catering Allowance &amp; Removable Inserts: Pacific Meal Service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460"/>
              <w:spacing w:after="0"/>
              <w:rPr>
                <w:sz w:val="20"/>
                <w:szCs w:val="20"/>
                <w:color w:val="auto"/>
              </w:rPr>
            </w:pPr>
            <w:r>
              <w:rPr>
                <w:rFonts w:ascii="Arial" w:cs="Arial" w:eastAsia="Arial" w:hAnsi="Arial"/>
                <w:sz w:val="22"/>
                <w:szCs w:val="22"/>
                <w:color w:val="auto"/>
              </w:rPr>
              <w:t>Business Class</w:t>
            </w:r>
          </w:p>
        </w:tc>
        <w:tc>
          <w:tcPr>
            <w:tcW w:w="280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460"/>
              <w:spacing w:after="0"/>
              <w:rPr>
                <w:sz w:val="20"/>
                <w:szCs w:val="20"/>
                <w:color w:val="auto"/>
              </w:rPr>
            </w:pPr>
            <w:r>
              <w:rPr>
                <w:rFonts w:ascii="Arial" w:cs="Arial" w:eastAsia="Arial" w:hAnsi="Arial"/>
                <w:sz w:val="22"/>
                <w:szCs w:val="22"/>
                <w:color w:val="auto"/>
              </w:rPr>
              <w:t>Premium Class</w:t>
            </w:r>
          </w:p>
        </w:tc>
        <w:tc>
          <w:tcPr>
            <w:tcW w:w="280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460"/>
              <w:spacing w:after="0"/>
              <w:rPr>
                <w:sz w:val="20"/>
                <w:szCs w:val="20"/>
                <w:color w:val="auto"/>
              </w:rPr>
            </w:pPr>
            <w:r>
              <w:rPr>
                <w:rFonts w:ascii="Arial" w:cs="Arial" w:eastAsia="Arial" w:hAnsi="Arial"/>
                <w:sz w:val="22"/>
                <w:szCs w:val="22"/>
                <w:color w:val="auto"/>
              </w:rPr>
              <w:t>Economy Class</w:t>
            </w:r>
          </w:p>
        </w:tc>
        <w:tc>
          <w:tcPr>
            <w:tcW w:w="2800" w:type="dxa"/>
            <w:vAlign w:val="bottom"/>
            <w:gridSpan w:val="3"/>
          </w:tcPr>
          <w:p>
            <w:pPr>
              <w:jc w:val="right"/>
              <w:ind w:right="200"/>
              <w:spacing w:after="0"/>
              <w:rPr>
                <w:sz w:val="20"/>
                <w:szCs w:val="20"/>
                <w:color w:val="auto"/>
              </w:rPr>
            </w:pPr>
            <w:r>
              <w:rPr>
                <w:rFonts w:ascii="Arial" w:cs="Arial" w:eastAsia="Arial" w:hAnsi="Arial"/>
                <w:sz w:val="22"/>
                <w:szCs w:val="22"/>
                <w:color w:val="auto"/>
              </w:rPr>
              <w:t>[****]</w:t>
            </w:r>
          </w:p>
        </w:tc>
        <w:tc>
          <w:tcPr>
            <w:tcW w:w="136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Passenger Service Equipment ([****] lb. ea.)</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Potable Water - [****]</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Waste Tank Disinfectant</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7480" w:type="dxa"/>
            <w:vAlign w:val="bottom"/>
            <w:gridSpan w:val="5"/>
          </w:tcPr>
          <w:p>
            <w:pPr>
              <w:ind w:left="280"/>
              <w:spacing w:after="0"/>
              <w:rPr>
                <w:sz w:val="20"/>
                <w:szCs w:val="20"/>
                <w:color w:val="auto"/>
              </w:rPr>
            </w:pPr>
            <w:r>
              <w:rPr>
                <w:rFonts w:ascii="Arial" w:cs="Arial" w:eastAsia="Arial" w:hAnsi="Arial"/>
                <w:sz w:val="22"/>
                <w:szCs w:val="22"/>
                <w:color w:val="auto"/>
              </w:rPr>
              <w:t>Emergency Equipment (Includes Over Water Equip.)</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280"/>
              <w:spacing w:after="0"/>
              <w:rPr>
                <w:sz w:val="20"/>
                <w:szCs w:val="20"/>
                <w:color w:val="auto"/>
              </w:rPr>
            </w:pPr>
            <w:r>
              <w:rPr>
                <w:rFonts w:ascii="Arial" w:cs="Arial" w:eastAsia="Arial" w:hAnsi="Arial"/>
                <w:sz w:val="22"/>
                <w:szCs w:val="22"/>
                <w:color w:val="auto"/>
              </w:rPr>
              <w:t>Cargo System</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4680" w:type="dxa"/>
            <w:vAlign w:val="bottom"/>
            <w:gridSpan w:val="2"/>
          </w:tcPr>
          <w:p>
            <w:pPr>
              <w:ind w:left="460"/>
              <w:spacing w:after="0"/>
              <w:rPr>
                <w:sz w:val="20"/>
                <w:szCs w:val="20"/>
                <w:color w:val="auto"/>
              </w:rPr>
            </w:pPr>
            <w:r>
              <w:rPr>
                <w:rFonts w:ascii="Arial" w:cs="Arial" w:eastAsia="Arial" w:hAnsi="Arial"/>
                <w:sz w:val="22"/>
                <w:szCs w:val="22"/>
                <w:color w:val="auto"/>
              </w:rPr>
              <w:t>Containers ([****] lb ea.)</w:t>
            </w: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22"/>
                <w:szCs w:val="22"/>
                <w:color w:val="auto"/>
              </w:rPr>
              <w: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7480" w:type="dxa"/>
            <w:vAlign w:val="bottom"/>
            <w:gridSpan w:val="5"/>
          </w:tcPr>
          <w:p>
            <w:pPr>
              <w:ind w:left="100"/>
              <w:spacing w:after="0"/>
              <w:rPr>
                <w:sz w:val="20"/>
                <w:szCs w:val="20"/>
                <w:color w:val="auto"/>
              </w:rPr>
            </w:pPr>
            <w:r>
              <w:rPr>
                <w:rFonts w:ascii="Arial" w:cs="Arial" w:eastAsia="Arial" w:hAnsi="Arial"/>
                <w:sz w:val="22"/>
                <w:szCs w:val="22"/>
                <w:b w:val="1"/>
                <w:bCs w:val="1"/>
                <w:color w:val="auto"/>
              </w:rPr>
              <w:t>Total Standard and Operational Items Allowance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22"/>
                <w:szCs w:val="22"/>
                <w:b w:val="1"/>
                <w:bCs w:val="1"/>
                <w:color w:val="auto"/>
              </w:rPr>
              <w:t>[****]</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1" w:right="439" w:bottom="1440" w:gutter="0" w:footer="0" w:header="0"/>
        </w:sectPr>
      </w:pPr>
    </w:p>
    <w:bookmarkStart w:id="164" w:name="page165"/>
    <w:bookmarkEnd w:id="164"/>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10</w:t>
      </w:r>
    </w:p>
    <w:p>
      <w:pPr>
        <w:spacing w:after="0" w:line="200" w:lineRule="exact"/>
        <w:rPr>
          <w:sz w:val="20"/>
          <w:szCs w:val="20"/>
          <w:color w:val="auto"/>
        </w:rPr>
      </w:pPr>
    </w:p>
    <w:p>
      <w:pPr>
        <w:spacing w:after="0" w:line="369" w:lineRule="exact"/>
        <w:rPr>
          <w:sz w:val="20"/>
          <w:szCs w:val="20"/>
          <w:color w:val="auto"/>
        </w:rPr>
      </w:pPr>
    </w:p>
    <w:p>
      <w:pPr>
        <w:ind w:left="1300" w:hanging="1292"/>
        <w:spacing w:after="0"/>
        <w:tabs>
          <w:tab w:leader="none" w:pos="1300" w:val="left"/>
        </w:tabs>
        <w:numPr>
          <w:ilvl w:val="0"/>
          <w:numId w:val="132"/>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111"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328" w:lineRule="exact"/>
        <w:rPr>
          <w:sz w:val="20"/>
          <w:szCs w:val="20"/>
          <w:color w:val="auto"/>
        </w:rPr>
      </w:pPr>
    </w:p>
    <w:p>
      <w:pPr>
        <w:ind w:left="620" w:hanging="612"/>
        <w:spacing w:after="0"/>
        <w:tabs>
          <w:tab w:leader="none" w:pos="620" w:val="left"/>
        </w:tabs>
        <w:numPr>
          <w:ilvl w:val="0"/>
          <w:numId w:val="133"/>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2"/>
          <w:szCs w:val="22"/>
          <w:color w:val="auto"/>
        </w:rPr>
        <w:t>[****]</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101" w:lineRule="exact"/>
        <w:rPr>
          <w:sz w:val="20"/>
          <w:szCs w:val="20"/>
          <w:color w:val="auto"/>
        </w:rPr>
      </w:pPr>
    </w:p>
    <w:p>
      <w:pPr>
        <w:jc w:val="right"/>
        <w:ind w:right="8740"/>
        <w:spacing w:after="0"/>
        <w:tabs>
          <w:tab w:leader="none" w:pos="55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2"/>
          <w:szCs w:val="22"/>
          <w:color w:val="auto"/>
        </w:rPr>
        <w:t>[****]</w:t>
      </w:r>
    </w:p>
    <w:p>
      <w:pPr>
        <w:spacing w:after="0" w:line="123" w:lineRule="exact"/>
        <w:rPr>
          <w:sz w:val="20"/>
          <w:szCs w:val="20"/>
          <w:color w:val="auto"/>
        </w:rPr>
      </w:pPr>
    </w:p>
    <w:p>
      <w:pPr>
        <w:jc w:val="right"/>
        <w:ind w:right="87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w:t>
      </w:r>
    </w:p>
    <w:p>
      <w:pPr>
        <w:spacing w:after="0" w:line="317" w:lineRule="exact"/>
        <w:rPr>
          <w:sz w:val="20"/>
          <w:szCs w:val="20"/>
          <w:color w:val="auto"/>
        </w:rPr>
      </w:pPr>
    </w:p>
    <w:p>
      <w:pPr>
        <w:jc w:val="right"/>
        <w:ind w:right="8740"/>
        <w:spacing w:after="0"/>
        <w:tabs>
          <w:tab w:leader="none" w:pos="55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2"/>
          <w:szCs w:val="22"/>
          <w:color w:val="auto"/>
        </w:rPr>
        <w:t>[****]</w:t>
      </w:r>
    </w:p>
    <w:p>
      <w:pPr>
        <w:spacing w:after="0" w:line="123" w:lineRule="exact"/>
        <w:rPr>
          <w:sz w:val="20"/>
          <w:szCs w:val="20"/>
          <w:color w:val="auto"/>
        </w:rPr>
      </w:pPr>
    </w:p>
    <w:p>
      <w:pPr>
        <w:jc w:val="right"/>
        <w:ind w:right="874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w:t>
      </w:r>
    </w:p>
    <w:p>
      <w:pPr>
        <w:spacing w:after="0" w:line="31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2"/>
          <w:szCs w:val="22"/>
          <w:color w:val="auto"/>
        </w:rPr>
        <w:t>[****]</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920"/>
        <w:spacing w:after="0"/>
        <w:tabs>
          <w:tab w:leader="none" w:pos="35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2340"/>
        <w:spacing w:after="0"/>
        <w:tabs>
          <w:tab w:leader="none" w:pos="3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2340"/>
        <w:spacing w:after="0"/>
        <w:tabs>
          <w:tab w:leader="none" w:pos="3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2340"/>
        <w:spacing w:after="0"/>
        <w:tabs>
          <w:tab w:leader="none" w:pos="3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right"/>
        <w:ind w:right="3760"/>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0620"/>
          </w:cols>
          <w:pgMar w:left="320" w:top="511" w:right="959" w:bottom="1440" w:gutter="0" w:footer="0" w:header="0"/>
        </w:sect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1" w:right="959" w:bottom="1440" w:gutter="0" w:footer="0" w:header="0"/>
          <w:type w:val="continuous"/>
        </w:sectPr>
      </w:pPr>
    </w:p>
    <w:bookmarkStart w:id="165" w:name="page166"/>
    <w:bookmarkEnd w:id="165"/>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11</w:t>
      </w:r>
    </w:p>
    <w:p>
      <w:pPr>
        <w:spacing w:after="0" w:line="200" w:lineRule="exact"/>
        <w:rPr>
          <w:sz w:val="20"/>
          <w:szCs w:val="20"/>
          <w:color w:val="auto"/>
        </w:rPr>
      </w:pPr>
    </w:p>
    <w:p>
      <w:pPr>
        <w:spacing w:after="0" w:line="261" w:lineRule="exact"/>
        <w:rPr>
          <w:sz w:val="20"/>
          <w:szCs w:val="20"/>
          <w:color w:val="auto"/>
        </w:rPr>
      </w:pPr>
    </w:p>
    <w:p>
      <w:pPr>
        <w:ind w:left="2340"/>
        <w:spacing w:after="0"/>
        <w:tabs>
          <w:tab w:leader="none" w:pos="3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2340"/>
        <w:spacing w:after="0"/>
        <w:tabs>
          <w:tab w:leader="none" w:pos="39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5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2"/>
          <w:szCs w:val="22"/>
          <w:color w:val="auto"/>
        </w:rPr>
        <w:t>[****]</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w:t>
      </w:r>
    </w:p>
    <w:p>
      <w:pPr>
        <w:sectPr>
          <w:pgSz w:w="11900" w:h="16838" w:orient="portrait"/>
          <w:cols w:equalWidth="0" w:num="1">
            <w:col w:w="10620"/>
          </w:cols>
          <w:pgMar w:left="320" w:top="511" w:right="959" w:bottom="1440" w:gutter="0" w:footer="0" w:header="0"/>
        </w:sectPr>
      </w:pP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1" w:lineRule="exact"/>
        <w:rPr>
          <w:sz w:val="20"/>
          <w:szCs w:val="20"/>
          <w:color w:val="auto"/>
        </w:rPr>
      </w:pPr>
    </w:p>
    <w:p>
      <w:pPr>
        <w:sectPr>
          <w:pgSz w:w="11900" w:h="16838" w:orient="portrait"/>
          <w:cols w:equalWidth="0" w:num="2">
            <w:col w:w="2620" w:space="720"/>
            <w:col w:w="7280"/>
          </w:cols>
          <w:pgMar w:left="320" w:top="511" w:right="959" w:bottom="1440" w:gutter="0" w:footer="0" w:header="0"/>
          <w:type w:val="continuous"/>
        </w:sect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1680"/>
        <w:spacing w:after="0"/>
        <w:tabs>
          <w:tab w:leader="none" w:pos="3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1680"/>
        <w:spacing w:after="0"/>
        <w:tabs>
          <w:tab w:leader="none" w:pos="3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1680"/>
        <w:spacing w:after="0"/>
        <w:tabs>
          <w:tab w:leader="none" w:pos="33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11" w:right="959" w:bottom="1440" w:gutter="0" w:footer="0" w:header="0"/>
          <w:type w:val="continuous"/>
        </w:sectPr>
      </w:pPr>
    </w:p>
    <w:bookmarkStart w:id="166" w:name="page167"/>
    <w:bookmarkEnd w:id="166"/>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12</w:t>
      </w:r>
    </w:p>
    <w:p>
      <w:pPr>
        <w:spacing w:after="0" w:line="200" w:lineRule="exact"/>
        <w:rPr>
          <w:sz w:val="20"/>
          <w:szCs w:val="20"/>
          <w:color w:val="auto"/>
        </w:rPr>
      </w:pPr>
    </w:p>
    <w:p>
      <w:pPr>
        <w:spacing w:after="0" w:line="384" w:lineRule="exact"/>
        <w:rPr>
          <w:sz w:val="20"/>
          <w:szCs w:val="20"/>
          <w:color w:val="auto"/>
        </w:rPr>
      </w:pPr>
    </w:p>
    <w:p>
      <w:pPr>
        <w:ind w:left="680" w:hanging="672"/>
        <w:spacing w:after="0"/>
        <w:tabs>
          <w:tab w:leader="none" w:pos="680" w:val="left"/>
        </w:tabs>
        <w:numPr>
          <w:ilvl w:val="0"/>
          <w:numId w:val="134"/>
        </w:numPr>
        <w:rPr>
          <w:rFonts w:ascii="Arial" w:cs="Arial" w:eastAsia="Arial" w:hAnsi="Arial"/>
          <w:sz w:val="22"/>
          <w:szCs w:val="22"/>
          <w:b w:val="1"/>
          <w:bCs w:val="1"/>
          <w:color w:val="auto"/>
        </w:rPr>
      </w:pPr>
      <w:r>
        <w:rPr>
          <w:rFonts w:ascii="Arial" w:cs="Arial" w:eastAsia="Arial" w:hAnsi="Arial"/>
          <w:sz w:val="22"/>
          <w:szCs w:val="22"/>
          <w:color w:val="auto"/>
        </w:rPr>
        <w:t>AIRCRAFT CONFIGURATION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00" w:type="dxa"/>
            <w:vAlign w:val="bottom"/>
          </w:tcPr>
          <w:p>
            <w:pPr>
              <w:spacing w:after="0"/>
              <w:rPr>
                <w:sz w:val="20"/>
                <w:szCs w:val="20"/>
                <w:color w:val="auto"/>
              </w:rPr>
            </w:pPr>
            <w:r>
              <w:rPr>
                <w:rFonts w:ascii="Arial" w:cs="Arial" w:eastAsia="Arial" w:hAnsi="Arial"/>
                <w:sz w:val="22"/>
                <w:szCs w:val="22"/>
                <w:b w:val="1"/>
                <w:bCs w:val="1"/>
                <w:color w:val="auto"/>
              </w:rPr>
              <w:t>5.1</w:t>
            </w: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The guarantees contained in this Attachment [****] , Model 787-8, 787-9, 787-10", dated [****] plus</w:t>
            </w:r>
          </w:p>
        </w:tc>
      </w:tr>
      <w:tr>
        <w:trPr>
          <w:trHeight w:val="256"/>
        </w:trPr>
        <w:tc>
          <w:tcPr>
            <w:tcW w:w="500" w:type="dxa"/>
            <w:vAlign w:val="bottom"/>
          </w:tcPr>
          <w:p>
            <w:pPr>
              <w:spacing w:after="0"/>
              <w:rPr>
                <w:sz w:val="22"/>
                <w:szCs w:val="22"/>
                <w:color w:val="auto"/>
              </w:rPr>
            </w:pP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 . [****] will be made for [****] such Detail Specification approved by the Customer and Boeing</w:t>
            </w:r>
          </w:p>
        </w:tc>
      </w:tr>
      <w:tr>
        <w:trPr>
          <w:trHeight w:val="274"/>
        </w:trPr>
        <w:tc>
          <w:tcPr>
            <w:tcW w:w="500" w:type="dxa"/>
            <w:vAlign w:val="bottom"/>
          </w:tcPr>
          <w:p>
            <w:pPr>
              <w:spacing w:after="0"/>
              <w:rPr>
                <w:sz w:val="23"/>
                <w:szCs w:val="23"/>
                <w:color w:val="auto"/>
              </w:rPr>
            </w:pP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or otherwise allowed by the Purchase Agreement [****] .</w:t>
            </w:r>
          </w:p>
        </w:tc>
      </w:tr>
      <w:tr>
        <w:trPr>
          <w:trHeight w:val="473"/>
        </w:trPr>
        <w:tc>
          <w:tcPr>
            <w:tcW w:w="500" w:type="dxa"/>
            <w:vAlign w:val="bottom"/>
          </w:tcPr>
          <w:p>
            <w:pPr>
              <w:spacing w:after="0"/>
              <w:rPr>
                <w:sz w:val="20"/>
                <w:szCs w:val="20"/>
                <w:color w:val="auto"/>
              </w:rPr>
            </w:pPr>
            <w:r>
              <w:rPr>
                <w:rFonts w:ascii="Arial" w:cs="Arial" w:eastAsia="Arial" w:hAnsi="Arial"/>
                <w:sz w:val="22"/>
                <w:szCs w:val="22"/>
                <w:b w:val="1"/>
                <w:bCs w:val="1"/>
                <w:color w:val="auto"/>
              </w:rPr>
              <w:t>5.2</w:t>
            </w: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w:t>
            </w:r>
          </w:p>
        </w:tc>
      </w:tr>
      <w:tr>
        <w:trPr>
          <w:trHeight w:val="470"/>
        </w:trPr>
        <w:tc>
          <w:tcPr>
            <w:tcW w:w="500" w:type="dxa"/>
            <w:vAlign w:val="bottom"/>
          </w:tcPr>
          <w:p>
            <w:pPr>
              <w:spacing w:after="0"/>
              <w:rPr>
                <w:sz w:val="24"/>
                <w:szCs w:val="24"/>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(1)</w:t>
            </w:r>
          </w:p>
        </w:tc>
        <w:tc>
          <w:tcPr>
            <w:tcW w:w="9640" w:type="dxa"/>
            <w:vAlign w:val="bottom"/>
          </w:tcPr>
          <w:p>
            <w:pPr>
              <w:jc w:val="right"/>
              <w:spacing w:after="0"/>
              <w:rPr>
                <w:sz w:val="20"/>
                <w:szCs w:val="20"/>
                <w:color w:val="auto"/>
              </w:rPr>
            </w:pPr>
            <w:r>
              <w:rPr>
                <w:rFonts w:ascii="Arial" w:cs="Arial" w:eastAsia="Arial" w:hAnsi="Arial"/>
                <w:sz w:val="22"/>
                <w:szCs w:val="22"/>
                <w:color w:val="auto"/>
              </w:rPr>
              <w:t>Changes to the [****] or any other changes [****] or otherwise allowed by the Purchase</w:t>
            </w:r>
          </w:p>
        </w:tc>
      </w:tr>
      <w:tr>
        <w:trPr>
          <w:trHeight w:val="259"/>
        </w:trPr>
        <w:tc>
          <w:tcPr>
            <w:tcW w:w="500" w:type="dxa"/>
            <w:vAlign w:val="bottom"/>
          </w:tcPr>
          <w:p>
            <w:pPr>
              <w:spacing w:after="0"/>
              <w:rPr>
                <w:sz w:val="22"/>
                <w:szCs w:val="22"/>
                <w:color w:val="auto"/>
              </w:rPr>
            </w:pP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Agreement.</w:t>
            </w:r>
          </w:p>
        </w:tc>
      </w:tr>
      <w:tr>
        <w:trPr>
          <w:trHeight w:val="473"/>
        </w:trPr>
        <w:tc>
          <w:tcPr>
            <w:tcW w:w="500" w:type="dxa"/>
            <w:vAlign w:val="bottom"/>
          </w:tcPr>
          <w:p>
            <w:pPr>
              <w:spacing w:after="0"/>
              <w:rPr>
                <w:sz w:val="24"/>
                <w:szCs w:val="24"/>
                <w:color w:val="auto"/>
              </w:rPr>
            </w:pP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(2)   The difference between [****] given in Appendix E of the Detail Specification [****] .</w:t>
            </w:r>
          </w:p>
        </w:tc>
      </w:tr>
      <w:tr>
        <w:trPr>
          <w:trHeight w:val="581"/>
        </w:trPr>
        <w:tc>
          <w:tcPr>
            <w:tcW w:w="500" w:type="dxa"/>
            <w:vAlign w:val="bottom"/>
          </w:tcPr>
          <w:p>
            <w:pPr>
              <w:spacing w:after="0"/>
              <w:rPr>
                <w:sz w:val="20"/>
                <w:szCs w:val="20"/>
                <w:color w:val="auto"/>
              </w:rPr>
            </w:pPr>
            <w:r>
              <w:rPr>
                <w:rFonts w:ascii="Arial" w:cs="Arial" w:eastAsia="Arial" w:hAnsi="Arial"/>
                <w:sz w:val="22"/>
                <w:szCs w:val="22"/>
                <w:b w:val="1"/>
                <w:bCs w:val="1"/>
                <w:color w:val="auto"/>
              </w:rPr>
              <w:t>6</w:t>
            </w:r>
          </w:p>
        </w:tc>
        <w:tc>
          <w:tcPr>
            <w:tcW w:w="10740" w:type="dxa"/>
            <w:vAlign w:val="bottom"/>
            <w:gridSpan w:val="2"/>
          </w:tcPr>
          <w:p>
            <w:pPr>
              <w:ind w:left="180"/>
              <w:spacing w:after="0"/>
              <w:rPr>
                <w:sz w:val="20"/>
                <w:szCs w:val="20"/>
                <w:color w:val="auto"/>
              </w:rPr>
            </w:pPr>
            <w:r>
              <w:rPr>
                <w:rFonts w:ascii="Arial" w:cs="Arial" w:eastAsia="Arial" w:hAnsi="Arial"/>
                <w:sz w:val="22"/>
                <w:szCs w:val="22"/>
                <w:color w:val="auto"/>
              </w:rPr>
              <w:t>GUARANTEE CONDITIONS</w:t>
            </w:r>
          </w:p>
        </w:tc>
      </w:tr>
      <w:tr>
        <w:trPr>
          <w:trHeight w:val="362"/>
        </w:trPr>
        <w:tc>
          <w:tcPr>
            <w:tcW w:w="500" w:type="dxa"/>
            <w:vAlign w:val="bottom"/>
          </w:tcPr>
          <w:p>
            <w:pPr>
              <w:spacing w:after="0"/>
              <w:rPr>
                <w:sz w:val="20"/>
                <w:szCs w:val="20"/>
                <w:color w:val="auto"/>
              </w:rPr>
            </w:pPr>
            <w:r>
              <w:rPr>
                <w:rFonts w:ascii="Arial" w:cs="Arial" w:eastAsia="Arial" w:hAnsi="Arial"/>
                <w:sz w:val="22"/>
                <w:szCs w:val="22"/>
                <w:b w:val="1"/>
                <w:bCs w:val="1"/>
                <w:color w:val="auto"/>
              </w:rPr>
              <w:t>6.1</w:t>
            </w: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All guaranteed performance data [****] and specified variations therefrom; altitudes are pressure</w:t>
            </w:r>
          </w:p>
        </w:tc>
      </w:tr>
      <w:tr>
        <w:trPr>
          <w:trHeight w:val="259"/>
        </w:trPr>
        <w:tc>
          <w:tcPr>
            <w:tcW w:w="500" w:type="dxa"/>
            <w:vAlign w:val="bottom"/>
          </w:tcPr>
          <w:p>
            <w:pPr>
              <w:spacing w:after="0"/>
              <w:rPr>
                <w:sz w:val="22"/>
                <w:szCs w:val="22"/>
                <w:color w:val="auto"/>
              </w:rPr>
            </w:pP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altitudes.</w:t>
            </w:r>
          </w:p>
        </w:tc>
      </w:tr>
      <w:tr>
        <w:trPr>
          <w:trHeight w:val="473"/>
        </w:trPr>
        <w:tc>
          <w:tcPr>
            <w:tcW w:w="500" w:type="dxa"/>
            <w:vAlign w:val="bottom"/>
          </w:tcPr>
          <w:p>
            <w:pPr>
              <w:spacing w:after="0"/>
              <w:rPr>
                <w:sz w:val="20"/>
                <w:szCs w:val="20"/>
                <w:color w:val="auto"/>
              </w:rPr>
            </w:pPr>
            <w:r>
              <w:rPr>
                <w:rFonts w:ascii="Arial" w:cs="Arial" w:eastAsia="Arial" w:hAnsi="Arial"/>
                <w:sz w:val="22"/>
                <w:szCs w:val="22"/>
                <w:b w:val="1"/>
                <w:bCs w:val="1"/>
                <w:color w:val="auto"/>
              </w:rPr>
              <w:t>6.2</w:t>
            </w: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The Federal Aviation Administration (FAA) regulations referred to in this Attachment are, [****] .</w:t>
            </w:r>
          </w:p>
        </w:tc>
      </w:tr>
      <w:tr>
        <w:trPr>
          <w:trHeight w:val="470"/>
        </w:trPr>
        <w:tc>
          <w:tcPr>
            <w:tcW w:w="500" w:type="dxa"/>
            <w:vAlign w:val="bottom"/>
          </w:tcPr>
          <w:p>
            <w:pPr>
              <w:spacing w:after="0"/>
              <w:rPr>
                <w:sz w:val="20"/>
                <w:szCs w:val="20"/>
                <w:color w:val="auto"/>
              </w:rPr>
            </w:pPr>
            <w:r>
              <w:rPr>
                <w:rFonts w:ascii="Arial" w:cs="Arial" w:eastAsia="Arial" w:hAnsi="Arial"/>
                <w:sz w:val="22"/>
                <w:szCs w:val="22"/>
                <w:b w:val="1"/>
                <w:bCs w:val="1"/>
                <w:color w:val="auto"/>
              </w:rPr>
              <w:t>6.3</w:t>
            </w: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In the event a change is made to any law, governmental regulation or requirement, or in the</w:t>
            </w:r>
          </w:p>
        </w:tc>
      </w:tr>
      <w:tr>
        <w:trPr>
          <w:trHeight w:val="242"/>
        </w:trPr>
        <w:tc>
          <w:tcPr>
            <w:tcW w:w="500" w:type="dxa"/>
            <w:vAlign w:val="bottom"/>
          </w:tcPr>
          <w:p>
            <w:pPr>
              <w:spacing w:after="0"/>
              <w:rPr>
                <w:sz w:val="21"/>
                <w:szCs w:val="21"/>
                <w:color w:val="auto"/>
              </w:rPr>
            </w:pPr>
          </w:p>
        </w:tc>
        <w:tc>
          <w:tcPr>
            <w:tcW w:w="10740" w:type="dxa"/>
            <w:vAlign w:val="bottom"/>
            <w:gridSpan w:val="2"/>
          </w:tcPr>
          <w:p>
            <w:pPr>
              <w:ind w:left="800"/>
              <w:spacing w:after="0" w:line="242" w:lineRule="exact"/>
              <w:rPr>
                <w:sz w:val="20"/>
                <w:szCs w:val="20"/>
                <w:color w:val="auto"/>
              </w:rPr>
            </w:pPr>
            <w:r>
              <w:rPr>
                <w:rFonts w:ascii="Arial" w:cs="Arial" w:eastAsia="Arial" w:hAnsi="Arial"/>
                <w:sz w:val="22"/>
                <w:szCs w:val="22"/>
                <w:color w:val="auto"/>
                <w:w w:val="98"/>
              </w:rPr>
              <w:t>interpretation of any such law, governmental regulation or requirement that affects the certification basis</w:t>
            </w:r>
          </w:p>
        </w:tc>
      </w:tr>
      <w:tr>
        <w:trPr>
          <w:trHeight w:val="274"/>
        </w:trPr>
        <w:tc>
          <w:tcPr>
            <w:tcW w:w="500" w:type="dxa"/>
            <w:vAlign w:val="bottom"/>
          </w:tcPr>
          <w:p>
            <w:pPr>
              <w:spacing w:after="0"/>
              <w:rPr>
                <w:sz w:val="23"/>
                <w:szCs w:val="23"/>
                <w:color w:val="auto"/>
              </w:rPr>
            </w:pP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for the Aircraft [****] .</w:t>
            </w:r>
          </w:p>
        </w:tc>
      </w:tr>
      <w:tr>
        <w:trPr>
          <w:trHeight w:val="470"/>
        </w:trPr>
        <w:tc>
          <w:tcPr>
            <w:tcW w:w="500" w:type="dxa"/>
            <w:vAlign w:val="bottom"/>
          </w:tcPr>
          <w:p>
            <w:pPr>
              <w:spacing w:after="0"/>
              <w:rPr>
                <w:sz w:val="20"/>
                <w:szCs w:val="20"/>
                <w:color w:val="auto"/>
              </w:rPr>
            </w:pPr>
            <w:r>
              <w:rPr>
                <w:rFonts w:ascii="Arial" w:cs="Arial" w:eastAsia="Arial" w:hAnsi="Arial"/>
                <w:sz w:val="22"/>
                <w:szCs w:val="22"/>
                <w:b w:val="1"/>
                <w:bCs w:val="1"/>
                <w:color w:val="auto"/>
              </w:rPr>
              <w:t>6.4</w:t>
            </w: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The [****] guarantees and the [****] of the mission guarantees are based on the following, unless</w:t>
            </w:r>
          </w:p>
        </w:tc>
      </w:tr>
      <w:tr>
        <w:trPr>
          <w:trHeight w:val="259"/>
        </w:trPr>
        <w:tc>
          <w:tcPr>
            <w:tcW w:w="500" w:type="dxa"/>
            <w:vAlign w:val="bottom"/>
          </w:tcPr>
          <w:p>
            <w:pPr>
              <w:spacing w:after="0"/>
              <w:rPr>
                <w:sz w:val="22"/>
                <w:szCs w:val="22"/>
                <w:color w:val="auto"/>
              </w:rPr>
            </w:pPr>
          </w:p>
        </w:tc>
        <w:tc>
          <w:tcPr>
            <w:tcW w:w="10740" w:type="dxa"/>
            <w:vAlign w:val="bottom"/>
            <w:gridSpan w:val="2"/>
          </w:tcPr>
          <w:p>
            <w:pPr>
              <w:ind w:left="800"/>
              <w:spacing w:after="0"/>
              <w:rPr>
                <w:sz w:val="20"/>
                <w:szCs w:val="20"/>
                <w:color w:val="auto"/>
              </w:rPr>
            </w:pPr>
            <w:r>
              <w:rPr>
                <w:rFonts w:ascii="Arial" w:cs="Arial" w:eastAsia="Arial" w:hAnsi="Arial"/>
                <w:sz w:val="22"/>
                <w:szCs w:val="22"/>
                <w:color w:val="auto"/>
              </w:rPr>
              <w:t>otherwise specified:</w:t>
            </w:r>
          </w:p>
        </w:tc>
      </w:tr>
      <w:tr>
        <w:trPr>
          <w:trHeight w:val="455"/>
        </w:trPr>
        <w:tc>
          <w:tcPr>
            <w:tcW w:w="500" w:type="dxa"/>
            <w:vAlign w:val="bottom"/>
          </w:tcPr>
          <w:p>
            <w:pPr>
              <w:spacing w:after="0"/>
              <w:rPr>
                <w:sz w:val="24"/>
                <w:szCs w:val="24"/>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7"/>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6"/>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7"/>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7"/>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6"/>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7"/>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6"/>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7"/>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56"/>
        </w:trPr>
        <w:tc>
          <w:tcPr>
            <w:tcW w:w="50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r>
        <w:trPr>
          <w:trHeight w:val="274"/>
        </w:trPr>
        <w:tc>
          <w:tcPr>
            <w:tcW w:w="500" w:type="dxa"/>
            <w:vAlign w:val="bottom"/>
          </w:tcPr>
          <w:p>
            <w:pPr>
              <w:spacing w:after="0"/>
              <w:rPr>
                <w:sz w:val="23"/>
                <w:szCs w:val="23"/>
                <w:color w:val="auto"/>
              </w:rPr>
            </w:pPr>
          </w:p>
        </w:tc>
        <w:tc>
          <w:tcPr>
            <w:tcW w:w="1100" w:type="dxa"/>
            <w:vAlign w:val="bottom"/>
          </w:tcPr>
          <w:p>
            <w:pPr>
              <w:ind w:left="800"/>
              <w:spacing w:after="0"/>
              <w:rPr>
                <w:sz w:val="20"/>
                <w:szCs w:val="20"/>
                <w:color w:val="auto"/>
              </w:rPr>
            </w:pPr>
            <w:r>
              <w:rPr>
                <w:rFonts w:ascii="Arial" w:cs="Arial" w:eastAsia="Arial" w:hAnsi="Arial"/>
                <w:sz w:val="22"/>
                <w:szCs w:val="22"/>
                <w:color w:val="auto"/>
              </w:rPr>
              <w:t>•</w:t>
            </w:r>
          </w:p>
        </w:tc>
        <w:tc>
          <w:tcPr>
            <w:tcW w:w="9640" w:type="dxa"/>
            <w:vAlign w:val="bottom"/>
          </w:tcPr>
          <w:p>
            <w:pPr>
              <w:jc w:val="right"/>
              <w:ind w:right="893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sectPr>
      </w:pPr>
    </w:p>
    <w:bookmarkStart w:id="167" w:name="page168"/>
    <w:bookmarkEnd w:id="167"/>
    <w:p>
      <w:pPr>
        <w:ind w:left="420"/>
        <w:spacing w:after="0"/>
        <w:rPr>
          <w:sz w:val="20"/>
          <w:szCs w:val="20"/>
          <w:color w:val="auto"/>
        </w:rPr>
      </w:pPr>
      <w:r>
        <w:rPr>
          <w:rFonts w:ascii="Arial" w:cs="Arial" w:eastAsia="Arial" w:hAnsi="Arial"/>
          <w:sz w:val="22"/>
          <w:szCs w:val="22"/>
          <w:color w:val="auto"/>
        </w:rPr>
        <w:t>Attachment A to Letter Agreement</w:t>
      </w:r>
    </w:p>
    <w:p>
      <w:pPr>
        <w:spacing w:after="0" w:line="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No. AAL-PA-3219-LA-2001170</w:t>
      </w:r>
    </w:p>
    <w:p>
      <w:pPr>
        <w:spacing w:after="0" w:line="7" w:lineRule="exact"/>
        <w:rPr>
          <w:sz w:val="20"/>
          <w:szCs w:val="20"/>
          <w:color w:val="auto"/>
        </w:rPr>
      </w:pPr>
    </w:p>
    <w:p>
      <w:pPr>
        <w:ind w:left="420"/>
        <w:spacing w:after="0"/>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22"/>
          <w:szCs w:val="22"/>
          <w:color w:val="auto"/>
        </w:rPr>
        <w:t>Page 13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0" w:type="dxa"/>
            <w:vAlign w:val="bottom"/>
          </w:tcPr>
          <w:p>
            <w:pPr>
              <w:spacing w:after="0"/>
              <w:rPr>
                <w:sz w:val="20"/>
                <w:szCs w:val="20"/>
                <w:color w:val="auto"/>
              </w:rPr>
            </w:pPr>
            <w:r>
              <w:rPr>
                <w:rFonts w:ascii="Arial" w:cs="Arial" w:eastAsia="Arial" w:hAnsi="Arial"/>
                <w:sz w:val="22"/>
                <w:szCs w:val="22"/>
                <w:b w:val="1"/>
                <w:bCs w:val="1"/>
                <w:color w:val="auto"/>
              </w:rPr>
              <w:t>6.5</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The [****] guarantee and the [****] of the mission guarantees are based on the following, unless</w:t>
            </w:r>
          </w:p>
        </w:tc>
      </w:tr>
      <w:tr>
        <w:trPr>
          <w:trHeight w:val="259"/>
        </w:trPr>
        <w:tc>
          <w:tcPr>
            <w:tcW w:w="560" w:type="dxa"/>
            <w:vAlign w:val="bottom"/>
          </w:tcPr>
          <w:p>
            <w:pPr>
              <w:spacing w:after="0"/>
              <w:rPr>
                <w:sz w:val="22"/>
                <w:szCs w:val="22"/>
                <w:color w:val="auto"/>
              </w:rPr>
            </w:pP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otherwise specified:</w:t>
            </w:r>
          </w:p>
        </w:tc>
      </w:tr>
      <w:tr>
        <w:trPr>
          <w:trHeight w:val="455"/>
        </w:trPr>
        <w:tc>
          <w:tcPr>
            <w:tcW w:w="560" w:type="dxa"/>
            <w:vAlign w:val="bottom"/>
          </w:tcPr>
          <w:p>
            <w:pPr>
              <w:spacing w:after="0"/>
              <w:rPr>
                <w:sz w:val="24"/>
                <w:szCs w:val="24"/>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57"/>
        </w:trPr>
        <w:tc>
          <w:tcPr>
            <w:tcW w:w="560" w:type="dxa"/>
            <w:vAlign w:val="bottom"/>
          </w:tcPr>
          <w:p>
            <w:pPr>
              <w:spacing w:after="0"/>
              <w:rPr>
                <w:sz w:val="22"/>
                <w:szCs w:val="22"/>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57"/>
        </w:trPr>
        <w:tc>
          <w:tcPr>
            <w:tcW w:w="560" w:type="dxa"/>
            <w:vAlign w:val="bottom"/>
          </w:tcPr>
          <w:p>
            <w:pPr>
              <w:spacing w:after="0"/>
              <w:rPr>
                <w:sz w:val="22"/>
                <w:szCs w:val="22"/>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57"/>
        </w:trPr>
        <w:tc>
          <w:tcPr>
            <w:tcW w:w="560" w:type="dxa"/>
            <w:vAlign w:val="bottom"/>
          </w:tcPr>
          <w:p>
            <w:pPr>
              <w:spacing w:after="0"/>
              <w:rPr>
                <w:sz w:val="22"/>
                <w:szCs w:val="22"/>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57"/>
        </w:trPr>
        <w:tc>
          <w:tcPr>
            <w:tcW w:w="560" w:type="dxa"/>
            <w:vAlign w:val="bottom"/>
          </w:tcPr>
          <w:p>
            <w:pPr>
              <w:spacing w:after="0"/>
              <w:rPr>
                <w:sz w:val="22"/>
                <w:szCs w:val="22"/>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56"/>
        </w:trPr>
        <w:tc>
          <w:tcPr>
            <w:tcW w:w="560" w:type="dxa"/>
            <w:vAlign w:val="bottom"/>
          </w:tcPr>
          <w:p>
            <w:pPr>
              <w:spacing w:after="0"/>
              <w:rPr>
                <w:sz w:val="22"/>
                <w:szCs w:val="22"/>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274"/>
        </w:trPr>
        <w:tc>
          <w:tcPr>
            <w:tcW w:w="560" w:type="dxa"/>
            <w:vAlign w:val="bottom"/>
          </w:tcPr>
          <w:p>
            <w:pPr>
              <w:spacing w:after="0"/>
              <w:rPr>
                <w:sz w:val="23"/>
                <w:szCs w:val="23"/>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w:t>
            </w:r>
          </w:p>
        </w:tc>
      </w:tr>
      <w:tr>
        <w:trPr>
          <w:trHeight w:val="513"/>
        </w:trPr>
        <w:tc>
          <w:tcPr>
            <w:tcW w:w="560" w:type="dxa"/>
            <w:vAlign w:val="bottom"/>
          </w:tcPr>
          <w:p>
            <w:pPr>
              <w:spacing w:after="0"/>
              <w:rPr>
                <w:sz w:val="20"/>
                <w:szCs w:val="20"/>
                <w:color w:val="auto"/>
              </w:rPr>
            </w:pPr>
            <w:r>
              <w:rPr>
                <w:rFonts w:ascii="Arial" w:cs="Arial" w:eastAsia="Arial" w:hAnsi="Arial"/>
                <w:sz w:val="22"/>
                <w:szCs w:val="22"/>
                <w:b w:val="1"/>
                <w:bCs w:val="1"/>
                <w:color w:val="auto"/>
              </w:rPr>
              <w:t>6.6</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r>
        <w:trPr>
          <w:trHeight w:val="473"/>
        </w:trPr>
        <w:tc>
          <w:tcPr>
            <w:tcW w:w="560" w:type="dxa"/>
            <w:vAlign w:val="bottom"/>
          </w:tcPr>
          <w:p>
            <w:pPr>
              <w:spacing w:after="0"/>
              <w:rPr>
                <w:sz w:val="20"/>
                <w:szCs w:val="20"/>
                <w:color w:val="auto"/>
              </w:rPr>
            </w:pPr>
            <w:r>
              <w:rPr>
                <w:rFonts w:ascii="Arial" w:cs="Arial" w:eastAsia="Arial" w:hAnsi="Arial"/>
                <w:sz w:val="22"/>
                <w:szCs w:val="22"/>
                <w:b w:val="1"/>
                <w:bCs w:val="1"/>
                <w:color w:val="auto"/>
              </w:rPr>
              <w:t>6.7</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r>
        <w:trPr>
          <w:trHeight w:val="473"/>
        </w:trPr>
        <w:tc>
          <w:tcPr>
            <w:tcW w:w="560" w:type="dxa"/>
            <w:vAlign w:val="bottom"/>
          </w:tcPr>
          <w:p>
            <w:pPr>
              <w:spacing w:after="0"/>
              <w:rPr>
                <w:sz w:val="20"/>
                <w:szCs w:val="20"/>
                <w:color w:val="auto"/>
              </w:rPr>
            </w:pPr>
            <w:r>
              <w:rPr>
                <w:rFonts w:ascii="Arial" w:cs="Arial" w:eastAsia="Arial" w:hAnsi="Arial"/>
                <w:sz w:val="22"/>
                <w:szCs w:val="22"/>
                <w:b w:val="1"/>
                <w:bCs w:val="1"/>
                <w:color w:val="auto"/>
              </w:rPr>
              <w:t>6.8</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r>
        <w:trPr>
          <w:trHeight w:val="473"/>
        </w:trPr>
        <w:tc>
          <w:tcPr>
            <w:tcW w:w="560" w:type="dxa"/>
            <w:vAlign w:val="bottom"/>
          </w:tcPr>
          <w:p>
            <w:pPr>
              <w:spacing w:after="0"/>
              <w:rPr>
                <w:sz w:val="20"/>
                <w:szCs w:val="20"/>
                <w:color w:val="auto"/>
              </w:rPr>
            </w:pPr>
            <w:r>
              <w:rPr>
                <w:rFonts w:ascii="Arial" w:cs="Arial" w:eastAsia="Arial" w:hAnsi="Arial"/>
                <w:sz w:val="22"/>
                <w:szCs w:val="22"/>
                <w:b w:val="1"/>
                <w:bCs w:val="1"/>
                <w:color w:val="auto"/>
              </w:rPr>
              <w:t>6.9</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r>
        <w:trPr>
          <w:trHeight w:val="472"/>
        </w:trPr>
        <w:tc>
          <w:tcPr>
            <w:tcW w:w="560" w:type="dxa"/>
            <w:vAlign w:val="bottom"/>
          </w:tcPr>
          <w:p>
            <w:pPr>
              <w:spacing w:after="0"/>
              <w:rPr>
                <w:sz w:val="20"/>
                <w:szCs w:val="20"/>
                <w:color w:val="auto"/>
              </w:rPr>
            </w:pPr>
            <w:r>
              <w:rPr>
                <w:rFonts w:ascii="Arial" w:cs="Arial" w:eastAsia="Arial" w:hAnsi="Arial"/>
                <w:sz w:val="22"/>
                <w:szCs w:val="22"/>
                <w:b w:val="1"/>
                <w:bCs w:val="1"/>
                <w:color w:val="auto"/>
              </w:rPr>
              <w:t>6.10</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r>
        <w:trPr>
          <w:trHeight w:val="473"/>
        </w:trPr>
        <w:tc>
          <w:tcPr>
            <w:tcW w:w="560" w:type="dxa"/>
            <w:vAlign w:val="bottom"/>
          </w:tcPr>
          <w:p>
            <w:pPr>
              <w:spacing w:after="0"/>
              <w:rPr>
                <w:sz w:val="20"/>
                <w:szCs w:val="20"/>
                <w:color w:val="auto"/>
              </w:rPr>
            </w:pPr>
            <w:r>
              <w:rPr>
                <w:rFonts w:ascii="Arial" w:cs="Arial" w:eastAsia="Arial" w:hAnsi="Arial"/>
                <w:sz w:val="22"/>
                <w:szCs w:val="22"/>
                <w:b w:val="1"/>
                <w:bCs w:val="1"/>
                <w:color w:val="auto"/>
              </w:rPr>
              <w:t>6.11</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r>
        <w:trPr>
          <w:trHeight w:val="580"/>
        </w:trPr>
        <w:tc>
          <w:tcPr>
            <w:tcW w:w="560" w:type="dxa"/>
            <w:vAlign w:val="bottom"/>
          </w:tcPr>
          <w:p>
            <w:pPr>
              <w:spacing w:after="0"/>
              <w:rPr>
                <w:sz w:val="20"/>
                <w:szCs w:val="20"/>
                <w:color w:val="auto"/>
              </w:rPr>
            </w:pPr>
            <w:r>
              <w:rPr>
                <w:rFonts w:ascii="Arial" w:cs="Arial" w:eastAsia="Arial" w:hAnsi="Arial"/>
                <w:sz w:val="22"/>
                <w:szCs w:val="22"/>
                <w:b w:val="1"/>
                <w:bCs w:val="1"/>
                <w:color w:val="auto"/>
              </w:rPr>
              <w:t>7</w:t>
            </w:r>
          </w:p>
        </w:tc>
        <w:tc>
          <w:tcPr>
            <w:tcW w:w="10680" w:type="dxa"/>
            <w:vAlign w:val="bottom"/>
            <w:gridSpan w:val="2"/>
          </w:tcPr>
          <w:p>
            <w:pPr>
              <w:ind w:left="120"/>
              <w:spacing w:after="0"/>
              <w:rPr>
                <w:sz w:val="20"/>
                <w:szCs w:val="20"/>
                <w:color w:val="auto"/>
              </w:rPr>
            </w:pPr>
            <w:r>
              <w:rPr>
                <w:rFonts w:ascii="Arial" w:cs="Arial" w:eastAsia="Arial" w:hAnsi="Arial"/>
                <w:sz w:val="22"/>
                <w:szCs w:val="22"/>
                <w:color w:val="auto"/>
              </w:rPr>
              <w:t>GUARANTEE COMPLIANCE</w:t>
            </w:r>
          </w:p>
        </w:tc>
      </w:tr>
      <w:tr>
        <w:trPr>
          <w:trHeight w:val="362"/>
        </w:trPr>
        <w:tc>
          <w:tcPr>
            <w:tcW w:w="560" w:type="dxa"/>
            <w:vAlign w:val="bottom"/>
          </w:tcPr>
          <w:p>
            <w:pPr>
              <w:spacing w:after="0"/>
              <w:rPr>
                <w:sz w:val="20"/>
                <w:szCs w:val="20"/>
                <w:color w:val="auto"/>
              </w:rPr>
            </w:pPr>
            <w:r>
              <w:rPr>
                <w:rFonts w:ascii="Arial" w:cs="Arial" w:eastAsia="Arial" w:hAnsi="Arial"/>
                <w:sz w:val="22"/>
                <w:szCs w:val="22"/>
                <w:b w:val="1"/>
                <w:bCs w:val="1"/>
                <w:color w:val="auto"/>
              </w:rPr>
              <w:t>7.1</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Compliance with the guarantees of Section 2, 3 and 4.2 and 4.3 will be based on the conditions</w:t>
            </w:r>
          </w:p>
        </w:tc>
      </w:tr>
      <w:tr>
        <w:trPr>
          <w:trHeight w:val="257"/>
        </w:trPr>
        <w:tc>
          <w:tcPr>
            <w:tcW w:w="560" w:type="dxa"/>
            <w:vAlign w:val="bottom"/>
          </w:tcPr>
          <w:p>
            <w:pPr>
              <w:spacing w:after="0"/>
              <w:rPr>
                <w:sz w:val="22"/>
                <w:szCs w:val="22"/>
                <w:color w:val="auto"/>
              </w:rPr>
            </w:pP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specified in those sections, the Aircraft configuration of Section 5 and the guarantee conditions of</w:t>
            </w:r>
          </w:p>
        </w:tc>
      </w:tr>
      <w:tr>
        <w:trPr>
          <w:trHeight w:val="259"/>
        </w:trPr>
        <w:tc>
          <w:tcPr>
            <w:tcW w:w="560" w:type="dxa"/>
            <w:vAlign w:val="bottom"/>
          </w:tcPr>
          <w:p>
            <w:pPr>
              <w:spacing w:after="0"/>
              <w:rPr>
                <w:sz w:val="22"/>
                <w:szCs w:val="22"/>
                <w:color w:val="auto"/>
              </w:rPr>
            </w:pP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Section 6.</w:t>
            </w:r>
          </w:p>
        </w:tc>
      </w:tr>
      <w:tr>
        <w:trPr>
          <w:trHeight w:val="455"/>
        </w:trPr>
        <w:tc>
          <w:tcPr>
            <w:tcW w:w="560" w:type="dxa"/>
            <w:vAlign w:val="bottom"/>
          </w:tcPr>
          <w:p>
            <w:pPr>
              <w:spacing w:after="0"/>
              <w:rPr>
                <w:sz w:val="20"/>
                <w:szCs w:val="20"/>
                <w:color w:val="auto"/>
              </w:rPr>
            </w:pPr>
            <w:r>
              <w:rPr>
                <w:rFonts w:ascii="Arial" w:cs="Arial" w:eastAsia="Arial" w:hAnsi="Arial"/>
                <w:sz w:val="22"/>
                <w:szCs w:val="22"/>
                <w:b w:val="1"/>
                <w:bCs w:val="1"/>
                <w:color w:val="auto"/>
              </w:rPr>
              <w:t>7.2</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Compliance with the following guarantees or portions of such guarantees will be based on the FAA-</w:t>
            </w:r>
          </w:p>
        </w:tc>
      </w:tr>
      <w:tr>
        <w:trPr>
          <w:trHeight w:val="274"/>
        </w:trPr>
        <w:tc>
          <w:tcPr>
            <w:tcW w:w="560" w:type="dxa"/>
            <w:vAlign w:val="bottom"/>
          </w:tcPr>
          <w:p>
            <w:pPr>
              <w:spacing w:after="0"/>
              <w:rPr>
                <w:sz w:val="23"/>
                <w:szCs w:val="23"/>
                <w:color w:val="auto"/>
              </w:rPr>
            </w:pP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approved Airplane Flight Manual for the Model [****] aircraft:</w:t>
            </w:r>
          </w:p>
        </w:tc>
      </w:tr>
      <w:tr>
        <w:trPr>
          <w:trHeight w:val="470"/>
        </w:trPr>
        <w:tc>
          <w:tcPr>
            <w:tcW w:w="560" w:type="dxa"/>
            <w:vAlign w:val="bottom"/>
          </w:tcPr>
          <w:p>
            <w:pPr>
              <w:spacing w:after="0"/>
              <w:rPr>
                <w:sz w:val="24"/>
                <w:szCs w:val="24"/>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Takeoff</w:t>
            </w:r>
          </w:p>
        </w:tc>
      </w:tr>
      <w:tr>
        <w:trPr>
          <w:trHeight w:val="256"/>
        </w:trPr>
        <w:tc>
          <w:tcPr>
            <w:tcW w:w="560" w:type="dxa"/>
            <w:vAlign w:val="bottom"/>
          </w:tcPr>
          <w:p>
            <w:pPr>
              <w:spacing w:after="0"/>
              <w:rPr>
                <w:sz w:val="22"/>
                <w:szCs w:val="22"/>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Landing</w:t>
            </w:r>
          </w:p>
        </w:tc>
      </w:tr>
      <w:tr>
        <w:trPr>
          <w:trHeight w:val="257"/>
        </w:trPr>
        <w:tc>
          <w:tcPr>
            <w:tcW w:w="560" w:type="dxa"/>
            <w:vAlign w:val="bottom"/>
          </w:tcPr>
          <w:p>
            <w:pPr>
              <w:spacing w:after="0"/>
              <w:rPr>
                <w:sz w:val="22"/>
                <w:szCs w:val="22"/>
                <w:color w:val="auto"/>
              </w:rPr>
            </w:pP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  The takeoff portion of the mission conditions</w:t>
            </w:r>
          </w:p>
        </w:tc>
      </w:tr>
      <w:tr>
        <w:trPr>
          <w:trHeight w:val="259"/>
        </w:trPr>
        <w:tc>
          <w:tcPr>
            <w:tcW w:w="560" w:type="dxa"/>
            <w:vAlign w:val="bottom"/>
          </w:tcPr>
          <w:p>
            <w:pPr>
              <w:spacing w:after="0"/>
              <w:rPr>
                <w:sz w:val="22"/>
                <w:szCs w:val="22"/>
                <w:color w:val="auto"/>
              </w:rPr>
            </w:pPr>
          </w:p>
        </w:tc>
        <w:tc>
          <w:tcPr>
            <w:tcW w:w="940" w:type="dxa"/>
            <w:vAlign w:val="bottom"/>
          </w:tcPr>
          <w:p>
            <w:pPr>
              <w:ind w:left="740"/>
              <w:spacing w:after="0"/>
              <w:rPr>
                <w:sz w:val="20"/>
                <w:szCs w:val="20"/>
                <w:color w:val="auto"/>
              </w:rPr>
            </w:pPr>
            <w:r>
              <w:rPr>
                <w:rFonts w:ascii="Arial" w:cs="Arial" w:eastAsia="Arial" w:hAnsi="Arial"/>
                <w:sz w:val="22"/>
                <w:szCs w:val="22"/>
                <w:color w:val="auto"/>
              </w:rPr>
              <w:t>•</w:t>
            </w:r>
          </w:p>
        </w:tc>
        <w:tc>
          <w:tcPr>
            <w:tcW w:w="9740" w:type="dxa"/>
            <w:vAlign w:val="bottom"/>
          </w:tcPr>
          <w:p>
            <w:pPr>
              <w:ind w:left="120"/>
              <w:spacing w:after="0"/>
              <w:rPr>
                <w:sz w:val="20"/>
                <w:szCs w:val="20"/>
                <w:color w:val="auto"/>
              </w:rPr>
            </w:pPr>
            <w:r>
              <w:rPr>
                <w:rFonts w:ascii="Arial" w:cs="Arial" w:eastAsia="Arial" w:hAnsi="Arial"/>
                <w:sz w:val="22"/>
                <w:szCs w:val="22"/>
                <w:color w:val="auto"/>
              </w:rPr>
              <w:t>Community Sound Levels</w:t>
            </w:r>
          </w:p>
        </w:tc>
      </w:tr>
      <w:tr>
        <w:trPr>
          <w:trHeight w:val="513"/>
        </w:trPr>
        <w:tc>
          <w:tcPr>
            <w:tcW w:w="560" w:type="dxa"/>
            <w:vAlign w:val="bottom"/>
          </w:tcPr>
          <w:p>
            <w:pPr>
              <w:spacing w:after="0"/>
              <w:rPr>
                <w:sz w:val="20"/>
                <w:szCs w:val="20"/>
                <w:color w:val="auto"/>
              </w:rPr>
            </w:pPr>
            <w:r>
              <w:rPr>
                <w:rFonts w:ascii="Arial" w:cs="Arial" w:eastAsia="Arial" w:hAnsi="Arial"/>
                <w:sz w:val="22"/>
                <w:szCs w:val="22"/>
                <w:b w:val="1"/>
                <w:bCs w:val="1"/>
                <w:color w:val="auto"/>
              </w:rPr>
              <w:t>7.3</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r>
        <w:trPr>
          <w:trHeight w:val="472"/>
        </w:trPr>
        <w:tc>
          <w:tcPr>
            <w:tcW w:w="560" w:type="dxa"/>
            <w:vAlign w:val="bottom"/>
          </w:tcPr>
          <w:p>
            <w:pPr>
              <w:spacing w:after="0"/>
              <w:rPr>
                <w:sz w:val="20"/>
                <w:szCs w:val="20"/>
                <w:color w:val="auto"/>
              </w:rPr>
            </w:pPr>
            <w:r>
              <w:rPr>
                <w:rFonts w:ascii="Arial" w:cs="Arial" w:eastAsia="Arial" w:hAnsi="Arial"/>
                <w:sz w:val="22"/>
                <w:szCs w:val="22"/>
                <w:b w:val="1"/>
                <w:bCs w:val="1"/>
                <w:color w:val="auto"/>
              </w:rPr>
              <w:t>7.4</w:t>
            </w:r>
          </w:p>
        </w:tc>
        <w:tc>
          <w:tcPr>
            <w:tcW w:w="10680" w:type="dxa"/>
            <w:vAlign w:val="bottom"/>
            <w:gridSpan w:val="2"/>
          </w:tcPr>
          <w:p>
            <w:pPr>
              <w:ind w:left="74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511" w:right="339" w:bottom="1440" w:gutter="0" w:footer="0" w:header="0"/>
        </w:sectPr>
      </w:pPr>
    </w:p>
    <w:p>
      <w:pPr>
        <w:spacing w:after="0" w:line="2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56"/>
        </w:trPr>
        <w:tc>
          <w:tcPr>
            <w:tcW w:w="360" w:type="dxa"/>
            <w:vAlign w:val="bottom"/>
          </w:tcPr>
          <w:p>
            <w:pPr>
              <w:spacing w:after="0"/>
              <w:rPr>
                <w:sz w:val="22"/>
                <w:szCs w:val="22"/>
                <w:color w:val="auto"/>
              </w:rPr>
            </w:pPr>
          </w:p>
        </w:tc>
        <w:tc>
          <w:tcPr>
            <w:tcW w:w="10880" w:type="dxa"/>
            <w:vAlign w:val="bottom"/>
          </w:tcPr>
          <w:p>
            <w:pPr>
              <w:ind w:left="60"/>
              <w:spacing w:after="0"/>
              <w:rPr>
                <w:sz w:val="20"/>
                <w:szCs w:val="20"/>
                <w:color w:val="auto"/>
              </w:rPr>
            </w:pPr>
            <w:r>
              <w:rPr>
                <w:rFonts w:ascii="Arial" w:cs="Arial" w:eastAsia="Arial" w:hAnsi="Arial"/>
                <w:sz w:val="22"/>
                <w:szCs w:val="22"/>
                <w:color w:val="auto"/>
              </w:rPr>
              <w:t>Attachment A to Letter Agreement</w:t>
            </w:r>
          </w:p>
        </w:tc>
      </w:tr>
      <w:tr>
        <w:trPr>
          <w:trHeight w:val="242"/>
        </w:trPr>
        <w:tc>
          <w:tcPr>
            <w:tcW w:w="360" w:type="dxa"/>
            <w:vAlign w:val="bottom"/>
          </w:tcPr>
          <w:p>
            <w:pPr>
              <w:spacing w:after="0"/>
              <w:rPr>
                <w:sz w:val="21"/>
                <w:szCs w:val="21"/>
                <w:color w:val="auto"/>
              </w:rPr>
            </w:pPr>
          </w:p>
        </w:tc>
        <w:tc>
          <w:tcPr>
            <w:tcW w:w="10880" w:type="dxa"/>
            <w:vAlign w:val="bottom"/>
          </w:tcPr>
          <w:p>
            <w:pPr>
              <w:ind w:left="60"/>
              <w:spacing w:after="0" w:line="242" w:lineRule="exact"/>
              <w:rPr>
                <w:sz w:val="20"/>
                <w:szCs w:val="20"/>
                <w:color w:val="auto"/>
              </w:rPr>
            </w:pPr>
            <w:r>
              <w:rPr>
                <w:rFonts w:ascii="Arial" w:cs="Arial" w:eastAsia="Arial" w:hAnsi="Arial"/>
                <w:sz w:val="22"/>
                <w:szCs w:val="22"/>
                <w:color w:val="auto"/>
              </w:rPr>
              <w:t>No. AAL-PA-3219-LA-2001170</w:t>
            </w:r>
          </w:p>
        </w:tc>
      </w:tr>
      <w:tr>
        <w:trPr>
          <w:trHeight w:val="271"/>
        </w:trPr>
        <w:tc>
          <w:tcPr>
            <w:tcW w:w="360" w:type="dxa"/>
            <w:vAlign w:val="bottom"/>
          </w:tcPr>
          <w:p>
            <w:pPr>
              <w:spacing w:after="0"/>
              <w:rPr>
                <w:sz w:val="23"/>
                <w:szCs w:val="23"/>
                <w:color w:val="auto"/>
              </w:rPr>
            </w:pPr>
          </w:p>
        </w:tc>
        <w:tc>
          <w:tcPr>
            <w:tcW w:w="10880" w:type="dxa"/>
            <w:vAlign w:val="bottom"/>
          </w:tcPr>
          <w:p>
            <w:pPr>
              <w:ind w:left="60"/>
              <w:spacing w:after="0"/>
              <w:rPr>
                <w:sz w:val="20"/>
                <w:szCs w:val="20"/>
                <w:color w:val="auto"/>
              </w:rPr>
            </w:pPr>
            <w:r>
              <w:rPr>
                <w:rFonts w:ascii="Arial" w:cs="Arial" w:eastAsia="Arial" w:hAnsi="Arial"/>
                <w:sz w:val="22"/>
                <w:szCs w:val="22"/>
                <w:color w:val="auto"/>
              </w:rPr>
              <w:t>[****]</w:t>
            </w:r>
          </w:p>
        </w:tc>
      </w:tr>
      <w:tr>
        <w:trPr>
          <w:trHeight w:val="259"/>
        </w:trPr>
        <w:tc>
          <w:tcPr>
            <w:tcW w:w="360" w:type="dxa"/>
            <w:vAlign w:val="bottom"/>
          </w:tcPr>
          <w:p>
            <w:pPr>
              <w:spacing w:after="0"/>
              <w:rPr>
                <w:sz w:val="22"/>
                <w:szCs w:val="22"/>
                <w:color w:val="auto"/>
              </w:rPr>
            </w:pPr>
          </w:p>
        </w:tc>
        <w:tc>
          <w:tcPr>
            <w:tcW w:w="10880" w:type="dxa"/>
            <w:vAlign w:val="bottom"/>
          </w:tcPr>
          <w:p>
            <w:pPr>
              <w:ind w:left="60"/>
              <w:spacing w:after="0"/>
              <w:rPr>
                <w:sz w:val="20"/>
                <w:szCs w:val="20"/>
                <w:color w:val="auto"/>
              </w:rPr>
            </w:pPr>
            <w:r>
              <w:rPr>
                <w:rFonts w:ascii="Arial" w:cs="Arial" w:eastAsia="Arial" w:hAnsi="Arial"/>
                <w:sz w:val="22"/>
                <w:szCs w:val="22"/>
                <w:color w:val="auto"/>
              </w:rPr>
              <w:t>Page 14</w:t>
            </w:r>
          </w:p>
        </w:tc>
      </w:tr>
      <w:tr>
        <w:trPr>
          <w:trHeight w:val="729"/>
        </w:trPr>
        <w:tc>
          <w:tcPr>
            <w:tcW w:w="360" w:type="dxa"/>
            <w:vAlign w:val="bottom"/>
          </w:tcPr>
          <w:p>
            <w:pPr>
              <w:spacing w:after="0"/>
              <w:rPr>
                <w:sz w:val="20"/>
                <w:szCs w:val="20"/>
                <w:color w:val="auto"/>
              </w:rPr>
            </w:pPr>
            <w:r>
              <w:rPr>
                <w:rFonts w:ascii="Arial" w:cs="Arial" w:eastAsia="Arial" w:hAnsi="Arial"/>
                <w:sz w:val="22"/>
                <w:szCs w:val="22"/>
                <w:b w:val="1"/>
                <w:bCs w:val="1"/>
                <w:color w:val="auto"/>
              </w:rPr>
              <w:t>7.5</w:t>
            </w:r>
          </w:p>
        </w:tc>
        <w:tc>
          <w:tcPr>
            <w:tcW w:w="10880" w:type="dxa"/>
            <w:vAlign w:val="bottom"/>
          </w:tcPr>
          <w:p>
            <w:pPr>
              <w:ind w:left="940"/>
              <w:spacing w:after="0"/>
              <w:rPr>
                <w:sz w:val="20"/>
                <w:szCs w:val="20"/>
                <w:color w:val="auto"/>
              </w:rPr>
            </w:pPr>
            <w:r>
              <w:rPr>
                <w:rFonts w:ascii="Arial" w:cs="Arial" w:eastAsia="Arial" w:hAnsi="Arial"/>
                <w:sz w:val="22"/>
                <w:szCs w:val="22"/>
                <w:color w:val="auto"/>
              </w:rPr>
              <w:t>[****]</w:t>
            </w:r>
          </w:p>
        </w:tc>
      </w:tr>
      <w:tr>
        <w:trPr>
          <w:trHeight w:val="473"/>
        </w:trPr>
        <w:tc>
          <w:tcPr>
            <w:tcW w:w="360" w:type="dxa"/>
            <w:vAlign w:val="bottom"/>
          </w:tcPr>
          <w:p>
            <w:pPr>
              <w:spacing w:after="0"/>
              <w:rPr>
                <w:sz w:val="20"/>
                <w:szCs w:val="20"/>
                <w:color w:val="auto"/>
              </w:rPr>
            </w:pPr>
            <w:r>
              <w:rPr>
                <w:rFonts w:ascii="Arial" w:cs="Arial" w:eastAsia="Arial" w:hAnsi="Arial"/>
                <w:sz w:val="22"/>
                <w:szCs w:val="22"/>
                <w:b w:val="1"/>
                <w:bCs w:val="1"/>
                <w:color w:val="auto"/>
              </w:rPr>
              <w:t>7.6</w:t>
            </w:r>
          </w:p>
        </w:tc>
        <w:tc>
          <w:tcPr>
            <w:tcW w:w="10880" w:type="dxa"/>
            <w:vAlign w:val="bottom"/>
          </w:tcPr>
          <w:p>
            <w:pPr>
              <w:ind w:left="940"/>
              <w:spacing w:after="0"/>
              <w:rPr>
                <w:sz w:val="20"/>
                <w:szCs w:val="20"/>
                <w:color w:val="auto"/>
              </w:rPr>
            </w:pPr>
            <w:r>
              <w:rPr>
                <w:rFonts w:ascii="Arial" w:cs="Arial" w:eastAsia="Arial" w:hAnsi="Arial"/>
                <w:sz w:val="22"/>
                <w:szCs w:val="22"/>
                <w:color w:val="auto"/>
              </w:rPr>
              <w:t>[****]</w:t>
            </w:r>
          </w:p>
        </w:tc>
      </w:tr>
      <w:tr>
        <w:trPr>
          <w:trHeight w:val="470"/>
        </w:trPr>
        <w:tc>
          <w:tcPr>
            <w:tcW w:w="360" w:type="dxa"/>
            <w:vAlign w:val="bottom"/>
          </w:tcPr>
          <w:p>
            <w:pPr>
              <w:spacing w:after="0"/>
              <w:rPr>
                <w:sz w:val="20"/>
                <w:szCs w:val="20"/>
                <w:color w:val="auto"/>
              </w:rPr>
            </w:pPr>
            <w:r>
              <w:rPr>
                <w:rFonts w:ascii="Arial" w:cs="Arial" w:eastAsia="Arial" w:hAnsi="Arial"/>
                <w:sz w:val="22"/>
                <w:szCs w:val="22"/>
                <w:b w:val="1"/>
                <w:bCs w:val="1"/>
                <w:color w:val="auto"/>
              </w:rPr>
              <w:t>7.7</w:t>
            </w:r>
          </w:p>
        </w:tc>
        <w:tc>
          <w:tcPr>
            <w:tcW w:w="10880" w:type="dxa"/>
            <w:vAlign w:val="bottom"/>
          </w:tcPr>
          <w:p>
            <w:pPr>
              <w:ind w:left="940"/>
              <w:spacing w:after="0"/>
              <w:rPr>
                <w:sz w:val="20"/>
                <w:szCs w:val="20"/>
                <w:color w:val="auto"/>
              </w:rPr>
            </w:pPr>
            <w:r>
              <w:rPr>
                <w:rFonts w:ascii="Arial" w:cs="Arial" w:eastAsia="Arial" w:hAnsi="Arial"/>
                <w:sz w:val="22"/>
                <w:szCs w:val="22"/>
                <w:color w:val="auto"/>
              </w:rPr>
              <w:t>The data derived from tests will be adjusted as required by conventional methods of correction,</w:t>
            </w:r>
          </w:p>
        </w:tc>
      </w:tr>
      <w:tr>
        <w:trPr>
          <w:trHeight w:val="257"/>
        </w:trPr>
        <w:tc>
          <w:tcPr>
            <w:tcW w:w="360" w:type="dxa"/>
            <w:vAlign w:val="bottom"/>
          </w:tcPr>
          <w:p>
            <w:pPr>
              <w:spacing w:after="0"/>
              <w:rPr>
                <w:sz w:val="22"/>
                <w:szCs w:val="22"/>
                <w:color w:val="auto"/>
              </w:rPr>
            </w:pPr>
          </w:p>
        </w:tc>
        <w:tc>
          <w:tcPr>
            <w:tcW w:w="10880" w:type="dxa"/>
            <w:vAlign w:val="bottom"/>
          </w:tcPr>
          <w:p>
            <w:pPr>
              <w:ind w:left="940"/>
              <w:spacing w:after="0"/>
              <w:rPr>
                <w:sz w:val="20"/>
                <w:szCs w:val="20"/>
                <w:color w:val="auto"/>
              </w:rPr>
            </w:pPr>
            <w:r>
              <w:rPr>
                <w:rFonts w:ascii="Arial" w:cs="Arial" w:eastAsia="Arial" w:hAnsi="Arial"/>
                <w:sz w:val="22"/>
                <w:szCs w:val="22"/>
                <w:color w:val="auto"/>
                <w:w w:val="99"/>
              </w:rPr>
              <w:t>interpolation or extrapolation in accordance with established engineering practices to show compliance</w:t>
            </w:r>
          </w:p>
        </w:tc>
      </w:tr>
      <w:tr>
        <w:trPr>
          <w:trHeight w:val="259"/>
        </w:trPr>
        <w:tc>
          <w:tcPr>
            <w:tcW w:w="360" w:type="dxa"/>
            <w:vAlign w:val="bottom"/>
          </w:tcPr>
          <w:p>
            <w:pPr>
              <w:spacing w:after="0"/>
              <w:rPr>
                <w:sz w:val="22"/>
                <w:szCs w:val="22"/>
                <w:color w:val="auto"/>
              </w:rPr>
            </w:pPr>
          </w:p>
        </w:tc>
        <w:tc>
          <w:tcPr>
            <w:tcW w:w="10880" w:type="dxa"/>
            <w:vAlign w:val="bottom"/>
          </w:tcPr>
          <w:p>
            <w:pPr>
              <w:ind w:left="940"/>
              <w:spacing w:after="0"/>
              <w:rPr>
                <w:sz w:val="20"/>
                <w:szCs w:val="20"/>
                <w:color w:val="auto"/>
              </w:rPr>
            </w:pPr>
            <w:r>
              <w:rPr>
                <w:rFonts w:ascii="Arial" w:cs="Arial" w:eastAsia="Arial" w:hAnsi="Arial"/>
                <w:sz w:val="22"/>
                <w:szCs w:val="22"/>
                <w:color w:val="auto"/>
              </w:rPr>
              <w:t>with these guarantees.</w:t>
            </w:r>
          </w:p>
        </w:tc>
      </w:tr>
      <w:tr>
        <w:trPr>
          <w:trHeight w:val="470"/>
        </w:trPr>
        <w:tc>
          <w:tcPr>
            <w:tcW w:w="360" w:type="dxa"/>
            <w:vAlign w:val="bottom"/>
          </w:tcPr>
          <w:p>
            <w:pPr>
              <w:spacing w:after="0"/>
              <w:rPr>
                <w:sz w:val="20"/>
                <w:szCs w:val="20"/>
                <w:color w:val="auto"/>
              </w:rPr>
            </w:pPr>
            <w:r>
              <w:rPr>
                <w:rFonts w:ascii="Arial" w:cs="Arial" w:eastAsia="Arial" w:hAnsi="Arial"/>
                <w:sz w:val="22"/>
                <w:szCs w:val="22"/>
                <w:b w:val="1"/>
                <w:bCs w:val="1"/>
                <w:color w:val="auto"/>
              </w:rPr>
              <w:t>7.8</w:t>
            </w:r>
          </w:p>
        </w:tc>
        <w:tc>
          <w:tcPr>
            <w:tcW w:w="10880" w:type="dxa"/>
            <w:vAlign w:val="bottom"/>
          </w:tcPr>
          <w:p>
            <w:pPr>
              <w:ind w:left="940"/>
              <w:spacing w:after="0"/>
              <w:rPr>
                <w:sz w:val="20"/>
                <w:szCs w:val="20"/>
                <w:color w:val="auto"/>
              </w:rPr>
            </w:pPr>
            <w:r>
              <w:rPr>
                <w:rFonts w:ascii="Arial" w:cs="Arial" w:eastAsia="Arial" w:hAnsi="Arial"/>
                <w:sz w:val="22"/>
                <w:szCs w:val="22"/>
                <w:color w:val="auto"/>
              </w:rPr>
              <w:t>Compliance  with  the  guarantees  for  [****].  Upon  request,  customer  may  review  adjustment</w:t>
            </w:r>
          </w:p>
        </w:tc>
      </w:tr>
      <w:tr>
        <w:trPr>
          <w:trHeight w:val="259"/>
        </w:trPr>
        <w:tc>
          <w:tcPr>
            <w:tcW w:w="360" w:type="dxa"/>
            <w:vAlign w:val="bottom"/>
          </w:tcPr>
          <w:p>
            <w:pPr>
              <w:spacing w:after="0"/>
              <w:rPr>
                <w:sz w:val="22"/>
                <w:szCs w:val="22"/>
                <w:color w:val="auto"/>
              </w:rPr>
            </w:pPr>
          </w:p>
        </w:tc>
        <w:tc>
          <w:tcPr>
            <w:tcW w:w="10880" w:type="dxa"/>
            <w:vAlign w:val="bottom"/>
          </w:tcPr>
          <w:p>
            <w:pPr>
              <w:ind w:left="940"/>
              <w:spacing w:after="0"/>
              <w:rPr>
                <w:sz w:val="20"/>
                <w:szCs w:val="20"/>
                <w:color w:val="auto"/>
              </w:rPr>
            </w:pPr>
            <w:r>
              <w:rPr>
                <w:rFonts w:ascii="Arial" w:cs="Arial" w:eastAsia="Arial" w:hAnsi="Arial"/>
                <w:sz w:val="22"/>
                <w:szCs w:val="22"/>
                <w:color w:val="auto"/>
              </w:rPr>
              <w:t>calculations.</w:t>
            </w:r>
          </w:p>
        </w:tc>
      </w:tr>
      <w:tr>
        <w:trPr>
          <w:trHeight w:val="470"/>
        </w:trPr>
        <w:tc>
          <w:tcPr>
            <w:tcW w:w="360" w:type="dxa"/>
            <w:vAlign w:val="bottom"/>
          </w:tcPr>
          <w:p>
            <w:pPr>
              <w:spacing w:after="0"/>
              <w:rPr>
                <w:sz w:val="20"/>
                <w:szCs w:val="20"/>
                <w:color w:val="auto"/>
              </w:rPr>
            </w:pPr>
            <w:r>
              <w:rPr>
                <w:rFonts w:ascii="Arial" w:cs="Arial" w:eastAsia="Arial" w:hAnsi="Arial"/>
                <w:sz w:val="22"/>
                <w:szCs w:val="22"/>
                <w:b w:val="1"/>
                <w:bCs w:val="1"/>
                <w:color w:val="auto"/>
              </w:rPr>
              <w:t>7.9</w:t>
            </w:r>
          </w:p>
        </w:tc>
        <w:tc>
          <w:tcPr>
            <w:tcW w:w="10880" w:type="dxa"/>
            <w:vAlign w:val="bottom"/>
          </w:tcPr>
          <w:p>
            <w:pPr>
              <w:ind w:left="940"/>
              <w:spacing w:after="0"/>
              <w:rPr>
                <w:sz w:val="20"/>
                <w:szCs w:val="20"/>
                <w:color w:val="auto"/>
              </w:rPr>
            </w:pPr>
            <w:r>
              <w:rPr>
                <w:rFonts w:ascii="Arial" w:cs="Arial" w:eastAsia="Arial" w:hAnsi="Arial"/>
                <w:sz w:val="22"/>
                <w:szCs w:val="22"/>
                <w:color w:val="auto"/>
              </w:rPr>
              <w:t>Compliance will be based on the [****] , and will not be [****] its manufacturer's performance</w:t>
            </w:r>
          </w:p>
        </w:tc>
      </w:tr>
      <w:tr>
        <w:trPr>
          <w:trHeight w:val="259"/>
        </w:trPr>
        <w:tc>
          <w:tcPr>
            <w:tcW w:w="360" w:type="dxa"/>
            <w:vAlign w:val="bottom"/>
          </w:tcPr>
          <w:p>
            <w:pPr>
              <w:spacing w:after="0"/>
              <w:rPr>
                <w:sz w:val="22"/>
                <w:szCs w:val="22"/>
                <w:color w:val="auto"/>
              </w:rPr>
            </w:pPr>
          </w:p>
        </w:tc>
        <w:tc>
          <w:tcPr>
            <w:tcW w:w="10880" w:type="dxa"/>
            <w:vAlign w:val="bottom"/>
          </w:tcPr>
          <w:p>
            <w:pPr>
              <w:ind w:left="940"/>
              <w:spacing w:after="0"/>
              <w:rPr>
                <w:sz w:val="20"/>
                <w:szCs w:val="20"/>
                <w:color w:val="auto"/>
              </w:rPr>
            </w:pPr>
            <w:r>
              <w:rPr>
                <w:rFonts w:ascii="Arial" w:cs="Arial" w:eastAsia="Arial" w:hAnsi="Arial"/>
                <w:sz w:val="22"/>
                <w:szCs w:val="22"/>
                <w:color w:val="auto"/>
              </w:rPr>
              <w:t>specification.</w:t>
            </w:r>
          </w:p>
        </w:tc>
      </w:tr>
      <w:tr>
        <w:trPr>
          <w:trHeight w:val="580"/>
        </w:trPr>
        <w:tc>
          <w:tcPr>
            <w:tcW w:w="360" w:type="dxa"/>
            <w:vAlign w:val="bottom"/>
          </w:tcPr>
          <w:p>
            <w:pPr>
              <w:spacing w:after="0"/>
              <w:rPr>
                <w:sz w:val="20"/>
                <w:szCs w:val="20"/>
                <w:color w:val="auto"/>
              </w:rPr>
            </w:pPr>
            <w:r>
              <w:rPr>
                <w:rFonts w:ascii="Arial" w:cs="Arial" w:eastAsia="Arial" w:hAnsi="Arial"/>
                <w:sz w:val="22"/>
                <w:szCs w:val="22"/>
                <w:color w:val="auto"/>
              </w:rPr>
              <w:t>8</w:t>
            </w:r>
          </w:p>
        </w:tc>
        <w:tc>
          <w:tcPr>
            <w:tcW w:w="10880" w:type="dxa"/>
            <w:vAlign w:val="bottom"/>
          </w:tcPr>
          <w:p>
            <w:pPr>
              <w:ind w:left="320"/>
              <w:spacing w:after="0"/>
              <w:rPr>
                <w:sz w:val="20"/>
                <w:szCs w:val="20"/>
                <w:color w:val="auto"/>
              </w:rPr>
            </w:pPr>
            <w:r>
              <w:rPr>
                <w:rFonts w:ascii="Arial" w:cs="Arial" w:eastAsia="Arial" w:hAnsi="Arial"/>
                <w:sz w:val="22"/>
                <w:szCs w:val="22"/>
                <w:color w:val="auto"/>
              </w:rPr>
              <w:t>EXCLUSIVE GUARANTEES</w:t>
            </w:r>
          </w:p>
        </w:tc>
      </w:tr>
      <w:tr>
        <w:trPr>
          <w:trHeight w:val="365"/>
        </w:trPr>
        <w:tc>
          <w:tcPr>
            <w:tcW w:w="360" w:type="dxa"/>
            <w:vAlign w:val="bottom"/>
          </w:tcPr>
          <w:p>
            <w:pPr>
              <w:spacing w:after="0"/>
              <w:rPr>
                <w:sz w:val="24"/>
                <w:szCs w:val="24"/>
                <w:color w:val="auto"/>
              </w:rPr>
            </w:pPr>
          </w:p>
        </w:tc>
        <w:tc>
          <w:tcPr>
            <w:tcW w:w="10880" w:type="dxa"/>
            <w:vAlign w:val="bottom"/>
          </w:tcPr>
          <w:p>
            <w:pPr>
              <w:ind w:left="940"/>
              <w:spacing w:after="0"/>
              <w:rPr>
                <w:sz w:val="20"/>
                <w:szCs w:val="20"/>
                <w:color w:val="auto"/>
              </w:rPr>
            </w:pPr>
            <w:r>
              <w:rPr>
                <w:rFonts w:ascii="Arial" w:cs="Arial" w:eastAsia="Arial" w:hAnsi="Arial"/>
                <w:sz w:val="22"/>
                <w:szCs w:val="22"/>
                <w:color w:val="auto"/>
              </w:rPr>
              <w:t>The only [****] applicable to the Aircraft are those set forth in this Attachment.</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 No. 3219</w:t>
      </w:r>
    </w:p>
    <w:p>
      <w:pPr>
        <w:spacing w:after="0" w:line="69" w:lineRule="exact"/>
        <w:rPr>
          <w:sz w:val="20"/>
          <w:szCs w:val="20"/>
          <w:color w:val="auto"/>
        </w:rPr>
      </w:pPr>
    </w:p>
    <w:p>
      <w:pPr>
        <w:spacing w:after="0"/>
        <w:tabs>
          <w:tab w:leader="none" w:pos="1960" w:val="left"/>
        </w:tabs>
        <w:rPr>
          <w:sz w:val="20"/>
          <w:szCs w:val="20"/>
          <w:color w:val="auto"/>
        </w:rPr>
      </w:pPr>
      <w:r>
        <w:rPr>
          <w:rFonts w:ascii="Arial" w:cs="Arial" w:eastAsia="Arial" w:hAnsi="Arial"/>
          <w:sz w:val="14"/>
          <w:szCs w:val="14"/>
          <w:color w:val="auto"/>
        </w:rPr>
        <w:t>AERO-B-BBA4-M20-0008</w:t>
      </w:r>
      <w:r>
        <w:rPr>
          <w:sz w:val="20"/>
          <w:szCs w:val="20"/>
          <w:color w:val="auto"/>
        </w:rPr>
        <w:tab/>
      </w:r>
      <w:r>
        <w:rPr>
          <w:rFonts w:ascii="Arial" w:cs="Arial" w:eastAsia="Arial" w:hAnsi="Arial"/>
          <w:sz w:val="14"/>
          <w:szCs w:val="14"/>
          <w:color w:val="auto"/>
        </w:rPr>
        <w:t>SS20-0014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pacing w:after="0" w:line="2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[****]=[CONFIDENTIAL PORTION HAS BEEN OMITTED BECAUSE IT (I) IS NOT MATERIAL AND (II) WOULD BE COMPETITIVELY HARMFUL IF PUBLICLY DISCLOSED]</w:t>
      </w:r>
    </w:p>
    <w:p>
      <w:pPr>
        <w:sectPr>
          <w:pgSz w:w="11900" w:h="16838" w:orient="portrait"/>
          <w:cols w:equalWidth="0" w:num="1">
            <w:col w:w="11240"/>
          </w:cols>
          <w:pgMar w:left="320" w:top="511"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10.3</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EIGHTH AMENDMENT TO AMENDED AND RESTATED CREDIT AND GUARANTY AGREEMENT</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EIGHTH AMENDMENT TO AMENDED AND RESTATED CREDIT AND GUARANTY AGREEMENT (this</w:t>
      </w:r>
    </w:p>
    <w:p>
      <w:pPr>
        <w:spacing w:after="0" w:line="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Eighth Amendment</w:t>
      </w:r>
      <w:r>
        <w:rPr>
          <w:rFonts w:ascii="Arial" w:cs="Arial" w:eastAsia="Arial" w:hAnsi="Arial"/>
          <w:sz w:val="22"/>
          <w:szCs w:val="22"/>
          <w:color w:val="auto"/>
        </w:rPr>
        <w:t xml:space="preserve"> ”), dated as of January 29, 2020 among American Airlines, Inc., a Delaware corporation (the “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 American Airlines Group Inc., a Delaware corporation (the “ </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 or the “ </w:t>
      </w:r>
      <w:r>
        <w:rPr>
          <w:rFonts w:ascii="Arial" w:cs="Arial" w:eastAsia="Arial" w:hAnsi="Arial"/>
          <w:sz w:val="22"/>
          <w:szCs w:val="22"/>
          <w:u w:val="single" w:color="auto"/>
          <w:color w:val="auto"/>
        </w:rPr>
        <w:t>Guarantor</w:t>
      </w:r>
      <w:r>
        <w:rPr>
          <w:rFonts w:ascii="Arial" w:cs="Arial" w:eastAsia="Arial" w:hAnsi="Arial"/>
          <w:sz w:val="22"/>
          <w:szCs w:val="22"/>
          <w:color w:val="auto"/>
        </w:rPr>
        <w:t xml:space="preserve"> ”) and Citibank N.A. (“ </w:t>
      </w:r>
      <w:r>
        <w:rPr>
          <w:rFonts w:ascii="Arial" w:cs="Arial" w:eastAsia="Arial" w:hAnsi="Arial"/>
          <w:sz w:val="22"/>
          <w:szCs w:val="22"/>
          <w:u w:val="single" w:color="auto"/>
          <w:color w:val="auto"/>
        </w:rPr>
        <w:t>Citi</w:t>
      </w:r>
      <w:r>
        <w:rPr>
          <w:rFonts w:ascii="Arial" w:cs="Arial" w:eastAsia="Arial" w:hAnsi="Arial"/>
          <w:sz w:val="22"/>
          <w:szCs w:val="22"/>
          <w:color w:val="auto"/>
        </w:rPr>
        <w:t xml:space="preserve"> ”), as administrative agent (in such capacity, the “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 as the designated lender of 2020 Replacement Term Loans referred to below (in such capacity, the “ </w:t>
      </w:r>
      <w:r>
        <w:rPr>
          <w:rFonts w:ascii="Arial" w:cs="Arial" w:eastAsia="Arial" w:hAnsi="Arial"/>
          <w:sz w:val="22"/>
          <w:szCs w:val="22"/>
          <w:u w:val="single" w:color="auto"/>
          <w:color w:val="auto"/>
        </w:rPr>
        <w:t>Designated 2020 Replacement Term Lender</w:t>
      </w:r>
      <w:r>
        <w:rPr>
          <w:rFonts w:ascii="Arial" w:cs="Arial" w:eastAsia="Arial" w:hAnsi="Arial"/>
          <w:sz w:val="22"/>
          <w:szCs w:val="22"/>
          <w:color w:val="auto"/>
        </w:rPr>
        <w:t xml:space="preserve"> ”) and as the lender of 2020 Incremental Term Loans referred to below (in such capacity, the “ </w:t>
      </w:r>
      <w:r>
        <w:rPr>
          <w:rFonts w:ascii="Arial" w:cs="Arial" w:eastAsia="Arial" w:hAnsi="Arial"/>
          <w:sz w:val="22"/>
          <w:szCs w:val="22"/>
          <w:u w:val="single" w:color="auto"/>
          <w:color w:val="auto"/>
        </w:rPr>
        <w:t>2020 Incremental Term Loan Lender</w:t>
      </w:r>
      <w:r>
        <w:rPr>
          <w:rFonts w:ascii="Arial" w:cs="Arial" w:eastAsia="Arial" w:hAnsi="Arial"/>
          <w:sz w:val="22"/>
          <w:szCs w:val="22"/>
          <w:color w:val="auto"/>
        </w:rPr>
        <w:t xml:space="preserve"> ”).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as of June 14, 2017, as further amended by that certain Fourth Amendment to Amended and Restated Credit and Guaranty Agreement, dated as of August 21, 2017, as further amended by that certain Fifth Amendment to Amended and Restated Credit and Guaranty Agreement, dated as of September 17, 2018, as further amended by that certain Sixth Amendment to Amended and Restated Credit and Guaranty Agreement, dated as of December 10, 2018, as further amended by that certain Seventh Amendment to Amended and Restated Credit and Guaranty Agreement, dated as of November 8, 2019 and as further amended, amended and restated, supplemented or otherwise modified to but not including the Eighth Amendment Effective Date as defined below, the “ </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w:t>
      </w:r>
    </w:p>
    <w:p>
      <w:pPr>
        <w:spacing w:after="0" w:line="3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WHEREAS, on the date hereof, there are outstanding 2017 Replacement Term Loans and 2018 Incremental Term Loans (together, with the 2017 Replacement Term Loans, the “ </w:t>
      </w:r>
      <w:r>
        <w:rPr>
          <w:rFonts w:ascii="Arial" w:cs="Arial" w:eastAsia="Arial" w:hAnsi="Arial"/>
          <w:sz w:val="22"/>
          <w:szCs w:val="22"/>
          <w:u w:val="single" w:color="auto"/>
          <w:color w:val="auto"/>
        </w:rPr>
        <w:t>Existing Term Loans</w:t>
      </w:r>
      <w:r>
        <w:rPr>
          <w:rFonts w:ascii="Arial" w:cs="Arial" w:eastAsia="Arial" w:hAnsi="Arial"/>
          <w:sz w:val="22"/>
          <w:szCs w:val="22"/>
          <w:color w:val="auto"/>
        </w:rPr>
        <w:t xml:space="preserve"> ”) under the Credit Agreement in an aggregate principal amount of $1,202,190,721.64;</w:t>
      </w:r>
    </w:p>
    <w:p>
      <w:pPr>
        <w:spacing w:after="0" w:line="200" w:lineRule="exact"/>
        <w:rPr>
          <w:sz w:val="20"/>
          <w:szCs w:val="20"/>
          <w:color w:val="auto"/>
        </w:rPr>
      </w:pPr>
    </w:p>
    <w:p>
      <w:pPr>
        <w:spacing w:after="0" w:line="201" w:lineRule="exact"/>
        <w:rPr>
          <w:sz w:val="20"/>
          <w:szCs w:val="20"/>
          <w:color w:val="auto"/>
        </w:rPr>
      </w:pPr>
    </w:p>
    <w:p>
      <w:pPr>
        <w:jc w:val="both"/>
        <w:ind w:right="20" w:firstLine="1296"/>
        <w:spacing w:after="0" w:line="343" w:lineRule="auto"/>
        <w:rPr>
          <w:sz w:val="20"/>
          <w:szCs w:val="20"/>
          <w:color w:val="auto"/>
        </w:rPr>
      </w:pPr>
      <w:r>
        <w:rPr>
          <w:rFonts w:ascii="Arial" w:cs="Arial" w:eastAsia="Arial" w:hAnsi="Arial"/>
          <w:sz w:val="19"/>
          <w:szCs w:val="19"/>
          <w:color w:val="auto"/>
        </w:rPr>
        <w:t xml:space="preserve">WHEREAS, pursuant to Section 10.08(e) of the Credit Agreement, the Borrower desires to refinance in full the Existing Term Loans with the proceeds of the 2020 Replacement Term Loans (as defined below) (the “ </w:t>
      </w:r>
      <w:r>
        <w:rPr>
          <w:rFonts w:ascii="Arial" w:cs="Arial" w:eastAsia="Arial" w:hAnsi="Arial"/>
          <w:sz w:val="19"/>
          <w:szCs w:val="19"/>
          <w:u w:val="single" w:color="auto"/>
          <w:color w:val="auto"/>
        </w:rPr>
        <w:t>Refinancing</w:t>
      </w:r>
      <w:r>
        <w:rPr>
          <w:rFonts w:ascii="Arial" w:cs="Arial" w:eastAsia="Arial" w:hAnsi="Arial"/>
          <w:sz w:val="19"/>
          <w:szCs w:val="19"/>
          <w:color w:val="auto"/>
        </w:rPr>
        <w:t xml:space="preserve"> ”);</w:t>
      </w:r>
    </w:p>
    <w:p>
      <w:pPr>
        <w:spacing w:after="0" w:line="32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WHEREAS, in accordance with Section 2.27 of the Credit Agreement, the Borrower hereby notifies the Administrative Agent of its request for Incremental Term Loan Commitments (the “ </w:t>
      </w:r>
      <w:r>
        <w:rPr>
          <w:rFonts w:ascii="Arial" w:cs="Arial" w:eastAsia="Arial" w:hAnsi="Arial"/>
          <w:sz w:val="19"/>
          <w:szCs w:val="19"/>
          <w:u w:val="single" w:color="auto"/>
          <w:color w:val="auto"/>
        </w:rPr>
        <w:t>2020 Incremental Term Loan Commitment</w:t>
      </w:r>
      <w:r>
        <w:rPr>
          <w:rFonts w:ascii="Arial" w:cs="Arial" w:eastAsia="Arial" w:hAnsi="Arial"/>
          <w:sz w:val="19"/>
          <w:szCs w:val="19"/>
          <w:color w:val="auto"/>
        </w:rPr>
        <w:t xml:space="preserve"> ”) for $17,809,278.36 of Incremental Term Loans (the “ </w:t>
      </w:r>
      <w:r>
        <w:rPr>
          <w:rFonts w:ascii="Arial" w:cs="Arial" w:eastAsia="Arial" w:hAnsi="Arial"/>
          <w:sz w:val="19"/>
          <w:szCs w:val="19"/>
          <w:u w:val="single" w:color="auto"/>
          <w:color w:val="auto"/>
        </w:rPr>
        <w:t>2020 Incremental Term Loans</w:t>
      </w:r>
      <w:r>
        <w:rPr>
          <w:rFonts w:ascii="Arial" w:cs="Arial" w:eastAsia="Arial" w:hAnsi="Arial"/>
          <w:sz w:val="19"/>
          <w:szCs w:val="19"/>
          <w:color w:val="auto"/>
        </w:rPr>
        <w:t xml:space="preserve"> ”) to be made available by the 2020 Incremental Term Loan Lender (as defined below) with respect to such 2020 Incremental Term Loans in the amount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70" w:name="page171"/>
    <w:bookmarkEnd w:id="170"/>
    <w:p>
      <w:pPr>
        <w:jc w:val="both"/>
        <w:spacing w:after="0" w:line="263" w:lineRule="auto"/>
        <w:rPr>
          <w:sz w:val="20"/>
          <w:szCs w:val="20"/>
          <w:color w:val="auto"/>
        </w:rPr>
      </w:pPr>
      <w:r>
        <w:rPr>
          <w:rFonts w:ascii="Arial" w:cs="Arial" w:eastAsia="Arial" w:hAnsi="Arial"/>
          <w:sz w:val="22"/>
          <w:szCs w:val="22"/>
          <w:color w:val="auto"/>
        </w:rPr>
        <w:t>therefor on Schedule 1 hereto and requests that the Administrative Agent waive any applicable notice period otherwise required by Section 2.27(a)(i) of the Credit Agreement;</w:t>
      </w:r>
    </w:p>
    <w:p>
      <w:pPr>
        <w:spacing w:after="0" w:line="17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WHEREAS, the 2020 Incremental Term Loan Lender is willing to provide the 2020 Incremental Term Loan Commitment in the amount set forth opposite its name in Schedule 1 hereto, subject to and on the terms and conditions set forth herein and in the Credit Agreement; and</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the Borrower, the Administrative Agent, the Designated 2020 Replacement Term Lender and the 2020 Incremental Term Loan Lender wish to amend the Credit Agreement to provide for (i) the Refinancing, (ii) the incurrence of the 2020 Incremental Term Loans and (iii) certain other modifications to the Credit Agreement, in each case, on the terms and subject to the conditions set forth herein.</w:t>
      </w:r>
    </w:p>
    <w:p>
      <w:pPr>
        <w:spacing w:after="0" w:line="200" w:lineRule="exact"/>
        <w:rPr>
          <w:sz w:val="20"/>
          <w:szCs w:val="20"/>
          <w:color w:val="auto"/>
        </w:rPr>
      </w:pPr>
    </w:p>
    <w:p>
      <w:pPr>
        <w:spacing w:after="0" w:line="204" w:lineRule="exact"/>
        <w:rPr>
          <w:sz w:val="20"/>
          <w:szCs w:val="20"/>
          <w:color w:val="auto"/>
        </w:rPr>
      </w:pPr>
    </w:p>
    <w:p>
      <w:pPr>
        <w:jc w:val="both"/>
        <w:ind w:right="20" w:firstLine="1296"/>
        <w:spacing w:after="0" w:line="287" w:lineRule="auto"/>
        <w:rPr>
          <w:sz w:val="20"/>
          <w:szCs w:val="20"/>
          <w:color w:val="auto"/>
        </w:rPr>
      </w:pPr>
      <w:r>
        <w:rPr>
          <w:rFonts w:ascii="Arial" w:cs="Arial" w:eastAsia="Arial" w:hAnsi="Arial"/>
          <w:sz w:val="21"/>
          <w:szCs w:val="21"/>
          <w:color w:val="auto"/>
        </w:rPr>
        <w:t>NOW, THEREFORE, in consideration of the foregoing, and for other good and valuable consideration, the receipt and sufficiency of which are hereby acknowledged, the parties hereto hereby agree as follows:</w:t>
      </w:r>
    </w:p>
    <w:p>
      <w:pPr>
        <w:spacing w:after="0" w:line="15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u w:val="single" w:color="auto"/>
          <w:color w:val="auto"/>
        </w:rPr>
        <w:t>SECTION ONE - Credit Agreement Amendments</w:t>
      </w:r>
      <w:r>
        <w:rPr>
          <w:rFonts w:ascii="Arial" w:cs="Arial" w:eastAsia="Arial" w:hAnsi="Arial"/>
          <w:sz w:val="22"/>
          <w:szCs w:val="22"/>
          <w:color w:val="auto"/>
        </w:rPr>
        <w:t xml:space="preserve"> . Effective as of the Eighth Amendment Effective Date (as defined below), the Credit Agreement is hereby amended as follows:</w:t>
      </w:r>
    </w:p>
    <w:p>
      <w:pPr>
        <w:spacing w:after="0" w:line="148" w:lineRule="exact"/>
        <w:rPr>
          <w:sz w:val="20"/>
          <w:szCs w:val="20"/>
          <w:color w:val="auto"/>
        </w:rPr>
      </w:pPr>
    </w:p>
    <w:p>
      <w:pPr>
        <w:ind w:firstLine="1304"/>
        <w:spacing w:after="0" w:line="232" w:lineRule="auto"/>
        <w:tabs>
          <w:tab w:leader="none" w:pos="2265" w:val="left"/>
        </w:tabs>
        <w:numPr>
          <w:ilvl w:val="0"/>
          <w:numId w:val="136"/>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inserting the following definitions in appropriate alphabetical order:</w:t>
      </w:r>
    </w:p>
    <w:p>
      <w:pPr>
        <w:spacing w:after="0" w:line="185" w:lineRule="exact"/>
        <w:rPr>
          <w:rFonts w:ascii="Arial" w:cs="Arial" w:eastAsia="Arial" w:hAnsi="Arial"/>
          <w:sz w:val="22"/>
          <w:szCs w:val="22"/>
          <w:color w:val="auto"/>
        </w:rPr>
      </w:pPr>
    </w:p>
    <w:p>
      <w:pPr>
        <w:ind w:left="1300" w:right="20" w:firstLine="607"/>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2020 Incremental Term Loan Commitment</w:t>
      </w:r>
      <w:r>
        <w:rPr>
          <w:rFonts w:ascii="Arial" w:cs="Arial" w:eastAsia="Arial" w:hAnsi="Arial"/>
          <w:sz w:val="22"/>
          <w:szCs w:val="22"/>
          <w:color w:val="auto"/>
        </w:rPr>
        <w:t xml:space="preserve"> ” shall mean the Term Loan Commitment of the 2020 Incremental Term Loan Lender to make the 2020 Incremental Term Loans.</w:t>
      </w:r>
    </w:p>
    <w:p>
      <w:pPr>
        <w:spacing w:after="0" w:line="174" w:lineRule="exact"/>
        <w:rPr>
          <w:rFonts w:ascii="Arial" w:cs="Arial" w:eastAsia="Arial" w:hAnsi="Arial"/>
          <w:sz w:val="22"/>
          <w:szCs w:val="22"/>
          <w:color w:val="auto"/>
        </w:rPr>
      </w:pPr>
    </w:p>
    <w:p>
      <w:pPr>
        <w:jc w:val="both"/>
        <w:ind w:left="1300" w:firstLine="607"/>
        <w:spacing w:after="0" w:line="271"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2020 Incremental Term Loan Commitment Schedule</w:t>
      </w:r>
      <w:r>
        <w:rPr>
          <w:rFonts w:ascii="Arial" w:cs="Arial" w:eastAsia="Arial" w:hAnsi="Arial"/>
          <w:sz w:val="21"/>
          <w:szCs w:val="21"/>
          <w:color w:val="auto"/>
        </w:rPr>
        <w:t xml:space="preserve"> ” shall mean the schedule of 2020 Incremental Term Loan Commitments of the 2020 Incremental Term Lender provided to the Borrower on the Eighth Amendment Effective Date by the Administrative Agent pursuant to the Eighth Amendment.</w:t>
      </w:r>
    </w:p>
    <w:p>
      <w:pPr>
        <w:spacing w:after="0" w:line="167" w:lineRule="exact"/>
        <w:rPr>
          <w:rFonts w:ascii="Arial" w:cs="Arial" w:eastAsia="Arial" w:hAnsi="Arial"/>
          <w:sz w:val="22"/>
          <w:szCs w:val="22"/>
          <w:color w:val="auto"/>
        </w:rPr>
      </w:pPr>
    </w:p>
    <w:p>
      <w:pPr>
        <w:ind w:left="192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2020 Incremental Term Loan Lender</w:t>
      </w:r>
      <w:r>
        <w:rPr>
          <w:rFonts w:ascii="Arial" w:cs="Arial" w:eastAsia="Arial" w:hAnsi="Arial"/>
          <w:sz w:val="22"/>
          <w:szCs w:val="22"/>
          <w:color w:val="auto"/>
        </w:rPr>
        <w:t xml:space="preserve"> ” means Citibank, N.A.</w:t>
      </w:r>
    </w:p>
    <w:p>
      <w:pPr>
        <w:spacing w:after="0" w:line="219" w:lineRule="exact"/>
        <w:rPr>
          <w:rFonts w:ascii="Arial" w:cs="Arial" w:eastAsia="Arial" w:hAnsi="Arial"/>
          <w:sz w:val="22"/>
          <w:szCs w:val="22"/>
          <w:color w:val="auto"/>
        </w:rPr>
      </w:pPr>
    </w:p>
    <w:p>
      <w:pPr>
        <w:ind w:left="1300" w:firstLine="607"/>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2020 Incremental Term Loans</w:t>
      </w:r>
      <w:r>
        <w:rPr>
          <w:rFonts w:ascii="Arial" w:cs="Arial" w:eastAsia="Arial" w:hAnsi="Arial"/>
          <w:sz w:val="22"/>
          <w:szCs w:val="22"/>
          <w:color w:val="auto"/>
        </w:rPr>
        <w:t xml:space="preserve"> ” shall be the incremental Term Loans incurred pursuant to the Eighth Amendment.</w:t>
      </w:r>
    </w:p>
    <w:p>
      <w:pPr>
        <w:spacing w:after="0" w:line="390" w:lineRule="exact"/>
        <w:rPr>
          <w:rFonts w:ascii="Arial" w:cs="Arial" w:eastAsia="Arial" w:hAnsi="Arial"/>
          <w:sz w:val="22"/>
          <w:szCs w:val="22"/>
          <w:color w:val="auto"/>
        </w:rPr>
      </w:pPr>
    </w:p>
    <w:p>
      <w:pPr>
        <w:ind w:left="1300" w:firstLine="648"/>
        <w:spacing w:after="0" w:line="343"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2020 Replacement Term Lender</w:t>
      </w:r>
      <w:r>
        <w:rPr>
          <w:rFonts w:ascii="Arial" w:cs="Arial" w:eastAsia="Arial" w:hAnsi="Arial"/>
          <w:sz w:val="19"/>
          <w:szCs w:val="19"/>
          <w:color w:val="auto"/>
        </w:rPr>
        <w:t xml:space="preserve"> ” shall mean each Lender having a Term Loan Commitment to provide 2020 Replacement Term Loans or, as the case may be, with an outstanding 2020 Replacement Term Loan.</w:t>
      </w:r>
    </w:p>
    <w:p>
      <w:pPr>
        <w:spacing w:after="0" w:line="32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2020 Replacement Term Loans</w:t>
      </w:r>
      <w:r>
        <w:rPr>
          <w:rFonts w:ascii="Arial" w:cs="Arial" w:eastAsia="Arial" w:hAnsi="Arial"/>
          <w:sz w:val="19"/>
          <w:szCs w:val="19"/>
          <w:color w:val="auto"/>
        </w:rPr>
        <w:t xml:space="preserve"> ” shall be the Term Loans incurred pursuant to the Eighth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71" w:name="page172"/>
    <w:bookmarkEnd w:id="171"/>
    <w:p>
      <w:pPr>
        <w:ind w:left="180" w:firstLine="648"/>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2020 Replacement Term Loan Commitment</w:t>
      </w:r>
      <w:r>
        <w:rPr>
          <w:rFonts w:ascii="Arial" w:cs="Arial" w:eastAsia="Arial" w:hAnsi="Arial"/>
          <w:sz w:val="19"/>
          <w:szCs w:val="19"/>
          <w:color w:val="auto"/>
        </w:rPr>
        <w:t xml:space="preserve"> ” shall mean the Term Loan Commitment of each 2020 Replacement Term Lender to make 2020 Replacement Term Loans pursuant to the Eighth Amendment.</w:t>
      </w:r>
    </w:p>
    <w:p>
      <w:pPr>
        <w:spacing w:after="0" w:line="320" w:lineRule="exact"/>
        <w:rPr>
          <w:sz w:val="20"/>
          <w:szCs w:val="20"/>
          <w:color w:val="auto"/>
        </w:rPr>
      </w:pPr>
    </w:p>
    <w:p>
      <w:pPr>
        <w:jc w:val="both"/>
        <w:ind w:left="180" w:firstLine="648"/>
        <w:spacing w:after="0" w:line="27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2020 Replacement Term Loan Commitment Schedule</w:t>
      </w:r>
      <w:r>
        <w:rPr>
          <w:rFonts w:ascii="Arial" w:cs="Arial" w:eastAsia="Arial" w:hAnsi="Arial"/>
          <w:sz w:val="21"/>
          <w:szCs w:val="21"/>
          <w:color w:val="auto"/>
        </w:rPr>
        <w:t xml:space="preserve"> ” shall mean the schedule of 2020 Replacement Term Loan Commitments of each 2020 Replacement Term Lender provided to the Borrower on the Eighth Amendment Effective Date by the Administrative Agent pursuant to the Eighth Amendment.</w:t>
      </w:r>
    </w:p>
    <w:p>
      <w:pPr>
        <w:spacing w:after="0" w:line="383" w:lineRule="exact"/>
        <w:rPr>
          <w:sz w:val="20"/>
          <w:szCs w:val="20"/>
          <w:color w:val="auto"/>
        </w:rPr>
      </w:pPr>
    </w:p>
    <w:p>
      <w:pPr>
        <w:ind w:left="18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2020 Term Loans</w:t>
      </w:r>
      <w:r>
        <w:rPr>
          <w:rFonts w:ascii="Arial" w:cs="Arial" w:eastAsia="Arial" w:hAnsi="Arial"/>
          <w:sz w:val="22"/>
          <w:szCs w:val="22"/>
          <w:color w:val="auto"/>
        </w:rPr>
        <w:t xml:space="preserve"> ” shall mean, collectively, the 2020 Replacement Term Loans and the 2020 Incremental Term Loans.</w:t>
      </w:r>
    </w:p>
    <w:p>
      <w:pPr>
        <w:spacing w:after="0" w:line="390" w:lineRule="exact"/>
        <w:rPr>
          <w:sz w:val="20"/>
          <w:szCs w:val="20"/>
          <w:color w:val="auto"/>
        </w:rPr>
      </w:pPr>
    </w:p>
    <w:p>
      <w:pPr>
        <w:jc w:val="both"/>
        <w:ind w:left="180"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Eighth Amendment</w:t>
      </w:r>
      <w:r>
        <w:rPr>
          <w:rFonts w:ascii="Arial" w:cs="Arial" w:eastAsia="Arial" w:hAnsi="Arial"/>
          <w:sz w:val="22"/>
          <w:szCs w:val="22"/>
          <w:color w:val="auto"/>
        </w:rPr>
        <w:t xml:space="preserve"> ” shall mean the Eighth Amendment to First Amended and Restated Credit and Guaranty Agreement, dated as of January 29, 2020, by and among Parent, the Borrower, the Administrative Agent, the 2020 Replacement Term Lenders, the 2020 Incremental Term Loan Lender and Citibank N.A., in its capacity as the designated Lender of 2020 Replacement Term Loans.</w:t>
      </w:r>
    </w:p>
    <w:p>
      <w:pPr>
        <w:spacing w:after="0" w:line="200" w:lineRule="exact"/>
        <w:rPr>
          <w:sz w:val="20"/>
          <w:szCs w:val="20"/>
          <w:color w:val="auto"/>
        </w:rPr>
      </w:pPr>
    </w:p>
    <w:p>
      <w:pPr>
        <w:spacing w:after="0" w:line="203" w:lineRule="exact"/>
        <w:rPr>
          <w:sz w:val="20"/>
          <w:szCs w:val="20"/>
          <w:color w:val="auto"/>
        </w:rPr>
      </w:pPr>
    </w:p>
    <w:p>
      <w:pPr>
        <w:ind w:left="84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Eighth Amendment Effective Date</w:t>
      </w:r>
      <w:r>
        <w:rPr>
          <w:rFonts w:ascii="Arial" w:cs="Arial" w:eastAsia="Arial" w:hAnsi="Arial"/>
          <w:sz w:val="21"/>
          <w:szCs w:val="21"/>
          <w:color w:val="auto"/>
        </w:rPr>
        <w:t xml:space="preserve"> ” shall have the meaning provided in the Eighth Amendment.</w:t>
      </w:r>
    </w:p>
    <w:p>
      <w:pPr>
        <w:spacing w:after="0" w:line="204" w:lineRule="exact"/>
        <w:rPr>
          <w:sz w:val="20"/>
          <w:szCs w:val="20"/>
          <w:color w:val="auto"/>
        </w:rPr>
      </w:pPr>
    </w:p>
    <w:p>
      <w:pPr>
        <w:ind w:left="-1120" w:firstLine="1304"/>
        <w:spacing w:after="0" w:line="232" w:lineRule="auto"/>
        <w:tabs>
          <w:tab w:leader="none" w:pos="114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Applicable Margin</w:t>
      </w:r>
      <w:r>
        <w:rPr>
          <w:rFonts w:ascii="Arial" w:cs="Arial" w:eastAsia="Arial" w:hAnsi="Arial"/>
          <w:sz w:val="22"/>
          <w:szCs w:val="22"/>
          <w:color w:val="auto"/>
        </w:rPr>
        <w:t xml:space="preserve"> ” appearing in Section 1.01 of the Credit Agreement is hereby amended and restated in its entirety as follows:</w:t>
      </w:r>
    </w:p>
    <w:p>
      <w:pPr>
        <w:spacing w:after="0" w:line="186" w:lineRule="exact"/>
        <w:rPr>
          <w:sz w:val="20"/>
          <w:szCs w:val="20"/>
          <w:color w:val="auto"/>
        </w:rPr>
      </w:pPr>
    </w:p>
    <w:p>
      <w:pPr>
        <w:ind w:left="180" w:right="160"/>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Applicable Margin</w:t>
      </w:r>
      <w:r>
        <w:rPr>
          <w:rFonts w:ascii="Arial" w:cs="Arial" w:eastAsia="Arial" w:hAnsi="Arial"/>
          <w:sz w:val="22"/>
          <w:szCs w:val="22"/>
          <w:color w:val="auto"/>
        </w:rPr>
        <w:t xml:space="preserve"> ” shall mean (a)(x) with respect to Revolving Loans in respect of Sixth Amendment Extended Revolving Commitments (i) that are Eurodollar Loans, 2.00% per annum and (ii) that are ABR Loans, 1.00% per annum and (y) with respect to Revolving Loans in respect of Seventh Amendment Non-Extended Revolving Commitments (i) that are Eurodollar Loans, 2.25% per annum and (ii) that are ABR Loans, 1.25% per annum and (b) with respect to 2020 Term Loans (i) that are Eurodollar Loans, 1.75% per annum and (ii) that are ABR Loans 0.75% per annum.”</w:t>
      </w:r>
    </w:p>
    <w:p>
      <w:pPr>
        <w:spacing w:after="0" w:line="166" w:lineRule="exact"/>
        <w:rPr>
          <w:sz w:val="20"/>
          <w:szCs w:val="20"/>
          <w:color w:val="auto"/>
        </w:rPr>
      </w:pPr>
    </w:p>
    <w:p>
      <w:pPr>
        <w:ind w:left="-1120" w:firstLine="1304"/>
        <w:spacing w:after="0" w:line="232" w:lineRule="auto"/>
        <w:tabs>
          <w:tab w:leader="none" w:pos="1118"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Class</w:t>
      </w:r>
      <w:r>
        <w:rPr>
          <w:rFonts w:ascii="Arial" w:cs="Arial" w:eastAsia="Arial" w:hAnsi="Arial"/>
          <w:sz w:val="22"/>
          <w:szCs w:val="22"/>
          <w:color w:val="auto"/>
        </w:rPr>
        <w:t xml:space="preserve"> ” appearing in Section 1.01 of the Credit Agreement is hereby amended and restated in its entirety as follows:</w:t>
      </w:r>
    </w:p>
    <w:p>
      <w:pPr>
        <w:spacing w:after="0" w:line="186" w:lineRule="exact"/>
        <w:rPr>
          <w:sz w:val="20"/>
          <w:szCs w:val="20"/>
          <w:color w:val="auto"/>
        </w:rPr>
      </w:pPr>
    </w:p>
    <w:p>
      <w:pPr>
        <w:ind w:left="180" w:right="40"/>
        <w:spacing w:after="0" w:line="29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Class</w:t>
      </w:r>
      <w:r>
        <w:rPr>
          <w:rFonts w:ascii="Arial" w:cs="Arial" w:eastAsia="Arial" w:hAnsi="Arial"/>
          <w:sz w:val="19"/>
          <w:szCs w:val="19"/>
          <w:color w:val="auto"/>
        </w:rPr>
        <w:t xml:space="preserve"> ” when used in reference to any Loan or Borrowing, shall refer to whether such Loan, or the Loans comprising such Borrowing, are Revolving Loans, 2020 Term Loans or Incremental Term Loans that are not 2020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459740</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4" w:right="339" w:bottom="1440" w:gutter="0" w:footer="0" w:header="0"/>
        </w:sectPr>
      </w:pPr>
    </w:p>
    <w:bookmarkStart w:id="172" w:name="page173"/>
    <w:bookmarkEnd w:id="172"/>
    <w:p>
      <w:pPr>
        <w:ind w:left="180" w:right="80"/>
        <w:spacing w:after="0" w:line="263" w:lineRule="auto"/>
        <w:rPr>
          <w:sz w:val="20"/>
          <w:szCs w:val="20"/>
          <w:color w:val="auto"/>
        </w:rPr>
      </w:pPr>
      <w:r>
        <w:rPr>
          <w:rFonts w:ascii="Arial" w:cs="Arial" w:eastAsia="Arial" w:hAnsi="Arial"/>
          <w:sz w:val="22"/>
          <w:szCs w:val="22"/>
          <w:color w:val="auto"/>
        </w:rPr>
        <w:t>Loans or Revolving Commitments having the exact same terms and conditions shall be deemed a part of the same Class.”</w:t>
      </w:r>
    </w:p>
    <w:p>
      <w:pPr>
        <w:spacing w:after="0" w:line="148" w:lineRule="exact"/>
        <w:rPr>
          <w:sz w:val="20"/>
          <w:szCs w:val="20"/>
          <w:color w:val="auto"/>
        </w:rPr>
      </w:pPr>
    </w:p>
    <w:p>
      <w:pPr>
        <w:ind w:left="-1120" w:firstLine="1304"/>
        <w:spacing w:after="0" w:line="298" w:lineRule="auto"/>
        <w:tabs>
          <w:tab w:leader="none" w:pos="114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The definition of “ </w:t>
      </w:r>
      <w:r>
        <w:rPr>
          <w:rFonts w:ascii="Arial" w:cs="Arial" w:eastAsia="Arial" w:hAnsi="Arial"/>
          <w:sz w:val="19"/>
          <w:szCs w:val="19"/>
          <w:i w:val="1"/>
          <w:iCs w:val="1"/>
          <w:color w:val="auto"/>
        </w:rPr>
        <w:t>Fifth Amendment</w:t>
      </w:r>
      <w:r>
        <w:rPr>
          <w:rFonts w:ascii="Arial" w:cs="Arial" w:eastAsia="Arial" w:hAnsi="Arial"/>
          <w:sz w:val="19"/>
          <w:szCs w:val="19"/>
          <w:color w:val="auto"/>
        </w:rPr>
        <w:t xml:space="preserve"> ” appearing in Section 1.01 of the Credit Agreement is hereby amended by deleting “2018 Incremental Term Loan Lender” where it appears and replacing it with “Lender party thereto”.</w:t>
      </w:r>
    </w:p>
    <w:p>
      <w:pPr>
        <w:spacing w:after="0" w:line="105" w:lineRule="exact"/>
        <w:rPr>
          <w:rFonts w:ascii="Arial" w:cs="Arial" w:eastAsia="Arial" w:hAnsi="Arial"/>
          <w:sz w:val="19"/>
          <w:szCs w:val="19"/>
          <w:color w:val="auto"/>
        </w:rPr>
      </w:pPr>
    </w:p>
    <w:p>
      <w:pPr>
        <w:jc w:val="both"/>
        <w:ind w:left="-1120" w:firstLine="1304"/>
        <w:spacing w:after="0" w:line="223" w:lineRule="auto"/>
        <w:tabs>
          <w:tab w:leader="none" w:pos="1131"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First Amendment and Restatement Agreement</w:t>
      </w:r>
      <w:r>
        <w:rPr>
          <w:rFonts w:ascii="Arial" w:cs="Arial" w:eastAsia="Arial" w:hAnsi="Arial"/>
          <w:sz w:val="22"/>
          <w:szCs w:val="22"/>
          <w:color w:val="auto"/>
        </w:rPr>
        <w:t xml:space="preserve"> ” appearing in Section 1.01 of the Credit Agreement is hereby amended by deleting “each 2015 Term Loan Lender” where it appears and replacing it with “the Lenders party thereto”.</w:t>
      </w:r>
    </w:p>
    <w:p>
      <w:pPr>
        <w:spacing w:after="0" w:line="158" w:lineRule="exact"/>
        <w:rPr>
          <w:rFonts w:ascii="Arial" w:cs="Arial" w:eastAsia="Arial" w:hAnsi="Arial"/>
          <w:sz w:val="22"/>
          <w:szCs w:val="22"/>
          <w:color w:val="auto"/>
        </w:rPr>
      </w:pPr>
    </w:p>
    <w:p>
      <w:pPr>
        <w:ind w:left="-1120" w:firstLine="1304"/>
        <w:spacing w:after="0" w:line="232" w:lineRule="auto"/>
        <w:tabs>
          <w:tab w:leader="none" w:pos="110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LIBO</w:t>
      </w:r>
      <w:r>
        <w:rPr>
          <w:rFonts w:ascii="Arial" w:cs="Arial" w:eastAsia="Arial" w:hAnsi="Arial"/>
          <w:sz w:val="22"/>
          <w:szCs w:val="22"/>
          <w:color w:val="auto"/>
        </w:rPr>
        <w:t xml:space="preserve"> ” appearing in Section 1.01 of the Credit Agreement is hereby amended by deleting “2017 Replacement Term Loans” where it appears and replacing it with “2020 Term Loans”.</w:t>
      </w:r>
    </w:p>
    <w:p>
      <w:pPr>
        <w:spacing w:after="0" w:line="158" w:lineRule="exact"/>
        <w:rPr>
          <w:rFonts w:ascii="Arial" w:cs="Arial" w:eastAsia="Arial" w:hAnsi="Arial"/>
          <w:sz w:val="22"/>
          <w:szCs w:val="22"/>
          <w:color w:val="auto"/>
        </w:rPr>
      </w:pPr>
    </w:p>
    <w:p>
      <w:pPr>
        <w:ind w:left="-1120" w:firstLine="1304"/>
        <w:spacing w:after="0" w:line="232" w:lineRule="auto"/>
        <w:tabs>
          <w:tab w:leader="none" w:pos="115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Repricing Event</w:t>
      </w:r>
      <w:r>
        <w:rPr>
          <w:rFonts w:ascii="Arial" w:cs="Arial" w:eastAsia="Arial" w:hAnsi="Arial"/>
          <w:sz w:val="22"/>
          <w:szCs w:val="22"/>
          <w:color w:val="auto"/>
        </w:rPr>
        <w:t xml:space="preserve"> ” appearing in Section 1.01 of the Credit Agreement is hereby amended and restated in its entirety as follows:</w:t>
      </w:r>
    </w:p>
    <w:p>
      <w:pPr>
        <w:spacing w:after="0" w:line="186" w:lineRule="exact"/>
        <w:rPr>
          <w:sz w:val="20"/>
          <w:szCs w:val="20"/>
          <w:color w:val="auto"/>
        </w:rPr>
      </w:pPr>
    </w:p>
    <w:p>
      <w:pPr>
        <w:jc w:val="both"/>
        <w:ind w:left="180"/>
        <w:spacing w:after="0" w:line="256"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Repricing Event</w:t>
      </w:r>
      <w:r>
        <w:rPr>
          <w:rFonts w:ascii="Arial" w:cs="Arial" w:eastAsia="Arial" w:hAnsi="Arial"/>
          <w:sz w:val="21"/>
          <w:szCs w:val="21"/>
          <w:color w:val="auto"/>
        </w:rPr>
        <w:t xml:space="preserve"> ” shall mean (a) any prepayment, repayment, refinancing, substitution or replacement of all or a portion of the 2020 Term Loans with the proceeds of, or any conversion of 2020 Term Loans into, any new or replacement Class of, or new facility of, syndicated term loans by the Borrower in the principal amount of the 2020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2020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2020 Term Loans or any tranche thereof which reduces the “effective yield” applicable to such 2020 Term Loans (as determined on the same basis as provided in clause (a)), in each case only if the primary purpose of such prepayment, repayment, substitution, replacement or amendment was to reduce the “effective yield” applicable to such 2020 Term Loans.”</w:t>
      </w:r>
    </w:p>
    <w:p>
      <w:pPr>
        <w:spacing w:after="0" w:line="171" w:lineRule="exact"/>
        <w:rPr>
          <w:sz w:val="20"/>
          <w:szCs w:val="20"/>
          <w:color w:val="auto"/>
        </w:rPr>
      </w:pPr>
    </w:p>
    <w:p>
      <w:pPr>
        <w:jc w:val="both"/>
        <w:ind w:left="-1120" w:firstLine="1304"/>
        <w:spacing w:after="0" w:line="223" w:lineRule="auto"/>
        <w:tabs>
          <w:tab w:leader="none" w:pos="113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Second Amendment</w:t>
      </w:r>
      <w:r>
        <w:rPr>
          <w:rFonts w:ascii="Arial" w:cs="Arial" w:eastAsia="Arial" w:hAnsi="Arial"/>
          <w:sz w:val="22"/>
          <w:szCs w:val="22"/>
          <w:color w:val="auto"/>
        </w:rPr>
        <w:t xml:space="preserve"> ” appearing in Section 1.01 of the Credit Agreement is hereby amended by deleting “2016 Replacement Term Lenders” where it appears and replacing it with “Lenders party thereto” and deleting “of 2016 Replacement Term Loans” from the end of the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346075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4" w:right="339" w:bottom="1440" w:gutter="0" w:footer="0" w:header="0"/>
        </w:sectPr>
      </w:pPr>
    </w:p>
    <w:bookmarkStart w:id="173" w:name="page174"/>
    <w:bookmarkEnd w:id="173"/>
    <w:p>
      <w:pPr>
        <w:ind w:left="-1120" w:firstLine="1304"/>
        <w:spacing w:after="0" w:line="232" w:lineRule="auto"/>
        <w:tabs>
          <w:tab w:leader="none" w:pos="1082"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Term Loan</w:t>
      </w:r>
      <w:r>
        <w:rPr>
          <w:rFonts w:ascii="Arial" w:cs="Arial" w:eastAsia="Arial" w:hAnsi="Arial"/>
          <w:sz w:val="22"/>
          <w:szCs w:val="22"/>
          <w:color w:val="auto"/>
        </w:rPr>
        <w:t xml:space="preserve"> ” appearing in Section 1.01 of the Credit Agreement is hereby amended and restated in its entirety as follows: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Term Loan</w:t>
      </w:r>
      <w:r>
        <w:rPr>
          <w:rFonts w:ascii="Arial" w:cs="Arial" w:eastAsia="Arial" w:hAnsi="Arial"/>
          <w:sz w:val="22"/>
          <w:szCs w:val="22"/>
          <w:color w:val="auto"/>
        </w:rPr>
        <w:t xml:space="preserve"> ” shall mean the 2020 Term Loans and any other Class of Term Loan hereunder.”</w:t>
      </w:r>
    </w:p>
    <w:p>
      <w:pPr>
        <w:spacing w:after="0" w:line="193" w:lineRule="exact"/>
        <w:rPr>
          <w:sz w:val="20"/>
          <w:szCs w:val="20"/>
          <w:color w:val="auto"/>
        </w:rPr>
      </w:pPr>
    </w:p>
    <w:p>
      <w:pPr>
        <w:ind w:left="-1120" w:firstLine="1304"/>
        <w:spacing w:after="0" w:line="232" w:lineRule="auto"/>
        <w:tabs>
          <w:tab w:leader="none" w:pos="110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Term Loan Commitment</w:t>
      </w:r>
      <w:r>
        <w:rPr>
          <w:rFonts w:ascii="Arial" w:cs="Arial" w:eastAsia="Arial" w:hAnsi="Arial"/>
          <w:sz w:val="22"/>
          <w:szCs w:val="22"/>
          <w:color w:val="auto"/>
        </w:rPr>
        <w:t xml:space="preserve"> ” appearing in Section 1.01 of the Credit Agreement is hereby amended and restated in its entirety as follows:</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9"/>
          <w:szCs w:val="19"/>
          <w:i w:val="1"/>
          <w:iCs w:val="1"/>
          <w:color w:val="auto"/>
        </w:rPr>
        <w:t xml:space="preserve">““Term Loan Commitment” </w:t>
      </w:r>
      <w:r>
        <w:rPr>
          <w:rFonts w:ascii="Arial" w:cs="Arial" w:eastAsia="Arial" w:hAnsi="Arial"/>
          <w:sz w:val="19"/>
          <w:szCs w:val="19"/>
          <w:color w:val="auto"/>
        </w:rPr>
        <w:t>shall mean the commitment of each Term Lender to make Term Loans hereunder and,</w:t>
      </w:r>
    </w:p>
    <w:p>
      <w:pPr>
        <w:spacing w:after="0" w:line="56" w:lineRule="exact"/>
        <w:rPr>
          <w:sz w:val="20"/>
          <w:szCs w:val="20"/>
          <w:color w:val="auto"/>
        </w:rPr>
      </w:pPr>
    </w:p>
    <w:p>
      <w:pPr>
        <w:jc w:val="both"/>
        <w:ind w:left="180" w:firstLine="4"/>
        <w:spacing w:after="0" w:line="285" w:lineRule="auto"/>
        <w:tabs>
          <w:tab w:leader="none" w:pos="47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 the case of the 2020 Replacement Term Loans issued on the Eighth Amendment Effective Date, in an aggregate principal amount not to exceed the amount set forth under the heading “2020 Replacement Term Loan Commitment” opposite its name in the 2020 Replacement Term Loan Commitment Schedule or in the Assignment and Acceptance pursuant to which such Term Lender became a party hereto, as the same may be changed from time to time pursuant to the terms hereof and (ii) in the case of the 2020 Incremental Term Loans, in an aggregate principal amount not to exceed the amount set forth under the heading “2020 Incremental Term Loan Commitment” opposite its name in the 2020 Incremental Term Loan Commitment Schedule or in the Assignment and Acceptance pursuant to which such Term Lender became a party hereto, as the same may be changed from time to time pursuant to the terms hereof. The aggregate amount of the 2020 Replacement Term Loan Commitments as of the Eighth Amendment Effective Date is $1,202,190,721.64. The aggregate amount of the 2020 Incremental Term Loan Commitments as of the Eighth Amendment Effective Date is $17,809,278.36.”</w:t>
      </w:r>
    </w:p>
    <w:p>
      <w:pPr>
        <w:spacing w:after="0" w:line="139" w:lineRule="exact"/>
        <w:rPr>
          <w:sz w:val="20"/>
          <w:szCs w:val="20"/>
          <w:color w:val="auto"/>
        </w:rPr>
      </w:pPr>
    </w:p>
    <w:p>
      <w:pPr>
        <w:ind w:left="-1120" w:firstLine="1304"/>
        <w:spacing w:after="0" w:line="232" w:lineRule="auto"/>
        <w:tabs>
          <w:tab w:leader="none" w:pos="1143" w:val="left"/>
        </w:tabs>
        <w:numPr>
          <w:ilvl w:val="0"/>
          <w:numId w:val="147"/>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Term Loan Maturity Date</w:t>
      </w:r>
      <w:r>
        <w:rPr>
          <w:rFonts w:ascii="Arial" w:cs="Arial" w:eastAsia="Arial" w:hAnsi="Arial"/>
          <w:sz w:val="22"/>
          <w:szCs w:val="22"/>
          <w:color w:val="auto"/>
        </w:rPr>
        <w:t xml:space="preserve"> ” appearing in Section 1.01 of the Credit Agreement is hereby amended and restated in its entirety as follows:</w:t>
      </w:r>
    </w:p>
    <w:p>
      <w:pPr>
        <w:spacing w:after="0" w:line="186" w:lineRule="exact"/>
        <w:rPr>
          <w:sz w:val="20"/>
          <w:szCs w:val="20"/>
          <w:color w:val="auto"/>
        </w:rPr>
      </w:pPr>
    </w:p>
    <w:p>
      <w:pPr>
        <w:jc w:val="both"/>
        <w:ind w:left="180"/>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Term Loan Maturity Date</w:t>
      </w:r>
      <w:r>
        <w:rPr>
          <w:rFonts w:ascii="Arial" w:cs="Arial" w:eastAsia="Arial" w:hAnsi="Arial"/>
          <w:sz w:val="22"/>
          <w:szCs w:val="22"/>
          <w:color w:val="auto"/>
        </w:rPr>
        <w:t xml:space="preserve"> ” shall mean, with respect to (a) 2020 Term Loans that have not been extended pursuant to Section 2.28, January 29, 2027 and (b) with respect to Extended Term Loans, the final maturity date therefor as specified in the applicable Extension Offer accepted by the respective Term Lenders (as the same may be further extended pursuant to Section 2.28).”</w:t>
      </w:r>
    </w:p>
    <w:p>
      <w:pPr>
        <w:spacing w:after="0" w:line="161" w:lineRule="exact"/>
        <w:rPr>
          <w:sz w:val="20"/>
          <w:szCs w:val="20"/>
          <w:color w:val="auto"/>
        </w:rPr>
      </w:pPr>
    </w:p>
    <w:p>
      <w:pPr>
        <w:jc w:val="both"/>
        <w:ind w:left="-1120" w:firstLine="1304"/>
        <w:spacing w:after="0" w:line="223" w:lineRule="auto"/>
        <w:tabs>
          <w:tab w:leader="none" w:pos="1095" w:val="left"/>
        </w:tabs>
        <w:numPr>
          <w:ilvl w:val="0"/>
          <w:numId w:val="149"/>
        </w:numPr>
        <w:rPr>
          <w:rFonts w:ascii="Arial" w:cs="Arial" w:eastAsia="Arial" w:hAnsi="Arial"/>
          <w:sz w:val="22"/>
          <w:szCs w:val="22"/>
          <w:color w:val="auto"/>
        </w:rPr>
      </w:pPr>
      <w:r>
        <w:rPr>
          <w:rFonts w:ascii="Arial" w:cs="Arial" w:eastAsia="Arial" w:hAnsi="Arial"/>
          <w:sz w:val="22"/>
          <w:szCs w:val="22"/>
          <w:color w:val="auto"/>
        </w:rPr>
        <w:t xml:space="preserve">The definition of “ </w:t>
      </w:r>
      <w:r>
        <w:rPr>
          <w:rFonts w:ascii="Arial" w:cs="Arial" w:eastAsia="Arial" w:hAnsi="Arial"/>
          <w:sz w:val="22"/>
          <w:szCs w:val="22"/>
          <w:i w:val="1"/>
          <w:iCs w:val="1"/>
          <w:color w:val="auto"/>
        </w:rPr>
        <w:t>Third Amendment</w:t>
      </w:r>
      <w:r>
        <w:rPr>
          <w:rFonts w:ascii="Arial" w:cs="Arial" w:eastAsia="Arial" w:hAnsi="Arial"/>
          <w:sz w:val="22"/>
          <w:szCs w:val="22"/>
          <w:color w:val="auto"/>
        </w:rPr>
        <w:t xml:space="preserve"> ” appearing in Section 1.01 of the Credit Agreement is hereby amended by deleting “2017 Replacement Term Lenders” where it appears and replacing it with “Lenders party thereto” and deleting “of 2017 Replacement Term Loans” from the end of the definition.</w:t>
      </w:r>
    </w:p>
    <w:p>
      <w:pPr>
        <w:spacing w:after="0" w:line="158" w:lineRule="exact"/>
        <w:rPr>
          <w:rFonts w:ascii="Arial" w:cs="Arial" w:eastAsia="Arial" w:hAnsi="Arial"/>
          <w:sz w:val="22"/>
          <w:szCs w:val="22"/>
          <w:color w:val="auto"/>
        </w:rPr>
      </w:pPr>
    </w:p>
    <w:p>
      <w:pPr>
        <w:jc w:val="both"/>
        <w:ind w:left="-1120" w:firstLine="1304"/>
        <w:spacing w:after="0" w:line="218" w:lineRule="auto"/>
        <w:tabs>
          <w:tab w:leader="none" w:pos="1203" w:val="left"/>
        </w:tabs>
        <w:numPr>
          <w:ilvl w:val="0"/>
          <w:numId w:val="149"/>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deleting the following defined terms in their entirety: “2015 Term Loan Lender”, “2015 Term Loans”, “2016 Replacement Term Lender”, “2016 Replacement Term Loans”, “2016 Replacement Term Loan Commitment”, “2016 Replacement Term Loan Commitment Schedule”, “2017 Replacement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484505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74" w:name="page175"/>
    <w:bookmarkEnd w:id="174"/>
    <w:p>
      <w:pPr>
        <w:jc w:val="both"/>
        <w:spacing w:after="0" w:line="218" w:lineRule="auto"/>
        <w:rPr>
          <w:sz w:val="20"/>
          <w:szCs w:val="20"/>
          <w:color w:val="auto"/>
        </w:rPr>
      </w:pPr>
      <w:r>
        <w:rPr>
          <w:rFonts w:ascii="Arial" w:cs="Arial" w:eastAsia="Arial" w:hAnsi="Arial"/>
          <w:sz w:val="22"/>
          <w:szCs w:val="22"/>
          <w:color w:val="auto"/>
        </w:rPr>
        <w:t>Lender”, “2017 Replacement Term Loans”, “2017 Replacement Term Loan Commitment”, “2017 Replacement Term Loan Commitment Schedule”, “2018 Incremental Term Loan Commitment”, “2018 Incremental Term Loan Commitment Schedule”, “2018 Incremental Term Loan Lender”, “2018 Incremental Term Loans”, “Engagement Letter”, “Fifth Amendment Effective Date” and “Second Amendment Effective Date”.</w:t>
      </w:r>
    </w:p>
    <w:p>
      <w:pPr>
        <w:spacing w:after="0" w:line="161" w:lineRule="exact"/>
        <w:rPr>
          <w:sz w:val="20"/>
          <w:szCs w:val="20"/>
          <w:color w:val="auto"/>
        </w:rPr>
      </w:pPr>
    </w:p>
    <w:p>
      <w:pPr>
        <w:ind w:left="2260" w:hanging="956"/>
        <w:spacing w:after="0"/>
        <w:tabs>
          <w:tab w:leader="none" w:pos="22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Section 2.01(b) is hereby amended and restated in its entirety as follows:</w:t>
      </w:r>
    </w:p>
    <w:p>
      <w:pPr>
        <w:spacing w:after="0" w:line="20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i w:val="1"/>
          <w:iCs w:val="1"/>
          <w:color w:val="auto"/>
        </w:rPr>
        <w:t xml:space="preserve">“Term Loan Commitments </w:t>
      </w:r>
      <w:r>
        <w:rPr>
          <w:rFonts w:ascii="Arial" w:cs="Arial" w:eastAsia="Arial" w:hAnsi="Arial"/>
          <w:sz w:val="19"/>
          <w:szCs w:val="19"/>
          <w:color w:val="auto"/>
        </w:rPr>
        <w:t>. On the Eighth Amendment Effective Date, each 2020 Replacement Term Lender</w:t>
      </w:r>
      <w:r>
        <w:rPr>
          <w:rFonts w:ascii="Arial" w:cs="Arial" w:eastAsia="Arial" w:hAnsi="Arial"/>
          <w:sz w:val="19"/>
          <w:szCs w:val="19"/>
          <w:i w:val="1"/>
          <w:iCs w:val="1"/>
          <w:color w:val="auto"/>
        </w:rPr>
        <w:t xml:space="preserve"> </w:t>
      </w:r>
      <w:r>
        <w:rPr>
          <w:rFonts w:ascii="Arial" w:cs="Arial" w:eastAsia="Arial" w:hAnsi="Arial"/>
          <w:sz w:val="19"/>
          <w:szCs w:val="19"/>
          <w:color w:val="auto"/>
        </w:rPr>
        <w:t>agrees to make to the Borrower the 2020 Replacement Term Loans denominated in Dollars in an aggregate principal amount equal to such 2020 Replacement Term Lender’s 2020 Replacement Term Loan Commitment and the 2020 Incremental Term Loan Lender agrees to make to the Borrower the 2020 Incremental Term Loans denominated in Dollars in an aggregate principal amount equal to the 2020 Incremental Term Loan Lender’s 2020 Incremental Term Loan Commitment in accordance with the terms and conditions of the Eighth Amendment.”</w:t>
      </w:r>
    </w:p>
    <w:p>
      <w:pPr>
        <w:spacing w:after="0" w:line="122" w:lineRule="exact"/>
        <w:rPr>
          <w:sz w:val="20"/>
          <w:szCs w:val="20"/>
          <w:color w:val="auto"/>
        </w:rPr>
      </w:pPr>
    </w:p>
    <w:p>
      <w:pPr>
        <w:ind w:left="2260" w:hanging="956"/>
        <w:spacing w:after="0"/>
        <w:tabs>
          <w:tab w:leader="none" w:pos="226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Section 2.09 of the Credit Agreement is hereby amended and restated in its entirety as follows:</w:t>
      </w:r>
    </w:p>
    <w:p>
      <w:pPr>
        <w:spacing w:after="0" w:line="218" w:lineRule="exact"/>
        <w:rPr>
          <w:sz w:val="20"/>
          <w:szCs w:val="20"/>
          <w:color w:val="auto"/>
        </w:rPr>
      </w:pPr>
    </w:p>
    <w:p>
      <w:pPr>
        <w:jc w:val="both"/>
        <w:ind w:left="1300"/>
        <w:spacing w:after="0" w:line="285"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xml:space="preserve"> . In the event, and on each occasion, that on the date that is two (2) Business Days prior to the commencement of any Interest Period for a Eurodollar Loan, the Administrative Agent shall have reasonably determined (which determination shall be conclusive and binding upon the Borrower absent manifest error) that reasonable means do not exist for ascertaining the applicable LIBO Rate, the Administrative Agent shall, as soon as practicable thereafter, give written, facsimile or telegraphic notice of such determination to the Borrower and the Lenders and, until the circumstances giving rise to such notice no longer exist, any request by the Borrower for a Borrowing of Eurodollar Loans hereunder (including pursuant to a refinancing with Eurodollar Loans and including any request to continue, or to convert to, Eurodollar Loans) shall be deemed a request for a Borrowing of ABR Loans. Notwithstanding any provision to the contrary set forth in this Agreement, in the event the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then the Administrative Agent and Borrower may, without the consent of any Lender,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472440</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5" w:name="page176"/>
    <w:bookmarkEnd w:id="175"/>
    <w:p>
      <w:pPr>
        <w:ind w:left="2260" w:hanging="956"/>
        <w:spacing w:after="0"/>
        <w:tabs>
          <w:tab w:leader="none" w:pos="22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Section 2.10(b) is hereby amended and restated in its entirety as follows:</w:t>
      </w:r>
    </w:p>
    <w:p>
      <w:pPr>
        <w:spacing w:after="0" w:line="206" w:lineRule="exact"/>
        <w:rPr>
          <w:sz w:val="20"/>
          <w:szCs w:val="20"/>
          <w:color w:val="auto"/>
        </w:rPr>
      </w:pPr>
    </w:p>
    <w:p>
      <w:pPr>
        <w:jc w:val="both"/>
        <w:ind w:left="1300" w:firstLine="648"/>
        <w:spacing w:after="0" w:line="258" w:lineRule="auto"/>
        <w:rPr>
          <w:sz w:val="20"/>
          <w:szCs w:val="20"/>
          <w:color w:val="auto"/>
        </w:rPr>
      </w:pPr>
      <w:r>
        <w:rPr>
          <w:rFonts w:ascii="Arial" w:cs="Arial" w:eastAsia="Arial" w:hAnsi="Arial"/>
          <w:sz w:val="21"/>
          <w:szCs w:val="21"/>
          <w:color w:val="auto"/>
        </w:rPr>
        <w:t xml:space="preserve">“(b) The principal amounts of the 2020 Term Loans shall be repaid in consecutive annual installments beginning on the first anniversary of the Eighth Amendment Effective Date (each, an “ </w:t>
      </w:r>
      <w:r>
        <w:rPr>
          <w:rFonts w:ascii="Arial" w:cs="Arial" w:eastAsia="Arial" w:hAnsi="Arial"/>
          <w:sz w:val="21"/>
          <w:szCs w:val="21"/>
          <w:i w:val="1"/>
          <w:iCs w:val="1"/>
          <w:color w:val="auto"/>
        </w:rPr>
        <w:t>Installment</w:t>
      </w:r>
      <w:r>
        <w:rPr>
          <w:rFonts w:ascii="Arial" w:cs="Arial" w:eastAsia="Arial" w:hAnsi="Arial"/>
          <w:sz w:val="21"/>
          <w:szCs w:val="21"/>
          <w:color w:val="auto"/>
        </w:rPr>
        <w:t xml:space="preserve"> ”) of 1.00% of the sum of (i) the original aggregate principal amount of the 2020 Term Loans made on the Eighth Amendment Effective Date plus (ii) the original aggregate principal amount of any Incremental Term Loans of the same Class as the 2020 Term Loan from time to time after the Eighth Amendment Effective Date occurring prior to the Term Loan Maturity Date with respect to such 2020 Term Loans. Notwithstanding the foregoing, (1) such Installments shall be reduced in connection with any mandatory or voluntary prepayments of the 2020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58" w:lineRule="exact"/>
        <w:rPr>
          <w:sz w:val="20"/>
          <w:szCs w:val="20"/>
          <w:color w:val="auto"/>
        </w:rPr>
      </w:pPr>
    </w:p>
    <w:p>
      <w:pPr>
        <w:jc w:val="both"/>
        <w:ind w:firstLine="1304"/>
        <w:spacing w:after="0" w:line="218" w:lineRule="auto"/>
        <w:tabs>
          <w:tab w:leader="none" w:pos="229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Section 2.13(a) is hereby amended by (i) deleting “2017 Replacement Term Loans” each place it appears and replacing it with “2020 Term Loans”, (ii) deleting “Third Amendment” each place it appears and replacing it with “Eighth Amendment” and (iii) deleting “Third Amendment Effective Date” each place it appears and replacing it with “Eighth Amendment Effective Date”.</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224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Section 2.13(d) is hereby amended by (A) deleting the second to last sentence therein, (B) deleting “2017 Replacement Term Loans” each place it appears and replacing it with “2020 Term Loans” and (C) deleting “Fifth Amendment Effective Date” and replacing it with “Eighth Amendment Effective Date”.</w:t>
      </w:r>
    </w:p>
    <w:p>
      <w:pPr>
        <w:spacing w:after="0" w:line="158" w:lineRule="exact"/>
        <w:rPr>
          <w:rFonts w:ascii="Arial" w:cs="Arial" w:eastAsia="Arial" w:hAnsi="Arial"/>
          <w:sz w:val="22"/>
          <w:szCs w:val="22"/>
          <w:color w:val="auto"/>
        </w:rPr>
      </w:pPr>
    </w:p>
    <w:p>
      <w:pPr>
        <w:ind w:left="2240" w:hanging="936"/>
        <w:spacing w:after="0"/>
        <w:tabs>
          <w:tab w:leader="none" w:pos="224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Section 2.19 is hereby amended and restated in its entirety as follows:   “[Reserved].”</w:t>
      </w:r>
    </w:p>
    <w:p>
      <w:pPr>
        <w:spacing w:after="0" w:line="179" w:lineRule="exact"/>
        <w:rPr>
          <w:rFonts w:ascii="Arial" w:cs="Arial" w:eastAsia="Arial" w:hAnsi="Arial"/>
          <w:sz w:val="22"/>
          <w:szCs w:val="22"/>
          <w:color w:val="auto"/>
        </w:rPr>
      </w:pPr>
    </w:p>
    <w:p>
      <w:pPr>
        <w:ind w:firstLine="1304"/>
        <w:spacing w:after="0" w:line="232" w:lineRule="auto"/>
        <w:tabs>
          <w:tab w:leader="none" w:pos="2215" w:val="left"/>
        </w:tabs>
        <w:numPr>
          <w:ilvl w:val="0"/>
          <w:numId w:val="153"/>
        </w:numPr>
        <w:rPr>
          <w:rFonts w:ascii="Arial" w:cs="Arial" w:eastAsia="Arial" w:hAnsi="Arial"/>
          <w:sz w:val="22"/>
          <w:szCs w:val="22"/>
          <w:color w:val="auto"/>
        </w:rPr>
      </w:pPr>
      <w:r>
        <w:rPr>
          <w:rFonts w:ascii="Arial" w:cs="Arial" w:eastAsia="Arial" w:hAnsi="Arial"/>
          <w:sz w:val="22"/>
          <w:szCs w:val="22"/>
          <w:color w:val="auto"/>
        </w:rPr>
        <w:t>Section 2.27(c) is hereby amended by deleting “2017 Replacement Term Loans” each place it appears and replacing it with “2020 Term Loans”.</w:t>
      </w:r>
    </w:p>
    <w:p>
      <w:pPr>
        <w:spacing w:after="0" w:line="158" w:lineRule="exact"/>
        <w:rPr>
          <w:rFonts w:ascii="Arial" w:cs="Arial" w:eastAsia="Arial" w:hAnsi="Arial"/>
          <w:sz w:val="22"/>
          <w:szCs w:val="22"/>
          <w:color w:val="auto"/>
        </w:rPr>
      </w:pPr>
    </w:p>
    <w:p>
      <w:pPr>
        <w:ind w:left="2260" w:hanging="956"/>
        <w:spacing w:after="0"/>
        <w:tabs>
          <w:tab w:leader="none" w:pos="226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proviso in Section 3.08 is hereby deleted in its entirety.</w:t>
      </w:r>
    </w:p>
    <w:p>
      <w:pPr>
        <w:spacing w:after="0" w:line="20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Section 10.01(a) is hereby amended by deleting “American Airlines, Inc., 4333 Amon Carter Boulevard, Mail Drop 5662, Fort Worth, TX 76155, facsimile: ###” where it appears and replacing it with “American Airlines, Inc., 1 Skyview Drive, MD 8B361, Fort Worth, Texas, 76155, facsimile: ###”.</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Notwithstanding anything in this Eighth Amendment or the Credit Agreement to the contrary, the Administrative Agent hereby waives the minimum notice required by Section 2.27(a) of the Credit Agreement in connection with the establishment of the 2020 Incremental Term Loan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6" w:name="page177"/>
    <w:bookmarkEnd w:id="176"/>
    <w:p>
      <w:pPr>
        <w:ind w:left="180"/>
        <w:spacing w:after="0"/>
        <w:rPr>
          <w:sz w:val="20"/>
          <w:szCs w:val="20"/>
          <w:color w:val="auto"/>
        </w:rPr>
      </w:pPr>
      <w:r>
        <w:rPr>
          <w:rFonts w:ascii="Arial" w:cs="Arial" w:eastAsia="Arial" w:hAnsi="Arial"/>
          <w:sz w:val="22"/>
          <w:szCs w:val="22"/>
          <w:u w:val="single" w:color="auto"/>
          <w:color w:val="auto"/>
        </w:rPr>
        <w:t>SECTION TWO - Certain Terms Applicable to 2020 Term Loans</w:t>
      </w:r>
      <w:r>
        <w:rPr>
          <w:rFonts w:ascii="Arial" w:cs="Arial" w:eastAsia="Arial" w:hAnsi="Arial"/>
          <w:sz w:val="22"/>
          <w:szCs w:val="22"/>
          <w:color w:val="auto"/>
        </w:rPr>
        <w:t xml:space="preserve"> .</w:t>
      </w:r>
    </w:p>
    <w:p>
      <w:pPr>
        <w:spacing w:after="0" w:line="193" w:lineRule="exact"/>
        <w:rPr>
          <w:sz w:val="20"/>
          <w:szCs w:val="20"/>
          <w:color w:val="auto"/>
        </w:rPr>
      </w:pPr>
    </w:p>
    <w:p>
      <w:pPr>
        <w:jc w:val="both"/>
        <w:ind w:left="-1120" w:firstLine="1304"/>
        <w:spacing w:after="0" w:line="216" w:lineRule="auto"/>
        <w:tabs>
          <w:tab w:leader="none" w:pos="114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Subject to the satisfaction (or waiver) of the conditions set forth in Section Four hereof, the 2020 Replacement Term Lenders hereby agree to make 2020 Replacement Term Loans (as defined below) to the Borrower on the Eighth Amendment Effective Date (as defined below) in the aggregate principal amount of $1,202,190,721.64, which shall be used solely to refinance in full all outstanding Existing Term Loans and to pay fees and expenses relating to this Eighth Amendment.</w:t>
      </w:r>
    </w:p>
    <w:p>
      <w:pPr>
        <w:spacing w:after="0" w:line="157" w:lineRule="exact"/>
        <w:rPr>
          <w:rFonts w:ascii="Arial" w:cs="Arial" w:eastAsia="Arial" w:hAnsi="Arial"/>
          <w:sz w:val="22"/>
          <w:szCs w:val="22"/>
          <w:color w:val="auto"/>
        </w:rPr>
      </w:pPr>
    </w:p>
    <w:p>
      <w:pPr>
        <w:jc w:val="both"/>
        <w:ind w:left="-1120" w:firstLine="1304"/>
        <w:spacing w:after="0" w:line="211" w:lineRule="auto"/>
        <w:tabs>
          <w:tab w:leader="none" w:pos="1157" w:val="left"/>
        </w:tabs>
        <w:numPr>
          <w:ilvl w:val="0"/>
          <w:numId w:val="154"/>
        </w:numPr>
        <w:rPr>
          <w:rFonts w:ascii="Arial" w:cs="Arial" w:eastAsia="Arial" w:hAnsi="Arial"/>
          <w:sz w:val="22"/>
          <w:szCs w:val="22"/>
          <w:color w:val="auto"/>
        </w:rPr>
      </w:pPr>
      <w:r>
        <w:rPr>
          <w:rFonts w:ascii="Arial" w:cs="Arial" w:eastAsia="Arial" w:hAnsi="Arial"/>
          <w:sz w:val="22"/>
          <w:szCs w:val="22"/>
          <w:color w:val="auto"/>
        </w:rPr>
        <w:t xml:space="preserve">As of the Eighth Amendment Effective Date, immediately prior to the effectiveness of the Eighth Amendment, the Administrative Agent has prepared and provided a true and correct copy to the Borrower of a schedule (the “ </w:t>
      </w:r>
      <w:r>
        <w:rPr>
          <w:rFonts w:ascii="Arial" w:cs="Arial" w:eastAsia="Arial" w:hAnsi="Arial"/>
          <w:sz w:val="22"/>
          <w:szCs w:val="22"/>
          <w:u w:val="single" w:color="auto"/>
          <w:color w:val="auto"/>
        </w:rPr>
        <w:t>2020 Replacement Term Loan Commitments Schedule</w:t>
      </w:r>
      <w:r>
        <w:rPr>
          <w:rFonts w:ascii="Arial" w:cs="Arial" w:eastAsia="Arial" w:hAnsi="Arial"/>
          <w:sz w:val="22"/>
          <w:szCs w:val="22"/>
          <w:color w:val="auto"/>
        </w:rPr>
        <w:t xml:space="preserve"> ”) which sets forth the allocated commitments received by it (the “ </w:t>
      </w:r>
      <w:r>
        <w:rPr>
          <w:rFonts w:ascii="Arial" w:cs="Arial" w:eastAsia="Arial" w:hAnsi="Arial"/>
          <w:sz w:val="22"/>
          <w:szCs w:val="22"/>
          <w:u w:val="single" w:color="auto"/>
          <w:color w:val="auto"/>
        </w:rPr>
        <w:t>2020</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Replacement Term Loan Commitments</w:t>
      </w:r>
      <w:r>
        <w:rPr>
          <w:rFonts w:ascii="Arial" w:cs="Arial" w:eastAsia="Arial" w:hAnsi="Arial"/>
          <w:sz w:val="22"/>
          <w:szCs w:val="22"/>
          <w:color w:val="auto"/>
        </w:rPr>
        <w:t xml:space="preserve"> ”) from the Lenders providing the 2020 Replacement Term Loans (the “ </w:t>
      </w:r>
      <w:r>
        <w:rPr>
          <w:rFonts w:ascii="Arial" w:cs="Arial" w:eastAsia="Arial" w:hAnsi="Arial"/>
          <w:sz w:val="22"/>
          <w:szCs w:val="22"/>
          <w:u w:val="single" w:color="auto"/>
          <w:color w:val="auto"/>
        </w:rPr>
        <w:t>2020</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Replacement Term Lenders</w:t>
      </w:r>
      <w:r>
        <w:rPr>
          <w:rFonts w:ascii="Arial" w:cs="Arial" w:eastAsia="Arial" w:hAnsi="Arial"/>
          <w:sz w:val="22"/>
          <w:szCs w:val="22"/>
          <w:color w:val="auto"/>
        </w:rPr>
        <w:t xml:space="preserve"> ”). The Administrative Agent has notified each 2020 Replacement Term Lender of its allocated 2020 Replacement Term Loan Commitment, and each of the 2020 Replacement Term Lenders has provided the Administrative Agent with an executed consent approving this amendment and agreeing to the obligations set forth in this Amendment (each such consent, a “ </w:t>
      </w:r>
      <w:r>
        <w:rPr>
          <w:rFonts w:ascii="Arial" w:cs="Arial" w:eastAsia="Arial" w:hAnsi="Arial"/>
          <w:sz w:val="22"/>
          <w:szCs w:val="22"/>
          <w:u w:val="single" w:color="auto"/>
          <w:color w:val="auto"/>
        </w:rPr>
        <w:t>Lender Consent</w:t>
      </w:r>
      <w:r>
        <w:rPr>
          <w:rFonts w:ascii="Arial" w:cs="Arial" w:eastAsia="Arial" w:hAnsi="Arial"/>
          <w:sz w:val="22"/>
          <w:szCs w:val="22"/>
          <w:color w:val="auto"/>
        </w:rPr>
        <w:t xml:space="preserve"> ”). On the Eighth Amendment Effective Date, all Existing Term Loans shall be refinanced in full as follows:</w:t>
      </w:r>
    </w:p>
    <w:p>
      <w:pPr>
        <w:spacing w:after="0" w:line="158" w:lineRule="exact"/>
        <w:rPr>
          <w:rFonts w:ascii="Arial" w:cs="Arial" w:eastAsia="Arial" w:hAnsi="Arial"/>
          <w:sz w:val="22"/>
          <w:szCs w:val="22"/>
          <w:color w:val="auto"/>
        </w:rPr>
      </w:pPr>
    </w:p>
    <w:p>
      <w:pPr>
        <w:ind w:left="-460" w:right="80" w:firstLine="1292"/>
        <w:spacing w:after="0" w:line="223" w:lineRule="auto"/>
        <w:tabs>
          <w:tab w:leader="none" w:pos="165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the outstanding aggregate principal amount of Existing Term Loans of each Lender which does not have a 2020 Replacement Term Loan Commitment (each, a “Non-Converting Term Lender”) shall be repaid in full in cash;</w:t>
      </w:r>
    </w:p>
    <w:p>
      <w:pPr>
        <w:spacing w:after="0" w:line="158" w:lineRule="exact"/>
        <w:rPr>
          <w:rFonts w:ascii="Arial" w:cs="Arial" w:eastAsia="Arial" w:hAnsi="Arial"/>
          <w:sz w:val="22"/>
          <w:szCs w:val="22"/>
          <w:color w:val="auto"/>
        </w:rPr>
      </w:pPr>
    </w:p>
    <w:p>
      <w:pPr>
        <w:ind w:left="-460" w:firstLine="1292"/>
        <w:spacing w:after="0" w:line="257" w:lineRule="auto"/>
        <w:tabs>
          <w:tab w:leader="none" w:pos="1712"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to the extent any Lender has a 2020 Replacement Term Loan Commitment that is less than the full outstanding aggregate principal amount of Existing Term Loans of such Lender, such Lender shall be repaid in cash in an amount equal to the difference between the outstanding aggregate principal amount of Existing Term Loans of such Lender and such Lender’s 2020 Replacement Term Loan Commitment (the “ </w:t>
      </w:r>
      <w:r>
        <w:rPr>
          <w:rFonts w:ascii="Arial" w:cs="Arial" w:eastAsia="Arial" w:hAnsi="Arial"/>
          <w:sz w:val="19"/>
          <w:szCs w:val="19"/>
          <w:u w:val="single" w:color="auto"/>
          <w:color w:val="auto"/>
        </w:rPr>
        <w:t>Non-Converting Term Portion</w:t>
      </w:r>
      <w:r>
        <w:rPr>
          <w:rFonts w:ascii="Arial" w:cs="Arial" w:eastAsia="Arial" w:hAnsi="Arial"/>
          <w:sz w:val="19"/>
          <w:szCs w:val="19"/>
          <w:color w:val="auto"/>
        </w:rPr>
        <w:t xml:space="preserve"> ”);</w:t>
      </w:r>
    </w:p>
    <w:p>
      <w:pPr>
        <w:spacing w:after="0" w:line="144" w:lineRule="exact"/>
        <w:rPr>
          <w:rFonts w:ascii="Arial" w:cs="Arial" w:eastAsia="Arial" w:hAnsi="Arial"/>
          <w:sz w:val="19"/>
          <w:szCs w:val="19"/>
          <w:color w:val="auto"/>
        </w:rPr>
      </w:pPr>
    </w:p>
    <w:p>
      <w:pPr>
        <w:ind w:left="-460" w:right="80" w:firstLine="1292"/>
        <w:spacing w:after="0" w:line="214" w:lineRule="auto"/>
        <w:tabs>
          <w:tab w:leader="none" w:pos="1772"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the outstanding aggregate principal amount of Existing Term Loans of each Lender which has a 2020 Replacement Term Loan Commitment (each, a “ </w:t>
      </w:r>
      <w:r>
        <w:rPr>
          <w:rFonts w:ascii="Arial" w:cs="Arial" w:eastAsia="Arial" w:hAnsi="Arial"/>
          <w:sz w:val="22"/>
          <w:szCs w:val="22"/>
          <w:u w:val="single" w:color="auto"/>
          <w:color w:val="auto"/>
        </w:rPr>
        <w:t>Converting Term Lender</w:t>
      </w:r>
      <w:r>
        <w:rPr>
          <w:rFonts w:ascii="Arial" w:cs="Arial" w:eastAsia="Arial" w:hAnsi="Arial"/>
          <w:sz w:val="22"/>
          <w:szCs w:val="22"/>
          <w:color w:val="auto"/>
        </w:rPr>
        <w:t xml:space="preserve"> ,” and, together with the Non-Converting Term Lenders, the “ </w:t>
      </w:r>
      <w:r>
        <w:rPr>
          <w:rFonts w:ascii="Arial" w:cs="Arial" w:eastAsia="Arial" w:hAnsi="Arial"/>
          <w:sz w:val="22"/>
          <w:szCs w:val="22"/>
          <w:u w:val="single" w:color="auto"/>
          <w:color w:val="auto"/>
        </w:rPr>
        <w:t>Existing Term Lenders</w:t>
      </w:r>
      <w:r>
        <w:rPr>
          <w:rFonts w:ascii="Arial" w:cs="Arial" w:eastAsia="Arial" w:hAnsi="Arial"/>
          <w:sz w:val="22"/>
          <w:szCs w:val="22"/>
          <w:color w:val="auto"/>
        </w:rPr>
        <w:t xml:space="preserve"> ”) shall automatically be converted into 2020 Replacement Term Loans (a “ </w:t>
      </w:r>
      <w:r>
        <w:rPr>
          <w:rFonts w:ascii="Arial" w:cs="Arial" w:eastAsia="Arial" w:hAnsi="Arial"/>
          <w:sz w:val="22"/>
          <w:szCs w:val="22"/>
          <w:u w:val="single" w:color="auto"/>
          <w:color w:val="auto"/>
        </w:rPr>
        <w:t>Converted 2020 Replacement Term Loan</w:t>
      </w:r>
      <w:r>
        <w:rPr>
          <w:rFonts w:ascii="Arial" w:cs="Arial" w:eastAsia="Arial" w:hAnsi="Arial"/>
          <w:sz w:val="22"/>
          <w:szCs w:val="22"/>
          <w:color w:val="auto"/>
        </w:rPr>
        <w:t xml:space="preserve"> ”) in a principal amount equal to such Converting Term Lender’s Existing Term Loans outstanding on the Eighth Amendment Effective Date immediately prior to such conversion, less an amount equal to any Non-Converting Term Portion; and</w:t>
      </w:r>
    </w:p>
    <w:p>
      <w:pPr>
        <w:spacing w:after="0" w:line="158" w:lineRule="exact"/>
        <w:rPr>
          <w:rFonts w:ascii="Arial" w:cs="Arial" w:eastAsia="Arial" w:hAnsi="Arial"/>
          <w:sz w:val="22"/>
          <w:szCs w:val="22"/>
          <w:color w:val="auto"/>
        </w:rPr>
      </w:pPr>
    </w:p>
    <w:p>
      <w:pPr>
        <w:ind w:left="-460" w:right="60" w:firstLine="1292"/>
        <w:spacing w:after="0" w:line="268" w:lineRule="auto"/>
        <w:tabs>
          <w:tab w:leader="none" w:pos="1746"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(1) each 2020 Replacement Term Lender that is not an Existing Term Lender (each, a “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Term Lender</w:t>
      </w:r>
      <w:r>
        <w:rPr>
          <w:rFonts w:ascii="Arial" w:cs="Arial" w:eastAsia="Arial" w:hAnsi="Arial"/>
          <w:sz w:val="19"/>
          <w:szCs w:val="19"/>
          <w:color w:val="auto"/>
        </w:rPr>
        <w:t xml:space="preserve"> ”) and (2) each Converting Term Lender with a 2020 Replacement Term Loan Commitment in an amount in excess of the aggregate principal amount of Existing Term Loans of such Converting Term Lender (such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466090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48" w:right="339" w:bottom="1440" w:gutter="0" w:footer="0" w:header="0"/>
        </w:sectPr>
      </w:pPr>
    </w:p>
    <w:bookmarkStart w:id="177" w:name="page178"/>
    <w:bookmarkEnd w:id="177"/>
    <w:p>
      <w:pPr>
        <w:ind w:right="20"/>
        <w:spacing w:after="0" w:line="214" w:lineRule="auto"/>
        <w:rPr>
          <w:sz w:val="20"/>
          <w:szCs w:val="20"/>
          <w:color w:val="auto"/>
        </w:rPr>
      </w:pPr>
      <w:r>
        <w:rPr>
          <w:rFonts w:ascii="Arial" w:cs="Arial" w:eastAsia="Arial" w:hAnsi="Arial"/>
          <w:sz w:val="22"/>
          <w:szCs w:val="22"/>
          <w:color w:val="auto"/>
        </w:rPr>
        <w:t xml:space="preserve">ifference, the “ </w:t>
      </w:r>
      <w:r>
        <w:rPr>
          <w:rFonts w:ascii="Arial" w:cs="Arial" w:eastAsia="Arial" w:hAnsi="Arial"/>
          <w:sz w:val="22"/>
          <w:szCs w:val="22"/>
          <w:u w:val="single" w:color="auto"/>
          <w:color w:val="auto"/>
        </w:rPr>
        <w:t>New Term Commitment</w:t>
      </w:r>
      <w:r>
        <w:rPr>
          <w:rFonts w:ascii="Arial" w:cs="Arial" w:eastAsia="Arial" w:hAnsi="Arial"/>
          <w:sz w:val="22"/>
          <w:szCs w:val="22"/>
          <w:color w:val="auto"/>
        </w:rPr>
        <w:t xml:space="preserve"> ”), agrees to make to the Borrower a new Term Loan (each, a “ </w:t>
      </w:r>
      <w:r>
        <w:rPr>
          <w:rFonts w:ascii="Arial" w:cs="Arial" w:eastAsia="Arial" w:hAnsi="Arial"/>
          <w:sz w:val="22"/>
          <w:szCs w:val="22"/>
          <w:u w:val="single" w:color="auto"/>
          <w:color w:val="auto"/>
        </w:rPr>
        <w:t>New Term Loan</w:t>
      </w:r>
      <w:r>
        <w:rPr>
          <w:rFonts w:ascii="Arial" w:cs="Arial" w:eastAsia="Arial" w:hAnsi="Arial"/>
          <w:sz w:val="22"/>
          <w:szCs w:val="22"/>
          <w:color w:val="auto"/>
        </w:rPr>
        <w:t xml:space="preserve"> ” and, collectively, the “ </w:t>
      </w:r>
      <w:r>
        <w:rPr>
          <w:rFonts w:ascii="Arial" w:cs="Arial" w:eastAsia="Arial" w:hAnsi="Arial"/>
          <w:sz w:val="22"/>
          <w:szCs w:val="22"/>
          <w:u w:val="single" w:color="auto"/>
          <w:color w:val="auto"/>
        </w:rPr>
        <w:t>New Term Loans</w:t>
      </w:r>
      <w:r>
        <w:rPr>
          <w:rFonts w:ascii="Arial" w:cs="Arial" w:eastAsia="Arial" w:hAnsi="Arial"/>
          <w:sz w:val="22"/>
          <w:szCs w:val="22"/>
          <w:color w:val="auto"/>
        </w:rPr>
        <w:t xml:space="preserve"> ” and, together with the Converted 2020 Replacement Term Loans, the “ </w:t>
      </w:r>
      <w:r>
        <w:rPr>
          <w:rFonts w:ascii="Arial" w:cs="Arial" w:eastAsia="Arial" w:hAnsi="Arial"/>
          <w:sz w:val="22"/>
          <w:szCs w:val="22"/>
          <w:u w:val="single" w:color="auto"/>
          <w:color w:val="auto"/>
        </w:rPr>
        <w:t>2020</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Replacement Term Loans</w:t>
      </w:r>
      <w:r>
        <w:rPr>
          <w:rFonts w:ascii="Arial" w:cs="Arial" w:eastAsia="Arial" w:hAnsi="Arial"/>
          <w:sz w:val="22"/>
          <w:szCs w:val="22"/>
          <w:color w:val="auto"/>
        </w:rPr>
        <w:t xml:space="preserve"> ”) in a principal amount equal to such Converting Term Lender’s New Term Commitment or such New Term Lender’s 2020 Replacement Term Loan Commitment, as the case may be, on the Eighth Amendment Effective Date, which 2020 Replacement Term Loans shall be subject to the terms of the Credit Agreement after giving effect to this Eighth Amendment.</w:t>
      </w:r>
    </w:p>
    <w:p>
      <w:pPr>
        <w:spacing w:after="0" w:line="159" w:lineRule="exact"/>
        <w:rPr>
          <w:sz w:val="20"/>
          <w:szCs w:val="20"/>
          <w:color w:val="auto"/>
        </w:rPr>
      </w:pPr>
    </w:p>
    <w:p>
      <w:pPr>
        <w:jc w:val="both"/>
        <w:ind w:left="-660" w:firstLine="1304"/>
        <w:spacing w:after="0" w:line="244" w:lineRule="auto"/>
        <w:tabs>
          <w:tab w:leader="none" w:pos="1578" w:val="left"/>
        </w:tabs>
        <w:numPr>
          <w:ilvl w:val="0"/>
          <w:numId w:val="155"/>
        </w:numPr>
        <w:rPr>
          <w:rFonts w:ascii="Arial" w:cs="Arial" w:eastAsia="Arial" w:hAnsi="Arial"/>
          <w:sz w:val="19"/>
          <w:szCs w:val="19"/>
          <w:color w:val="auto"/>
        </w:rPr>
      </w:pPr>
      <w:r>
        <w:rPr>
          <w:rFonts w:ascii="Arial" w:cs="Arial" w:eastAsia="Arial" w:hAnsi="Arial"/>
          <w:sz w:val="19"/>
          <w:szCs w:val="19"/>
          <w:color w:val="auto"/>
        </w:rPr>
        <w:t>On the Eighth Amendment Effective Date, each 2020 Replacement Term Lender hereby agrees to fund its 2020 Replacement Term Loans in an aggregate principal amount equal to such 2020 Replacement Term Lender’s 2020 Replacement Term Loan Commitment as follows: (x) each Converting Term Lender shall fund its 2020 Replacement Term Loans to the Borrower by converting its then outstanding principal amount of Existing Term Loans into 2020 Replacement Term Loans in an equal principal amount as provided in clause (ii)(y) above, (y) (1) each Converting Term Lender with a New Term Commitment shall fund in cash an amount equal to its New Term Commitment to the Designated 2020 Replacement Term Lender and (2) each New Term Lender shall fund in cash an amount equal to its 2020 Replacement Term Loan Commitment to the Designated 2020 Replacement Term Lender, and (z) the Designated 2020 Replacement Term Lender shall fund in cash to the Borrower an amount equal to the New Term Commitment of each Converting Term Lender and the 2020 Replacement Term Loan Commitment of each New Term Lender.</w:t>
      </w:r>
    </w:p>
    <w:p>
      <w:pPr>
        <w:spacing w:after="0" w:line="376" w:lineRule="exact"/>
        <w:rPr>
          <w:rFonts w:ascii="Arial" w:cs="Arial" w:eastAsia="Arial" w:hAnsi="Arial"/>
          <w:sz w:val="19"/>
          <w:szCs w:val="19"/>
          <w:color w:val="auto"/>
        </w:rPr>
      </w:pPr>
    </w:p>
    <w:p>
      <w:pPr>
        <w:jc w:val="both"/>
        <w:ind w:left="-660" w:firstLine="1304"/>
        <w:spacing w:after="0" w:line="241" w:lineRule="auto"/>
        <w:tabs>
          <w:tab w:leader="none" w:pos="159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All outstanding Borrowings of Existing Term Loans shall continue in effect for the equivalent principal amount of 2020 Replacement Term Loans after the Eighth Amendment Effective Date and each resulting “borrowing” of 2020 Replacement Term Loans and 2020 Incremental Term Loans shall be deemed to constitute a new deemed “borrowing” under the Credit Agreement and be subject to the same Interest Period (and the same LIBO Rate) applicable to the Existing Term Loans to which it relates immediately prior to the Eighth Amendment Effective Date, which Interest Period shall continue in effect (until such Interest Periods expire, at which time subsequent Interest Periods shall be determined in accordance with the provisions of Section 2.05 of the Credit Agreement). New Term Loans and 2020 Incremental Term Loans shall be initially incurred as Eurodollar Loans. New Term Loans shall be allocated ratably to the outstanding deemed “borrowings” of 2020 Replacement Term Loans on the Eighth Amendment Effective Date. Each such Borrowing of New Term Loans and 2020 Incremental Term Loans shall be subject to (x) an Interest Period which commences on the Eighth Amendment Effective Date and ends on the last day of the Interest Period applicable to the Existing Term Loans and (y) the same LIBO Rate applicable to the 2020 Replacement Term Loans. The 2020 Replacement Term Loans of each 2020 Replacement Term Lender shall be allocated ratably to such Interest Periods (based upon the relative principal amounts of Borrowings of Existing Term Loans subject to such Interest Periods immediately prior to the Eighth Amendment Effective Date), with the effect being that Existing Term Loans which are converted into Converted 2020 Replacement Term Loans hereunder shall continue to be subject to the same Interest Periods and any 2020 Replacement Term Loans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624205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21" w:right="339" w:bottom="1440" w:gutter="0" w:footer="0" w:header="0"/>
        </w:sectPr>
      </w:pPr>
    </w:p>
    <w:bookmarkStart w:id="178" w:name="page179"/>
    <w:bookmarkEnd w:id="178"/>
    <w:p>
      <w:pPr>
        <w:spacing w:after="0" w:line="232" w:lineRule="auto"/>
        <w:rPr>
          <w:sz w:val="20"/>
          <w:szCs w:val="20"/>
          <w:color w:val="auto"/>
        </w:rPr>
      </w:pPr>
      <w:r>
        <w:rPr>
          <w:rFonts w:ascii="Arial" w:cs="Arial" w:eastAsia="Arial" w:hAnsi="Arial"/>
          <w:sz w:val="22"/>
          <w:szCs w:val="22"/>
          <w:color w:val="auto"/>
        </w:rPr>
        <w:t>funded in cash on the Eighth Amendment Effective Date shall be ratably allocated to the various Interest Periods as described above.</w:t>
      </w:r>
    </w:p>
    <w:p>
      <w:pPr>
        <w:spacing w:after="0" w:line="159" w:lineRule="exact"/>
        <w:rPr>
          <w:sz w:val="20"/>
          <w:szCs w:val="20"/>
          <w:color w:val="auto"/>
        </w:rPr>
      </w:pPr>
    </w:p>
    <w:p>
      <w:pPr>
        <w:jc w:val="both"/>
        <w:ind w:firstLine="1304"/>
        <w:spacing w:after="0" w:line="221" w:lineRule="auto"/>
        <w:tabs>
          <w:tab w:leader="none" w:pos="223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On the Eighth Amendment Effective Date, the Borrower shall pay in cash (i) all interest accrued on the Existing Term Loans through the Eighth Amendment Effective Date and (ii) to each Non-Converting Term Lender and each Converting Term Lender with a Non-Converting Term Portion, any breakage loss or expenses due under Section 2.15 of the Credit Agreement (it being understood that existing Interest Periods of the Existing Term Loans held by 2020 Replacement Term Lenders prior to the Eighth Amendment Effective Date shall continue on and after the Eighth Amendment Effective Date and shall accrue interest in accordance with Section 2.07 of the Credit Agreement on and after the Eighth Amendment Effective Date). Each Converting Term Lender hereby waives any entitlement to any breakage loss or expenses due under Section 3.15 of the Credit Agreement with respect to the repayment of that portion of its Existing Term Loans with the proceeds of Converted 2020 Replacement Term Loans.</w:t>
      </w:r>
    </w:p>
    <w:p>
      <w:pPr>
        <w:spacing w:after="0" w:line="158" w:lineRule="exact"/>
        <w:rPr>
          <w:rFonts w:ascii="Arial" w:cs="Arial" w:eastAsia="Arial" w:hAnsi="Arial"/>
          <w:sz w:val="21"/>
          <w:szCs w:val="21"/>
          <w:color w:val="auto"/>
        </w:rPr>
      </w:pPr>
    </w:p>
    <w:p>
      <w:pPr>
        <w:jc w:val="both"/>
        <w:ind w:firstLine="1304"/>
        <w:spacing w:after="0" w:line="234" w:lineRule="auto"/>
        <w:tabs>
          <w:tab w:leader="none" w:pos="2227" w:val="left"/>
        </w:tabs>
        <w:numPr>
          <w:ilvl w:val="0"/>
          <w:numId w:val="156"/>
        </w:numPr>
        <w:rPr>
          <w:rFonts w:ascii="Arial" w:cs="Arial" w:eastAsia="Arial" w:hAnsi="Arial"/>
          <w:sz w:val="21"/>
          <w:szCs w:val="21"/>
          <w:color w:val="auto"/>
        </w:rPr>
      </w:pPr>
      <w:r>
        <w:rPr>
          <w:rFonts w:ascii="Arial" w:cs="Arial" w:eastAsia="Arial" w:hAnsi="Arial"/>
          <w:sz w:val="21"/>
          <w:szCs w:val="21"/>
          <w:color w:val="auto"/>
        </w:rPr>
        <w:t>On the Eighth Amendment Effective Date, all promissory notes, if any, evidencing the Existing Term Loans shall be automatically cancelled, and any 2020 Replacement Term Lender may request that its 2020 Replacement Term Loan be evidenced by a promissory note pursuant to Section 2.10(f) of the Credit Agreement.</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u w:val="single" w:color="auto"/>
          <w:color w:val="auto"/>
        </w:rPr>
        <w:t>SECTION THREE - Titles and Roles</w:t>
      </w:r>
      <w:r>
        <w:rPr>
          <w:rFonts w:ascii="Arial" w:cs="Arial" w:eastAsia="Arial" w:hAnsi="Arial"/>
          <w:sz w:val="22"/>
          <w:szCs w:val="22"/>
          <w:color w:val="auto"/>
        </w:rPr>
        <w:t xml:space="preserve"> . The parties hereto agree that, as of the Eighth Amendment Effective Date and in connection with the Eighth Amendment:</w:t>
      </w:r>
    </w:p>
    <w:p>
      <w:pPr>
        <w:spacing w:after="0" w:line="148" w:lineRule="exact"/>
        <w:rPr>
          <w:sz w:val="20"/>
          <w:szCs w:val="20"/>
          <w:color w:val="auto"/>
        </w:rPr>
      </w:pPr>
    </w:p>
    <w:p>
      <w:pPr>
        <w:jc w:val="both"/>
        <w:ind w:firstLine="1304"/>
        <w:spacing w:after="0" w:line="214" w:lineRule="auto"/>
        <w:tabs>
          <w:tab w:leader="none" w:pos="2305"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Each of Citi, Barclays, CS Securities, DBSI, GSLP, JPMCB, ICBNC, ML, MS, SMBC, BNP Securities, CA-CIB, HSBC, MUFG, Standard, US Bank and BOKF (each as defined in the Engagement Letter dated January 13, 2020, by and between, </w:t>
      </w:r>
      <w:r>
        <w:rPr>
          <w:rFonts w:ascii="Arial" w:cs="Arial" w:eastAsia="Arial" w:hAnsi="Arial"/>
          <w:sz w:val="22"/>
          <w:szCs w:val="22"/>
          <w:i w:val="1"/>
          <w:iCs w:val="1"/>
          <w:color w:val="auto"/>
        </w:rPr>
        <w:t>inter alios</w:t>
      </w:r>
      <w:r>
        <w:rPr>
          <w:rFonts w:ascii="Arial" w:cs="Arial" w:eastAsia="Arial" w:hAnsi="Arial"/>
          <w:sz w:val="22"/>
          <w:szCs w:val="22"/>
          <w:color w:val="auto"/>
        </w:rPr>
        <w:t xml:space="preserve"> , the Borrower and the Lead Arrangers (as defined below) (as amended, modified, or supplemented from time to time, the “ </w:t>
      </w:r>
      <w:r>
        <w:rPr>
          <w:rFonts w:ascii="Arial" w:cs="Arial" w:eastAsia="Arial" w:hAnsi="Arial"/>
          <w:sz w:val="22"/>
          <w:szCs w:val="22"/>
          <w:u w:val="single" w:color="auto"/>
          <w:color w:val="auto"/>
        </w:rPr>
        <w:t>Engagement Letter</w:t>
      </w:r>
      <w:r>
        <w:rPr>
          <w:rFonts w:ascii="Arial" w:cs="Arial" w:eastAsia="Arial" w:hAnsi="Arial"/>
          <w:sz w:val="22"/>
          <w:szCs w:val="22"/>
          <w:color w:val="auto"/>
        </w:rPr>
        <w:t xml:space="preserve"> ”)) and any permitted assignees under the Engagement Letter, shall be designated as, and perform the roles associated with, a joint lead arranger and bookrunner (in such capacity, collectively, the “ </w:t>
      </w:r>
      <w:r>
        <w:rPr>
          <w:rFonts w:ascii="Arial" w:cs="Arial" w:eastAsia="Arial" w:hAnsi="Arial"/>
          <w:sz w:val="22"/>
          <w:szCs w:val="22"/>
          <w:u w:val="single" w:color="auto"/>
          <w:color w:val="auto"/>
        </w:rPr>
        <w:t>Lead Arrangers</w:t>
      </w:r>
      <w:r>
        <w:rPr>
          <w:rFonts w:ascii="Arial" w:cs="Arial" w:eastAsia="Arial" w:hAnsi="Arial"/>
          <w:sz w:val="22"/>
          <w:szCs w:val="22"/>
          <w:color w:val="auto"/>
        </w:rPr>
        <w:t xml:space="preserve"> ”);</w:t>
      </w:r>
    </w:p>
    <w:p>
      <w:pPr>
        <w:spacing w:after="0" w:line="158" w:lineRule="exact"/>
        <w:rPr>
          <w:rFonts w:ascii="Arial" w:cs="Arial" w:eastAsia="Arial" w:hAnsi="Arial"/>
          <w:sz w:val="22"/>
          <w:szCs w:val="22"/>
          <w:color w:val="auto"/>
        </w:rPr>
      </w:pPr>
    </w:p>
    <w:p>
      <w:pPr>
        <w:ind w:right="20" w:firstLine="1304"/>
        <w:spacing w:after="0" w:line="232" w:lineRule="auto"/>
        <w:tabs>
          <w:tab w:leader="none" w:pos="2277"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each of Citi, Barclays, CS Securities, DBSI, GSLP, ICBC, JPMCB, BofA Securities, Inc., MS and SMBC shall be designated as, and perform the roles associated with, a syndication agent; and</w:t>
      </w:r>
    </w:p>
    <w:p>
      <w:pPr>
        <w:spacing w:after="0" w:line="158" w:lineRule="exact"/>
        <w:rPr>
          <w:rFonts w:ascii="Arial" w:cs="Arial" w:eastAsia="Arial" w:hAnsi="Arial"/>
          <w:sz w:val="22"/>
          <w:szCs w:val="22"/>
          <w:color w:val="auto"/>
        </w:rPr>
      </w:pPr>
    </w:p>
    <w:p>
      <w:pPr>
        <w:ind w:right="20" w:firstLine="1304"/>
        <w:spacing w:after="0" w:line="232" w:lineRule="auto"/>
        <w:tabs>
          <w:tab w:leader="none" w:pos="2251" w:val="left"/>
        </w:tabs>
        <w:numPr>
          <w:ilvl w:val="0"/>
          <w:numId w:val="157"/>
        </w:numPr>
        <w:rPr>
          <w:rFonts w:ascii="Arial" w:cs="Arial" w:eastAsia="Arial" w:hAnsi="Arial"/>
          <w:sz w:val="22"/>
          <w:szCs w:val="22"/>
          <w:color w:val="auto"/>
        </w:rPr>
      </w:pPr>
      <w:r>
        <w:rPr>
          <w:rFonts w:ascii="Arial" w:cs="Arial" w:eastAsia="Arial" w:hAnsi="Arial"/>
          <w:sz w:val="22"/>
          <w:szCs w:val="22"/>
          <w:color w:val="auto"/>
        </w:rPr>
        <w:t>each of BNP Securities, CA-CIB, HSBC, MUFG, SCB, US Bank, and BOKF shall be designated as, and perform the roles associated with, a documentation agent.</w:t>
      </w:r>
    </w:p>
    <w:p>
      <w:pPr>
        <w:spacing w:after="0" w:line="186" w:lineRule="exact"/>
        <w:rPr>
          <w:sz w:val="20"/>
          <w:szCs w:val="20"/>
          <w:color w:val="auto"/>
        </w:rPr>
      </w:pPr>
    </w:p>
    <w:p>
      <w:pPr>
        <w:jc w:val="both"/>
        <w:ind w:left="120"/>
        <w:spacing w:after="0" w:line="253" w:lineRule="auto"/>
        <w:rPr>
          <w:sz w:val="20"/>
          <w:szCs w:val="20"/>
          <w:color w:val="auto"/>
        </w:rPr>
      </w:pPr>
      <w:r>
        <w:rPr>
          <w:rFonts w:ascii="Arial" w:cs="Arial" w:eastAsia="Arial" w:hAnsi="Arial"/>
          <w:sz w:val="22"/>
          <w:szCs w:val="22"/>
          <w:color w:val="auto"/>
        </w:rPr>
        <w:t>For the avoidance of doubt, the provisions of Section 10.04 of the Credit Agreement shall apply to, and inure to the benefit of, each Lead Arranger, each Syndication Agent and each Documentation Agent in connection with their respective roles hereunder.</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u w:val="single" w:color="auto"/>
          <w:color w:val="auto"/>
        </w:rPr>
        <w:t>SECTION FOUR - Conditions to Effectiveness</w:t>
      </w:r>
      <w:r>
        <w:rPr>
          <w:rFonts w:ascii="Arial" w:cs="Arial" w:eastAsia="Arial" w:hAnsi="Arial"/>
          <w:sz w:val="22"/>
          <w:szCs w:val="22"/>
          <w:color w:val="auto"/>
        </w:rPr>
        <w:t xml:space="preserve"> . The provisions of Section One of this Eighth Amendment shall become effective on the date (the “ </w:t>
      </w:r>
      <w:r>
        <w:rPr>
          <w:rFonts w:ascii="Arial" w:cs="Arial" w:eastAsia="Arial" w:hAnsi="Arial"/>
          <w:sz w:val="22"/>
          <w:szCs w:val="22"/>
          <w:u w:val="single" w:color="auto"/>
          <w:color w:val="auto"/>
        </w:rPr>
        <w:t>Eighth Amendment Effective Date</w:t>
      </w:r>
      <w:r>
        <w:rPr>
          <w:rFonts w:ascii="Arial" w:cs="Arial" w:eastAsia="Arial" w:hAnsi="Arial"/>
          <w:sz w:val="22"/>
          <w:szCs w:val="22"/>
          <w:color w:val="auto"/>
        </w:rPr>
        <w:t xml:space="preserve"> ”) when each of the following conditions specified below shall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9" w:name="page180"/>
    <w:bookmarkEnd w:id="179"/>
    <w:p>
      <w:pPr>
        <w:jc w:val="both"/>
        <w:ind w:left="-1120" w:firstLine="1304"/>
        <w:spacing w:after="0" w:line="257" w:lineRule="auto"/>
        <w:tabs>
          <w:tab w:leader="none" w:pos="1118"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Borrower, the Guarantor, the Administrative Agent, the 2020 Incremental Term Loan Lender, and the 2020 Designated Replacement Term Lender shall have signed a counterpart hereof (whether the same or different counterparts), and the 2020 Replacement Term Lenders shall have signed a counterpart of its Lender Consent and each shall have delivered the same to Milbank LLP, 55 Hudson Yards, New York, NY 10001, attention: Joshua Forman;</w:t>
      </w:r>
    </w:p>
    <w:p>
      <w:pPr>
        <w:spacing w:after="0" w:line="144" w:lineRule="exact"/>
        <w:rPr>
          <w:rFonts w:ascii="Arial" w:cs="Arial" w:eastAsia="Arial" w:hAnsi="Arial"/>
          <w:sz w:val="19"/>
          <w:szCs w:val="19"/>
          <w:color w:val="auto"/>
        </w:rPr>
      </w:pPr>
    </w:p>
    <w:p>
      <w:pPr>
        <w:jc w:val="both"/>
        <w:ind w:left="-1120" w:firstLine="1304"/>
        <w:spacing w:after="0" w:line="252" w:lineRule="auto"/>
        <w:tabs>
          <w:tab w:leader="none" w:pos="1143" w:val="left"/>
        </w:tabs>
        <w:numPr>
          <w:ilvl w:val="0"/>
          <w:numId w:val="158"/>
        </w:numPr>
        <w:rPr>
          <w:rFonts w:ascii="Arial" w:cs="Arial" w:eastAsia="Arial" w:hAnsi="Arial"/>
          <w:sz w:val="19"/>
          <w:szCs w:val="19"/>
          <w:color w:val="auto"/>
        </w:rPr>
      </w:pPr>
      <w:r>
        <w:rPr>
          <w:rFonts w:ascii="Arial" w:cs="Arial" w:eastAsia="Arial" w:hAnsi="Arial"/>
          <w:sz w:val="19"/>
          <w:szCs w:val="19"/>
          <w:color w:val="auto"/>
        </w:rPr>
        <w:t>all reasonable invoiced out-of-pocket expenses incurred by the Lenders and the Administrative Agent pursuant to Section 10.04 of the Credit Agreement or the Engagement Letter (including the reasonable and documented fees, charges and disbursements of counsel) and all accrued and unpaid fees, owing and payable (including any fees agreed to in connection with this Eighth Amendment) shall have been paid to the extent invoiced at least two (2) Business Days prior to the Eighth Amendment Effective Date (or such shorter period as may be agreed by the Borrower);</w:t>
      </w:r>
    </w:p>
    <w:p>
      <w:pPr>
        <w:spacing w:after="0" w:line="148" w:lineRule="exact"/>
        <w:rPr>
          <w:rFonts w:ascii="Arial" w:cs="Arial" w:eastAsia="Arial" w:hAnsi="Arial"/>
          <w:sz w:val="19"/>
          <w:szCs w:val="19"/>
          <w:color w:val="auto"/>
        </w:rPr>
      </w:pPr>
    </w:p>
    <w:p>
      <w:pPr>
        <w:ind w:left="-1120" w:firstLine="1304"/>
        <w:spacing w:after="0" w:line="232" w:lineRule="auto"/>
        <w:tabs>
          <w:tab w:leader="none" w:pos="1145" w:val="left"/>
        </w:tabs>
        <w:numPr>
          <w:ilvl w:val="0"/>
          <w:numId w:val="158"/>
        </w:numPr>
        <w:rPr>
          <w:rFonts w:ascii="Arial" w:cs="Arial" w:eastAsia="Arial" w:hAnsi="Arial"/>
          <w:sz w:val="22"/>
          <w:szCs w:val="22"/>
          <w:color w:val="auto"/>
        </w:rPr>
      </w:pPr>
      <w:r>
        <w:rPr>
          <w:rFonts w:ascii="Arial" w:cs="Arial" w:eastAsia="Arial" w:hAnsi="Arial"/>
          <w:sz w:val="22"/>
          <w:szCs w:val="22"/>
          <w:color w:val="auto"/>
        </w:rPr>
        <w:t>the Administrative Agent shall have received an Officer’s Certificate certifying as to the Collateral Coverage Ratio in accordance with Section 4.02(d) of the Credit Agreement;</w:t>
      </w:r>
    </w:p>
    <w:p>
      <w:pPr>
        <w:spacing w:after="0" w:line="158" w:lineRule="exact"/>
        <w:rPr>
          <w:rFonts w:ascii="Arial" w:cs="Arial" w:eastAsia="Arial" w:hAnsi="Arial"/>
          <w:sz w:val="22"/>
          <w:szCs w:val="22"/>
          <w:color w:val="auto"/>
        </w:rPr>
      </w:pPr>
    </w:p>
    <w:p>
      <w:pPr>
        <w:jc w:val="both"/>
        <w:ind w:left="-1120" w:firstLine="1304"/>
        <w:spacing w:after="0" w:line="268" w:lineRule="auto"/>
        <w:tabs>
          <w:tab w:leader="none" w:pos="113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Administrative Agent shall have received a customary written opinion of Latham &amp; Watkins LLP, special counsel for the Borrower and the Guarantor addressed to the Administrative Agent, the 2020 Incremental Term Loan Lender and the 2020 Replacement Term Lenders party hereto, and dated the Eighth Amendment Effective Date;</w:t>
      </w:r>
    </w:p>
    <w:p>
      <w:pPr>
        <w:spacing w:after="0" w:line="132" w:lineRule="exact"/>
        <w:rPr>
          <w:rFonts w:ascii="Arial" w:cs="Arial" w:eastAsia="Arial" w:hAnsi="Arial"/>
          <w:sz w:val="19"/>
          <w:szCs w:val="19"/>
          <w:color w:val="auto"/>
        </w:rPr>
      </w:pPr>
    </w:p>
    <w:p>
      <w:pPr>
        <w:jc w:val="both"/>
        <w:ind w:left="-1120" w:firstLine="1304"/>
        <w:spacing w:after="0" w:line="219" w:lineRule="auto"/>
        <w:tabs>
          <w:tab w:leader="none" w:pos="1131"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 certificate of the Secretary or Assistant Secretary (or similar Responsible Officer), dated the Eighth Amendment Effective Date (i) certifying as to the incumbency and specimen signature of each Responsible Officer of the Borrower and the Guarantor executing this Eighth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21"/>
          <w:szCs w:val="21"/>
          <w:u w:val="single" w:color="auto"/>
          <w:color w:val="auto"/>
        </w:rPr>
        <w:t>clause (e)</w:t>
      </w:r>
      <w:r>
        <w:rPr>
          <w:rFonts w:ascii="Arial" w:cs="Arial" w:eastAsia="Arial" w:hAnsi="Arial"/>
          <w:sz w:val="21"/>
          <w:szCs w:val="21"/>
          <w:color w:val="auto"/>
        </w:rPr>
        <w:t xml:space="preserve"> ),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Eighth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168" w:lineRule="exact"/>
        <w:rPr>
          <w:rFonts w:ascii="Arial" w:cs="Arial" w:eastAsia="Arial" w:hAnsi="Arial"/>
          <w:sz w:val="21"/>
          <w:szCs w:val="21"/>
          <w:color w:val="auto"/>
        </w:rPr>
      </w:pPr>
    </w:p>
    <w:p>
      <w:pPr>
        <w:jc w:val="both"/>
        <w:ind w:left="-1120" w:firstLine="1304"/>
        <w:spacing w:after="0" w:line="226" w:lineRule="auto"/>
        <w:tabs>
          <w:tab w:leader="none" w:pos="1121" w:val="left"/>
        </w:tabs>
        <w:numPr>
          <w:ilvl w:val="0"/>
          <w:numId w:val="158"/>
        </w:numPr>
        <w:rPr>
          <w:rFonts w:ascii="Arial" w:cs="Arial" w:eastAsia="Arial" w:hAnsi="Arial"/>
          <w:sz w:val="21"/>
          <w:szCs w:val="21"/>
          <w:color w:val="auto"/>
        </w:rPr>
      </w:pPr>
      <w:r>
        <w:rPr>
          <w:rFonts w:ascii="Arial" w:cs="Arial" w:eastAsia="Arial" w:hAnsi="Arial"/>
          <w:sz w:val="21"/>
          <w:szCs w:val="21"/>
          <w:color w:val="auto"/>
        </w:rPr>
        <w:t xml:space="preserve">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 3.09(a) and 3.19 of the Credit Agreement) as though made on the date hereof, or, in the case of any such representation and warranty that relates to a specified date, as though made as of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that any representation or warranty that is qualified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483235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80" w:name="page181"/>
    <w:bookmarkEnd w:id="180"/>
    <w:p>
      <w:pPr>
        <w:jc w:val="both"/>
        <w:spacing w:after="0" w:line="219" w:lineRule="auto"/>
        <w:rPr>
          <w:sz w:val="20"/>
          <w:szCs w:val="20"/>
          <w:color w:val="auto"/>
        </w:rPr>
      </w:pPr>
      <w:r>
        <w:rPr>
          <w:rFonts w:ascii="Arial" w:cs="Arial" w:eastAsia="Arial" w:hAnsi="Arial"/>
          <w:sz w:val="21"/>
          <w:szCs w:val="21"/>
          <w:color w:val="auto"/>
        </w:rPr>
        <w:t xml:space="preserve">materiality (it being understood that any representation or warranty that excludes circumstances that would not result in a “Material Adverse Change” or “Material Adverse Effect” shall not be considered (for purposes of this proviso) to be qualified by materiality;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 that for purposes of this Section 3(f), the representations and warranties contained in Sections 3.04(a) and 3.05(a) of the Credit Agreement shall be deemed to refer to the audited consolidated financial statements of Parent and its Subsidiaries for the fiscal year ended December 31, 2018, included in Parent’s Annual Report on Form 10-K for 2018 (as amended) and the unaudited consolidated financial statements of Parent and its Subsidiaries for the fiscal quarter ended September 30, 2019, Annual Report on Form 10-K for 2018 and Quarterly Reports on Form 10-Q, or Current Reports on Form 8-K that have been filed after December 31, 2018 by Parent with the SEC) shall be true and correct in all respects as of the applicable date, before and after giving effect to this Eighth Amendment and (B) as to the absence of any event occurring and continuing, or resulting from this Eighth Amendment on, the Eighth Amendment Effective Date, that constitutes a Default or Event of Default;</w:t>
      </w:r>
    </w:p>
    <w:p>
      <w:pPr>
        <w:spacing w:after="0" w:line="168" w:lineRule="exact"/>
        <w:rPr>
          <w:sz w:val="20"/>
          <w:szCs w:val="20"/>
          <w:color w:val="auto"/>
        </w:rPr>
      </w:pPr>
    </w:p>
    <w:p>
      <w:pPr>
        <w:ind w:firstLine="1304"/>
        <w:spacing w:after="0" w:line="247" w:lineRule="auto"/>
        <w:tabs>
          <w:tab w:leader="none" w:pos="2263"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the conditions to the establishment of the 2020 Incremental Term Loan Commitment pursuant to this Eighth Amendment set forth in Section 2.27(b)(i) and (ii) of the Credit Agreement shall have been satisfied; and</w:t>
      </w:r>
    </w:p>
    <w:p>
      <w:pPr>
        <w:spacing w:after="0" w:line="150" w:lineRule="exact"/>
        <w:rPr>
          <w:rFonts w:ascii="Arial" w:cs="Arial" w:eastAsia="Arial" w:hAnsi="Arial"/>
          <w:sz w:val="21"/>
          <w:szCs w:val="21"/>
          <w:color w:val="auto"/>
        </w:rPr>
      </w:pPr>
    </w:p>
    <w:p>
      <w:pPr>
        <w:jc w:val="both"/>
        <w:ind w:firstLine="1304"/>
        <w:spacing w:after="0" w:line="223" w:lineRule="auto"/>
        <w:tabs>
          <w:tab w:leader="none" w:pos="227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the Administrative Agent shall have received a Loan Request delivered in compliance with Section 2.03(b) of the Credit Agreement not later than 1:00 p.m. New York City time one (1) Business Day before the Eighth Amendment Effective Date or such shorter time as the Administrative Agent may agree.</w:t>
      </w:r>
    </w:p>
    <w:p>
      <w:pPr>
        <w:spacing w:after="0" w:line="18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u w:val="single" w:color="auto"/>
          <w:color w:val="auto"/>
        </w:rPr>
        <w:t>SECTION FIVE - No Default; Representations and Warranties</w:t>
      </w:r>
      <w:r>
        <w:rPr>
          <w:rFonts w:ascii="Arial" w:cs="Arial" w:eastAsia="Arial" w:hAnsi="Arial"/>
          <w:sz w:val="19"/>
          <w:szCs w:val="19"/>
          <w:color w:val="auto"/>
        </w:rPr>
        <w:t xml:space="preserve"> . In order to induce the 2020 Replacement Term Lenders, the 2020 Incremental Term Loan Lender and the Administrative Agent to enter into this Eighth Amendment, the Borrower represents and warrants to each of the 2020 Replacement Term Lenders, the 2020 Incremental Term Loan Lender and the Administrative Agent that, on and as of the date hereof after giving effect to this Eighth Amendment, (i) no Default or Event of Default has occurred and is continuing or would result from giving effect to this Eighth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for purposes of this Section Five, the representations and warranties contained in Sections 3.04(a) and 3.05(a) of the Credit Agreement shall be deemed to refer to the audited consolidated financial statements of Parent and its Subsidiaries for the fiscal year ended December 31, 2018, included in Parent’s Annual Report on Form 10-K for 2018 (as amended) and the unaudited consolidated financial statements of Parent and its Subsidiaries for the fiscal quarter ended September 30, 2019, Annual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1" w:name="page182"/>
    <w:bookmarkEnd w:id="181"/>
    <w:p>
      <w:pPr>
        <w:jc w:val="both"/>
        <w:ind w:right="20"/>
        <w:spacing w:after="0" w:line="253" w:lineRule="auto"/>
        <w:rPr>
          <w:sz w:val="20"/>
          <w:szCs w:val="20"/>
          <w:color w:val="auto"/>
        </w:rPr>
      </w:pPr>
      <w:r>
        <w:rPr>
          <w:rFonts w:ascii="Arial" w:cs="Arial" w:eastAsia="Arial" w:hAnsi="Arial"/>
          <w:sz w:val="22"/>
          <w:szCs w:val="22"/>
          <w:color w:val="auto"/>
        </w:rPr>
        <w:t>Form 10-K for 2018 and Quarterly Reports on Form 10-Q, or Current Reports on Form 8-K that have been filed after December 31, 2018 by Parent with the SEC) shall be true and correct in all respects as of the applicable date, before and after giving effect to this Eighth Amendment.</w:t>
      </w:r>
    </w:p>
    <w:p>
      <w:pPr>
        <w:spacing w:after="0" w:line="185" w:lineRule="exact"/>
        <w:rPr>
          <w:sz w:val="20"/>
          <w:szCs w:val="20"/>
          <w:color w:val="auto"/>
        </w:rPr>
      </w:pPr>
    </w:p>
    <w:p>
      <w:pPr>
        <w:jc w:val="both"/>
        <w:ind w:left="80" w:firstLine="1296"/>
        <w:spacing w:after="0" w:line="292" w:lineRule="auto"/>
        <w:rPr>
          <w:sz w:val="20"/>
          <w:szCs w:val="20"/>
          <w:color w:val="auto"/>
        </w:rPr>
      </w:pPr>
      <w:r>
        <w:rPr>
          <w:rFonts w:ascii="Arial" w:cs="Arial" w:eastAsia="Arial" w:hAnsi="Arial"/>
          <w:sz w:val="19"/>
          <w:szCs w:val="19"/>
          <w:u w:val="single" w:color="auto"/>
          <w:color w:val="auto"/>
        </w:rPr>
        <w:t>SECTION SIX - Confirmation</w:t>
      </w:r>
      <w:r>
        <w:rPr>
          <w:rFonts w:ascii="Arial" w:cs="Arial" w:eastAsia="Arial" w:hAnsi="Arial"/>
          <w:sz w:val="19"/>
          <w:szCs w:val="19"/>
          <w:color w:val="auto"/>
        </w:rPr>
        <w:t xml:space="preserve"> .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2020 Term Loans (after giving effect to this Eighth Amendment) and all obligations of the Guarantor with respect to the guarantee of such obligations, respectively, and (ii) reaffirm the grant of Liens on the Collateral to secure the Obligations (including the Obligations under the 2020 Term Loans incurred pursuant to this Eighth Amendment) pursuant to the Collateral Documents.</w:t>
      </w:r>
    </w:p>
    <w:p>
      <w:pPr>
        <w:spacing w:after="0" w:line="151" w:lineRule="exact"/>
        <w:rPr>
          <w:sz w:val="20"/>
          <w:szCs w:val="20"/>
          <w:color w:val="auto"/>
        </w:rPr>
      </w:pPr>
    </w:p>
    <w:p>
      <w:pPr>
        <w:jc w:val="both"/>
        <w:ind w:left="80" w:firstLine="1296"/>
        <w:spacing w:after="0" w:line="289" w:lineRule="auto"/>
        <w:rPr>
          <w:sz w:val="20"/>
          <w:szCs w:val="20"/>
          <w:color w:val="auto"/>
        </w:rPr>
      </w:pPr>
      <w:r>
        <w:rPr>
          <w:rFonts w:ascii="Arial" w:cs="Arial" w:eastAsia="Arial" w:hAnsi="Arial"/>
          <w:sz w:val="19"/>
          <w:szCs w:val="19"/>
          <w:u w:val="single" w:color="auto"/>
          <w:color w:val="auto"/>
        </w:rPr>
        <w:t>SECTION SEVEN - Reference to and Effect on the Credit Agreement</w:t>
      </w:r>
      <w:r>
        <w:rPr>
          <w:rFonts w:ascii="Arial" w:cs="Arial" w:eastAsia="Arial" w:hAnsi="Arial"/>
          <w:sz w:val="19"/>
          <w:szCs w:val="19"/>
          <w:color w:val="auto"/>
        </w:rPr>
        <w:t xml:space="preserve"> . On and after the Eighth Amendment Effective Date, each reference in the Credit Agreement to “this Agreement,” “hereunder,” “hereof” or words of like import referring to the Credit Agreement, shall mean and be a reference to the Credit Agreement as amended by this Eighth Amendment. The Credit Agreement and each of the other Loan Documents, as specifically amended by this Eighth Amendment, are and shall continue to be in full force and effect and are hereby in all respects ratified and confirmed. This Eighth Amendment shall be deemed to be a “Loan Document” for all purposes of the Credit Agreement (as amended hereby) and the other Loan Documents. The execution, delivery and effectiveness of this Eighth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57" w:lineRule="exact"/>
        <w:rPr>
          <w:sz w:val="20"/>
          <w:szCs w:val="20"/>
          <w:color w:val="auto"/>
        </w:rPr>
      </w:pPr>
    </w:p>
    <w:p>
      <w:pPr>
        <w:jc w:val="both"/>
        <w:ind w:left="80" w:firstLine="1296"/>
        <w:spacing w:after="0" w:line="247" w:lineRule="auto"/>
        <w:rPr>
          <w:sz w:val="20"/>
          <w:szCs w:val="20"/>
          <w:color w:val="auto"/>
        </w:rPr>
      </w:pPr>
      <w:r>
        <w:rPr>
          <w:rFonts w:ascii="Arial" w:cs="Arial" w:eastAsia="Arial" w:hAnsi="Arial"/>
          <w:sz w:val="22"/>
          <w:szCs w:val="22"/>
          <w:u w:val="single" w:color="auto"/>
          <w:color w:val="auto"/>
        </w:rPr>
        <w:t>SECTION EIGHT - Execution in Counterparts</w:t>
      </w:r>
      <w:r>
        <w:rPr>
          <w:rFonts w:ascii="Arial" w:cs="Arial" w:eastAsia="Arial" w:hAnsi="Arial"/>
          <w:sz w:val="22"/>
          <w:szCs w:val="22"/>
          <w:color w:val="auto"/>
        </w:rPr>
        <w:t xml:space="preserve"> . This Eighth Amendment may be executed in counterparts (and by different parties hereto on different counterparts), each of which shall constitute an original, but all of which when taken together shall constitute a single contract. This Eighth Amendment shall be binding upon and inure to the benefit of the parties hereto and their respective successors and assigns. Delivery of an executed counterpart of a signature page of this Eighth Amendment by facsimile or electronic .pdf copy shall be effective as delivery of a manually executed counterpart of this Eighth Amendment.</w:t>
      </w:r>
    </w:p>
    <w:p>
      <w:pPr>
        <w:spacing w:after="0" w:line="193" w:lineRule="exact"/>
        <w:rPr>
          <w:sz w:val="20"/>
          <w:szCs w:val="20"/>
          <w:color w:val="auto"/>
        </w:rPr>
      </w:pPr>
    </w:p>
    <w:p>
      <w:pPr>
        <w:jc w:val="both"/>
        <w:ind w:left="80" w:firstLine="1296"/>
        <w:spacing w:after="0" w:line="253" w:lineRule="auto"/>
        <w:rPr>
          <w:sz w:val="20"/>
          <w:szCs w:val="20"/>
          <w:color w:val="auto"/>
        </w:rPr>
      </w:pPr>
      <w:r>
        <w:rPr>
          <w:rFonts w:ascii="Arial" w:cs="Arial" w:eastAsia="Arial" w:hAnsi="Arial"/>
          <w:sz w:val="22"/>
          <w:szCs w:val="22"/>
          <w:u w:val="single" w:color="auto"/>
          <w:color w:val="auto"/>
        </w:rPr>
        <w:t>SECTION NINE - Governing Law</w:t>
      </w:r>
      <w:r>
        <w:rPr>
          <w:rFonts w:ascii="Arial" w:cs="Arial" w:eastAsia="Arial" w:hAnsi="Arial"/>
          <w:sz w:val="22"/>
          <w:szCs w:val="22"/>
          <w:color w:val="auto"/>
        </w:rPr>
        <w:t xml:space="preserve"> . THIS EIGHTH AMENDMENT AND THE RIGHTS AND OBLIGATIONS OF THE PARTIES UNDER THIS EIGHTH AMENDMENT SHALL BE GOVERNED BY, AND CONSTRUED AND INTERPRETED IN ACCORDANCE WITH, THE LAWS OF THE STATE OF NEW YORK.</w:t>
      </w:r>
    </w:p>
    <w:p>
      <w:pPr>
        <w:spacing w:after="0" w:line="185" w:lineRule="exact"/>
        <w:rPr>
          <w:sz w:val="20"/>
          <w:szCs w:val="20"/>
          <w:color w:val="auto"/>
        </w:rPr>
      </w:pPr>
    </w:p>
    <w:p>
      <w:pPr>
        <w:jc w:val="both"/>
        <w:ind w:left="80" w:firstLine="1296"/>
        <w:spacing w:after="0" w:line="253" w:lineRule="auto"/>
        <w:rPr>
          <w:sz w:val="20"/>
          <w:szCs w:val="20"/>
          <w:color w:val="auto"/>
        </w:rPr>
      </w:pPr>
      <w:r>
        <w:rPr>
          <w:rFonts w:ascii="Arial" w:cs="Arial" w:eastAsia="Arial" w:hAnsi="Arial"/>
          <w:sz w:val="22"/>
          <w:szCs w:val="22"/>
          <w:u w:val="single" w:color="auto"/>
          <w:color w:val="auto"/>
        </w:rPr>
        <w:t>SECTION TEN - Miscellaneous</w:t>
      </w:r>
      <w:r>
        <w:rPr>
          <w:rFonts w:ascii="Arial" w:cs="Arial" w:eastAsia="Arial" w:hAnsi="Arial"/>
          <w:sz w:val="22"/>
          <w:szCs w:val="22"/>
          <w:color w:val="auto"/>
        </w:rPr>
        <w:t xml:space="preserve"> .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82" w:name="page183"/>
    <w:bookmarkEnd w:id="182"/>
    <w:p>
      <w:pPr>
        <w:jc w:val="both"/>
        <w:ind w:left="-20" w:firstLine="1304"/>
        <w:spacing w:after="0" w:line="250" w:lineRule="auto"/>
        <w:tabs>
          <w:tab w:leader="none" w:pos="1784" w:val="left"/>
        </w:tabs>
        <w:numPr>
          <w:ilvl w:val="0"/>
          <w:numId w:val="160"/>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effective date of this Eighth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THIS PAGE IS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64" w:right="339" w:bottom="1440" w:gutter="0" w:footer="0" w:header="0"/>
        </w:sectPr>
      </w:pPr>
    </w:p>
    <w:bookmarkStart w:id="183" w:name="page184"/>
    <w:bookmarkEnd w:id="183"/>
    <w:p>
      <w:pPr>
        <w:ind w:firstLine="1296"/>
        <w:spacing w:after="0" w:line="263" w:lineRule="auto"/>
        <w:rPr>
          <w:sz w:val="20"/>
          <w:szCs w:val="20"/>
          <w:color w:val="auto"/>
        </w:rPr>
      </w:pPr>
      <w:r>
        <w:rPr>
          <w:rFonts w:ascii="Arial" w:cs="Arial" w:eastAsia="Arial" w:hAnsi="Arial"/>
          <w:sz w:val="22"/>
          <w:szCs w:val="22"/>
          <w:color w:val="auto"/>
        </w:rPr>
        <w:t>IN WITNESS WHEREOF, the parties hereto have caused this Eighth Amendment to be duly executed and delivered as of the day and year first above written.</w:t>
      </w:r>
    </w:p>
    <w:p>
      <w:pPr>
        <w:spacing w:after="0" w:line="200" w:lineRule="exact"/>
        <w:rPr>
          <w:sz w:val="20"/>
          <w:szCs w:val="20"/>
          <w:color w:val="auto"/>
        </w:rPr>
      </w:pPr>
    </w:p>
    <w:p>
      <w:pPr>
        <w:spacing w:after="0" w:line="23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-17780</wp:posOffset>
            </wp:positionV>
            <wp:extent cx="15938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593850" cy="8890"/>
                    </a:xfrm>
                    <a:prstGeom prst="rect">
                      <a:avLst/>
                    </a:prstGeom>
                    <a:noFill/>
                  </pic:spPr>
                </pic:pic>
              </a:graphicData>
            </a:graphic>
          </wp:anchor>
        </w:drawing>
      </w:r>
    </w:p>
    <w:p>
      <w:pPr>
        <w:spacing w:after="0" w:line="1"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T. Weir</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GROUP INC., as Parent and Guarantor</w:t>
      </w:r>
    </w:p>
    <w:p>
      <w:pPr>
        <w:spacing w:after="0" w:line="200" w:lineRule="exact"/>
        <w:rPr>
          <w:sz w:val="20"/>
          <w:szCs w:val="20"/>
          <w:color w:val="auto"/>
        </w:rPr>
      </w:pPr>
    </w:p>
    <w:p>
      <w:pPr>
        <w:spacing w:after="0" w:line="317"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-17780</wp:posOffset>
            </wp:positionV>
            <wp:extent cx="159385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Thomas T. Weir</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Eighth Amendment to A&amp;R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84" w:name="page185"/>
    <w:bookmarkEnd w:id="184"/>
    <w:p>
      <w:pPr>
        <w:ind w:left="278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9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Matthew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697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5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Matthew Burke</w:t>
      </w:r>
    </w:p>
    <w:p>
      <w:pPr>
        <w:spacing w:after="0" w:line="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Eighth Amendment to A&amp;R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8" w:right="1440" w:bottom="1440" w:gutter="0" w:footer="0" w:header="0"/>
        </w:sectPr>
      </w:pPr>
    </w:p>
    <w:bookmarkStart w:id="185" w:name="page186"/>
    <w:bookmarkEnd w:id="185"/>
    <w:p>
      <w:pPr>
        <w:ind w:left="278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the Designated 2020 Replacement Term Lender,</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 2020 Replacement Term Lender, and as the 2020 Incremental Term Loan Lender</w:t>
      </w:r>
    </w:p>
    <w:p>
      <w:pPr>
        <w:spacing w:after="0" w:line="200" w:lineRule="exact"/>
        <w:rPr>
          <w:sz w:val="20"/>
          <w:szCs w:val="20"/>
          <w:color w:val="auto"/>
        </w:rPr>
      </w:pPr>
    </w:p>
    <w:p>
      <w:pPr>
        <w:spacing w:after="0" w:line="33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Matthew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697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569720" cy="8890"/>
                    </a:xfrm>
                    <a:prstGeom prst="rect">
                      <a:avLst/>
                    </a:prstGeom>
                    <a:noFill/>
                  </pic:spPr>
                </pic:pic>
              </a:graphicData>
            </a:graphic>
          </wp:anchor>
        </w:drawing>
      </w:r>
    </w:p>
    <w:p>
      <w:pPr>
        <w:spacing w:after="0" w:line="1" w:lineRule="exact"/>
        <w:rPr>
          <w:sz w:val="20"/>
          <w:szCs w:val="20"/>
          <w:color w:val="auto"/>
        </w:rPr>
      </w:pPr>
    </w:p>
    <w:p>
      <w:pPr>
        <w:ind w:left="2780"/>
        <w:spacing w:after="0"/>
        <w:tabs>
          <w:tab w:leader="none" w:pos="35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Matthew Burke</w:t>
      </w:r>
    </w:p>
    <w:p>
      <w:pPr>
        <w:spacing w:after="0" w:line="4" w:lineRule="exact"/>
        <w:rPr>
          <w:sz w:val="20"/>
          <w:szCs w:val="20"/>
          <w:color w:val="auto"/>
        </w:rPr>
      </w:pPr>
    </w:p>
    <w:p>
      <w:pPr>
        <w:ind w:left="2780"/>
        <w:spacing w:after="0"/>
        <w:tabs>
          <w:tab w:leader="none" w:pos="3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52" w:lineRule="exact"/>
        <w:rPr>
          <w:sz w:val="20"/>
          <w:szCs w:val="20"/>
          <w:color w:val="auto"/>
        </w:rPr>
      </w:pPr>
    </w:p>
    <w:p>
      <w:pPr>
        <w:jc w:val="center"/>
        <w:ind w:right="92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Eighth Amendment to A&amp;R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1440" w:top="348" w:right="539" w:bottom="1440" w:gutter="0" w:footer="0" w:header="0"/>
        </w:sectPr>
      </w:pPr>
    </w:p>
    <w:bookmarkStart w:id="186" w:name="page187"/>
    <w:bookmarkEnd w:id="186"/>
    <w:tbl>
      <w:tblPr>
        <w:tblLayout w:type="fixed"/>
        <w:tblInd w:w="10" w:type="dxa"/>
        <w:tblCellMar>
          <w:top w:w="0" w:type="dxa"/>
          <w:left w:w="0" w:type="dxa"/>
          <w:bottom w:w="0" w:type="dxa"/>
          <w:right w:w="0" w:type="dxa"/>
        </w:tblCellMar>
      </w:tblPr>
      <w:tr>
        <w:trPr>
          <w:trHeight w:val="274"/>
        </w:trPr>
        <w:tc>
          <w:tcPr>
            <w:tcW w:w="5600" w:type="dxa"/>
            <w:vAlign w:val="bottom"/>
          </w:tcPr>
          <w:p>
            <w:pPr>
              <w:spacing w:after="0"/>
              <w:rPr>
                <w:sz w:val="23"/>
                <w:szCs w:val="23"/>
                <w:color w:val="auto"/>
              </w:rPr>
            </w:pPr>
          </w:p>
        </w:tc>
        <w:tc>
          <w:tcPr>
            <w:tcW w:w="5600" w:type="dxa"/>
            <w:vAlign w:val="bottom"/>
          </w:tcPr>
          <w:p>
            <w:pPr>
              <w:ind w:left="4640"/>
              <w:spacing w:after="0"/>
              <w:rPr>
                <w:sz w:val="20"/>
                <w:szCs w:val="20"/>
                <w:color w:val="auto"/>
              </w:rPr>
            </w:pPr>
            <w:r>
              <w:rPr>
                <w:rFonts w:ascii="Arial" w:cs="Arial" w:eastAsia="Arial" w:hAnsi="Arial"/>
                <w:sz w:val="22"/>
                <w:szCs w:val="22"/>
                <w:b w:val="1"/>
                <w:bCs w:val="1"/>
                <w:i w:val="1"/>
                <w:iCs w:val="1"/>
                <w:color w:val="auto"/>
                <w:w w:val="83"/>
              </w:rPr>
              <w:t>Schedule I</w:t>
            </w:r>
          </w:p>
        </w:tc>
      </w:tr>
      <w:tr>
        <w:trPr>
          <w:trHeight w:val="598"/>
        </w:trPr>
        <w:tc>
          <w:tcPr>
            <w:tcW w:w="56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84"/>
        </w:trPr>
        <w:tc>
          <w:tcPr>
            <w:tcW w:w="5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2020 Incremental Term Loan Lender</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2020 Incremental Term Loan Commitment</w:t>
            </w:r>
          </w:p>
        </w:tc>
      </w:tr>
      <w:tr>
        <w:trPr>
          <w:trHeight w:val="290"/>
        </w:trPr>
        <w:tc>
          <w:tcPr>
            <w:tcW w:w="5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Citibank, N.A.</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$17,809,278.36</w:t>
            </w:r>
          </w:p>
        </w:tc>
      </w:tr>
      <w:tr>
        <w:trPr>
          <w:trHeight w:val="291"/>
        </w:trPr>
        <w:tc>
          <w:tcPr>
            <w:tcW w:w="5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Total</w:t>
            </w: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$17,809,278.36</w:t>
            </w:r>
          </w:p>
        </w:tc>
      </w:tr>
    </w:tbl>
    <w:p>
      <w:pPr>
        <w:sectPr>
          <w:pgSz w:w="11900" w:h="16838" w:orient="portrait"/>
          <w:cols w:equalWidth="0" w:num="1">
            <w:col w:w="11200"/>
          </w:cols>
          <w:pgMar w:left="360" w:top="348"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10.4</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366395</wp:posOffset>
            </wp:positionV>
            <wp:extent cx="6737985" cy="3086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737985" cy="30861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40" w:right="400"/>
        <w:spacing w:after="0" w:line="246" w:lineRule="auto"/>
        <w:rPr>
          <w:sz w:val="20"/>
          <w:szCs w:val="20"/>
          <w:color w:val="auto"/>
        </w:rPr>
      </w:pPr>
      <w:r>
        <w:rPr>
          <w:rFonts w:ascii="Arial" w:cs="Arial" w:eastAsia="Arial" w:hAnsi="Arial"/>
          <w:sz w:val="18"/>
          <w:szCs w:val="18"/>
          <w:color w:val="auto"/>
        </w:rPr>
        <w:t>Certain confidential information contained in this document, marked by brackets, has been omitted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151130</wp:posOffset>
            </wp:positionV>
            <wp:extent cx="7149465" cy="76809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49465" cy="768096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CREDIT AND GUARANTY AGREEMENT</w:t>
      </w: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dated as of March 18, 2020</w:t>
      </w: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as the Borrower,</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AMERICAN AIRLINES GROUP INC.,</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as Parent and a Guarantor,</w:t>
      </w:r>
    </w:p>
    <w:p>
      <w:pPr>
        <w:spacing w:after="0" w:line="200" w:lineRule="exact"/>
        <w:rPr>
          <w:sz w:val="20"/>
          <w:szCs w:val="20"/>
          <w:color w:val="auto"/>
        </w:rPr>
      </w:pPr>
    </w:p>
    <w:p>
      <w:pPr>
        <w:spacing w:after="0" w:line="222" w:lineRule="exact"/>
        <w:rPr>
          <w:sz w:val="20"/>
          <w:szCs w:val="20"/>
          <w:color w:val="auto"/>
        </w:rPr>
      </w:pPr>
    </w:p>
    <w:p>
      <w:pPr>
        <w:jc w:val="center"/>
        <w:ind w:right="100"/>
        <w:spacing w:after="0" w:line="250" w:lineRule="auto"/>
        <w:rPr>
          <w:sz w:val="20"/>
          <w:szCs w:val="20"/>
          <w:color w:val="auto"/>
        </w:rPr>
      </w:pPr>
      <w:r>
        <w:rPr>
          <w:rFonts w:ascii="Arial" w:cs="Arial" w:eastAsia="Arial" w:hAnsi="Arial"/>
          <w:sz w:val="22"/>
          <w:szCs w:val="22"/>
          <w:color w:val="auto"/>
        </w:rPr>
        <w:t>THE SUBSIDIARIES OF PARENT FROM TIME TO TIME PARTY HERETO OTHER THAN THE BORROWER, as Guarantors,</w:t>
      </w:r>
    </w:p>
    <w:p>
      <w:pPr>
        <w:spacing w:after="0" w:line="391"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THE LENDERS PARTY HERETO,</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as Administrative Agent and Collateral Agent,</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as Left Lead Arranger and Bookrunner</w:t>
      </w: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BOFA SECURITIES, INC., GOLDMAN SACHS BANK USA AND JPMORGAN CHASE BANK, N.A.,</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as Joint Lead Arrangers and Bookrunners,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CITIBANK, N.A., BANK OF AMERICA, N.A., GOLDMAN SACHS BANK USA AND JPMORGAN CHASE BANK, N.A,</w:t>
      </w:r>
    </w:p>
    <w:p>
      <w:pPr>
        <w:spacing w:after="0" w:line="200" w:lineRule="exact"/>
        <w:rPr>
          <w:sz w:val="20"/>
          <w:szCs w:val="20"/>
          <w:color w:val="auto"/>
        </w:rPr>
      </w:pPr>
    </w:p>
    <w:p>
      <w:pPr>
        <w:spacing w:after="0" w:line="234"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as Syndication Agents,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CITIBANK, N.A., BANK OF AMERICA, N.A., GOLDMAN SACHS BANK USA AND JPMORGAN CHASE BANK, N.A,</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501650</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333" w:right="339" w:bottom="1440" w:gutter="0" w:footer="0" w:header="0"/>
        </w:sectPr>
      </w:pPr>
    </w:p>
    <w:bookmarkStart w:id="188" w:name="page189"/>
    <w:bookmarkEnd w:id="188"/>
    <w:p>
      <w:pPr>
        <w:ind w:left="4420"/>
        <w:spacing w:after="0"/>
        <w:rPr>
          <w:sz w:val="20"/>
          <w:szCs w:val="20"/>
          <w:color w:val="auto"/>
        </w:rPr>
      </w:pPr>
      <w:r>
        <w:rPr>
          <w:rFonts w:ascii="Arial" w:cs="Arial" w:eastAsia="Arial" w:hAnsi="Arial"/>
          <w:sz w:val="22"/>
          <w:szCs w:val="22"/>
          <w:b w:val="1"/>
          <w:bCs w:val="1"/>
          <w:color w:val="auto"/>
        </w:rPr>
        <w:t>TABLE OF CONTENTS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Article I</w:t>
      </w:r>
    </w:p>
    <w:p>
      <w:pPr>
        <w:spacing w:after="0" w:line="14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DEFINITIONS</w:t>
      </w:r>
    </w:p>
    <w:p>
      <w:pPr>
        <w:spacing w:after="0" w:line="233" w:lineRule="exact"/>
        <w:rPr>
          <w:sz w:val="20"/>
          <w:szCs w:val="20"/>
          <w:color w:val="auto"/>
        </w:rPr>
      </w:pPr>
    </w:p>
    <w:p>
      <w:pPr>
        <w:spacing w:after="0"/>
        <w:tabs>
          <w:tab w:leader="none" w:pos="2220" w:val="left"/>
          <w:tab w:leader="dot" w:pos="87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22"/>
          <w:szCs w:val="22"/>
          <w:color w:val="auto"/>
        </w:rPr>
        <w:t>Defined Terms</w:t>
      </w:r>
      <w:r>
        <w:rPr>
          <w:sz w:val="20"/>
          <w:szCs w:val="20"/>
          <w:color w:val="auto"/>
        </w:rPr>
        <w:tab/>
      </w:r>
      <w:r>
        <w:rPr>
          <w:rFonts w:ascii="Arial" w:cs="Arial" w:eastAsia="Arial" w:hAnsi="Arial"/>
          <w:sz w:val="17"/>
          <w:szCs w:val="17"/>
          <w:color w:val="auto"/>
        </w:rPr>
        <w:t>1</w:t>
      </w:r>
    </w:p>
    <w:p>
      <w:pPr>
        <w:spacing w:after="0" w:line="44" w:lineRule="exact"/>
        <w:rPr>
          <w:sz w:val="20"/>
          <w:szCs w:val="20"/>
          <w:color w:val="auto"/>
        </w:rPr>
      </w:pPr>
    </w:p>
    <w:p>
      <w:pPr>
        <w:spacing w:after="0"/>
        <w:tabs>
          <w:tab w:leader="none" w:pos="2220" w:val="left"/>
          <w:tab w:leader="dot" w:pos="862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22"/>
          <w:szCs w:val="22"/>
          <w:color w:val="auto"/>
        </w:rPr>
        <w:t>Terms Generally</w:t>
      </w:r>
      <w:r>
        <w:rPr>
          <w:sz w:val="20"/>
          <w:szCs w:val="20"/>
          <w:color w:val="auto"/>
        </w:rPr>
        <w:tab/>
      </w:r>
      <w:r>
        <w:rPr>
          <w:rFonts w:ascii="Arial" w:cs="Arial" w:eastAsia="Arial" w:hAnsi="Arial"/>
          <w:sz w:val="19"/>
          <w:szCs w:val="19"/>
          <w:color w:val="auto"/>
        </w:rPr>
        <w:t>57</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22"/>
          <w:szCs w:val="22"/>
          <w:color w:val="auto"/>
        </w:rPr>
        <w:t>Accounting Terms; GAAP</w:t>
      </w:r>
      <w:r>
        <w:rPr>
          <w:sz w:val="20"/>
          <w:szCs w:val="20"/>
          <w:color w:val="auto"/>
        </w:rPr>
        <w:tab/>
      </w:r>
      <w:r>
        <w:rPr>
          <w:rFonts w:ascii="Arial" w:cs="Arial" w:eastAsia="Arial" w:hAnsi="Arial"/>
          <w:sz w:val="19"/>
          <w:szCs w:val="19"/>
          <w:color w:val="auto"/>
        </w:rPr>
        <w:t>58</w:t>
      </w:r>
    </w:p>
    <w:p>
      <w:pPr>
        <w:spacing w:after="0" w:line="193"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II</w:t>
      </w:r>
    </w:p>
    <w:p>
      <w:pPr>
        <w:spacing w:after="0" w:line="16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AMOUNT AND TERMS OF CREDIT</w:t>
      </w:r>
    </w:p>
    <w:p>
      <w:pPr>
        <w:spacing w:after="0" w:line="233"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22"/>
          <w:szCs w:val="22"/>
          <w:color w:val="auto"/>
        </w:rPr>
        <w:t>Commitments of the Lenders; Term Loans</w:t>
      </w:r>
      <w:r>
        <w:rPr>
          <w:sz w:val="20"/>
          <w:szCs w:val="20"/>
          <w:color w:val="auto"/>
        </w:rPr>
        <w:tab/>
      </w:r>
      <w:r>
        <w:rPr>
          <w:rFonts w:ascii="Arial" w:cs="Arial" w:eastAsia="Arial" w:hAnsi="Arial"/>
          <w:sz w:val="19"/>
          <w:szCs w:val="19"/>
          <w:color w:val="auto"/>
        </w:rPr>
        <w:t>59</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22"/>
          <w:szCs w:val="22"/>
          <w:color w:val="auto"/>
        </w:rPr>
        <w:t>[Reserved]</w:t>
      </w:r>
      <w:r>
        <w:rPr>
          <w:sz w:val="20"/>
          <w:szCs w:val="20"/>
          <w:color w:val="auto"/>
        </w:rPr>
        <w:tab/>
      </w:r>
      <w:r>
        <w:rPr>
          <w:rFonts w:ascii="Arial" w:cs="Arial" w:eastAsia="Arial" w:hAnsi="Arial"/>
          <w:sz w:val="17"/>
          <w:szCs w:val="17"/>
          <w:color w:val="auto"/>
        </w:rPr>
        <w:t>59</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22"/>
          <w:szCs w:val="22"/>
          <w:color w:val="auto"/>
        </w:rPr>
        <w:t>Requests for Loans</w:t>
      </w:r>
      <w:r>
        <w:rPr>
          <w:sz w:val="20"/>
          <w:szCs w:val="20"/>
          <w:color w:val="auto"/>
        </w:rPr>
        <w:tab/>
      </w:r>
      <w:r>
        <w:rPr>
          <w:rFonts w:ascii="Arial" w:cs="Arial" w:eastAsia="Arial" w:hAnsi="Arial"/>
          <w:sz w:val="19"/>
          <w:szCs w:val="19"/>
          <w:color w:val="auto"/>
        </w:rPr>
        <w:t>59</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22"/>
          <w:szCs w:val="22"/>
          <w:color w:val="auto"/>
        </w:rPr>
        <w:t>Funding of Loans</w:t>
      </w:r>
      <w:r>
        <w:rPr>
          <w:sz w:val="20"/>
          <w:szCs w:val="20"/>
          <w:color w:val="auto"/>
        </w:rPr>
        <w:tab/>
      </w:r>
      <w:r>
        <w:rPr>
          <w:rFonts w:ascii="Arial" w:cs="Arial" w:eastAsia="Arial" w:hAnsi="Arial"/>
          <w:sz w:val="19"/>
          <w:szCs w:val="19"/>
          <w:color w:val="auto"/>
        </w:rPr>
        <w:t>60</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22"/>
          <w:szCs w:val="22"/>
          <w:color w:val="auto"/>
        </w:rPr>
        <w:t>Interest Elections</w:t>
      </w:r>
      <w:r>
        <w:rPr>
          <w:sz w:val="20"/>
          <w:szCs w:val="20"/>
          <w:color w:val="auto"/>
        </w:rPr>
        <w:tab/>
      </w:r>
      <w:r>
        <w:rPr>
          <w:rFonts w:ascii="Arial" w:cs="Arial" w:eastAsia="Arial" w:hAnsi="Arial"/>
          <w:sz w:val="19"/>
          <w:szCs w:val="19"/>
          <w:color w:val="auto"/>
        </w:rPr>
        <w:t>61</w:t>
      </w:r>
    </w:p>
    <w:p>
      <w:pPr>
        <w:spacing w:after="0" w:line="44" w:lineRule="exact"/>
        <w:rPr>
          <w:sz w:val="20"/>
          <w:szCs w:val="20"/>
          <w:color w:val="auto"/>
        </w:rPr>
      </w:pPr>
    </w:p>
    <w:p>
      <w:pPr>
        <w:spacing w:after="0"/>
        <w:tabs>
          <w:tab w:leader="none" w:pos="2220" w:val="left"/>
          <w:tab w:leader="dot" w:pos="874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22"/>
          <w:szCs w:val="22"/>
          <w:color w:val="auto"/>
        </w:rPr>
        <w:t>Limitation on Eurodollar Tranches</w:t>
      </w:r>
      <w:r>
        <w:rPr>
          <w:sz w:val="20"/>
          <w:szCs w:val="20"/>
          <w:color w:val="auto"/>
        </w:rPr>
        <w:tab/>
      </w:r>
      <w:r>
        <w:rPr>
          <w:rFonts w:ascii="Arial" w:cs="Arial" w:eastAsia="Arial" w:hAnsi="Arial"/>
          <w:sz w:val="19"/>
          <w:szCs w:val="19"/>
          <w:color w:val="auto"/>
        </w:rPr>
        <w:t>62</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22"/>
          <w:szCs w:val="22"/>
          <w:color w:val="auto"/>
        </w:rPr>
        <w:t>Interest on Loans</w:t>
      </w:r>
      <w:r>
        <w:rPr>
          <w:sz w:val="20"/>
          <w:szCs w:val="20"/>
          <w:color w:val="auto"/>
        </w:rPr>
        <w:tab/>
      </w:r>
      <w:r>
        <w:rPr>
          <w:rFonts w:ascii="Arial" w:cs="Arial" w:eastAsia="Arial" w:hAnsi="Arial"/>
          <w:sz w:val="19"/>
          <w:szCs w:val="19"/>
          <w:color w:val="auto"/>
        </w:rPr>
        <w:t>62</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2.08.</w:t>
      </w:r>
      <w:r>
        <w:rPr>
          <w:sz w:val="20"/>
          <w:szCs w:val="20"/>
          <w:color w:val="auto"/>
        </w:rPr>
        <w:tab/>
      </w:r>
      <w:r>
        <w:rPr>
          <w:rFonts w:ascii="Arial" w:cs="Arial" w:eastAsia="Arial" w:hAnsi="Arial"/>
          <w:sz w:val="22"/>
          <w:szCs w:val="22"/>
          <w:color w:val="auto"/>
        </w:rPr>
        <w:t>Default Interest</w:t>
      </w:r>
      <w:r>
        <w:rPr>
          <w:sz w:val="20"/>
          <w:szCs w:val="20"/>
          <w:color w:val="auto"/>
        </w:rPr>
        <w:tab/>
      </w:r>
      <w:r>
        <w:rPr>
          <w:rFonts w:ascii="Arial" w:cs="Arial" w:eastAsia="Arial" w:hAnsi="Arial"/>
          <w:sz w:val="19"/>
          <w:szCs w:val="19"/>
          <w:color w:val="auto"/>
        </w:rPr>
        <w:t>62</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2.09.</w:t>
      </w:r>
      <w:r>
        <w:rPr>
          <w:sz w:val="20"/>
          <w:szCs w:val="20"/>
          <w:color w:val="auto"/>
        </w:rPr>
        <w:tab/>
      </w:r>
      <w:r>
        <w:rPr>
          <w:rFonts w:ascii="Arial" w:cs="Arial" w:eastAsia="Arial" w:hAnsi="Arial"/>
          <w:sz w:val="22"/>
          <w:szCs w:val="22"/>
          <w:color w:val="auto"/>
        </w:rPr>
        <w:t>Alternate Rate of Interest</w:t>
      </w:r>
      <w:r>
        <w:rPr>
          <w:sz w:val="20"/>
          <w:szCs w:val="20"/>
          <w:color w:val="auto"/>
        </w:rPr>
        <w:tab/>
      </w:r>
      <w:r>
        <w:rPr>
          <w:rFonts w:ascii="Arial" w:cs="Arial" w:eastAsia="Arial" w:hAnsi="Arial"/>
          <w:sz w:val="19"/>
          <w:szCs w:val="19"/>
          <w:color w:val="auto"/>
        </w:rPr>
        <w:t>63</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22"/>
          <w:szCs w:val="22"/>
          <w:color w:val="auto"/>
        </w:rPr>
        <w:t>Amortization of Term Loans; Repayment of Loans; Evidence of Debt</w:t>
      </w:r>
      <w:r>
        <w:rPr>
          <w:sz w:val="20"/>
          <w:szCs w:val="20"/>
          <w:color w:val="auto"/>
        </w:rPr>
        <w:tab/>
      </w:r>
      <w:r>
        <w:rPr>
          <w:rFonts w:ascii="Arial" w:cs="Arial" w:eastAsia="Arial" w:hAnsi="Arial"/>
          <w:sz w:val="19"/>
          <w:szCs w:val="19"/>
          <w:color w:val="auto"/>
        </w:rPr>
        <w:t>63</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22"/>
          <w:szCs w:val="22"/>
          <w:color w:val="auto"/>
        </w:rPr>
        <w:t>Optional Termination of Reduction of Commitments</w:t>
      </w:r>
      <w:r>
        <w:rPr>
          <w:sz w:val="20"/>
          <w:szCs w:val="20"/>
          <w:color w:val="auto"/>
        </w:rPr>
        <w:tab/>
      </w:r>
      <w:r>
        <w:rPr>
          <w:rFonts w:ascii="Arial" w:cs="Arial" w:eastAsia="Arial" w:hAnsi="Arial"/>
          <w:sz w:val="19"/>
          <w:szCs w:val="19"/>
          <w:color w:val="auto"/>
        </w:rPr>
        <w:t>64</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22"/>
          <w:szCs w:val="22"/>
          <w:color w:val="auto"/>
        </w:rPr>
        <w:t>Mandatory Prepayment of Loans; Commitment Termination</w:t>
      </w:r>
      <w:r>
        <w:rPr>
          <w:sz w:val="20"/>
          <w:szCs w:val="20"/>
          <w:color w:val="auto"/>
        </w:rPr>
        <w:tab/>
      </w:r>
      <w:r>
        <w:rPr>
          <w:rFonts w:ascii="Arial" w:cs="Arial" w:eastAsia="Arial" w:hAnsi="Arial"/>
          <w:sz w:val="19"/>
          <w:szCs w:val="19"/>
          <w:color w:val="auto"/>
        </w:rPr>
        <w:t>64</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22"/>
          <w:szCs w:val="22"/>
          <w:color w:val="auto"/>
        </w:rPr>
        <w:t>Optional Prepayment of Loans</w:t>
      </w:r>
      <w:r>
        <w:rPr>
          <w:sz w:val="20"/>
          <w:szCs w:val="20"/>
          <w:color w:val="auto"/>
        </w:rPr>
        <w:tab/>
      </w:r>
      <w:r>
        <w:rPr>
          <w:rFonts w:ascii="Arial" w:cs="Arial" w:eastAsia="Arial" w:hAnsi="Arial"/>
          <w:sz w:val="19"/>
          <w:szCs w:val="19"/>
          <w:color w:val="auto"/>
        </w:rPr>
        <w:t>66</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22"/>
          <w:szCs w:val="22"/>
          <w:color w:val="auto"/>
        </w:rPr>
        <w:t>Increased Costs</w:t>
      </w:r>
      <w:r>
        <w:rPr>
          <w:sz w:val="20"/>
          <w:szCs w:val="20"/>
          <w:color w:val="auto"/>
        </w:rPr>
        <w:tab/>
      </w:r>
      <w:r>
        <w:rPr>
          <w:rFonts w:ascii="Arial" w:cs="Arial" w:eastAsia="Arial" w:hAnsi="Arial"/>
          <w:sz w:val="19"/>
          <w:szCs w:val="19"/>
          <w:color w:val="auto"/>
        </w:rPr>
        <w:t>67</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2.15.</w:t>
      </w:r>
      <w:r>
        <w:rPr>
          <w:sz w:val="20"/>
          <w:szCs w:val="20"/>
          <w:color w:val="auto"/>
        </w:rPr>
        <w:tab/>
      </w:r>
      <w:r>
        <w:rPr>
          <w:rFonts w:ascii="Arial" w:cs="Arial" w:eastAsia="Arial" w:hAnsi="Arial"/>
          <w:sz w:val="22"/>
          <w:szCs w:val="22"/>
          <w:color w:val="auto"/>
        </w:rPr>
        <w:t>Break Funding Payments</w:t>
      </w:r>
      <w:r>
        <w:rPr>
          <w:sz w:val="20"/>
          <w:szCs w:val="20"/>
          <w:color w:val="auto"/>
        </w:rPr>
        <w:tab/>
      </w:r>
      <w:r>
        <w:rPr>
          <w:rFonts w:ascii="Arial" w:cs="Arial" w:eastAsia="Arial" w:hAnsi="Arial"/>
          <w:sz w:val="19"/>
          <w:szCs w:val="19"/>
          <w:color w:val="auto"/>
        </w:rPr>
        <w:t>68</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22"/>
          <w:szCs w:val="22"/>
          <w:color w:val="auto"/>
        </w:rPr>
        <w:t>Taxes</w:t>
      </w:r>
      <w:r>
        <w:rPr>
          <w:sz w:val="20"/>
          <w:szCs w:val="20"/>
          <w:color w:val="auto"/>
        </w:rPr>
        <w:tab/>
      </w:r>
      <w:r>
        <w:rPr>
          <w:rFonts w:ascii="Arial" w:cs="Arial" w:eastAsia="Arial" w:hAnsi="Arial"/>
          <w:sz w:val="17"/>
          <w:szCs w:val="17"/>
          <w:color w:val="auto"/>
        </w:rPr>
        <w:t>69</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22"/>
          <w:szCs w:val="22"/>
          <w:color w:val="auto"/>
        </w:rPr>
        <w:t>Payments Generally; Pro Rata Treatment</w:t>
      </w:r>
      <w:r>
        <w:rPr>
          <w:sz w:val="20"/>
          <w:szCs w:val="20"/>
          <w:color w:val="auto"/>
        </w:rPr>
        <w:tab/>
      </w:r>
      <w:r>
        <w:rPr>
          <w:rFonts w:ascii="Arial" w:cs="Arial" w:eastAsia="Arial" w:hAnsi="Arial"/>
          <w:sz w:val="19"/>
          <w:szCs w:val="19"/>
          <w:color w:val="auto"/>
        </w:rPr>
        <w:t>72</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2.18.</w:t>
      </w:r>
      <w:r>
        <w:rPr>
          <w:sz w:val="20"/>
          <w:szCs w:val="20"/>
          <w:color w:val="auto"/>
        </w:rPr>
        <w:tab/>
      </w:r>
      <w:r>
        <w:rPr>
          <w:rFonts w:ascii="Arial" w:cs="Arial" w:eastAsia="Arial" w:hAnsi="Arial"/>
          <w:sz w:val="22"/>
          <w:szCs w:val="22"/>
          <w:color w:val="auto"/>
        </w:rPr>
        <w:t>Mitigation Obligations; Replacement of Lenders</w:t>
      </w:r>
      <w:r>
        <w:rPr>
          <w:sz w:val="20"/>
          <w:szCs w:val="20"/>
          <w:color w:val="auto"/>
        </w:rPr>
        <w:tab/>
      </w:r>
      <w:r>
        <w:rPr>
          <w:rFonts w:ascii="Arial" w:cs="Arial" w:eastAsia="Arial" w:hAnsi="Arial"/>
          <w:sz w:val="19"/>
          <w:szCs w:val="19"/>
          <w:color w:val="auto"/>
        </w:rPr>
        <w:t>74</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2.20.</w:t>
      </w:r>
      <w:r>
        <w:rPr>
          <w:sz w:val="20"/>
          <w:szCs w:val="20"/>
          <w:color w:val="auto"/>
        </w:rPr>
        <w:tab/>
      </w:r>
      <w:r>
        <w:rPr>
          <w:rFonts w:ascii="Arial" w:cs="Arial" w:eastAsia="Arial" w:hAnsi="Arial"/>
          <w:sz w:val="22"/>
          <w:szCs w:val="22"/>
          <w:color w:val="auto"/>
        </w:rPr>
        <w:t>Commitment Fee</w:t>
      </w:r>
      <w:r>
        <w:rPr>
          <w:sz w:val="20"/>
          <w:szCs w:val="20"/>
          <w:color w:val="auto"/>
        </w:rPr>
        <w:tab/>
      </w:r>
      <w:r>
        <w:rPr>
          <w:rFonts w:ascii="Arial" w:cs="Arial" w:eastAsia="Arial" w:hAnsi="Arial"/>
          <w:sz w:val="19"/>
          <w:szCs w:val="19"/>
          <w:color w:val="auto"/>
        </w:rPr>
        <w:t>74</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2.22.</w:t>
      </w:r>
      <w:r>
        <w:rPr>
          <w:sz w:val="20"/>
          <w:szCs w:val="20"/>
          <w:color w:val="auto"/>
        </w:rPr>
        <w:tab/>
      </w:r>
      <w:r>
        <w:rPr>
          <w:rFonts w:ascii="Arial" w:cs="Arial" w:eastAsia="Arial" w:hAnsi="Arial"/>
          <w:sz w:val="22"/>
          <w:szCs w:val="22"/>
          <w:color w:val="auto"/>
        </w:rPr>
        <w:t>Nature of Fees</w:t>
      </w:r>
      <w:r>
        <w:rPr>
          <w:sz w:val="20"/>
          <w:szCs w:val="20"/>
          <w:color w:val="auto"/>
        </w:rPr>
        <w:tab/>
      </w:r>
      <w:r>
        <w:rPr>
          <w:rFonts w:ascii="Arial" w:cs="Arial" w:eastAsia="Arial" w:hAnsi="Arial"/>
          <w:sz w:val="19"/>
          <w:szCs w:val="19"/>
          <w:color w:val="auto"/>
        </w:rPr>
        <w:t>75</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2.23.</w:t>
      </w:r>
      <w:r>
        <w:rPr>
          <w:sz w:val="20"/>
          <w:szCs w:val="20"/>
          <w:color w:val="auto"/>
        </w:rPr>
        <w:tab/>
      </w:r>
      <w:r>
        <w:rPr>
          <w:rFonts w:ascii="Arial" w:cs="Arial" w:eastAsia="Arial" w:hAnsi="Arial"/>
          <w:sz w:val="22"/>
          <w:szCs w:val="22"/>
          <w:color w:val="auto"/>
        </w:rPr>
        <w:t>Right of Set-Off</w:t>
      </w:r>
      <w:r>
        <w:rPr>
          <w:sz w:val="20"/>
          <w:szCs w:val="20"/>
          <w:color w:val="auto"/>
        </w:rPr>
        <w:tab/>
      </w:r>
      <w:r>
        <w:rPr>
          <w:rFonts w:ascii="Arial" w:cs="Arial" w:eastAsia="Arial" w:hAnsi="Arial"/>
          <w:sz w:val="19"/>
          <w:szCs w:val="19"/>
          <w:color w:val="auto"/>
        </w:rPr>
        <w:t>75</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2.25.</w:t>
      </w:r>
      <w:r>
        <w:rPr>
          <w:sz w:val="20"/>
          <w:szCs w:val="20"/>
          <w:color w:val="auto"/>
        </w:rPr>
        <w:tab/>
      </w:r>
      <w:r>
        <w:rPr>
          <w:rFonts w:ascii="Arial" w:cs="Arial" w:eastAsia="Arial" w:hAnsi="Arial"/>
          <w:sz w:val="22"/>
          <w:szCs w:val="22"/>
          <w:color w:val="auto"/>
        </w:rPr>
        <w:t>Payment of Obligations</w:t>
      </w:r>
      <w:r>
        <w:rPr>
          <w:sz w:val="20"/>
          <w:szCs w:val="20"/>
          <w:color w:val="auto"/>
        </w:rPr>
        <w:tab/>
      </w:r>
      <w:r>
        <w:rPr>
          <w:rFonts w:ascii="Arial" w:cs="Arial" w:eastAsia="Arial" w:hAnsi="Arial"/>
          <w:sz w:val="19"/>
          <w:szCs w:val="19"/>
          <w:color w:val="auto"/>
        </w:rPr>
        <w:t>75</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2.26.</w:t>
      </w:r>
      <w:r>
        <w:rPr>
          <w:sz w:val="20"/>
          <w:szCs w:val="20"/>
          <w:color w:val="auto"/>
        </w:rPr>
        <w:tab/>
      </w:r>
      <w:r>
        <w:rPr>
          <w:rFonts w:ascii="Arial" w:cs="Arial" w:eastAsia="Arial" w:hAnsi="Arial"/>
          <w:sz w:val="22"/>
          <w:szCs w:val="22"/>
          <w:color w:val="auto"/>
        </w:rPr>
        <w:t>Defaulting Lenders</w:t>
      </w:r>
      <w:r>
        <w:rPr>
          <w:sz w:val="20"/>
          <w:szCs w:val="20"/>
          <w:color w:val="auto"/>
        </w:rPr>
        <w:tab/>
      </w:r>
      <w:r>
        <w:rPr>
          <w:rFonts w:ascii="Arial" w:cs="Arial" w:eastAsia="Arial" w:hAnsi="Arial"/>
          <w:sz w:val="19"/>
          <w:szCs w:val="19"/>
          <w:color w:val="auto"/>
        </w:rPr>
        <w:t>76</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2.27.</w:t>
      </w:r>
      <w:r>
        <w:rPr>
          <w:sz w:val="20"/>
          <w:szCs w:val="20"/>
          <w:color w:val="auto"/>
        </w:rPr>
        <w:tab/>
      </w:r>
      <w:r>
        <w:rPr>
          <w:rFonts w:ascii="Arial" w:cs="Arial" w:eastAsia="Arial" w:hAnsi="Arial"/>
          <w:sz w:val="22"/>
          <w:szCs w:val="22"/>
          <w:color w:val="auto"/>
        </w:rPr>
        <w:t>Increase in Commitment</w:t>
      </w:r>
      <w:r>
        <w:rPr>
          <w:sz w:val="20"/>
          <w:szCs w:val="20"/>
          <w:color w:val="auto"/>
        </w:rPr>
        <w:tab/>
      </w:r>
      <w:r>
        <w:rPr>
          <w:rFonts w:ascii="Arial" w:cs="Arial" w:eastAsia="Arial" w:hAnsi="Arial"/>
          <w:sz w:val="19"/>
          <w:szCs w:val="19"/>
          <w:color w:val="auto"/>
        </w:rPr>
        <w:t>78</w:t>
      </w:r>
    </w:p>
    <w:p>
      <w:pPr>
        <w:spacing w:after="0" w:line="44" w:lineRule="exact"/>
        <w:rPr>
          <w:sz w:val="20"/>
          <w:szCs w:val="20"/>
          <w:color w:val="auto"/>
        </w:rPr>
      </w:pPr>
    </w:p>
    <w:p>
      <w:pPr>
        <w:spacing w:after="0"/>
        <w:tabs>
          <w:tab w:leader="none" w:pos="2220" w:val="left"/>
          <w:tab w:leader="dot" w:pos="8740" w:val="left"/>
        </w:tabs>
        <w:rPr>
          <w:sz w:val="20"/>
          <w:szCs w:val="20"/>
          <w:color w:val="auto"/>
        </w:rPr>
      </w:pPr>
      <w:r>
        <w:rPr>
          <w:rFonts w:ascii="Arial" w:cs="Arial" w:eastAsia="Arial" w:hAnsi="Arial"/>
          <w:sz w:val="22"/>
          <w:szCs w:val="22"/>
          <w:color w:val="auto"/>
        </w:rPr>
        <w:t>SECTION 2.28.</w:t>
      </w:r>
      <w:r>
        <w:rPr>
          <w:sz w:val="20"/>
          <w:szCs w:val="20"/>
          <w:color w:val="auto"/>
        </w:rPr>
        <w:tab/>
      </w:r>
      <w:r>
        <w:rPr>
          <w:rFonts w:ascii="Arial" w:cs="Arial" w:eastAsia="Arial" w:hAnsi="Arial"/>
          <w:sz w:val="22"/>
          <w:szCs w:val="22"/>
          <w:color w:val="auto"/>
        </w:rPr>
        <w:t>Extension of Term Loans</w:t>
      </w:r>
      <w:r>
        <w:rPr>
          <w:sz w:val="20"/>
          <w:szCs w:val="20"/>
          <w:color w:val="auto"/>
        </w:rPr>
        <w:tab/>
      </w:r>
      <w:r>
        <w:rPr>
          <w:rFonts w:ascii="Arial" w:cs="Arial" w:eastAsia="Arial" w:hAnsi="Arial"/>
          <w:sz w:val="19"/>
          <w:szCs w:val="19"/>
          <w:color w:val="auto"/>
        </w:rPr>
        <w:t>80</w:t>
      </w:r>
    </w:p>
    <w:p>
      <w:pPr>
        <w:spacing w:after="0" w:line="19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III</w:t>
      </w:r>
    </w:p>
    <w:p>
      <w:pPr>
        <w:spacing w:after="0" w:line="166"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REPRESENTATIONS AND WARRANTIES</w:t>
      </w:r>
    </w:p>
    <w:p>
      <w:pPr>
        <w:spacing w:after="0" w:line="233"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22"/>
          <w:szCs w:val="22"/>
          <w:color w:val="auto"/>
        </w:rPr>
        <w:t>Organization and Authority</w:t>
      </w:r>
      <w:r>
        <w:rPr>
          <w:sz w:val="20"/>
          <w:szCs w:val="20"/>
          <w:color w:val="auto"/>
        </w:rPr>
        <w:tab/>
      </w:r>
      <w:r>
        <w:rPr>
          <w:rFonts w:ascii="Arial" w:cs="Arial" w:eastAsia="Arial" w:hAnsi="Arial"/>
          <w:sz w:val="19"/>
          <w:szCs w:val="19"/>
          <w:color w:val="auto"/>
        </w:rPr>
        <w:t>82</w:t>
      </w:r>
    </w:p>
    <w:p>
      <w:pPr>
        <w:spacing w:after="0" w:line="2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720" w:right="339" w:bottom="1440" w:gutter="0" w:footer="0" w:header="0"/>
        </w:sectPr>
      </w:pPr>
    </w:p>
    <w:bookmarkStart w:id="189" w:name="page190"/>
    <w:bookmarkEnd w:id="189"/>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22"/>
          <w:szCs w:val="22"/>
          <w:color w:val="auto"/>
        </w:rPr>
        <w:t>Air Carrier Status</w:t>
      </w:r>
      <w:r>
        <w:rPr>
          <w:sz w:val="20"/>
          <w:szCs w:val="20"/>
          <w:color w:val="auto"/>
        </w:rPr>
        <w:tab/>
      </w:r>
      <w:r>
        <w:rPr>
          <w:rFonts w:ascii="Arial" w:cs="Arial" w:eastAsia="Arial" w:hAnsi="Arial"/>
          <w:sz w:val="19"/>
          <w:szCs w:val="19"/>
          <w:color w:val="auto"/>
        </w:rPr>
        <w:t>83</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22"/>
          <w:szCs w:val="22"/>
          <w:color w:val="auto"/>
        </w:rPr>
        <w:t>Due Execution</w:t>
      </w:r>
      <w:r>
        <w:rPr>
          <w:sz w:val="20"/>
          <w:szCs w:val="20"/>
          <w:color w:val="auto"/>
        </w:rPr>
        <w:tab/>
      </w:r>
      <w:r>
        <w:rPr>
          <w:rFonts w:ascii="Arial" w:cs="Arial" w:eastAsia="Arial" w:hAnsi="Arial"/>
          <w:sz w:val="19"/>
          <w:szCs w:val="19"/>
          <w:color w:val="auto"/>
        </w:rPr>
        <w:t>83</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22"/>
          <w:szCs w:val="22"/>
          <w:color w:val="auto"/>
        </w:rPr>
        <w:t>Statements Made</w:t>
      </w:r>
      <w:r>
        <w:rPr>
          <w:sz w:val="20"/>
          <w:szCs w:val="20"/>
          <w:color w:val="auto"/>
        </w:rPr>
        <w:tab/>
      </w:r>
      <w:r>
        <w:rPr>
          <w:rFonts w:ascii="Arial" w:cs="Arial" w:eastAsia="Arial" w:hAnsi="Arial"/>
          <w:sz w:val="19"/>
          <w:szCs w:val="19"/>
          <w:color w:val="auto"/>
        </w:rPr>
        <w:t>84</w:t>
      </w:r>
    </w:p>
    <w:p>
      <w:pPr>
        <w:spacing w:after="0" w:line="44" w:lineRule="exact"/>
        <w:rPr>
          <w:sz w:val="20"/>
          <w:szCs w:val="20"/>
          <w:color w:val="auto"/>
        </w:rPr>
      </w:pPr>
    </w:p>
    <w:p>
      <w:pPr>
        <w:spacing w:after="0"/>
        <w:tabs>
          <w:tab w:leader="none" w:pos="2220" w:val="left"/>
          <w:tab w:leader="dot" w:pos="874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22"/>
          <w:szCs w:val="22"/>
          <w:color w:val="auto"/>
        </w:rPr>
        <w:t>Financial Statements; Material Adverse Change</w:t>
      </w:r>
      <w:r>
        <w:rPr>
          <w:sz w:val="20"/>
          <w:szCs w:val="20"/>
          <w:color w:val="auto"/>
        </w:rPr>
        <w:tab/>
      </w:r>
      <w:r>
        <w:rPr>
          <w:rFonts w:ascii="Arial" w:cs="Arial" w:eastAsia="Arial" w:hAnsi="Arial"/>
          <w:sz w:val="19"/>
          <w:szCs w:val="19"/>
          <w:color w:val="auto"/>
        </w:rPr>
        <w:t>84</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22"/>
          <w:szCs w:val="22"/>
          <w:color w:val="auto"/>
        </w:rPr>
        <w:t>Ownership of Subsidiaries</w:t>
      </w:r>
      <w:r>
        <w:rPr>
          <w:sz w:val="20"/>
          <w:szCs w:val="20"/>
          <w:color w:val="auto"/>
        </w:rPr>
        <w:tab/>
      </w:r>
      <w:r>
        <w:rPr>
          <w:rFonts w:ascii="Arial" w:cs="Arial" w:eastAsia="Arial" w:hAnsi="Arial"/>
          <w:sz w:val="19"/>
          <w:szCs w:val="19"/>
          <w:color w:val="auto"/>
        </w:rPr>
        <w:t>84</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22"/>
          <w:szCs w:val="22"/>
          <w:color w:val="auto"/>
        </w:rPr>
        <w:t>Liens</w:t>
      </w:r>
      <w:r>
        <w:rPr>
          <w:sz w:val="20"/>
          <w:szCs w:val="20"/>
          <w:color w:val="auto"/>
        </w:rPr>
        <w:tab/>
      </w:r>
      <w:r>
        <w:rPr>
          <w:rFonts w:ascii="Arial" w:cs="Arial" w:eastAsia="Arial" w:hAnsi="Arial"/>
          <w:sz w:val="19"/>
          <w:szCs w:val="19"/>
          <w:color w:val="auto"/>
        </w:rPr>
        <w:t>84</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22"/>
          <w:szCs w:val="22"/>
          <w:color w:val="auto"/>
        </w:rPr>
        <w:t>Use of Proceeds</w:t>
      </w:r>
      <w:r>
        <w:rPr>
          <w:sz w:val="20"/>
          <w:szCs w:val="20"/>
          <w:color w:val="auto"/>
        </w:rPr>
        <w:tab/>
      </w:r>
      <w:r>
        <w:rPr>
          <w:rFonts w:ascii="Arial" w:cs="Arial" w:eastAsia="Arial" w:hAnsi="Arial"/>
          <w:sz w:val="19"/>
          <w:szCs w:val="19"/>
          <w:color w:val="auto"/>
        </w:rPr>
        <w:t>84</w:t>
      </w:r>
    </w:p>
    <w:p>
      <w:pPr>
        <w:spacing w:after="0" w:line="44" w:lineRule="exact"/>
        <w:rPr>
          <w:sz w:val="20"/>
          <w:szCs w:val="20"/>
          <w:color w:val="auto"/>
        </w:rPr>
      </w:pPr>
    </w:p>
    <w:p>
      <w:pPr>
        <w:spacing w:after="0"/>
        <w:tabs>
          <w:tab w:leader="none" w:pos="2220" w:val="left"/>
          <w:tab w:leader="dot" w:pos="8740" w:val="left"/>
        </w:tabs>
        <w:rPr>
          <w:sz w:val="20"/>
          <w:szCs w:val="20"/>
          <w:color w:val="auto"/>
        </w:rPr>
      </w:pPr>
      <w:r>
        <w:rPr>
          <w:rFonts w:ascii="Arial" w:cs="Arial" w:eastAsia="Arial" w:hAnsi="Arial"/>
          <w:sz w:val="22"/>
          <w:szCs w:val="22"/>
          <w:color w:val="auto"/>
        </w:rPr>
        <w:t>SECTION 3.09.</w:t>
      </w:r>
      <w:r>
        <w:rPr>
          <w:sz w:val="20"/>
          <w:szCs w:val="20"/>
          <w:color w:val="auto"/>
        </w:rPr>
        <w:tab/>
      </w:r>
      <w:r>
        <w:rPr>
          <w:rFonts w:ascii="Arial" w:cs="Arial" w:eastAsia="Arial" w:hAnsi="Arial"/>
          <w:sz w:val="22"/>
          <w:szCs w:val="22"/>
          <w:color w:val="auto"/>
        </w:rPr>
        <w:t>Litigation and Compliance with Laws</w:t>
      </w:r>
      <w:r>
        <w:rPr>
          <w:sz w:val="20"/>
          <w:szCs w:val="20"/>
          <w:color w:val="auto"/>
        </w:rPr>
        <w:tab/>
      </w:r>
      <w:r>
        <w:rPr>
          <w:rFonts w:ascii="Arial" w:cs="Arial" w:eastAsia="Arial" w:hAnsi="Arial"/>
          <w:sz w:val="19"/>
          <w:szCs w:val="19"/>
          <w:color w:val="auto"/>
        </w:rPr>
        <w:t>84</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22"/>
          <w:szCs w:val="22"/>
          <w:color w:val="auto"/>
        </w:rPr>
        <w:t>Slots</w:t>
      </w:r>
      <w:r>
        <w:rPr>
          <w:sz w:val="20"/>
          <w:szCs w:val="20"/>
          <w:color w:val="auto"/>
        </w:rPr>
        <w:tab/>
      </w:r>
      <w:r>
        <w:rPr>
          <w:rFonts w:ascii="Arial" w:cs="Arial" w:eastAsia="Arial" w:hAnsi="Arial"/>
          <w:sz w:val="19"/>
          <w:szCs w:val="19"/>
          <w:color w:val="auto"/>
        </w:rPr>
        <w:t>85</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22"/>
          <w:szCs w:val="22"/>
          <w:color w:val="auto"/>
        </w:rPr>
        <w:t>Routes</w:t>
      </w:r>
      <w:r>
        <w:rPr>
          <w:sz w:val="20"/>
          <w:szCs w:val="20"/>
          <w:color w:val="auto"/>
        </w:rPr>
        <w:tab/>
      </w:r>
      <w:r>
        <w:rPr>
          <w:rFonts w:ascii="Arial" w:cs="Arial" w:eastAsia="Arial" w:hAnsi="Arial"/>
          <w:sz w:val="19"/>
          <w:szCs w:val="19"/>
          <w:color w:val="auto"/>
        </w:rPr>
        <w:t>85</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3.12.</w:t>
      </w:r>
      <w:r>
        <w:rPr>
          <w:sz w:val="20"/>
          <w:szCs w:val="20"/>
          <w:color w:val="auto"/>
        </w:rPr>
        <w:tab/>
      </w:r>
      <w:r>
        <w:rPr>
          <w:rFonts w:ascii="Arial" w:cs="Arial" w:eastAsia="Arial" w:hAnsi="Arial"/>
          <w:sz w:val="22"/>
          <w:szCs w:val="22"/>
          <w:color w:val="auto"/>
        </w:rPr>
        <w:t>Margin Regulations; Investment Company Act</w:t>
      </w:r>
      <w:r>
        <w:rPr>
          <w:sz w:val="20"/>
          <w:szCs w:val="20"/>
          <w:color w:val="auto"/>
        </w:rPr>
        <w:tab/>
      </w:r>
      <w:r>
        <w:rPr>
          <w:rFonts w:ascii="Arial" w:cs="Arial" w:eastAsia="Arial" w:hAnsi="Arial"/>
          <w:sz w:val="17"/>
          <w:szCs w:val="17"/>
          <w:color w:val="auto"/>
        </w:rPr>
        <w:t>85</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22"/>
          <w:szCs w:val="22"/>
          <w:color w:val="auto"/>
        </w:rPr>
        <w:t>Holding of Collateral</w:t>
      </w:r>
      <w:r>
        <w:rPr>
          <w:sz w:val="20"/>
          <w:szCs w:val="20"/>
          <w:color w:val="auto"/>
        </w:rPr>
        <w:tab/>
      </w:r>
      <w:r>
        <w:rPr>
          <w:rFonts w:ascii="Arial" w:cs="Arial" w:eastAsia="Arial" w:hAnsi="Arial"/>
          <w:sz w:val="19"/>
          <w:szCs w:val="19"/>
          <w:color w:val="auto"/>
        </w:rPr>
        <w:t>86</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22"/>
          <w:szCs w:val="22"/>
          <w:color w:val="auto"/>
        </w:rPr>
        <w:t>Perfected Security Interests</w:t>
      </w:r>
      <w:r>
        <w:rPr>
          <w:sz w:val="20"/>
          <w:szCs w:val="20"/>
          <w:color w:val="auto"/>
        </w:rPr>
        <w:tab/>
      </w:r>
      <w:r>
        <w:rPr>
          <w:rFonts w:ascii="Arial" w:cs="Arial" w:eastAsia="Arial" w:hAnsi="Arial"/>
          <w:sz w:val="19"/>
          <w:szCs w:val="19"/>
          <w:color w:val="auto"/>
        </w:rPr>
        <w:t>86</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22"/>
          <w:szCs w:val="22"/>
          <w:color w:val="auto"/>
        </w:rPr>
        <w:t>Payment of Taxes</w:t>
      </w:r>
      <w:r>
        <w:rPr>
          <w:sz w:val="20"/>
          <w:szCs w:val="20"/>
          <w:color w:val="auto"/>
        </w:rPr>
        <w:tab/>
      </w:r>
      <w:r>
        <w:rPr>
          <w:rFonts w:ascii="Arial" w:cs="Arial" w:eastAsia="Arial" w:hAnsi="Arial"/>
          <w:sz w:val="19"/>
          <w:szCs w:val="19"/>
          <w:color w:val="auto"/>
        </w:rPr>
        <w:t>86</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3.16.</w:t>
      </w:r>
      <w:r>
        <w:rPr>
          <w:sz w:val="20"/>
          <w:szCs w:val="20"/>
          <w:color w:val="auto"/>
        </w:rPr>
        <w:tab/>
      </w:r>
      <w:r>
        <w:rPr>
          <w:rFonts w:ascii="Arial" w:cs="Arial" w:eastAsia="Arial" w:hAnsi="Arial"/>
          <w:sz w:val="22"/>
          <w:szCs w:val="22"/>
          <w:color w:val="auto"/>
        </w:rPr>
        <w:t>No Unlawful Payments</w:t>
      </w:r>
      <w:r>
        <w:rPr>
          <w:sz w:val="20"/>
          <w:szCs w:val="20"/>
          <w:color w:val="auto"/>
        </w:rPr>
        <w:tab/>
      </w:r>
      <w:r>
        <w:rPr>
          <w:rFonts w:ascii="Arial" w:cs="Arial" w:eastAsia="Arial" w:hAnsi="Arial"/>
          <w:sz w:val="19"/>
          <w:szCs w:val="19"/>
          <w:color w:val="auto"/>
        </w:rPr>
        <w:t>86</w:t>
      </w:r>
    </w:p>
    <w:p>
      <w:pPr>
        <w:spacing w:after="0" w:line="44" w:lineRule="exact"/>
        <w:rPr>
          <w:sz w:val="20"/>
          <w:szCs w:val="20"/>
          <w:color w:val="auto"/>
        </w:rPr>
      </w:pPr>
    </w:p>
    <w:p>
      <w:pPr>
        <w:spacing w:after="0"/>
        <w:tabs>
          <w:tab w:leader="none" w:pos="2220" w:val="left"/>
          <w:tab w:leader="dot" w:pos="862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22"/>
          <w:szCs w:val="22"/>
          <w:color w:val="auto"/>
        </w:rPr>
        <w:t>OFAC</w:t>
      </w:r>
      <w:r>
        <w:rPr>
          <w:sz w:val="20"/>
          <w:szCs w:val="20"/>
          <w:color w:val="auto"/>
        </w:rPr>
        <w:tab/>
      </w:r>
      <w:r>
        <w:rPr>
          <w:rFonts w:ascii="Arial" w:cs="Arial" w:eastAsia="Arial" w:hAnsi="Arial"/>
          <w:sz w:val="19"/>
          <w:szCs w:val="19"/>
          <w:color w:val="auto"/>
        </w:rPr>
        <w:t>87</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22"/>
          <w:szCs w:val="22"/>
          <w:color w:val="auto"/>
        </w:rPr>
        <w:t>Compliance with Anti-Money Laundering Laws</w:t>
      </w:r>
      <w:r>
        <w:rPr>
          <w:sz w:val="20"/>
          <w:szCs w:val="20"/>
          <w:color w:val="auto"/>
        </w:rPr>
        <w:tab/>
      </w:r>
      <w:r>
        <w:rPr>
          <w:rFonts w:ascii="Arial" w:cs="Arial" w:eastAsia="Arial" w:hAnsi="Arial"/>
          <w:sz w:val="17"/>
          <w:szCs w:val="17"/>
          <w:color w:val="auto"/>
        </w:rPr>
        <w:t>87</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3.19.</w:t>
      </w:r>
      <w:r>
        <w:rPr>
          <w:sz w:val="20"/>
          <w:szCs w:val="20"/>
          <w:color w:val="auto"/>
        </w:rPr>
        <w:tab/>
      </w:r>
      <w:r>
        <w:rPr>
          <w:rFonts w:ascii="Arial" w:cs="Arial" w:eastAsia="Arial" w:hAnsi="Arial"/>
          <w:sz w:val="22"/>
          <w:szCs w:val="22"/>
          <w:color w:val="auto"/>
        </w:rPr>
        <w:t>Solvency</w:t>
      </w:r>
      <w:r>
        <w:rPr>
          <w:sz w:val="20"/>
          <w:szCs w:val="20"/>
          <w:color w:val="auto"/>
        </w:rPr>
        <w:tab/>
      </w:r>
      <w:r>
        <w:rPr>
          <w:rFonts w:ascii="Arial" w:cs="Arial" w:eastAsia="Arial" w:hAnsi="Arial"/>
          <w:sz w:val="19"/>
          <w:szCs w:val="19"/>
          <w:color w:val="auto"/>
        </w:rPr>
        <w:t>87</w:t>
      </w:r>
    </w:p>
    <w:p>
      <w:pPr>
        <w:spacing w:after="0" w:line="19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IV</w:t>
      </w:r>
    </w:p>
    <w:p>
      <w:pPr>
        <w:spacing w:after="0" w:line="166"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CONDITIONS OF LENDING</w:t>
      </w:r>
    </w:p>
    <w:p>
      <w:pPr>
        <w:spacing w:after="0" w:line="233"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22"/>
          <w:szCs w:val="22"/>
          <w:color w:val="auto"/>
        </w:rPr>
        <w:t>Conditions Precedent to Closing</w:t>
      </w:r>
      <w:r>
        <w:rPr>
          <w:sz w:val="20"/>
          <w:szCs w:val="20"/>
          <w:color w:val="auto"/>
        </w:rPr>
        <w:tab/>
      </w:r>
      <w:r>
        <w:rPr>
          <w:rFonts w:ascii="Arial" w:cs="Arial" w:eastAsia="Arial" w:hAnsi="Arial"/>
          <w:sz w:val="19"/>
          <w:szCs w:val="19"/>
          <w:color w:val="auto"/>
        </w:rPr>
        <w:t>87</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22"/>
          <w:szCs w:val="22"/>
          <w:color w:val="auto"/>
        </w:rPr>
        <w:t>Conditions Precedent to Each Loan</w:t>
      </w:r>
      <w:r>
        <w:rPr>
          <w:sz w:val="20"/>
          <w:szCs w:val="20"/>
          <w:color w:val="auto"/>
        </w:rPr>
        <w:tab/>
      </w:r>
      <w:r>
        <w:rPr>
          <w:rFonts w:ascii="Arial" w:cs="Arial" w:eastAsia="Arial" w:hAnsi="Arial"/>
          <w:sz w:val="17"/>
          <w:szCs w:val="17"/>
          <w:color w:val="auto"/>
        </w:rPr>
        <w:t>90</w:t>
      </w:r>
    </w:p>
    <w:p>
      <w:pPr>
        <w:spacing w:after="0" w:line="193"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V</w:t>
      </w:r>
    </w:p>
    <w:p>
      <w:pPr>
        <w:spacing w:after="0" w:line="166"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AFFIRMATIVE COVENANTS</w:t>
      </w:r>
    </w:p>
    <w:p>
      <w:pPr>
        <w:spacing w:after="0" w:line="233" w:lineRule="exact"/>
        <w:rPr>
          <w:sz w:val="20"/>
          <w:szCs w:val="20"/>
          <w:color w:val="auto"/>
        </w:rPr>
      </w:pPr>
    </w:p>
    <w:p>
      <w:pPr>
        <w:spacing w:after="0"/>
        <w:tabs>
          <w:tab w:leader="none" w:pos="2220" w:val="left"/>
          <w:tab w:leader="dot" w:pos="874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2"/>
          <w:szCs w:val="22"/>
          <w:color w:val="auto"/>
        </w:rPr>
        <w:t>Financial Statements, Reports, etc.</w:t>
      </w:r>
      <w:r>
        <w:rPr>
          <w:sz w:val="20"/>
          <w:szCs w:val="20"/>
          <w:color w:val="auto"/>
        </w:rPr>
        <w:tab/>
      </w:r>
      <w:r>
        <w:rPr>
          <w:rFonts w:ascii="Arial" w:cs="Arial" w:eastAsia="Arial" w:hAnsi="Arial"/>
          <w:sz w:val="19"/>
          <w:szCs w:val="19"/>
          <w:color w:val="auto"/>
        </w:rPr>
        <w:t>91</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22"/>
          <w:szCs w:val="22"/>
          <w:color w:val="auto"/>
        </w:rPr>
        <w:t>Taxes</w:t>
      </w:r>
      <w:r>
        <w:rPr>
          <w:sz w:val="20"/>
          <w:szCs w:val="20"/>
          <w:color w:val="auto"/>
        </w:rPr>
        <w:tab/>
      </w:r>
      <w:r>
        <w:rPr>
          <w:rFonts w:ascii="Arial" w:cs="Arial" w:eastAsia="Arial" w:hAnsi="Arial"/>
          <w:sz w:val="17"/>
          <w:szCs w:val="17"/>
          <w:color w:val="auto"/>
        </w:rPr>
        <w:t>93</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22"/>
          <w:szCs w:val="22"/>
          <w:color w:val="auto"/>
        </w:rPr>
        <w:t>Corporate Existence</w:t>
      </w:r>
      <w:r>
        <w:rPr>
          <w:sz w:val="20"/>
          <w:szCs w:val="20"/>
          <w:color w:val="auto"/>
        </w:rPr>
        <w:tab/>
      </w:r>
      <w:r>
        <w:rPr>
          <w:rFonts w:ascii="Arial" w:cs="Arial" w:eastAsia="Arial" w:hAnsi="Arial"/>
          <w:sz w:val="17"/>
          <w:szCs w:val="17"/>
          <w:color w:val="auto"/>
        </w:rPr>
        <w:t>94</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22"/>
          <w:szCs w:val="22"/>
          <w:color w:val="auto"/>
        </w:rPr>
        <w:t>Compliance with Laws</w:t>
      </w:r>
      <w:r>
        <w:rPr>
          <w:sz w:val="20"/>
          <w:szCs w:val="20"/>
          <w:color w:val="auto"/>
        </w:rPr>
        <w:tab/>
      </w:r>
      <w:r>
        <w:rPr>
          <w:rFonts w:ascii="Arial" w:cs="Arial" w:eastAsia="Arial" w:hAnsi="Arial"/>
          <w:sz w:val="19"/>
          <w:szCs w:val="19"/>
          <w:color w:val="auto"/>
        </w:rPr>
        <w:t>94</w:t>
      </w:r>
    </w:p>
    <w:p>
      <w:pPr>
        <w:spacing w:after="0" w:line="44" w:lineRule="exact"/>
        <w:rPr>
          <w:sz w:val="20"/>
          <w:szCs w:val="20"/>
          <w:color w:val="auto"/>
        </w:rPr>
      </w:pPr>
    </w:p>
    <w:p>
      <w:pPr>
        <w:spacing w:after="0"/>
        <w:tabs>
          <w:tab w:leader="none" w:pos="2220" w:val="left"/>
          <w:tab w:leader="dot" w:pos="876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22"/>
          <w:szCs w:val="22"/>
          <w:color w:val="auto"/>
        </w:rPr>
        <w:t>Designation of Restricted and Unrestricted Subsidiaries</w:t>
      </w:r>
      <w:r>
        <w:rPr>
          <w:sz w:val="20"/>
          <w:szCs w:val="20"/>
          <w:color w:val="auto"/>
        </w:rPr>
        <w:tab/>
      </w:r>
      <w:r>
        <w:rPr>
          <w:rFonts w:ascii="Arial" w:cs="Arial" w:eastAsia="Arial" w:hAnsi="Arial"/>
          <w:sz w:val="19"/>
          <w:szCs w:val="19"/>
          <w:color w:val="auto"/>
        </w:rPr>
        <w:t>94</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22"/>
          <w:szCs w:val="22"/>
          <w:color w:val="auto"/>
        </w:rPr>
        <w:t>Delivery of Appraisals</w:t>
      </w:r>
      <w:r>
        <w:rPr>
          <w:sz w:val="20"/>
          <w:szCs w:val="20"/>
          <w:color w:val="auto"/>
        </w:rPr>
        <w:tab/>
      </w:r>
      <w:r>
        <w:rPr>
          <w:rFonts w:ascii="Arial" w:cs="Arial" w:eastAsia="Arial" w:hAnsi="Arial"/>
          <w:sz w:val="19"/>
          <w:szCs w:val="19"/>
          <w:color w:val="auto"/>
        </w:rPr>
        <w:t>95</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22"/>
          <w:szCs w:val="22"/>
          <w:color w:val="auto"/>
        </w:rPr>
        <w:t>Regulatory Matters; Utilization; Reporting</w:t>
      </w:r>
      <w:r>
        <w:rPr>
          <w:sz w:val="20"/>
          <w:szCs w:val="20"/>
          <w:color w:val="auto"/>
        </w:rPr>
        <w:tab/>
      </w:r>
      <w:r>
        <w:rPr>
          <w:rFonts w:ascii="Arial" w:cs="Arial" w:eastAsia="Arial" w:hAnsi="Arial"/>
          <w:sz w:val="19"/>
          <w:szCs w:val="19"/>
          <w:color w:val="auto"/>
        </w:rPr>
        <w:t>95</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22"/>
          <w:szCs w:val="22"/>
          <w:color w:val="auto"/>
        </w:rPr>
        <w:t>Additional Guarantors; Additional Collateral</w:t>
      </w:r>
      <w:r>
        <w:rPr>
          <w:sz w:val="20"/>
          <w:szCs w:val="20"/>
          <w:color w:val="auto"/>
        </w:rPr>
        <w:tab/>
      </w:r>
      <w:r>
        <w:rPr>
          <w:rFonts w:ascii="Arial" w:cs="Arial" w:eastAsia="Arial" w:hAnsi="Arial"/>
          <w:sz w:val="19"/>
          <w:szCs w:val="19"/>
          <w:color w:val="auto"/>
        </w:rPr>
        <w:t>97</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5.10.</w:t>
      </w:r>
      <w:r>
        <w:rPr>
          <w:sz w:val="20"/>
          <w:szCs w:val="20"/>
          <w:color w:val="auto"/>
        </w:rPr>
        <w:tab/>
      </w:r>
      <w:r>
        <w:rPr>
          <w:rFonts w:ascii="Arial" w:cs="Arial" w:eastAsia="Arial" w:hAnsi="Arial"/>
          <w:sz w:val="22"/>
          <w:szCs w:val="22"/>
          <w:color w:val="auto"/>
        </w:rPr>
        <w:t>Access to Books and Records</w:t>
      </w:r>
      <w:r>
        <w:rPr>
          <w:sz w:val="20"/>
          <w:szCs w:val="20"/>
          <w:color w:val="auto"/>
        </w:rPr>
        <w:tab/>
      </w:r>
      <w:r>
        <w:rPr>
          <w:rFonts w:ascii="Arial" w:cs="Arial" w:eastAsia="Arial" w:hAnsi="Arial"/>
          <w:sz w:val="19"/>
          <w:szCs w:val="19"/>
          <w:color w:val="auto"/>
        </w:rPr>
        <w:t>98</w:t>
      </w:r>
    </w:p>
    <w:p>
      <w:pPr>
        <w:spacing w:after="0" w:line="44" w:lineRule="exact"/>
        <w:rPr>
          <w:sz w:val="20"/>
          <w:szCs w:val="20"/>
          <w:color w:val="auto"/>
        </w:rPr>
      </w:pPr>
    </w:p>
    <w:p>
      <w:pPr>
        <w:spacing w:after="0"/>
        <w:tabs>
          <w:tab w:leader="none" w:pos="2220" w:val="left"/>
          <w:tab w:leader="dot" w:pos="8660" w:val="left"/>
        </w:tabs>
        <w:rPr>
          <w:sz w:val="20"/>
          <w:szCs w:val="20"/>
          <w:color w:val="auto"/>
        </w:rPr>
      </w:pPr>
      <w:r>
        <w:rPr>
          <w:rFonts w:ascii="Arial" w:cs="Arial" w:eastAsia="Arial" w:hAnsi="Arial"/>
          <w:sz w:val="22"/>
          <w:szCs w:val="22"/>
          <w:color w:val="auto"/>
        </w:rPr>
        <w:t>SECTION 5.11.</w:t>
      </w:r>
      <w:r>
        <w:rPr>
          <w:sz w:val="20"/>
          <w:szCs w:val="20"/>
          <w:color w:val="auto"/>
        </w:rPr>
        <w:tab/>
      </w:r>
      <w:r>
        <w:rPr>
          <w:rFonts w:ascii="Arial" w:cs="Arial" w:eastAsia="Arial" w:hAnsi="Arial"/>
          <w:sz w:val="22"/>
          <w:szCs w:val="22"/>
          <w:color w:val="auto"/>
        </w:rPr>
        <w:t>Further Assurances</w:t>
      </w:r>
      <w:r>
        <w:rPr>
          <w:sz w:val="20"/>
          <w:szCs w:val="20"/>
          <w:color w:val="auto"/>
        </w:rPr>
        <w:tab/>
      </w:r>
      <w:r>
        <w:rPr>
          <w:rFonts w:ascii="Arial" w:cs="Arial" w:eastAsia="Arial" w:hAnsi="Arial"/>
          <w:sz w:val="19"/>
          <w:szCs w:val="19"/>
          <w:color w:val="auto"/>
        </w:rPr>
        <w:t>99</w:t>
      </w:r>
    </w:p>
    <w:p>
      <w:pPr>
        <w:spacing w:after="0" w:line="19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VI</w:t>
      </w:r>
    </w:p>
    <w:p>
      <w:pPr>
        <w:spacing w:after="0" w:line="1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NEGATIVE AND FINANCIAL COVENANTS</w:t>
      </w:r>
    </w:p>
    <w:p>
      <w:pPr>
        <w:spacing w:after="0" w:line="233" w:lineRule="exact"/>
        <w:rPr>
          <w:sz w:val="20"/>
          <w:szCs w:val="20"/>
          <w:color w:val="auto"/>
        </w:rPr>
      </w:pPr>
    </w:p>
    <w:p>
      <w:pPr>
        <w:spacing w:after="0"/>
        <w:tabs>
          <w:tab w:leader="none" w:pos="2220" w:val="left"/>
          <w:tab w:leader="dot" w:pos="854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22"/>
          <w:szCs w:val="22"/>
          <w:color w:val="auto"/>
        </w:rPr>
        <w:t>Restricted Payments</w:t>
      </w:r>
      <w:r>
        <w:rPr>
          <w:sz w:val="20"/>
          <w:szCs w:val="20"/>
          <w:color w:val="auto"/>
        </w:rPr>
        <w:tab/>
      </w:r>
      <w:r>
        <w:rPr>
          <w:rFonts w:ascii="Arial" w:cs="Arial" w:eastAsia="Arial" w:hAnsi="Arial"/>
          <w:sz w:val="19"/>
          <w:szCs w:val="19"/>
          <w:color w:val="auto"/>
        </w:rPr>
        <w:t>100</w:t>
      </w:r>
    </w:p>
    <w:p>
      <w:pPr>
        <w:sectPr>
          <w:pgSz w:w="11900" w:h="16838" w:orient="portrait"/>
          <w:cols w:equalWidth="0" w:num="1">
            <w:col w:w="10099"/>
          </w:cols>
          <w:pgMar w:left="360" w:top="793" w:right="1440" w:bottom="1440" w:gutter="0" w:footer="0" w:header="0"/>
        </w:sectPr>
      </w:pPr>
    </w:p>
    <w:p>
      <w:pPr>
        <w:spacing w:after="0" w:line="2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793" w:right="1440" w:bottom="1440" w:gutter="0" w:footer="0" w:header="0"/>
          <w:type w:val="continuous"/>
        </w:sectPr>
      </w:pPr>
    </w:p>
    <w:bookmarkStart w:id="190" w:name="page191"/>
    <w:bookmarkEnd w:id="190"/>
    <w:p>
      <w:pPr>
        <w:spacing w:after="0"/>
        <w:tabs>
          <w:tab w:leader="none" w:pos="222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color w:val="auto"/>
        </w:rPr>
        <w:t>Restrictions on Ability of Restricted Subsidiaries to Pay Dividends and</w:t>
      </w:r>
    </w:p>
    <w:p>
      <w:pPr>
        <w:spacing w:after="0" w:line="8" w:lineRule="exact"/>
        <w:rPr>
          <w:sz w:val="20"/>
          <w:szCs w:val="20"/>
          <w:color w:val="auto"/>
        </w:rPr>
      </w:pPr>
    </w:p>
    <w:p>
      <w:pPr>
        <w:ind w:left="2240"/>
        <w:spacing w:after="0"/>
        <w:tabs>
          <w:tab w:leader="dot" w:pos="8640" w:val="left"/>
        </w:tabs>
        <w:rPr>
          <w:sz w:val="20"/>
          <w:szCs w:val="20"/>
          <w:color w:val="auto"/>
        </w:rPr>
      </w:pPr>
      <w:r>
        <w:rPr>
          <w:rFonts w:ascii="Arial" w:cs="Arial" w:eastAsia="Arial" w:hAnsi="Arial"/>
          <w:sz w:val="22"/>
          <w:szCs w:val="22"/>
          <w:color w:val="auto"/>
        </w:rPr>
        <w:t>Make Certain Other Payments</w:t>
      </w:r>
      <w:r>
        <w:rPr>
          <w:sz w:val="20"/>
          <w:szCs w:val="20"/>
          <w:color w:val="auto"/>
        </w:rPr>
        <w:tab/>
      </w:r>
      <w:r>
        <w:rPr>
          <w:rFonts w:ascii="Arial" w:cs="Arial" w:eastAsia="Arial" w:hAnsi="Arial"/>
          <w:sz w:val="19"/>
          <w:szCs w:val="19"/>
          <w:color w:val="auto"/>
        </w:rPr>
        <w:t>106</w:t>
      </w:r>
    </w:p>
    <w:p>
      <w:pPr>
        <w:spacing w:after="0" w:line="26" w:lineRule="exact"/>
        <w:rPr>
          <w:sz w:val="20"/>
          <w:szCs w:val="20"/>
          <w:color w:val="auto"/>
        </w:rPr>
      </w:pPr>
    </w:p>
    <w:p>
      <w:pPr>
        <w:spacing w:after="0"/>
        <w:tabs>
          <w:tab w:leader="none" w:pos="2220" w:val="left"/>
          <w:tab w:leader="dot" w:pos="852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22"/>
          <w:szCs w:val="22"/>
          <w:color w:val="auto"/>
        </w:rPr>
        <w:t>[Reserved]</w:t>
      </w:r>
      <w:r>
        <w:rPr>
          <w:sz w:val="20"/>
          <w:szCs w:val="20"/>
          <w:color w:val="auto"/>
        </w:rPr>
        <w:tab/>
      </w:r>
      <w:r>
        <w:rPr>
          <w:rFonts w:ascii="Arial" w:cs="Arial" w:eastAsia="Arial" w:hAnsi="Arial"/>
          <w:sz w:val="19"/>
          <w:szCs w:val="19"/>
          <w:color w:val="auto"/>
        </w:rPr>
        <w:t>107</w:t>
      </w:r>
    </w:p>
    <w:p>
      <w:pPr>
        <w:spacing w:after="0" w:line="44"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22"/>
          <w:szCs w:val="22"/>
          <w:color w:val="auto"/>
        </w:rPr>
        <w:t>Disposition of Collateral</w:t>
      </w:r>
      <w:r>
        <w:rPr>
          <w:sz w:val="20"/>
          <w:szCs w:val="20"/>
          <w:color w:val="auto"/>
        </w:rPr>
        <w:tab/>
      </w:r>
      <w:r>
        <w:rPr>
          <w:rFonts w:ascii="Arial" w:cs="Arial" w:eastAsia="Arial" w:hAnsi="Arial"/>
          <w:sz w:val="19"/>
          <w:szCs w:val="19"/>
          <w:color w:val="auto"/>
        </w:rPr>
        <w:t>107</w:t>
      </w:r>
    </w:p>
    <w:p>
      <w:pPr>
        <w:spacing w:after="0" w:line="44" w:lineRule="exact"/>
        <w:rPr>
          <w:sz w:val="20"/>
          <w:szCs w:val="20"/>
          <w:color w:val="auto"/>
        </w:rPr>
      </w:pPr>
    </w:p>
    <w:p>
      <w:pPr>
        <w:spacing w:after="0"/>
        <w:tabs>
          <w:tab w:leader="none" w:pos="2220" w:val="left"/>
          <w:tab w:leader="dot" w:pos="8620" w:val="left"/>
        </w:tabs>
        <w:rPr>
          <w:sz w:val="20"/>
          <w:szCs w:val="20"/>
          <w:color w:val="auto"/>
        </w:rPr>
      </w:pPr>
      <w:r>
        <w:rPr>
          <w:rFonts w:ascii="Arial" w:cs="Arial" w:eastAsia="Arial" w:hAnsi="Arial"/>
          <w:sz w:val="22"/>
          <w:szCs w:val="22"/>
          <w:color w:val="auto"/>
        </w:rPr>
        <w:t>SECTION 6.05.</w:t>
      </w:r>
      <w:r>
        <w:rPr>
          <w:sz w:val="20"/>
          <w:szCs w:val="20"/>
          <w:color w:val="auto"/>
        </w:rPr>
        <w:tab/>
      </w:r>
      <w:r>
        <w:rPr>
          <w:rFonts w:ascii="Arial" w:cs="Arial" w:eastAsia="Arial" w:hAnsi="Arial"/>
          <w:sz w:val="22"/>
          <w:szCs w:val="22"/>
          <w:color w:val="auto"/>
        </w:rPr>
        <w:t>Transactions with Affiliates</w:t>
      </w:r>
      <w:r>
        <w:rPr>
          <w:sz w:val="20"/>
          <w:szCs w:val="20"/>
          <w:color w:val="auto"/>
        </w:rPr>
        <w:tab/>
      </w:r>
      <w:r>
        <w:rPr>
          <w:rFonts w:ascii="Arial" w:cs="Arial" w:eastAsia="Arial" w:hAnsi="Arial"/>
          <w:sz w:val="19"/>
          <w:szCs w:val="19"/>
          <w:color w:val="auto"/>
        </w:rPr>
        <w:t>109</w:t>
      </w:r>
    </w:p>
    <w:p>
      <w:pPr>
        <w:spacing w:after="0" w:line="44" w:lineRule="exact"/>
        <w:rPr>
          <w:sz w:val="20"/>
          <w:szCs w:val="20"/>
          <w:color w:val="auto"/>
        </w:rPr>
      </w:pPr>
    </w:p>
    <w:p>
      <w:pPr>
        <w:spacing w:after="0"/>
        <w:tabs>
          <w:tab w:leader="none" w:pos="2220" w:val="left"/>
          <w:tab w:leader="dot" w:pos="8540" w:val="left"/>
        </w:tabs>
        <w:rPr>
          <w:sz w:val="20"/>
          <w:szCs w:val="20"/>
          <w:color w:val="auto"/>
        </w:rPr>
      </w:pPr>
      <w:r>
        <w:rPr>
          <w:rFonts w:ascii="Arial" w:cs="Arial" w:eastAsia="Arial" w:hAnsi="Arial"/>
          <w:sz w:val="22"/>
          <w:szCs w:val="22"/>
          <w:color w:val="auto"/>
        </w:rPr>
        <w:t>SECTION 6.06.</w:t>
      </w:r>
      <w:r>
        <w:rPr>
          <w:sz w:val="20"/>
          <w:szCs w:val="20"/>
          <w:color w:val="auto"/>
        </w:rPr>
        <w:tab/>
      </w:r>
      <w:r>
        <w:rPr>
          <w:rFonts w:ascii="Arial" w:cs="Arial" w:eastAsia="Arial" w:hAnsi="Arial"/>
          <w:sz w:val="22"/>
          <w:szCs w:val="22"/>
          <w:color w:val="auto"/>
        </w:rPr>
        <w:t>Liens</w:t>
      </w:r>
      <w:r>
        <w:rPr>
          <w:sz w:val="20"/>
          <w:szCs w:val="20"/>
          <w:color w:val="auto"/>
        </w:rPr>
        <w:tab/>
      </w:r>
      <w:r>
        <w:rPr>
          <w:rFonts w:ascii="Arial" w:cs="Arial" w:eastAsia="Arial" w:hAnsi="Arial"/>
          <w:sz w:val="17"/>
          <w:szCs w:val="17"/>
          <w:color w:val="auto"/>
        </w:rPr>
        <w:t>111</w:t>
      </w:r>
    </w:p>
    <w:p>
      <w:pPr>
        <w:spacing w:after="0" w:line="44"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6.07.</w:t>
      </w:r>
      <w:r>
        <w:rPr>
          <w:sz w:val="20"/>
          <w:szCs w:val="20"/>
          <w:color w:val="auto"/>
        </w:rPr>
        <w:tab/>
      </w:r>
      <w:r>
        <w:rPr>
          <w:rFonts w:ascii="Arial" w:cs="Arial" w:eastAsia="Arial" w:hAnsi="Arial"/>
          <w:sz w:val="22"/>
          <w:szCs w:val="22"/>
          <w:color w:val="auto"/>
        </w:rPr>
        <w:t>Business Activities</w:t>
      </w:r>
      <w:r>
        <w:rPr>
          <w:sz w:val="20"/>
          <w:szCs w:val="20"/>
          <w:color w:val="auto"/>
        </w:rPr>
        <w:tab/>
      </w:r>
      <w:r>
        <w:rPr>
          <w:rFonts w:ascii="Arial" w:cs="Arial" w:eastAsia="Arial" w:hAnsi="Arial"/>
          <w:sz w:val="19"/>
          <w:szCs w:val="19"/>
          <w:color w:val="auto"/>
        </w:rPr>
        <w:t>111</w:t>
      </w:r>
    </w:p>
    <w:p>
      <w:pPr>
        <w:spacing w:after="0" w:line="44"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6.08.</w:t>
      </w:r>
      <w:r>
        <w:rPr>
          <w:sz w:val="20"/>
          <w:szCs w:val="20"/>
          <w:color w:val="auto"/>
        </w:rPr>
        <w:tab/>
      </w:r>
      <w:r>
        <w:rPr>
          <w:rFonts w:ascii="Arial" w:cs="Arial" w:eastAsia="Arial" w:hAnsi="Arial"/>
          <w:sz w:val="22"/>
          <w:szCs w:val="22"/>
          <w:color w:val="auto"/>
        </w:rPr>
        <w:t>Liquidity</w:t>
      </w:r>
      <w:r>
        <w:rPr>
          <w:sz w:val="20"/>
          <w:szCs w:val="20"/>
          <w:color w:val="auto"/>
        </w:rPr>
        <w:tab/>
      </w:r>
      <w:r>
        <w:rPr>
          <w:rFonts w:ascii="Arial" w:cs="Arial" w:eastAsia="Arial" w:hAnsi="Arial"/>
          <w:sz w:val="17"/>
          <w:szCs w:val="17"/>
          <w:color w:val="auto"/>
        </w:rPr>
        <w:t>111</w:t>
      </w:r>
    </w:p>
    <w:p>
      <w:pPr>
        <w:spacing w:after="0" w:line="44"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22"/>
          <w:szCs w:val="22"/>
          <w:color w:val="auto"/>
        </w:rPr>
        <w:t>Collateral Coverage Ratio</w:t>
      </w:r>
      <w:r>
        <w:rPr>
          <w:sz w:val="20"/>
          <w:szCs w:val="20"/>
          <w:color w:val="auto"/>
        </w:rPr>
        <w:tab/>
      </w:r>
      <w:r>
        <w:rPr>
          <w:rFonts w:ascii="Arial" w:cs="Arial" w:eastAsia="Arial" w:hAnsi="Arial"/>
          <w:sz w:val="19"/>
          <w:szCs w:val="19"/>
          <w:color w:val="auto"/>
        </w:rPr>
        <w:t>111</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22"/>
          <w:szCs w:val="22"/>
          <w:color w:val="auto"/>
        </w:rPr>
        <w:t>Merger, Consolidation, or Sale of Assets</w:t>
      </w:r>
      <w:r>
        <w:rPr>
          <w:sz w:val="20"/>
          <w:szCs w:val="20"/>
          <w:color w:val="auto"/>
        </w:rPr>
        <w:tab/>
      </w:r>
      <w:r>
        <w:rPr>
          <w:rFonts w:ascii="Arial" w:cs="Arial" w:eastAsia="Arial" w:hAnsi="Arial"/>
          <w:sz w:val="19"/>
          <w:szCs w:val="19"/>
          <w:color w:val="auto"/>
        </w:rPr>
        <w:t>112</w:t>
      </w:r>
    </w:p>
    <w:p>
      <w:pPr>
        <w:spacing w:after="0" w:line="193"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VII</w:t>
      </w:r>
    </w:p>
    <w:p>
      <w:pPr>
        <w:spacing w:after="0" w:line="16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EVENTS OF DEFAULT</w:t>
      </w:r>
    </w:p>
    <w:p>
      <w:pPr>
        <w:spacing w:after="0" w:line="233"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22"/>
          <w:szCs w:val="22"/>
          <w:color w:val="auto"/>
        </w:rPr>
        <w:t>Events of Default</w:t>
      </w:r>
      <w:r>
        <w:rPr>
          <w:sz w:val="20"/>
          <w:szCs w:val="20"/>
          <w:color w:val="auto"/>
        </w:rPr>
        <w:tab/>
      </w:r>
      <w:r>
        <w:rPr>
          <w:rFonts w:ascii="Arial" w:cs="Arial" w:eastAsia="Arial" w:hAnsi="Arial"/>
          <w:sz w:val="19"/>
          <w:szCs w:val="19"/>
          <w:color w:val="auto"/>
        </w:rPr>
        <w:t>113</w:t>
      </w:r>
    </w:p>
    <w:p>
      <w:pPr>
        <w:spacing w:after="0" w:line="193"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VIII</w:t>
      </w:r>
    </w:p>
    <w:p>
      <w:pPr>
        <w:spacing w:after="0" w:line="16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THE AGENTS</w:t>
      </w:r>
    </w:p>
    <w:p>
      <w:pPr>
        <w:spacing w:after="0" w:line="233"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22"/>
          <w:szCs w:val="22"/>
          <w:color w:val="auto"/>
        </w:rPr>
        <w:t>Administration by Agents</w:t>
      </w:r>
      <w:r>
        <w:rPr>
          <w:sz w:val="20"/>
          <w:szCs w:val="20"/>
          <w:color w:val="auto"/>
        </w:rPr>
        <w:tab/>
      </w:r>
      <w:r>
        <w:rPr>
          <w:rFonts w:ascii="Arial" w:cs="Arial" w:eastAsia="Arial" w:hAnsi="Arial"/>
          <w:sz w:val="19"/>
          <w:szCs w:val="19"/>
          <w:color w:val="auto"/>
        </w:rPr>
        <w:t>116</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22"/>
          <w:szCs w:val="22"/>
          <w:color w:val="auto"/>
        </w:rPr>
        <w:t>Rights of Agents</w:t>
      </w:r>
      <w:r>
        <w:rPr>
          <w:sz w:val="20"/>
          <w:szCs w:val="20"/>
          <w:color w:val="auto"/>
        </w:rPr>
        <w:tab/>
      </w:r>
      <w:r>
        <w:rPr>
          <w:rFonts w:ascii="Arial" w:cs="Arial" w:eastAsia="Arial" w:hAnsi="Arial"/>
          <w:sz w:val="19"/>
          <w:szCs w:val="19"/>
          <w:color w:val="auto"/>
        </w:rPr>
        <w:t>118</w:t>
      </w:r>
    </w:p>
    <w:p>
      <w:pPr>
        <w:spacing w:after="0" w:line="44" w:lineRule="exact"/>
        <w:rPr>
          <w:sz w:val="20"/>
          <w:szCs w:val="20"/>
          <w:color w:val="auto"/>
        </w:rPr>
      </w:pPr>
    </w:p>
    <w:p>
      <w:pPr>
        <w:spacing w:after="0"/>
        <w:tabs>
          <w:tab w:leader="none" w:pos="2220" w:val="left"/>
          <w:tab w:leader="dot" w:pos="862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22"/>
          <w:szCs w:val="22"/>
          <w:color w:val="auto"/>
        </w:rPr>
        <w:t>Liability of Agents</w:t>
      </w:r>
      <w:r>
        <w:rPr>
          <w:sz w:val="20"/>
          <w:szCs w:val="20"/>
          <w:color w:val="auto"/>
        </w:rPr>
        <w:tab/>
      </w:r>
      <w:r>
        <w:rPr>
          <w:rFonts w:ascii="Arial" w:cs="Arial" w:eastAsia="Arial" w:hAnsi="Arial"/>
          <w:sz w:val="19"/>
          <w:szCs w:val="19"/>
          <w:color w:val="auto"/>
        </w:rPr>
        <w:t>118</w:t>
      </w:r>
    </w:p>
    <w:p>
      <w:pPr>
        <w:spacing w:after="0" w:line="44"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22"/>
          <w:szCs w:val="22"/>
          <w:color w:val="auto"/>
        </w:rPr>
        <w:t>Reimbursement and Indemnification</w:t>
      </w:r>
      <w:r>
        <w:rPr>
          <w:sz w:val="20"/>
          <w:szCs w:val="20"/>
          <w:color w:val="auto"/>
        </w:rPr>
        <w:tab/>
      </w:r>
      <w:r>
        <w:rPr>
          <w:rFonts w:ascii="Arial" w:cs="Arial" w:eastAsia="Arial" w:hAnsi="Arial"/>
          <w:sz w:val="19"/>
          <w:szCs w:val="19"/>
          <w:color w:val="auto"/>
        </w:rPr>
        <w:t>119</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8.05.</w:t>
      </w:r>
      <w:r>
        <w:rPr>
          <w:sz w:val="20"/>
          <w:szCs w:val="20"/>
          <w:color w:val="auto"/>
        </w:rPr>
        <w:tab/>
      </w:r>
      <w:r>
        <w:rPr>
          <w:rFonts w:ascii="Arial" w:cs="Arial" w:eastAsia="Arial" w:hAnsi="Arial"/>
          <w:sz w:val="22"/>
          <w:szCs w:val="22"/>
          <w:color w:val="auto"/>
        </w:rPr>
        <w:t>Successor Agents</w:t>
      </w:r>
      <w:r>
        <w:rPr>
          <w:sz w:val="20"/>
          <w:szCs w:val="20"/>
          <w:color w:val="auto"/>
        </w:rPr>
        <w:tab/>
      </w:r>
      <w:r>
        <w:rPr>
          <w:rFonts w:ascii="Arial" w:cs="Arial" w:eastAsia="Arial" w:hAnsi="Arial"/>
          <w:sz w:val="19"/>
          <w:szCs w:val="19"/>
          <w:color w:val="auto"/>
        </w:rPr>
        <w:t>120</w:t>
      </w:r>
    </w:p>
    <w:p>
      <w:pPr>
        <w:spacing w:after="0" w:line="44" w:lineRule="exact"/>
        <w:rPr>
          <w:sz w:val="20"/>
          <w:szCs w:val="20"/>
          <w:color w:val="auto"/>
        </w:rPr>
      </w:pPr>
    </w:p>
    <w:p>
      <w:pPr>
        <w:spacing w:after="0"/>
        <w:tabs>
          <w:tab w:leader="none" w:pos="2220" w:val="left"/>
          <w:tab w:leader="dot" w:pos="8520" w:val="left"/>
        </w:tabs>
        <w:rPr>
          <w:sz w:val="20"/>
          <w:szCs w:val="20"/>
          <w:color w:val="auto"/>
        </w:rPr>
      </w:pPr>
      <w:r>
        <w:rPr>
          <w:rFonts w:ascii="Arial" w:cs="Arial" w:eastAsia="Arial" w:hAnsi="Arial"/>
          <w:sz w:val="22"/>
          <w:szCs w:val="22"/>
          <w:color w:val="auto"/>
        </w:rPr>
        <w:t>SECTION 8.06.</w:t>
      </w:r>
      <w:r>
        <w:rPr>
          <w:sz w:val="20"/>
          <w:szCs w:val="20"/>
          <w:color w:val="auto"/>
        </w:rPr>
        <w:tab/>
      </w:r>
      <w:r>
        <w:rPr>
          <w:rFonts w:ascii="Arial" w:cs="Arial" w:eastAsia="Arial" w:hAnsi="Arial"/>
          <w:sz w:val="22"/>
          <w:szCs w:val="22"/>
          <w:color w:val="auto"/>
        </w:rPr>
        <w:t>Independent Lenders</w:t>
      </w:r>
      <w:r>
        <w:rPr>
          <w:sz w:val="20"/>
          <w:szCs w:val="20"/>
          <w:color w:val="auto"/>
        </w:rPr>
        <w:tab/>
      </w:r>
      <w:r>
        <w:rPr>
          <w:rFonts w:ascii="Arial" w:cs="Arial" w:eastAsia="Arial" w:hAnsi="Arial"/>
          <w:sz w:val="19"/>
          <w:szCs w:val="19"/>
          <w:color w:val="auto"/>
        </w:rPr>
        <w:t>120</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8.07.</w:t>
      </w:r>
      <w:r>
        <w:rPr>
          <w:sz w:val="20"/>
          <w:szCs w:val="20"/>
          <w:color w:val="auto"/>
        </w:rPr>
        <w:tab/>
      </w:r>
      <w:r>
        <w:rPr>
          <w:rFonts w:ascii="Arial" w:cs="Arial" w:eastAsia="Arial" w:hAnsi="Arial"/>
          <w:sz w:val="22"/>
          <w:szCs w:val="22"/>
          <w:color w:val="auto"/>
        </w:rPr>
        <w:t>Advances and Payments</w:t>
      </w:r>
      <w:r>
        <w:rPr>
          <w:sz w:val="20"/>
          <w:szCs w:val="20"/>
          <w:color w:val="auto"/>
        </w:rPr>
        <w:tab/>
      </w:r>
      <w:r>
        <w:rPr>
          <w:rFonts w:ascii="Arial" w:cs="Arial" w:eastAsia="Arial" w:hAnsi="Arial"/>
          <w:sz w:val="19"/>
          <w:szCs w:val="19"/>
          <w:color w:val="auto"/>
        </w:rPr>
        <w:t>121</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22"/>
          <w:szCs w:val="22"/>
          <w:color w:val="auto"/>
        </w:rPr>
        <w:t>Sharing of Setoffs</w:t>
      </w:r>
      <w:r>
        <w:rPr>
          <w:sz w:val="20"/>
          <w:szCs w:val="20"/>
          <w:color w:val="auto"/>
        </w:rPr>
        <w:tab/>
      </w:r>
      <w:r>
        <w:rPr>
          <w:rFonts w:ascii="Arial" w:cs="Arial" w:eastAsia="Arial" w:hAnsi="Arial"/>
          <w:sz w:val="19"/>
          <w:szCs w:val="19"/>
          <w:color w:val="auto"/>
        </w:rPr>
        <w:t>121</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8.09.</w:t>
      </w:r>
      <w:r>
        <w:rPr>
          <w:sz w:val="20"/>
          <w:szCs w:val="20"/>
          <w:color w:val="auto"/>
        </w:rPr>
        <w:tab/>
      </w:r>
      <w:r>
        <w:rPr>
          <w:rFonts w:ascii="Arial" w:cs="Arial" w:eastAsia="Arial" w:hAnsi="Arial"/>
          <w:sz w:val="22"/>
          <w:szCs w:val="22"/>
          <w:color w:val="auto"/>
        </w:rPr>
        <w:t>Withholding Taxes</w:t>
      </w:r>
      <w:r>
        <w:rPr>
          <w:sz w:val="20"/>
          <w:szCs w:val="20"/>
          <w:color w:val="auto"/>
        </w:rPr>
        <w:tab/>
      </w:r>
      <w:r>
        <w:rPr>
          <w:rFonts w:ascii="Arial" w:cs="Arial" w:eastAsia="Arial" w:hAnsi="Arial"/>
          <w:sz w:val="19"/>
          <w:szCs w:val="19"/>
          <w:color w:val="auto"/>
        </w:rPr>
        <w:t>121</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8.10.</w:t>
      </w:r>
      <w:r>
        <w:rPr>
          <w:sz w:val="20"/>
          <w:szCs w:val="20"/>
          <w:color w:val="auto"/>
        </w:rPr>
        <w:tab/>
      </w:r>
      <w:r>
        <w:rPr>
          <w:rFonts w:ascii="Arial" w:cs="Arial" w:eastAsia="Arial" w:hAnsi="Arial"/>
          <w:sz w:val="22"/>
          <w:szCs w:val="22"/>
          <w:color w:val="auto"/>
        </w:rPr>
        <w:t>Appointment by Secured Parties</w:t>
      </w:r>
      <w:r>
        <w:rPr>
          <w:sz w:val="20"/>
          <w:szCs w:val="20"/>
          <w:color w:val="auto"/>
        </w:rPr>
        <w:tab/>
      </w:r>
      <w:r>
        <w:rPr>
          <w:rFonts w:ascii="Arial" w:cs="Arial" w:eastAsia="Arial" w:hAnsi="Arial"/>
          <w:sz w:val="19"/>
          <w:szCs w:val="19"/>
          <w:color w:val="auto"/>
        </w:rPr>
        <w:t>122</w:t>
      </w:r>
    </w:p>
    <w:p>
      <w:pPr>
        <w:spacing w:after="0" w:line="44"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8.11.</w:t>
      </w:r>
      <w:r>
        <w:rPr>
          <w:sz w:val="20"/>
          <w:szCs w:val="20"/>
          <w:color w:val="auto"/>
        </w:rPr>
        <w:tab/>
      </w:r>
      <w:r>
        <w:rPr>
          <w:rFonts w:ascii="Arial" w:cs="Arial" w:eastAsia="Arial" w:hAnsi="Arial"/>
          <w:sz w:val="22"/>
          <w:szCs w:val="22"/>
          <w:color w:val="auto"/>
        </w:rPr>
        <w:t>Delivery of Information</w:t>
      </w:r>
      <w:r>
        <w:rPr>
          <w:sz w:val="20"/>
          <w:szCs w:val="20"/>
          <w:color w:val="auto"/>
        </w:rPr>
        <w:tab/>
      </w:r>
      <w:r>
        <w:rPr>
          <w:rFonts w:ascii="Arial" w:cs="Arial" w:eastAsia="Arial" w:hAnsi="Arial"/>
          <w:sz w:val="19"/>
          <w:szCs w:val="19"/>
          <w:color w:val="auto"/>
        </w:rPr>
        <w:t>122</w:t>
      </w:r>
    </w:p>
    <w:p>
      <w:pPr>
        <w:spacing w:after="0" w:line="193"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Article IX</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GUARANTY</w:t>
      </w:r>
    </w:p>
    <w:p>
      <w:pPr>
        <w:spacing w:after="0" w:line="215" w:lineRule="exact"/>
        <w:rPr>
          <w:sz w:val="20"/>
          <w:szCs w:val="20"/>
          <w:color w:val="auto"/>
        </w:rPr>
      </w:pPr>
    </w:p>
    <w:p>
      <w:pPr>
        <w:spacing w:after="0"/>
        <w:tabs>
          <w:tab w:leader="none" w:pos="2220" w:val="left"/>
          <w:tab w:leader="dot" w:pos="854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22"/>
          <w:szCs w:val="22"/>
          <w:color w:val="auto"/>
        </w:rPr>
        <w:t>Guaranty</w:t>
      </w:r>
      <w:r>
        <w:rPr>
          <w:sz w:val="20"/>
          <w:szCs w:val="20"/>
          <w:color w:val="auto"/>
        </w:rPr>
        <w:tab/>
      </w:r>
      <w:r>
        <w:rPr>
          <w:rFonts w:ascii="Arial" w:cs="Arial" w:eastAsia="Arial" w:hAnsi="Arial"/>
          <w:sz w:val="19"/>
          <w:szCs w:val="19"/>
          <w:color w:val="auto"/>
        </w:rPr>
        <w:t>122</w:t>
      </w:r>
    </w:p>
    <w:p>
      <w:pPr>
        <w:spacing w:after="0" w:line="44" w:lineRule="exact"/>
        <w:rPr>
          <w:sz w:val="20"/>
          <w:szCs w:val="20"/>
          <w:color w:val="auto"/>
        </w:rPr>
      </w:pPr>
    </w:p>
    <w:p>
      <w:pPr>
        <w:spacing w:after="0"/>
        <w:tabs>
          <w:tab w:leader="none" w:pos="2220" w:val="left"/>
          <w:tab w:leader="dot" w:pos="858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22"/>
          <w:szCs w:val="22"/>
          <w:color w:val="auto"/>
        </w:rPr>
        <w:t>Right of Contribution</w:t>
      </w:r>
      <w:r>
        <w:rPr>
          <w:sz w:val="20"/>
          <w:szCs w:val="20"/>
          <w:color w:val="auto"/>
        </w:rPr>
        <w:tab/>
      </w:r>
      <w:r>
        <w:rPr>
          <w:rFonts w:ascii="Arial" w:cs="Arial" w:eastAsia="Arial" w:hAnsi="Arial"/>
          <w:sz w:val="19"/>
          <w:szCs w:val="19"/>
          <w:color w:val="auto"/>
        </w:rPr>
        <w:t>124</w:t>
      </w:r>
    </w:p>
    <w:p>
      <w:pPr>
        <w:spacing w:after="0" w:line="44" w:lineRule="exact"/>
        <w:rPr>
          <w:sz w:val="20"/>
          <w:szCs w:val="20"/>
          <w:color w:val="auto"/>
        </w:rPr>
      </w:pPr>
    </w:p>
    <w:p>
      <w:pPr>
        <w:spacing w:after="0"/>
        <w:tabs>
          <w:tab w:leader="none" w:pos="2220" w:val="left"/>
          <w:tab w:leader="dot" w:pos="8620" w:val="left"/>
        </w:tabs>
        <w:rPr>
          <w:sz w:val="20"/>
          <w:szCs w:val="20"/>
          <w:color w:val="auto"/>
        </w:rPr>
      </w:pPr>
      <w:r>
        <w:rPr>
          <w:rFonts w:ascii="Arial" w:cs="Arial" w:eastAsia="Arial" w:hAnsi="Arial"/>
          <w:sz w:val="22"/>
          <w:szCs w:val="22"/>
          <w:color w:val="auto"/>
        </w:rPr>
        <w:t>SECTION 9.03.</w:t>
      </w:r>
      <w:r>
        <w:rPr>
          <w:sz w:val="20"/>
          <w:szCs w:val="20"/>
          <w:color w:val="auto"/>
        </w:rPr>
        <w:tab/>
      </w:r>
      <w:r>
        <w:rPr>
          <w:rFonts w:ascii="Arial" w:cs="Arial" w:eastAsia="Arial" w:hAnsi="Arial"/>
          <w:sz w:val="22"/>
          <w:szCs w:val="22"/>
          <w:color w:val="auto"/>
        </w:rPr>
        <w:t>Continuation and Reinstatement, etc</w:t>
      </w:r>
      <w:r>
        <w:rPr>
          <w:sz w:val="20"/>
          <w:szCs w:val="20"/>
          <w:color w:val="auto"/>
        </w:rPr>
        <w:tab/>
      </w:r>
      <w:r>
        <w:rPr>
          <w:rFonts w:ascii="Arial" w:cs="Arial" w:eastAsia="Arial" w:hAnsi="Arial"/>
          <w:sz w:val="19"/>
          <w:szCs w:val="19"/>
          <w:color w:val="auto"/>
        </w:rPr>
        <w:t>124</w:t>
      </w:r>
    </w:p>
    <w:p>
      <w:pPr>
        <w:spacing w:after="0" w:line="44" w:lineRule="exact"/>
        <w:rPr>
          <w:sz w:val="20"/>
          <w:szCs w:val="20"/>
          <w:color w:val="auto"/>
        </w:rPr>
      </w:pPr>
    </w:p>
    <w:p>
      <w:pPr>
        <w:spacing w:after="0"/>
        <w:tabs>
          <w:tab w:leader="none" w:pos="2220" w:val="left"/>
          <w:tab w:leader="dot" w:pos="8520" w:val="left"/>
        </w:tabs>
        <w:rPr>
          <w:sz w:val="20"/>
          <w:szCs w:val="20"/>
          <w:color w:val="auto"/>
        </w:rPr>
      </w:pPr>
      <w:r>
        <w:rPr>
          <w:rFonts w:ascii="Arial" w:cs="Arial" w:eastAsia="Arial" w:hAnsi="Arial"/>
          <w:sz w:val="22"/>
          <w:szCs w:val="22"/>
          <w:color w:val="auto"/>
        </w:rPr>
        <w:t>SECTION 9.04.</w:t>
      </w:r>
      <w:r>
        <w:rPr>
          <w:sz w:val="20"/>
          <w:szCs w:val="20"/>
          <w:color w:val="auto"/>
        </w:rPr>
        <w:tab/>
      </w:r>
      <w:r>
        <w:rPr>
          <w:rFonts w:ascii="Arial" w:cs="Arial" w:eastAsia="Arial" w:hAnsi="Arial"/>
          <w:sz w:val="22"/>
          <w:szCs w:val="22"/>
          <w:color w:val="auto"/>
        </w:rPr>
        <w:t>Subrogation</w:t>
      </w:r>
      <w:r>
        <w:rPr>
          <w:sz w:val="20"/>
          <w:szCs w:val="20"/>
          <w:color w:val="auto"/>
        </w:rPr>
        <w:tab/>
      </w:r>
      <w:r>
        <w:rPr>
          <w:rFonts w:ascii="Arial" w:cs="Arial" w:eastAsia="Arial" w:hAnsi="Arial"/>
          <w:sz w:val="19"/>
          <w:szCs w:val="19"/>
          <w:color w:val="auto"/>
        </w:rPr>
        <w:t>124</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9.05.</w:t>
      </w:r>
      <w:r>
        <w:rPr>
          <w:sz w:val="20"/>
          <w:szCs w:val="20"/>
          <w:color w:val="auto"/>
        </w:rPr>
        <w:tab/>
      </w:r>
      <w:r>
        <w:rPr>
          <w:rFonts w:ascii="Arial" w:cs="Arial" w:eastAsia="Arial" w:hAnsi="Arial"/>
          <w:sz w:val="22"/>
          <w:szCs w:val="22"/>
          <w:color w:val="auto"/>
        </w:rPr>
        <w:t>Discharge of Guaranty</w:t>
      </w:r>
      <w:r>
        <w:rPr>
          <w:sz w:val="20"/>
          <w:szCs w:val="20"/>
          <w:color w:val="auto"/>
        </w:rPr>
        <w:tab/>
      </w:r>
      <w:r>
        <w:rPr>
          <w:rFonts w:ascii="Arial" w:cs="Arial" w:eastAsia="Arial" w:hAnsi="Arial"/>
          <w:sz w:val="19"/>
          <w:szCs w:val="19"/>
          <w:color w:val="auto"/>
        </w:rPr>
        <w:t>124</w:t>
      </w:r>
    </w:p>
    <w:p>
      <w:pPr>
        <w:spacing w:after="0" w:line="193"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X</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MISCELLANEOUS</w:t>
      </w:r>
    </w:p>
    <w:p>
      <w:pPr>
        <w:spacing w:after="0" w:line="152"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22"/>
          <w:szCs w:val="22"/>
          <w:color w:val="auto"/>
        </w:rPr>
        <w:t>Notices</w:t>
      </w:r>
      <w:r>
        <w:rPr>
          <w:sz w:val="20"/>
          <w:szCs w:val="20"/>
          <w:color w:val="auto"/>
        </w:rPr>
        <w:tab/>
      </w:r>
      <w:r>
        <w:rPr>
          <w:rFonts w:ascii="Arial" w:cs="Arial" w:eastAsia="Arial" w:hAnsi="Arial"/>
          <w:sz w:val="19"/>
          <w:szCs w:val="19"/>
          <w:color w:val="auto"/>
        </w:rPr>
        <w:t>125</w:t>
      </w:r>
    </w:p>
    <w:p>
      <w:pPr>
        <w:spacing w:after="0" w:line="2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793" w:right="1440" w:bottom="1440" w:gutter="0" w:footer="0" w:header="0"/>
        </w:sectPr>
      </w:pPr>
    </w:p>
    <w:bookmarkStart w:id="191" w:name="page192"/>
    <w:bookmarkEnd w:id="191"/>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22"/>
          <w:szCs w:val="22"/>
          <w:color w:val="auto"/>
        </w:rPr>
        <w:t>Successors and Assigns</w:t>
      </w:r>
      <w:r>
        <w:rPr>
          <w:sz w:val="20"/>
          <w:szCs w:val="20"/>
          <w:color w:val="auto"/>
        </w:rPr>
        <w:tab/>
      </w:r>
      <w:r>
        <w:rPr>
          <w:rFonts w:ascii="Arial" w:cs="Arial" w:eastAsia="Arial" w:hAnsi="Arial"/>
          <w:sz w:val="19"/>
          <w:szCs w:val="19"/>
          <w:color w:val="auto"/>
        </w:rPr>
        <w:t>126</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22"/>
          <w:szCs w:val="22"/>
          <w:color w:val="auto"/>
        </w:rPr>
        <w:t>Confidentiality</w:t>
      </w:r>
      <w:r>
        <w:rPr>
          <w:sz w:val="20"/>
          <w:szCs w:val="20"/>
          <w:color w:val="auto"/>
        </w:rPr>
        <w:tab/>
      </w:r>
      <w:r>
        <w:rPr>
          <w:rFonts w:ascii="Arial" w:cs="Arial" w:eastAsia="Arial" w:hAnsi="Arial"/>
          <w:sz w:val="19"/>
          <w:szCs w:val="19"/>
          <w:color w:val="auto"/>
        </w:rPr>
        <w:t>132</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22"/>
          <w:szCs w:val="22"/>
          <w:color w:val="auto"/>
        </w:rPr>
        <w:t>Expenses; Indemnity; Damage Waiver</w:t>
      </w:r>
      <w:r>
        <w:rPr>
          <w:sz w:val="20"/>
          <w:szCs w:val="20"/>
          <w:color w:val="auto"/>
        </w:rPr>
        <w:tab/>
      </w:r>
      <w:r>
        <w:rPr>
          <w:rFonts w:ascii="Arial" w:cs="Arial" w:eastAsia="Arial" w:hAnsi="Arial"/>
          <w:sz w:val="19"/>
          <w:szCs w:val="19"/>
          <w:color w:val="auto"/>
        </w:rPr>
        <w:t>132</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10.05.</w:t>
      </w:r>
      <w:r>
        <w:rPr>
          <w:sz w:val="20"/>
          <w:szCs w:val="20"/>
          <w:color w:val="auto"/>
        </w:rPr>
        <w:tab/>
      </w:r>
      <w:r>
        <w:rPr>
          <w:rFonts w:ascii="Arial" w:cs="Arial" w:eastAsia="Arial" w:hAnsi="Arial"/>
          <w:sz w:val="22"/>
          <w:szCs w:val="22"/>
          <w:color w:val="auto"/>
        </w:rPr>
        <w:t>Governing Law; Jurisdiction; Consent to Service of Process</w:t>
      </w:r>
      <w:r>
        <w:rPr>
          <w:sz w:val="20"/>
          <w:szCs w:val="20"/>
          <w:color w:val="auto"/>
        </w:rPr>
        <w:tab/>
      </w:r>
      <w:r>
        <w:rPr>
          <w:rFonts w:ascii="Arial" w:cs="Arial" w:eastAsia="Arial" w:hAnsi="Arial"/>
          <w:sz w:val="19"/>
          <w:szCs w:val="19"/>
          <w:color w:val="auto"/>
        </w:rPr>
        <w:t>133</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22"/>
          <w:szCs w:val="22"/>
          <w:color w:val="auto"/>
        </w:rPr>
        <w:t>No Waiver</w:t>
      </w:r>
      <w:r>
        <w:rPr>
          <w:sz w:val="20"/>
          <w:szCs w:val="20"/>
          <w:color w:val="auto"/>
        </w:rPr>
        <w:tab/>
      </w:r>
      <w:r>
        <w:rPr>
          <w:rFonts w:ascii="Arial" w:cs="Arial" w:eastAsia="Arial" w:hAnsi="Arial"/>
          <w:sz w:val="19"/>
          <w:szCs w:val="19"/>
          <w:color w:val="auto"/>
        </w:rPr>
        <w:t>135</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22"/>
          <w:szCs w:val="22"/>
          <w:color w:val="auto"/>
        </w:rPr>
        <w:t>Extension of Maturity</w:t>
      </w:r>
      <w:r>
        <w:rPr>
          <w:sz w:val="20"/>
          <w:szCs w:val="20"/>
          <w:color w:val="auto"/>
        </w:rPr>
        <w:tab/>
      </w:r>
      <w:r>
        <w:rPr>
          <w:rFonts w:ascii="Arial" w:cs="Arial" w:eastAsia="Arial" w:hAnsi="Arial"/>
          <w:sz w:val="19"/>
          <w:szCs w:val="19"/>
          <w:color w:val="auto"/>
        </w:rPr>
        <w:t>136</w:t>
      </w:r>
    </w:p>
    <w:p>
      <w:pPr>
        <w:spacing w:after="0" w:line="44" w:lineRule="exact"/>
        <w:rPr>
          <w:sz w:val="20"/>
          <w:szCs w:val="20"/>
          <w:color w:val="auto"/>
        </w:rPr>
      </w:pPr>
    </w:p>
    <w:p>
      <w:pPr>
        <w:spacing w:after="0"/>
        <w:tabs>
          <w:tab w:leader="none" w:pos="2220" w:val="left"/>
          <w:tab w:leader="dot" w:pos="8540" w:val="left"/>
        </w:tabs>
        <w:rPr>
          <w:sz w:val="20"/>
          <w:szCs w:val="20"/>
          <w:color w:val="auto"/>
        </w:rPr>
      </w:pPr>
      <w:r>
        <w:rPr>
          <w:rFonts w:ascii="Arial" w:cs="Arial" w:eastAsia="Arial" w:hAnsi="Arial"/>
          <w:sz w:val="22"/>
          <w:szCs w:val="22"/>
          <w:color w:val="auto"/>
        </w:rPr>
        <w:t>SECTION 10.08.</w:t>
      </w:r>
      <w:r>
        <w:rPr>
          <w:sz w:val="20"/>
          <w:szCs w:val="20"/>
          <w:color w:val="auto"/>
        </w:rPr>
        <w:tab/>
      </w:r>
      <w:r>
        <w:rPr>
          <w:rFonts w:ascii="Arial" w:cs="Arial" w:eastAsia="Arial" w:hAnsi="Arial"/>
          <w:sz w:val="22"/>
          <w:szCs w:val="22"/>
          <w:color w:val="auto"/>
        </w:rPr>
        <w:t>Amendments, etc.</w:t>
      </w:r>
      <w:r>
        <w:rPr>
          <w:sz w:val="20"/>
          <w:szCs w:val="20"/>
          <w:color w:val="auto"/>
        </w:rPr>
        <w:tab/>
      </w:r>
      <w:r>
        <w:rPr>
          <w:rFonts w:ascii="Arial" w:cs="Arial" w:eastAsia="Arial" w:hAnsi="Arial"/>
          <w:sz w:val="19"/>
          <w:szCs w:val="19"/>
          <w:color w:val="auto"/>
        </w:rPr>
        <w:t>136</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10.09.</w:t>
      </w:r>
      <w:r>
        <w:rPr>
          <w:sz w:val="20"/>
          <w:szCs w:val="20"/>
          <w:color w:val="auto"/>
        </w:rPr>
        <w:tab/>
      </w:r>
      <w:r>
        <w:rPr>
          <w:rFonts w:ascii="Arial" w:cs="Arial" w:eastAsia="Arial" w:hAnsi="Arial"/>
          <w:sz w:val="22"/>
          <w:szCs w:val="22"/>
          <w:color w:val="auto"/>
        </w:rPr>
        <w:t>Severability</w:t>
      </w:r>
      <w:r>
        <w:rPr>
          <w:sz w:val="20"/>
          <w:szCs w:val="20"/>
          <w:color w:val="auto"/>
        </w:rPr>
        <w:tab/>
      </w:r>
      <w:r>
        <w:rPr>
          <w:rFonts w:ascii="Arial" w:cs="Arial" w:eastAsia="Arial" w:hAnsi="Arial"/>
          <w:sz w:val="19"/>
          <w:szCs w:val="19"/>
          <w:color w:val="auto"/>
        </w:rPr>
        <w:t>136</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10.10.</w:t>
      </w:r>
      <w:r>
        <w:rPr>
          <w:sz w:val="20"/>
          <w:szCs w:val="20"/>
          <w:color w:val="auto"/>
        </w:rPr>
        <w:tab/>
      </w:r>
      <w:r>
        <w:rPr>
          <w:rFonts w:ascii="Arial" w:cs="Arial" w:eastAsia="Arial" w:hAnsi="Arial"/>
          <w:sz w:val="22"/>
          <w:szCs w:val="22"/>
          <w:color w:val="auto"/>
        </w:rPr>
        <w:t>Headings</w:t>
      </w:r>
      <w:r>
        <w:rPr>
          <w:sz w:val="20"/>
          <w:szCs w:val="20"/>
          <w:color w:val="auto"/>
        </w:rPr>
        <w:tab/>
      </w:r>
      <w:r>
        <w:rPr>
          <w:rFonts w:ascii="Arial" w:cs="Arial" w:eastAsia="Arial" w:hAnsi="Arial"/>
          <w:sz w:val="19"/>
          <w:szCs w:val="19"/>
          <w:color w:val="auto"/>
        </w:rPr>
        <w:t>139</w:t>
      </w:r>
    </w:p>
    <w:p>
      <w:pPr>
        <w:spacing w:after="0" w:line="44" w:lineRule="exact"/>
        <w:rPr>
          <w:sz w:val="20"/>
          <w:szCs w:val="20"/>
          <w:color w:val="auto"/>
        </w:rPr>
      </w:pPr>
    </w:p>
    <w:p>
      <w:pPr>
        <w:spacing w:after="0"/>
        <w:tabs>
          <w:tab w:leader="none" w:pos="2220" w:val="left"/>
          <w:tab w:leader="dot" w:pos="8520" w:val="left"/>
        </w:tabs>
        <w:rPr>
          <w:sz w:val="20"/>
          <w:szCs w:val="20"/>
          <w:color w:val="auto"/>
        </w:rPr>
      </w:pPr>
      <w:r>
        <w:rPr>
          <w:rFonts w:ascii="Arial" w:cs="Arial" w:eastAsia="Arial" w:hAnsi="Arial"/>
          <w:sz w:val="22"/>
          <w:szCs w:val="22"/>
          <w:color w:val="auto"/>
        </w:rPr>
        <w:t>SECTION 10.11.</w:t>
      </w:r>
      <w:r>
        <w:rPr>
          <w:sz w:val="20"/>
          <w:szCs w:val="20"/>
          <w:color w:val="auto"/>
        </w:rPr>
        <w:tab/>
      </w:r>
      <w:r>
        <w:rPr>
          <w:rFonts w:ascii="Arial" w:cs="Arial" w:eastAsia="Arial" w:hAnsi="Arial"/>
          <w:sz w:val="22"/>
          <w:szCs w:val="22"/>
          <w:color w:val="auto"/>
        </w:rPr>
        <w:t>Survival</w:t>
      </w:r>
      <w:r>
        <w:rPr>
          <w:sz w:val="20"/>
          <w:szCs w:val="20"/>
          <w:color w:val="auto"/>
        </w:rPr>
        <w:tab/>
      </w:r>
      <w:r>
        <w:rPr>
          <w:rFonts w:ascii="Arial" w:cs="Arial" w:eastAsia="Arial" w:hAnsi="Arial"/>
          <w:sz w:val="19"/>
          <w:szCs w:val="19"/>
          <w:color w:val="auto"/>
        </w:rPr>
        <w:t>140</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10.12.</w:t>
      </w:r>
      <w:r>
        <w:rPr>
          <w:sz w:val="20"/>
          <w:szCs w:val="20"/>
          <w:color w:val="auto"/>
        </w:rPr>
        <w:tab/>
      </w:r>
      <w:r>
        <w:rPr>
          <w:rFonts w:ascii="Arial" w:cs="Arial" w:eastAsia="Arial" w:hAnsi="Arial"/>
          <w:sz w:val="22"/>
          <w:szCs w:val="22"/>
          <w:color w:val="auto"/>
        </w:rPr>
        <w:t>Execution in Counterparts; Integration; Effectiveness</w:t>
      </w:r>
      <w:r>
        <w:rPr>
          <w:sz w:val="20"/>
          <w:szCs w:val="20"/>
          <w:color w:val="auto"/>
        </w:rPr>
        <w:tab/>
      </w:r>
      <w:r>
        <w:rPr>
          <w:rFonts w:ascii="Arial" w:cs="Arial" w:eastAsia="Arial" w:hAnsi="Arial"/>
          <w:sz w:val="19"/>
          <w:szCs w:val="19"/>
          <w:color w:val="auto"/>
        </w:rPr>
        <w:t>140</w:t>
      </w:r>
    </w:p>
    <w:p>
      <w:pPr>
        <w:spacing w:after="0" w:line="44" w:lineRule="exact"/>
        <w:rPr>
          <w:sz w:val="20"/>
          <w:szCs w:val="20"/>
          <w:color w:val="auto"/>
        </w:rPr>
      </w:pPr>
    </w:p>
    <w:p>
      <w:pPr>
        <w:spacing w:after="0"/>
        <w:tabs>
          <w:tab w:leader="none" w:pos="2220" w:val="left"/>
          <w:tab w:leader="dot" w:pos="8620" w:val="left"/>
        </w:tabs>
        <w:rPr>
          <w:sz w:val="20"/>
          <w:szCs w:val="20"/>
          <w:color w:val="auto"/>
        </w:rPr>
      </w:pPr>
      <w:r>
        <w:rPr>
          <w:rFonts w:ascii="Arial" w:cs="Arial" w:eastAsia="Arial" w:hAnsi="Arial"/>
          <w:sz w:val="22"/>
          <w:szCs w:val="22"/>
          <w:color w:val="auto"/>
        </w:rPr>
        <w:t>SECTION 10.13.</w:t>
      </w:r>
      <w:r>
        <w:rPr>
          <w:sz w:val="20"/>
          <w:szCs w:val="20"/>
          <w:color w:val="auto"/>
        </w:rPr>
        <w:tab/>
      </w:r>
      <w:r>
        <w:rPr>
          <w:rFonts w:ascii="Arial" w:cs="Arial" w:eastAsia="Arial" w:hAnsi="Arial"/>
          <w:sz w:val="22"/>
          <w:szCs w:val="22"/>
          <w:color w:val="auto"/>
        </w:rPr>
        <w:t>USA Patriot Act</w:t>
      </w:r>
      <w:r>
        <w:rPr>
          <w:sz w:val="20"/>
          <w:szCs w:val="20"/>
          <w:color w:val="auto"/>
        </w:rPr>
        <w:tab/>
      </w:r>
      <w:r>
        <w:rPr>
          <w:rFonts w:ascii="Arial" w:cs="Arial" w:eastAsia="Arial" w:hAnsi="Arial"/>
          <w:sz w:val="19"/>
          <w:szCs w:val="19"/>
          <w:color w:val="auto"/>
        </w:rPr>
        <w:t>140</w:t>
      </w:r>
    </w:p>
    <w:p>
      <w:pPr>
        <w:spacing w:after="0" w:line="44" w:lineRule="exact"/>
        <w:rPr>
          <w:sz w:val="20"/>
          <w:szCs w:val="20"/>
          <w:color w:val="auto"/>
        </w:rPr>
      </w:pPr>
    </w:p>
    <w:p>
      <w:pPr>
        <w:spacing w:after="0"/>
        <w:tabs>
          <w:tab w:leader="none" w:pos="2220" w:val="left"/>
          <w:tab w:leader="dot" w:pos="8520" w:val="left"/>
        </w:tabs>
        <w:rPr>
          <w:sz w:val="20"/>
          <w:szCs w:val="20"/>
          <w:color w:val="auto"/>
        </w:rPr>
      </w:pPr>
      <w:r>
        <w:rPr>
          <w:rFonts w:ascii="Arial" w:cs="Arial" w:eastAsia="Arial" w:hAnsi="Arial"/>
          <w:sz w:val="22"/>
          <w:szCs w:val="22"/>
          <w:color w:val="auto"/>
        </w:rPr>
        <w:t>SECTION 10.14.</w:t>
      </w:r>
      <w:r>
        <w:rPr>
          <w:sz w:val="20"/>
          <w:szCs w:val="20"/>
          <w:color w:val="auto"/>
        </w:rPr>
        <w:tab/>
      </w:r>
      <w:r>
        <w:rPr>
          <w:rFonts w:ascii="Arial" w:cs="Arial" w:eastAsia="Arial" w:hAnsi="Arial"/>
          <w:sz w:val="22"/>
          <w:szCs w:val="22"/>
          <w:color w:val="auto"/>
        </w:rPr>
        <w:t>New Value</w:t>
      </w:r>
      <w:r>
        <w:rPr>
          <w:sz w:val="20"/>
          <w:szCs w:val="20"/>
          <w:color w:val="auto"/>
        </w:rPr>
        <w:tab/>
      </w:r>
      <w:r>
        <w:rPr>
          <w:rFonts w:ascii="Arial" w:cs="Arial" w:eastAsia="Arial" w:hAnsi="Arial"/>
          <w:sz w:val="19"/>
          <w:szCs w:val="19"/>
          <w:color w:val="auto"/>
        </w:rPr>
        <w:t>140</w:t>
      </w:r>
    </w:p>
    <w:p>
      <w:pPr>
        <w:spacing w:after="0" w:line="44" w:lineRule="exact"/>
        <w:rPr>
          <w:sz w:val="20"/>
          <w:szCs w:val="20"/>
          <w:color w:val="auto"/>
        </w:rPr>
      </w:pPr>
    </w:p>
    <w:p>
      <w:pPr>
        <w:spacing w:after="0"/>
        <w:tabs>
          <w:tab w:leader="none" w:pos="2220" w:val="left"/>
          <w:tab w:leader="dot" w:pos="8620" w:val="left"/>
        </w:tabs>
        <w:rPr>
          <w:sz w:val="20"/>
          <w:szCs w:val="20"/>
          <w:color w:val="auto"/>
        </w:rPr>
      </w:pPr>
      <w:r>
        <w:rPr>
          <w:rFonts w:ascii="Arial" w:cs="Arial" w:eastAsia="Arial" w:hAnsi="Arial"/>
          <w:sz w:val="22"/>
          <w:szCs w:val="22"/>
          <w:color w:val="auto"/>
        </w:rPr>
        <w:t>SECTION 10.15.</w:t>
      </w:r>
      <w:r>
        <w:rPr>
          <w:sz w:val="20"/>
          <w:szCs w:val="20"/>
          <w:color w:val="auto"/>
        </w:rPr>
        <w:tab/>
      </w:r>
      <w:r>
        <w:rPr>
          <w:rFonts w:ascii="Arial" w:cs="Arial" w:eastAsia="Arial" w:hAnsi="Arial"/>
          <w:sz w:val="22"/>
          <w:szCs w:val="22"/>
          <w:color w:val="auto"/>
        </w:rPr>
        <w:t>WAIVER OF JURY TRIAL</w:t>
      </w:r>
      <w:r>
        <w:rPr>
          <w:sz w:val="20"/>
          <w:szCs w:val="20"/>
          <w:color w:val="auto"/>
        </w:rPr>
        <w:tab/>
      </w:r>
      <w:r>
        <w:rPr>
          <w:rFonts w:ascii="Arial" w:cs="Arial" w:eastAsia="Arial" w:hAnsi="Arial"/>
          <w:sz w:val="19"/>
          <w:szCs w:val="19"/>
          <w:color w:val="auto"/>
        </w:rPr>
        <w:t>140</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10.16.</w:t>
      </w:r>
      <w:r>
        <w:rPr>
          <w:sz w:val="20"/>
          <w:szCs w:val="20"/>
          <w:color w:val="auto"/>
        </w:rPr>
        <w:tab/>
      </w:r>
      <w:r>
        <w:rPr>
          <w:rFonts w:ascii="Arial" w:cs="Arial" w:eastAsia="Arial" w:hAnsi="Arial"/>
          <w:sz w:val="22"/>
          <w:szCs w:val="22"/>
          <w:color w:val="auto"/>
        </w:rPr>
        <w:t>No Fiduciary Duty</w:t>
      </w:r>
      <w:r>
        <w:rPr>
          <w:sz w:val="20"/>
          <w:szCs w:val="20"/>
          <w:color w:val="auto"/>
        </w:rPr>
        <w:tab/>
      </w:r>
      <w:r>
        <w:rPr>
          <w:rFonts w:ascii="Arial" w:cs="Arial" w:eastAsia="Arial" w:hAnsi="Arial"/>
          <w:sz w:val="19"/>
          <w:szCs w:val="19"/>
          <w:color w:val="auto"/>
        </w:rPr>
        <w:t>140</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10.17.</w:t>
      </w:r>
      <w:r>
        <w:rPr>
          <w:sz w:val="20"/>
          <w:szCs w:val="20"/>
          <w:color w:val="auto"/>
        </w:rPr>
        <w:tab/>
      </w:r>
      <w:r>
        <w:rPr>
          <w:rFonts w:ascii="Arial" w:cs="Arial" w:eastAsia="Arial" w:hAnsi="Arial"/>
          <w:sz w:val="22"/>
          <w:szCs w:val="22"/>
          <w:color w:val="auto"/>
        </w:rPr>
        <w:t>Lender Action</w:t>
      </w:r>
      <w:r>
        <w:rPr>
          <w:sz w:val="20"/>
          <w:szCs w:val="20"/>
          <w:color w:val="auto"/>
        </w:rPr>
        <w:tab/>
      </w:r>
      <w:r>
        <w:rPr>
          <w:rFonts w:ascii="Arial" w:cs="Arial" w:eastAsia="Arial" w:hAnsi="Arial"/>
          <w:sz w:val="19"/>
          <w:szCs w:val="19"/>
          <w:color w:val="auto"/>
        </w:rPr>
        <w:t>141</w:t>
      </w:r>
    </w:p>
    <w:p>
      <w:pPr>
        <w:spacing w:after="0" w:line="44" w:lineRule="exact"/>
        <w:rPr>
          <w:sz w:val="20"/>
          <w:szCs w:val="20"/>
          <w:color w:val="auto"/>
        </w:rPr>
      </w:pPr>
    </w:p>
    <w:p>
      <w:pPr>
        <w:spacing w:after="0"/>
        <w:tabs>
          <w:tab w:leader="none" w:pos="2220" w:val="left"/>
          <w:tab w:leader="dot" w:pos="8560" w:val="left"/>
        </w:tabs>
        <w:rPr>
          <w:sz w:val="20"/>
          <w:szCs w:val="20"/>
          <w:color w:val="auto"/>
        </w:rPr>
      </w:pPr>
      <w:r>
        <w:rPr>
          <w:rFonts w:ascii="Arial" w:cs="Arial" w:eastAsia="Arial" w:hAnsi="Arial"/>
          <w:sz w:val="22"/>
          <w:szCs w:val="22"/>
          <w:color w:val="auto"/>
        </w:rPr>
        <w:t>SECTION 10.18.</w:t>
      </w:r>
      <w:r>
        <w:rPr>
          <w:sz w:val="20"/>
          <w:szCs w:val="20"/>
          <w:color w:val="auto"/>
        </w:rPr>
        <w:tab/>
      </w:r>
      <w:r>
        <w:rPr>
          <w:rFonts w:ascii="Arial" w:cs="Arial" w:eastAsia="Arial" w:hAnsi="Arial"/>
          <w:sz w:val="22"/>
          <w:szCs w:val="22"/>
          <w:color w:val="auto"/>
        </w:rPr>
        <w:t>Intercreditor Agreements</w:t>
      </w:r>
      <w:r>
        <w:rPr>
          <w:sz w:val="20"/>
          <w:szCs w:val="20"/>
          <w:color w:val="auto"/>
        </w:rPr>
        <w:tab/>
      </w:r>
      <w:r>
        <w:rPr>
          <w:rFonts w:ascii="Arial" w:cs="Arial" w:eastAsia="Arial" w:hAnsi="Arial"/>
          <w:sz w:val="19"/>
          <w:szCs w:val="19"/>
          <w:color w:val="auto"/>
        </w:rPr>
        <w:t>141</w:t>
      </w:r>
    </w:p>
    <w:p>
      <w:pPr>
        <w:spacing w:after="0" w:line="25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874" w:right="1440" w:bottom="1440" w:gutter="0" w:footer="0" w:header="0"/>
        </w:sectPr>
      </w:pPr>
    </w:p>
    <w:bookmarkStart w:id="192" w:name="page193"/>
    <w:bookmarkEnd w:id="192"/>
    <w:p>
      <w:pPr>
        <w:spacing w:after="0"/>
        <w:rPr>
          <w:sz w:val="20"/>
          <w:szCs w:val="20"/>
          <w:color w:val="auto"/>
        </w:rPr>
      </w:pPr>
      <w:r>
        <w:rPr>
          <w:rFonts w:ascii="Arial" w:cs="Arial" w:eastAsia="Arial" w:hAnsi="Arial"/>
          <w:sz w:val="21"/>
          <w:szCs w:val="21"/>
          <w:b w:val="1"/>
          <w:bCs w:val="1"/>
          <w:color w:val="auto"/>
        </w:rPr>
        <w:t>INDEX OF APPENDICES</w:t>
      </w:r>
    </w:p>
    <w:p>
      <w:pPr>
        <w:spacing w:after="0" w:line="38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ANNEX A</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A-1-A</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A-1-B</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A-2</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B</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C</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D-1</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D-2</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E</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F</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G</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H</w:t>
      </w:r>
    </w:p>
    <w:p>
      <w:pPr>
        <w:spacing w:after="0" w:line="368" w:lineRule="exact"/>
        <w:rPr>
          <w:sz w:val="20"/>
          <w:szCs w:val="20"/>
          <w:color w:val="auto"/>
        </w:rPr>
      </w:pPr>
    </w:p>
    <w:p>
      <w:pPr>
        <w:ind w:left="980"/>
        <w:spacing w:after="0"/>
        <w:rPr>
          <w:sz w:val="20"/>
          <w:szCs w:val="20"/>
          <w:color w:val="auto"/>
        </w:rPr>
      </w:pPr>
      <w:r>
        <w:rPr>
          <w:rFonts w:ascii="Arial" w:cs="Arial" w:eastAsia="Arial" w:hAnsi="Arial"/>
          <w:sz w:val="22"/>
          <w:szCs w:val="22"/>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37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SCHEDULE 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–Lenders and Commitments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First Lien SGR Security Agreement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Second Lien SGR Security Agreement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UK Debenture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Instrument of Assumption and Joinder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Assignment and Acceptance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Loan Request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–[Reserved]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Account Control Agreement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Aircraft Security Agreement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–Description of Security Agreement for Spare Engines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Collateral Coverage Ratio Certificate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–Form of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–Term Loan Commitment Schedule</w:t>
      </w:r>
    </w:p>
    <w:p>
      <w:pPr>
        <w:spacing w:after="0" w:line="200" w:lineRule="exact"/>
        <w:rPr>
          <w:sz w:val="20"/>
          <w:szCs w:val="20"/>
          <w:color w:val="auto"/>
        </w:rPr>
      </w:pPr>
    </w:p>
    <w:p>
      <w:pPr>
        <w:spacing w:after="0" w:line="304"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66040</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40" w:space="720"/>
            <w:col w:w="6479"/>
          </w:cols>
          <w:pgMar w:left="320" w:top="558" w:right="1440" w:bottom="1440" w:gutter="0" w:footer="0" w:header="0"/>
        </w:sectPr>
      </w:pPr>
    </w:p>
    <w:bookmarkStart w:id="193" w:name="page194"/>
    <w:bookmarkEnd w:id="193"/>
    <w:p>
      <w:pPr>
        <w:jc w:val="both"/>
        <w:ind w:firstLine="1296"/>
        <w:spacing w:after="0" w:line="284" w:lineRule="auto"/>
        <w:rPr>
          <w:sz w:val="20"/>
          <w:szCs w:val="20"/>
          <w:color w:val="auto"/>
        </w:rPr>
      </w:pPr>
      <w:r>
        <w:rPr>
          <w:rFonts w:ascii="Arial" w:cs="Arial" w:eastAsia="Arial" w:hAnsi="Arial"/>
          <w:sz w:val="19"/>
          <w:szCs w:val="19"/>
          <w:color w:val="auto"/>
        </w:rPr>
        <w:t xml:space="preserve">CREDIT AND GUARANTY AGREEMENT, dated as of March 18, 2020 (the “ </w:t>
      </w:r>
      <w:r>
        <w:rPr>
          <w:rFonts w:ascii="Arial" w:cs="Arial" w:eastAsia="Arial" w:hAnsi="Arial"/>
          <w:sz w:val="19"/>
          <w:szCs w:val="19"/>
          <w:i w:val="1"/>
          <w:iCs w:val="1"/>
          <w:color w:val="auto"/>
        </w:rPr>
        <w:t>Credit Agreement</w:t>
      </w:r>
      <w:r>
        <w:rPr>
          <w:rFonts w:ascii="Arial" w:cs="Arial" w:eastAsia="Arial" w:hAnsi="Arial"/>
          <w:sz w:val="19"/>
          <w:szCs w:val="19"/>
          <w:color w:val="auto"/>
        </w:rPr>
        <w:t xml:space="preserve"> ”), by and among AMERICAN AIRLINES, INC., a Delaware corporation (the “ </w:t>
      </w:r>
      <w:r>
        <w:rPr>
          <w:rFonts w:ascii="Arial" w:cs="Arial" w:eastAsia="Arial" w:hAnsi="Arial"/>
          <w:sz w:val="19"/>
          <w:szCs w:val="19"/>
          <w:i w:val="1"/>
          <w:iCs w:val="1"/>
          <w:color w:val="auto"/>
        </w:rPr>
        <w:t>Borrower</w:t>
      </w:r>
      <w:r>
        <w:rPr>
          <w:rFonts w:ascii="Arial" w:cs="Arial" w:eastAsia="Arial" w:hAnsi="Arial"/>
          <w:sz w:val="19"/>
          <w:szCs w:val="19"/>
          <w:color w:val="auto"/>
        </w:rPr>
        <w:t xml:space="preserve"> ”), AMERICAN AIRLINES GROUP INC., a Delaware corporation (“ </w:t>
      </w:r>
      <w:r>
        <w:rPr>
          <w:rFonts w:ascii="Arial" w:cs="Arial" w:eastAsia="Arial" w:hAnsi="Arial"/>
          <w:sz w:val="19"/>
          <w:szCs w:val="19"/>
          <w:i w:val="1"/>
          <w:iCs w:val="1"/>
          <w:color w:val="auto"/>
        </w:rPr>
        <w:t>Parent</w:t>
      </w:r>
      <w:r>
        <w:rPr>
          <w:rFonts w:ascii="Arial" w:cs="Arial" w:eastAsia="Arial" w:hAnsi="Arial"/>
          <w:sz w:val="19"/>
          <w:szCs w:val="19"/>
          <w:color w:val="auto"/>
        </w:rPr>
        <w:t xml:space="preserve"> ”), the direct and indirect Domestic Subsidiaries of Parent from time to time party hereto other than the Borrower, the Lenders (as defined below), Citibank N.A., as administrative agent for the Lenders (together with its permitted successors in such capacity, the “ </w:t>
      </w:r>
      <w:r>
        <w:rPr>
          <w:rFonts w:ascii="Arial" w:cs="Arial" w:eastAsia="Arial" w:hAnsi="Arial"/>
          <w:sz w:val="19"/>
          <w:szCs w:val="19"/>
          <w:i w:val="1"/>
          <w:iCs w:val="1"/>
          <w:color w:val="auto"/>
        </w:rPr>
        <w:t>Administrative Agent</w:t>
      </w:r>
      <w:r>
        <w:rPr>
          <w:rFonts w:ascii="Arial" w:cs="Arial" w:eastAsia="Arial" w:hAnsi="Arial"/>
          <w:sz w:val="19"/>
          <w:szCs w:val="19"/>
          <w:color w:val="auto"/>
        </w:rPr>
        <w:t xml:space="preserve"> ”), collateral agent (in such capacity, the “ </w:t>
      </w:r>
      <w:r>
        <w:rPr>
          <w:rFonts w:ascii="Arial" w:cs="Arial" w:eastAsia="Arial" w:hAnsi="Arial"/>
          <w:sz w:val="19"/>
          <w:szCs w:val="19"/>
          <w:i w:val="1"/>
          <w:iCs w:val="1"/>
          <w:color w:val="auto"/>
        </w:rPr>
        <w:t>Collateral Agent</w:t>
      </w:r>
      <w:r>
        <w:rPr>
          <w:rFonts w:ascii="Arial" w:cs="Arial" w:eastAsia="Arial" w:hAnsi="Arial"/>
          <w:sz w:val="19"/>
          <w:szCs w:val="19"/>
          <w:color w:val="auto"/>
        </w:rPr>
        <w:t xml:space="preserve"> ”), CITIBANK N.A., as left lead arranger and bookrunner (the “Lead Arranger”), BOFA SECURITIES, INC., GOLDMAN SACHS BANK USA AND JPMORGAN CHASE BANK, N.A. (collectively, the “ </w:t>
      </w:r>
      <w:r>
        <w:rPr>
          <w:rFonts w:ascii="Arial" w:cs="Arial" w:eastAsia="Arial" w:hAnsi="Arial"/>
          <w:sz w:val="19"/>
          <w:szCs w:val="19"/>
          <w:i w:val="1"/>
          <w:iCs w:val="1"/>
          <w:color w:val="auto"/>
        </w:rPr>
        <w:t>Joint Lead Arrangers and Bookrunners</w:t>
      </w:r>
      <w:r>
        <w:rPr>
          <w:rFonts w:ascii="Arial" w:cs="Arial" w:eastAsia="Arial" w:hAnsi="Arial"/>
          <w:sz w:val="19"/>
          <w:szCs w:val="19"/>
          <w:color w:val="auto"/>
        </w:rPr>
        <w:t xml:space="preserve"> ”),</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CITIBANK, N.A., BANK OF AMERICA, N.A., GOLDMAN SACHS BANK USA AND JPMORGAN CHASE BANK, N.A (collectively, the “ </w:t>
      </w:r>
      <w:r>
        <w:rPr>
          <w:rFonts w:ascii="Arial" w:cs="Arial" w:eastAsia="Arial" w:hAnsi="Arial"/>
          <w:sz w:val="21"/>
          <w:szCs w:val="21"/>
          <w:i w:val="1"/>
          <w:iCs w:val="1"/>
          <w:color w:val="auto"/>
        </w:rPr>
        <w:t>Syndication Agents</w:t>
      </w:r>
      <w:r>
        <w:rPr>
          <w:rFonts w:ascii="Arial" w:cs="Arial" w:eastAsia="Arial" w:hAnsi="Arial"/>
          <w:sz w:val="21"/>
          <w:szCs w:val="21"/>
          <w:color w:val="auto"/>
        </w:rPr>
        <w:t xml:space="preserve"> ”), and CITIBANK, N.A., BANK OF AMERICA, N.A., GOLDMAN SACHS BANK USA AND JPMORGAN CHASE BANK, N.A, as documentation agents (collectively, the “ </w:t>
      </w:r>
      <w:r>
        <w:rPr>
          <w:rFonts w:ascii="Arial" w:cs="Arial" w:eastAsia="Arial" w:hAnsi="Arial"/>
          <w:sz w:val="21"/>
          <w:szCs w:val="21"/>
          <w:i w:val="1"/>
          <w:iCs w:val="1"/>
          <w:color w:val="auto"/>
        </w:rPr>
        <w:t>Documentation Agents</w:t>
      </w:r>
      <w:r>
        <w:rPr>
          <w:rFonts w:ascii="Arial" w:cs="Arial" w:eastAsia="Arial" w:hAnsi="Arial"/>
          <w:sz w:val="21"/>
          <w:szCs w:val="21"/>
          <w:color w:val="auto"/>
        </w:rPr>
        <w:t xml:space="preserve"> ”).</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INTRODUCTORY STATEMENT</w:t>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proceeds of the Loans may be used for general corporate purposes.</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To provide guarantees and security for the repayment of the Loans and the payment of the other obligations of the Borrower and the Guarantors hereunder and under the other Loan Documents, the Borrower and the Guarantors will, among other things, provide to the Administrative Agent and the Lenders the following (each as more fully described herein):</w:t>
      </w:r>
    </w:p>
    <w:p>
      <w:pPr>
        <w:spacing w:after="0" w:line="349" w:lineRule="exact"/>
        <w:rPr>
          <w:sz w:val="20"/>
          <w:szCs w:val="20"/>
          <w:color w:val="auto"/>
        </w:rPr>
      </w:pPr>
    </w:p>
    <w:p>
      <w:pPr>
        <w:ind w:left="660" w:firstLine="644"/>
        <w:spacing w:after="0" w:line="263" w:lineRule="auto"/>
        <w:tabs>
          <w:tab w:leader="none" w:pos="179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guaranty from each Guarantor of the due and punctual payment and performance of the Obligations of the Borrower pursuant to Article IX; and</w:t>
      </w:r>
    </w:p>
    <w:p>
      <w:pPr>
        <w:spacing w:after="0" w:line="390" w:lineRule="exact"/>
        <w:rPr>
          <w:rFonts w:ascii="Arial" w:cs="Arial" w:eastAsia="Arial" w:hAnsi="Arial"/>
          <w:sz w:val="22"/>
          <w:szCs w:val="22"/>
          <w:color w:val="auto"/>
        </w:rPr>
      </w:pPr>
    </w:p>
    <w:p>
      <w:pPr>
        <w:ind w:left="660" w:firstLine="644"/>
        <w:spacing w:after="0" w:line="263" w:lineRule="auto"/>
        <w:tabs>
          <w:tab w:leader="none" w:pos="181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security interest with respect to the Collateral from the Borrower and each other Grantor (if any) pursuant to the Collateral Documents.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Accordingly, the parties hereto hereby agree as follows: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w:t>
      </w:r>
    </w:p>
    <w:p>
      <w:pPr>
        <w:spacing w:after="0" w:line="22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ABR</w:t>
      </w:r>
      <w:r>
        <w:rPr>
          <w:rFonts w:ascii="Arial" w:cs="Arial" w:eastAsia="Arial" w:hAnsi="Arial"/>
          <w:sz w:val="22"/>
          <w:szCs w:val="22"/>
          <w:color w:val="auto"/>
        </w:rPr>
        <w:t xml:space="preserve"> ” when used in reference to any Loan or Borrowing, refers to whether such Loan, or the Loans comprising such Borrowing, is bearing interest at a rate determined by reference to the Alternate Base Rate.</w:t>
      </w:r>
    </w:p>
    <w:p>
      <w:pPr>
        <w:spacing w:after="0" w:line="39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Account</w:t>
      </w:r>
      <w:r>
        <w:rPr>
          <w:rFonts w:ascii="Arial" w:cs="Arial" w:eastAsia="Arial" w:hAnsi="Arial"/>
          <w:sz w:val="22"/>
          <w:szCs w:val="22"/>
          <w:color w:val="auto"/>
        </w:rPr>
        <w:t xml:space="preserve"> ” shall mean all “accounts” as defined in the UCC, and all rights to payment for interest (other than with respect to debt and credit card receivables).</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Account Collateral</w:t>
      </w:r>
      <w:r>
        <w:rPr>
          <w:rFonts w:ascii="Arial" w:cs="Arial" w:eastAsia="Arial" w:hAnsi="Arial"/>
          <w:sz w:val="22"/>
          <w:szCs w:val="22"/>
          <w:color w:val="auto"/>
        </w:rPr>
        <w:t xml:space="preserve"> ” shall have the meaning set forth in the SGR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94" w:name="page195"/>
    <w:bookmarkEnd w:id="194"/>
    <w:p>
      <w:pPr>
        <w:jc w:val="both"/>
        <w:ind w:firstLine="1296"/>
        <w:spacing w:after="0" w:line="260"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Account Control Agreements</w:t>
      </w:r>
      <w:r>
        <w:rPr>
          <w:rFonts w:ascii="Arial" w:cs="Arial" w:eastAsia="Arial" w:hAnsi="Arial"/>
          <w:sz w:val="22"/>
          <w:szCs w:val="22"/>
          <w:color w:val="auto"/>
        </w:rPr>
        <w:t xml:space="preserve"> ” shall mean (a) an Account Control Agreement in the form of Exhibit E hereto with such changes as the Administrative Agent and the Borrower shall agree and (b) each other three</w:t>
      </w:r>
      <w:r>
        <w:rPr>
          <w:rFonts w:ascii="MS PGothic" w:cs="MS PGothic" w:eastAsia="MS PGothic" w:hAnsi="MS PGothic"/>
          <w:sz w:val="22"/>
          <w:szCs w:val="22"/>
          <w:color w:val="auto"/>
        </w:rPr>
        <w:t>‑</w:t>
      </w:r>
      <w:r>
        <w:rPr>
          <w:rFonts w:ascii="Arial" w:cs="Arial" w:eastAsia="Arial" w:hAnsi="Arial"/>
          <w:sz w:val="22"/>
          <w:szCs w:val="22"/>
          <w:color w:val="auto"/>
        </w:rPr>
        <w:t>party security and control agreement entered into by any Grantor, the Collateral Agent and a financial institution which maintains one or more deposit accounts or securities accounts that have been pledged to the Collateral Agent as Collateral hereunder or under any other Loan Document, in each case giving the Collateral Agent exclusive control over the applicable account and in form and substance reasonably satisfactory to the Administrative Agent.</w:t>
      </w:r>
    </w:p>
    <w:p>
      <w:pPr>
        <w:spacing w:after="0" w:line="200" w:lineRule="exact"/>
        <w:rPr>
          <w:sz w:val="20"/>
          <w:szCs w:val="20"/>
          <w:color w:val="auto"/>
        </w:rPr>
      </w:pPr>
    </w:p>
    <w:p>
      <w:pPr>
        <w:spacing w:after="0" w:line="21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Additional Appraisal</w:t>
      </w:r>
      <w:r>
        <w:rPr>
          <w:rFonts w:ascii="Arial" w:cs="Arial" w:eastAsia="Arial" w:hAnsi="Arial"/>
          <w:sz w:val="22"/>
          <w:szCs w:val="22"/>
          <w:color w:val="auto"/>
        </w:rPr>
        <w:t xml:space="preserve"> ” shall mean collectively, the First Lien Additional Appraisals, the Second Lien Second Appraisal and the Second Lien Additional Appraisals.</w:t>
      </w:r>
    </w:p>
    <w:p>
      <w:pPr>
        <w:spacing w:after="0" w:line="390"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Additional Collateral</w:t>
      </w:r>
      <w:r>
        <w:rPr>
          <w:rFonts w:ascii="Arial" w:cs="Arial" w:eastAsia="Arial" w:hAnsi="Arial"/>
          <w:sz w:val="19"/>
          <w:szCs w:val="19"/>
          <w:color w:val="auto"/>
        </w:rPr>
        <w:t xml:space="preserve"> ” shall mean (a) cash or Cash Equivalents pledged to the Collateral Agent pursuant to the applicable Collateral Document, (b) additional Route Authorities, Slots and/or Foreign Gate Leaseholds pledged to the Collateral Agent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additional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Agent pursuant to a security agreement that is usual and customary for a pledge of assets of such types and reasonably acceptable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except to the extent a change in law or circumstance relating to any applicable category of collateral warrants a change in such security agreement, in the reasonable judgment of the Administrative Agent, (d)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Agent pursuant to security agreement(s) (or mortgage(s) in the case of Real Property Assets) in a form reasonably satisfactory to the Administrative Agent and (f) any other assets acceptable to the Required Lenders that may be appraised pursuant to an Appraisal of the type set forth in clause (3) of the definition thereof pledged to the Collateral Agent pursuant to security agreement(s) or mortgage(s), as applicable, in a form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Additional Route Authority</w:t>
      </w:r>
      <w:r>
        <w:rPr>
          <w:rFonts w:ascii="Arial" w:cs="Arial" w:eastAsia="Arial" w:hAnsi="Arial"/>
          <w:sz w:val="22"/>
          <w:szCs w:val="22"/>
          <w:color w:val="auto"/>
        </w:rPr>
        <w:t xml:space="preserve"> ”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Administrative Agent</w:t>
      </w:r>
      <w:r>
        <w:rPr>
          <w:rFonts w:ascii="Arial" w:cs="Arial" w:eastAsia="Arial" w:hAnsi="Arial"/>
          <w:sz w:val="22"/>
          <w:szCs w:val="22"/>
          <w:color w:val="auto"/>
        </w:rPr>
        <w:t xml:space="preserve"> ” shall have the meaning set forth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95" w:name="page196"/>
    <w:bookmarkEnd w:id="195"/>
    <w:p>
      <w:pPr>
        <w:ind w:left="13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Affected Financial Institution</w:t>
      </w:r>
      <w:r>
        <w:rPr>
          <w:rFonts w:ascii="Arial" w:cs="Arial" w:eastAsia="Arial" w:hAnsi="Arial"/>
          <w:sz w:val="21"/>
          <w:szCs w:val="21"/>
          <w:color w:val="auto"/>
        </w:rPr>
        <w:t xml:space="preserve"> ” means (a) any EEA Financial Institution or (b) any UK Financial Institution.</w:t>
      </w:r>
    </w:p>
    <w:p>
      <w:pPr>
        <w:spacing w:after="0" w:line="200" w:lineRule="exact"/>
        <w:rPr>
          <w:sz w:val="20"/>
          <w:szCs w:val="20"/>
          <w:color w:val="auto"/>
        </w:rPr>
      </w:pPr>
    </w:p>
    <w:p>
      <w:pPr>
        <w:spacing w:after="0" w:line="247"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Affiliate</w:t>
      </w:r>
      <w:r>
        <w:rPr>
          <w:rFonts w:ascii="Arial" w:cs="Arial" w:eastAsia="Arial" w:hAnsi="Arial"/>
          <w:sz w:val="19"/>
          <w:szCs w:val="19"/>
          <w:color w:val="auto"/>
        </w:rPr>
        <w:t xml:space="preserve"> ”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w:t>
      </w:r>
    </w:p>
    <w:p>
      <w:pPr>
        <w:spacing w:after="0" w:line="3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Affiliate Transaction</w:t>
      </w:r>
      <w:r>
        <w:rPr>
          <w:rFonts w:ascii="Arial" w:cs="Arial" w:eastAsia="Arial" w:hAnsi="Arial"/>
          <w:sz w:val="22"/>
          <w:szCs w:val="22"/>
          <w:color w:val="auto"/>
        </w:rPr>
        <w:t xml:space="preserve"> ” shall have the meaning set forth in Section 6.05(a).</w:t>
      </w:r>
    </w:p>
    <w:p>
      <w:pPr>
        <w:spacing w:after="0" w:line="200" w:lineRule="exact"/>
        <w:rPr>
          <w:sz w:val="20"/>
          <w:szCs w:val="20"/>
          <w:color w:val="auto"/>
        </w:rPr>
      </w:pPr>
    </w:p>
    <w:p>
      <w:pPr>
        <w:spacing w:after="0" w:line="23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Agent Fee Letter</w:t>
      </w:r>
      <w:r>
        <w:rPr>
          <w:rFonts w:ascii="Arial" w:cs="Arial" w:eastAsia="Arial" w:hAnsi="Arial"/>
          <w:sz w:val="22"/>
          <w:szCs w:val="22"/>
          <w:color w:val="auto"/>
        </w:rPr>
        <w:t xml:space="preserve"> ” shall mean that certain letter dated as of the Closing Date, between the Administrative Agent, the Collateral Agent and the Borrower.</w:t>
      </w:r>
    </w:p>
    <w:p>
      <w:pPr>
        <w:spacing w:after="0" w:line="390"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Agents</w:t>
      </w:r>
      <w:r>
        <w:rPr>
          <w:rFonts w:ascii="Arial" w:cs="Arial" w:eastAsia="Arial" w:hAnsi="Arial"/>
          <w:sz w:val="22"/>
          <w:szCs w:val="22"/>
          <w:color w:val="auto"/>
        </w:rPr>
        <w:t xml:space="preserve"> ” shall mean, collectively, the Administrative Agent and the Collateral Agent, and “ </w:t>
      </w:r>
      <w:r>
        <w:rPr>
          <w:rFonts w:ascii="Arial" w:cs="Arial" w:eastAsia="Arial" w:hAnsi="Arial"/>
          <w:sz w:val="22"/>
          <w:szCs w:val="22"/>
          <w:i w:val="1"/>
          <w:iCs w:val="1"/>
          <w:color w:val="auto"/>
        </w:rPr>
        <w:t>Agent</w:t>
      </w:r>
      <w:r>
        <w:rPr>
          <w:rFonts w:ascii="Arial" w:cs="Arial" w:eastAsia="Arial" w:hAnsi="Arial"/>
          <w:sz w:val="22"/>
          <w:szCs w:val="22"/>
          <w:color w:val="auto"/>
        </w:rPr>
        <w:t xml:space="preserve"> ” shall mean either one of them.</w:t>
      </w:r>
    </w:p>
    <w:p>
      <w:pPr>
        <w:spacing w:after="0" w:line="3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Aggregate Exposure</w:t>
      </w:r>
      <w:r>
        <w:rPr>
          <w:rFonts w:ascii="Arial" w:cs="Arial" w:eastAsia="Arial" w:hAnsi="Arial"/>
          <w:sz w:val="22"/>
          <w:szCs w:val="22"/>
          <w:color w:val="auto"/>
        </w:rPr>
        <w:t xml:space="preserve"> ”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Term Commitments then in effect.</w:t>
      </w:r>
    </w:p>
    <w:p>
      <w:pPr>
        <w:spacing w:after="0" w:line="200" w:lineRule="exact"/>
        <w:rPr>
          <w:sz w:val="20"/>
          <w:szCs w:val="20"/>
          <w:color w:val="auto"/>
        </w:rPr>
      </w:pPr>
    </w:p>
    <w:p>
      <w:pPr>
        <w:spacing w:after="0" w:line="203"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Aggregate Exposure Percentage</w:t>
      </w:r>
      <w:r>
        <w:rPr>
          <w:rFonts w:ascii="Arial" w:cs="Arial" w:eastAsia="Arial" w:hAnsi="Arial"/>
          <w:sz w:val="19"/>
          <w:szCs w:val="19"/>
          <w:color w:val="auto"/>
        </w:rPr>
        <w:t xml:space="preserve"> ” shall mean, with respect to any Lender at any time, the ratio (expressed as a percentage) of such Lender’s Aggregate Exposure at such time to the Aggregate Exposure of all Lenders at such time.</w:t>
      </w:r>
    </w:p>
    <w:p>
      <w:pPr>
        <w:spacing w:after="0" w:line="3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xml:space="preserve"> ” shall mean this Amended and Restated Credit and Guaranty Agreement.</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Aircraft Related Equipment</w:t>
      </w:r>
      <w:r>
        <w:rPr>
          <w:rFonts w:ascii="Arial" w:cs="Arial" w:eastAsia="Arial" w:hAnsi="Arial"/>
          <w:sz w:val="22"/>
          <w:szCs w:val="22"/>
          <w:color w:val="auto"/>
        </w:rPr>
        <w:t xml:space="preserve"> ” shall mean aircraft (including engines, airframes, propellers and appliances), engines, propellers, spare parts, aircraft parts, Flight Simulators and other training devices, QEC Kits, passenger loading bridges, other flight equipment or Ground Service Equipment.</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Aircraft Security Agreement</w:t>
      </w:r>
      <w:r>
        <w:rPr>
          <w:rFonts w:ascii="Arial" w:cs="Arial" w:eastAsia="Arial" w:hAnsi="Arial"/>
          <w:sz w:val="21"/>
          <w:szCs w:val="21"/>
          <w:color w:val="auto"/>
        </w:rPr>
        <w:t xml:space="preserve"> ”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96" w:name="page197"/>
    <w:bookmarkEnd w:id="196"/>
    <w:p>
      <w:pPr>
        <w:jc w:val="both"/>
        <w:ind w:right="20"/>
        <w:spacing w:after="0" w:line="253" w:lineRule="auto"/>
        <w:rPr>
          <w:sz w:val="20"/>
          <w:szCs w:val="20"/>
          <w:color w:val="auto"/>
        </w:rPr>
      </w:pPr>
      <w:r>
        <w:rPr>
          <w:rFonts w:ascii="Arial" w:cs="Arial" w:eastAsia="Arial" w:hAnsi="Arial"/>
          <w:sz w:val="22"/>
          <w:szCs w:val="22"/>
          <w:color w:val="auto"/>
        </w:rPr>
        <w:t>to conform such form of aircraft security agreement to the description of terms of the security agreement applicable to spare engines in Exhibit G and (y) such other changes proposed by the Borrower and reasonably acceptable to the Administrative Agent.</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Airline/Parent Merger</w:t>
      </w:r>
      <w:r>
        <w:rPr>
          <w:rFonts w:ascii="Arial" w:cs="Arial" w:eastAsia="Arial" w:hAnsi="Arial"/>
          <w:sz w:val="19"/>
          <w:szCs w:val="19"/>
          <w:color w:val="auto"/>
        </w:rPr>
        <w:t xml:space="preserve"> ” shall mean the merger or consolidation, if any, of Parent with any Subsidiary of Parent.</w:t>
      </w:r>
    </w:p>
    <w:p>
      <w:pPr>
        <w:spacing w:after="0" w:line="200" w:lineRule="exact"/>
        <w:rPr>
          <w:sz w:val="20"/>
          <w:szCs w:val="20"/>
          <w:color w:val="auto"/>
        </w:rPr>
      </w:pPr>
    </w:p>
    <w:p>
      <w:pPr>
        <w:spacing w:after="0" w:line="270"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Airlines Merger</w:t>
      </w:r>
      <w:r>
        <w:rPr>
          <w:rFonts w:ascii="Arial" w:cs="Arial" w:eastAsia="Arial" w:hAnsi="Arial"/>
          <w:sz w:val="22"/>
          <w:szCs w:val="22"/>
          <w:color w:val="auto"/>
        </w:rPr>
        <w:t xml:space="preserve"> ” shall mean the merger, asset transfer, consolidation or any similar transaction involving one or more airline Subsidiaries of Parent (including, without limitation, any such transaction that results in such Subsidiaries operating under a single operating certificate).</w:t>
      </w:r>
    </w:p>
    <w:p>
      <w:pPr>
        <w:spacing w:after="0" w:line="200" w:lineRule="exact"/>
        <w:rPr>
          <w:sz w:val="20"/>
          <w:szCs w:val="20"/>
          <w:color w:val="auto"/>
        </w:rPr>
      </w:pPr>
    </w:p>
    <w:p>
      <w:pPr>
        <w:spacing w:after="0" w:line="201" w:lineRule="exact"/>
        <w:rPr>
          <w:sz w:val="20"/>
          <w:szCs w:val="20"/>
          <w:color w:val="auto"/>
        </w:rPr>
      </w:pPr>
    </w:p>
    <w:p>
      <w:pPr>
        <w:ind w:left="1300" w:right="2480"/>
        <w:spacing w:after="0" w:line="6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Airport Authority</w:t>
      </w:r>
      <w:r>
        <w:rPr>
          <w:rFonts w:ascii="Arial" w:cs="Arial" w:eastAsia="Arial" w:hAnsi="Arial"/>
          <w:sz w:val="22"/>
          <w:szCs w:val="22"/>
          <w:color w:val="auto"/>
        </w:rPr>
        <w:t xml:space="preserve"> ” shall have the meaning set forth in the SGR Security Agreement. “ </w:t>
      </w:r>
      <w:r>
        <w:rPr>
          <w:rFonts w:ascii="Arial" w:cs="Arial" w:eastAsia="Arial" w:hAnsi="Arial"/>
          <w:sz w:val="22"/>
          <w:szCs w:val="22"/>
          <w:i w:val="1"/>
          <w:iCs w:val="1"/>
          <w:color w:val="auto"/>
        </w:rPr>
        <w:t>AISI”</w:t>
      </w:r>
      <w:r>
        <w:rPr>
          <w:rFonts w:ascii="Arial" w:cs="Arial" w:eastAsia="Arial" w:hAnsi="Arial"/>
          <w:sz w:val="22"/>
          <w:szCs w:val="22"/>
          <w:color w:val="auto"/>
        </w:rPr>
        <w:t xml:space="preserve"> shall mean Aircraft Information Services, Inc.</w:t>
      </w:r>
    </w:p>
    <w:p>
      <w:pPr>
        <w:jc w:val="both"/>
        <w:ind w:right="20" w:firstLine="1296"/>
        <w:spacing w:after="0" w:line="25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All-In Initial Yield</w:t>
      </w:r>
      <w:r>
        <w:rPr>
          <w:rFonts w:ascii="Arial" w:cs="Arial" w:eastAsia="Arial" w:hAnsi="Arial"/>
          <w:sz w:val="21"/>
          <w:szCs w:val="21"/>
          <w:color w:val="auto"/>
        </w:rPr>
        <w:t xml:space="preserve"> ” shall mean with respect to any Class, the initial yield on such Class payable or allocable to all Lenders as determined by the Administrative Agent to be equal to the sum of (x) the margin above the LIBO Rate on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 </w:t>
      </w:r>
      <w:r>
        <w:rPr>
          <w:rFonts w:ascii="Arial" w:cs="Arial" w:eastAsia="Arial" w:hAnsi="Arial"/>
          <w:sz w:val="21"/>
          <w:szCs w:val="21"/>
          <w:i w:val="1"/>
          <w:iCs w:val="1"/>
          <w:color w:val="auto"/>
        </w:rPr>
        <w:t>OID</w:t>
      </w:r>
      <w:r>
        <w:rPr>
          <w:rFonts w:ascii="Arial" w:cs="Arial" w:eastAsia="Arial" w:hAnsi="Arial"/>
          <w:sz w:val="21"/>
          <w:szCs w:val="21"/>
          <w:color w:val="auto"/>
        </w:rPr>
        <w:t xml:space="preserve"> ,” with such OID being equated to interest based on an assumed four-year life to maturity) and (z) with respect to any Class of Incremental Term Loans that contains an interest rate “floor” with respect to the LIBO Rate, the amount, if any, by which (1) such LIBO Rate floor exceeds (2) the LIBO Rate floor applicable to the Original Term Loans provided an increase in such floor would cause an increase in the interest rate applicable to the Original Term Loans.</w:t>
      </w:r>
    </w:p>
    <w:p>
      <w:pPr>
        <w:spacing w:after="0" w:line="395" w:lineRule="exact"/>
        <w:rPr>
          <w:sz w:val="20"/>
          <w:szCs w:val="20"/>
          <w:color w:val="auto"/>
        </w:rPr>
      </w:pPr>
    </w:p>
    <w:p>
      <w:pPr>
        <w:jc w:val="both"/>
        <w:ind w:right="20" w:firstLine="1296"/>
        <w:spacing w:after="0" w:line="26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Alternate Base Rate</w:t>
      </w:r>
      <w:r>
        <w:rPr>
          <w:rFonts w:ascii="Arial" w:cs="Arial" w:eastAsia="Arial" w:hAnsi="Arial"/>
          <w:sz w:val="21"/>
          <w:szCs w:val="21"/>
          <w:color w:val="auto"/>
        </w:rPr>
        <w:t xml:space="preserve"> ” shall mean, for any day, a rate per annum equal to the greatest of (a) the Prime Rate in effect on such day, (b) the sum of the Federal Funds Effective Rate in effect on such day plus 1/2 of 1% and (c) the sum of the LIBO Rate for an Interest Period of one month in effect on such day plus 1%. Any change in the Alternate Base Rate due to a change in the Prime Rate, the Federal Funds Effective Rate or the LIBO Rate for an Interest Period of one month shall be effective from and including the effective date of such change in the Prime Rate or the Federal Funds Effective Rate or the LIBO Rate for an Interest Period of one month, respectively.</w:t>
      </w:r>
    </w:p>
    <w:p>
      <w:pPr>
        <w:spacing w:after="0" w:line="3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Anti-Money Laundering Laws</w:t>
      </w:r>
      <w:r>
        <w:rPr>
          <w:rFonts w:ascii="Arial" w:cs="Arial" w:eastAsia="Arial" w:hAnsi="Arial"/>
          <w:sz w:val="22"/>
          <w:szCs w:val="22"/>
          <w:color w:val="auto"/>
        </w:rPr>
        <w:t xml:space="preserve"> ” shall have the meaning set forth in Section 3.18.</w:t>
      </w:r>
    </w:p>
    <w:p>
      <w:pPr>
        <w:spacing w:after="0" w:line="192"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Applicable Margin</w:t>
      </w:r>
      <w:r>
        <w:rPr>
          <w:rFonts w:ascii="Arial" w:cs="Arial" w:eastAsia="Arial" w:hAnsi="Arial"/>
          <w:sz w:val="21"/>
          <w:szCs w:val="21"/>
          <w:color w:val="auto"/>
        </w:rPr>
        <w:t xml:space="preserve"> ” shall mean the rate per annum determined pursuant to the following:</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520" w:type="dxa"/>
            <w:vAlign w:val="bottom"/>
            <w:tcBorders>
              <w:top w:val="single" w:sz="8" w:color="auto"/>
              <w:left w:val="single" w:sz="8" w:color="auto"/>
              <w:right w:val="single" w:sz="8" w:color="auto"/>
            </w:tcBorders>
          </w:tcPr>
          <w:p>
            <w:pPr>
              <w:spacing w:after="0"/>
              <w:rPr>
                <w:sz w:val="22"/>
                <w:szCs w:val="22"/>
                <w:color w:val="auto"/>
              </w:rPr>
            </w:pPr>
          </w:p>
        </w:tc>
        <w:tc>
          <w:tcPr>
            <w:tcW w:w="3020" w:type="dxa"/>
            <w:vAlign w:val="bottom"/>
            <w:tcBorders>
              <w:top w:val="single" w:sz="8" w:color="auto"/>
            </w:tcBorders>
          </w:tcPr>
          <w:p>
            <w:pPr>
              <w:spacing w:after="0"/>
              <w:rPr>
                <w:sz w:val="22"/>
                <w:szCs w:val="22"/>
                <w:color w:val="auto"/>
              </w:rPr>
            </w:pPr>
          </w:p>
        </w:tc>
        <w:tc>
          <w:tcPr>
            <w:tcW w:w="100" w:type="dxa"/>
            <w:vAlign w:val="bottom"/>
            <w:tcBorders>
              <w:top w:val="single" w:sz="8" w:color="auto"/>
              <w:right w:val="single" w:sz="8" w:color="auto"/>
            </w:tcBorders>
          </w:tcPr>
          <w:p>
            <w:pPr>
              <w:spacing w:after="0"/>
              <w:rPr>
                <w:sz w:val="22"/>
                <w:szCs w:val="22"/>
                <w:color w:val="auto"/>
              </w:rPr>
            </w:pP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Applicable Margin Eurodollar</w:t>
            </w:r>
          </w:p>
        </w:tc>
        <w:tc>
          <w:tcPr>
            <w:tcW w:w="28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52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Class of Loans</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Days after Closing Date</w:t>
            </w:r>
          </w:p>
        </w:tc>
        <w:tc>
          <w:tcPr>
            <w:tcW w:w="1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Loans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Applicable Margin ABR Loans</w:t>
            </w:r>
          </w:p>
        </w:tc>
        <w:tc>
          <w:tcPr>
            <w:tcW w:w="0" w:type="dxa"/>
            <w:vAlign w:val="bottom"/>
          </w:tcPr>
          <w:p>
            <w:pPr>
              <w:spacing w:after="0"/>
              <w:rPr>
                <w:sz w:val="1"/>
                <w:szCs w:val="1"/>
                <w:color w:val="auto"/>
              </w:rPr>
            </w:pPr>
          </w:p>
        </w:tc>
      </w:tr>
      <w:tr>
        <w:trPr>
          <w:trHeight w:val="290"/>
        </w:trPr>
        <w:tc>
          <w:tcPr>
            <w:tcW w:w="2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Initial Term Loans</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Until 181 days after Closing Date</w:t>
            </w:r>
          </w:p>
        </w:tc>
        <w:tc>
          <w:tcPr>
            <w:tcW w:w="1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2.00%</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1.00%</w:t>
            </w:r>
          </w:p>
        </w:tc>
        <w:tc>
          <w:tcPr>
            <w:tcW w:w="0" w:type="dxa"/>
            <w:vAlign w:val="bottom"/>
          </w:tcPr>
          <w:p>
            <w:pPr>
              <w:spacing w:after="0"/>
              <w:rPr>
                <w:sz w:val="1"/>
                <w:szCs w:val="1"/>
                <w:color w:val="auto"/>
              </w:rPr>
            </w:pPr>
          </w:p>
        </w:tc>
      </w:tr>
      <w:tr>
        <w:trPr>
          <w:trHeight w:val="249"/>
        </w:trPr>
        <w:tc>
          <w:tcPr>
            <w:tcW w:w="2520" w:type="dxa"/>
            <w:vAlign w:val="bottom"/>
            <w:tcBorders>
              <w:left w:val="single" w:sz="8" w:color="auto"/>
              <w:right w:val="single" w:sz="8" w:color="auto"/>
            </w:tcBorders>
          </w:tcPr>
          <w:p>
            <w:pPr>
              <w:spacing w:after="0"/>
              <w:rPr>
                <w:sz w:val="21"/>
                <w:szCs w:val="21"/>
                <w:color w:val="auto"/>
              </w:rPr>
            </w:pPr>
          </w:p>
        </w:tc>
        <w:tc>
          <w:tcPr>
            <w:tcW w:w="3020" w:type="dxa"/>
            <w:vAlign w:val="bottom"/>
          </w:tcPr>
          <w:p>
            <w:pPr>
              <w:jc w:val="center"/>
              <w:spacing w:after="0" w:line="248" w:lineRule="exact"/>
              <w:rPr>
                <w:sz w:val="20"/>
                <w:szCs w:val="20"/>
                <w:color w:val="auto"/>
              </w:rPr>
            </w:pPr>
            <w:r>
              <w:rPr>
                <w:rFonts w:ascii="Arial" w:cs="Arial" w:eastAsia="Arial" w:hAnsi="Arial"/>
                <w:sz w:val="22"/>
                <w:szCs w:val="22"/>
                <w:color w:val="auto"/>
                <w:w w:val="89"/>
              </w:rPr>
              <w:t>181 days from Closing Date and</w:t>
            </w:r>
          </w:p>
        </w:tc>
        <w:tc>
          <w:tcPr>
            <w:tcW w:w="10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2.75%</w:t>
            </w:r>
          </w:p>
        </w:tc>
        <w:tc>
          <w:tcPr>
            <w:tcW w:w="2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color w:val="auto"/>
                <w:w w:val="89"/>
              </w:rPr>
              <w:t>1.75%</w:t>
            </w:r>
          </w:p>
        </w:tc>
        <w:tc>
          <w:tcPr>
            <w:tcW w:w="0" w:type="dxa"/>
            <w:vAlign w:val="bottom"/>
          </w:tcPr>
          <w:p>
            <w:pPr>
              <w:spacing w:after="0"/>
              <w:rPr>
                <w:sz w:val="1"/>
                <w:szCs w:val="1"/>
                <w:color w:val="auto"/>
              </w:rPr>
            </w:pPr>
          </w:p>
        </w:tc>
      </w:tr>
      <w:tr>
        <w:trPr>
          <w:trHeight w:val="153"/>
        </w:trPr>
        <w:tc>
          <w:tcPr>
            <w:tcW w:w="2520" w:type="dxa"/>
            <w:vAlign w:val="bottom"/>
            <w:tcBorders>
              <w:left w:val="single" w:sz="8" w:color="auto"/>
              <w:right w:val="single" w:sz="8" w:color="auto"/>
            </w:tcBorders>
          </w:tcPr>
          <w:p>
            <w:pPr>
              <w:spacing w:after="0"/>
              <w:rPr>
                <w:sz w:val="13"/>
                <w:szCs w:val="13"/>
                <w:color w:val="auto"/>
              </w:rPr>
            </w:pPr>
          </w:p>
        </w:tc>
        <w:tc>
          <w:tcPr>
            <w:tcW w:w="3020" w:type="dxa"/>
            <w:vAlign w:val="bottom"/>
            <w:vMerge w:val="restart"/>
          </w:tcPr>
          <w:p>
            <w:pPr>
              <w:jc w:val="center"/>
              <w:spacing w:after="0"/>
              <w:rPr>
                <w:sz w:val="20"/>
                <w:szCs w:val="20"/>
                <w:color w:val="auto"/>
              </w:rPr>
            </w:pPr>
            <w:r>
              <w:rPr>
                <w:rFonts w:ascii="Arial" w:cs="Arial" w:eastAsia="Arial" w:hAnsi="Arial"/>
                <w:sz w:val="22"/>
                <w:szCs w:val="22"/>
                <w:color w:val="auto"/>
                <w:w w:val="90"/>
              </w:rPr>
              <w:t>after</w:t>
            </w:r>
          </w:p>
        </w:tc>
        <w:tc>
          <w:tcPr>
            <w:tcW w:w="100" w:type="dxa"/>
            <w:vAlign w:val="bottom"/>
            <w:tcBorders>
              <w:right w:val="single" w:sz="8" w:color="auto"/>
            </w:tcBorders>
          </w:tcPr>
          <w:p>
            <w:pPr>
              <w:spacing w:after="0"/>
              <w:rPr>
                <w:sz w:val="13"/>
                <w:szCs w:val="13"/>
                <w:color w:val="auto"/>
              </w:rPr>
            </w:pPr>
          </w:p>
        </w:tc>
        <w:tc>
          <w:tcPr>
            <w:tcW w:w="2820" w:type="dxa"/>
            <w:vAlign w:val="bottom"/>
            <w:tcBorders>
              <w:right w:val="single" w:sz="8" w:color="auto"/>
            </w:tcBorders>
            <w:vMerge w:val="continue"/>
          </w:tcPr>
          <w:p>
            <w:pPr>
              <w:spacing w:after="0"/>
              <w:rPr>
                <w:sz w:val="13"/>
                <w:szCs w:val="13"/>
                <w:color w:val="auto"/>
              </w:rPr>
            </w:pPr>
          </w:p>
        </w:tc>
        <w:tc>
          <w:tcPr>
            <w:tcW w:w="28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520" w:type="dxa"/>
            <w:vAlign w:val="bottom"/>
            <w:tcBorders>
              <w:left w:val="single" w:sz="8" w:color="auto"/>
              <w:bottom w:val="single" w:sz="8" w:color="auto"/>
              <w:right w:val="single" w:sz="8" w:color="auto"/>
            </w:tcBorders>
          </w:tcPr>
          <w:p>
            <w:pPr>
              <w:spacing w:after="0"/>
              <w:rPr>
                <w:sz w:val="11"/>
                <w:szCs w:val="11"/>
                <w:color w:val="auto"/>
              </w:rPr>
            </w:pPr>
          </w:p>
        </w:tc>
        <w:tc>
          <w:tcPr>
            <w:tcW w:w="30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20" w:type="dxa"/>
            <w:vAlign w:val="bottom"/>
            <w:tcBorders>
              <w:bottom w:val="single" w:sz="8" w:color="auto"/>
              <w:right w:val="single" w:sz="8" w:color="auto"/>
            </w:tcBorders>
          </w:tcPr>
          <w:p>
            <w:pPr>
              <w:spacing w:after="0"/>
              <w:rPr>
                <w:sz w:val="11"/>
                <w:szCs w:val="11"/>
                <w:color w:val="auto"/>
              </w:rPr>
            </w:pPr>
          </w:p>
        </w:tc>
        <w:tc>
          <w:tcPr>
            <w:tcW w:w="28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9"/>
        </w:trPr>
        <w:tc>
          <w:tcPr>
            <w:tcW w:w="25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920" w:type="dxa"/>
            <w:vAlign w:val="bottom"/>
            <w:gridSpan w:val="2"/>
          </w:tcPr>
          <w:p>
            <w:pPr>
              <w:jc w:val="right"/>
              <w:ind w:right="2672"/>
              <w:spacing w:after="0"/>
              <w:rPr>
                <w:sz w:val="20"/>
                <w:szCs w:val="20"/>
                <w:color w:val="auto"/>
              </w:rPr>
            </w:pPr>
            <w:r>
              <w:rPr>
                <w:rFonts w:ascii="Arial" w:cs="Arial" w:eastAsia="Arial" w:hAnsi="Arial"/>
                <w:sz w:val="22"/>
                <w:szCs w:val="22"/>
                <w:color w:val="auto"/>
                <w:w w:val="97"/>
              </w:rPr>
              <w:t>4</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52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2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97" w:name="page198"/>
    <w:bookmarkEnd w:id="197"/>
    <w:p>
      <w:pPr>
        <w:jc w:val="both"/>
        <w:ind w:firstLine="1296"/>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Appraisal</w:t>
      </w:r>
      <w:r>
        <w:rPr>
          <w:rFonts w:ascii="Arial" w:cs="Arial" w:eastAsia="Arial" w:hAnsi="Arial"/>
          <w:sz w:val="19"/>
          <w:szCs w:val="19"/>
          <w:color w:val="auto"/>
        </w:rPr>
        <w:t xml:space="preserve"> ” shall mean (i) the Initial Appraisal, (ii) the Additional Appraisals and (iii) any other appraisal, dated the date of delivery thereof, prepared by (a) with respect to any Route Authorities, Slots and/or Gate Leaseholds, at the Borrower’s option, MBA, ICF or PAC (provided that such appraiser must be independent) or any other appraiser appointed by the Borrower and reasonably acceptable to the Administrative Agent, (b) with respect to Spare Parts, at the Borrower’s option, MBA, ICF, Sage or PAC (provided that such appraiser must be independent) or any other appraiser appointed by the Borrower and reasonably acceptable to the Administrative Agent, (c) with respect to any aircraft, airframe or engine, at the Borrower’s option, any of MBA, ICF, Ascend, BK, AISI, AVITAS or PAC (provided that such appraiser must be independent) or any other appraiser appointed by the Borrower and reasonably acceptable to the Administrative Agent, (d) with respect to Real Property Assets, CB Richard Ellis (provided that such appraiser must be independent) or any other appraiser by the Borrower and reasonably acceptable to the Administrative Agent and (e) with respect to any other type of property, at the Borrower’s option, MBA, ICF, Sage or PAC (provided that such appraiser must be independent) or any other appraiser appointed by the Borrower and reasonably acceptable to the Administrative Agent (in each case of any appraiser specified above in clauses (a), (b), (c), (d) and (e), including its successor). Any Appraisal with respect to:</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firstLine="1304"/>
        <w:spacing w:after="0" w:line="287" w:lineRule="auto"/>
        <w:tabs>
          <w:tab w:leader="none" w:pos="1818"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Route Authorities, Slots and/or Foreign Gate Leaseholds pledged pursuant to the SGR Security Agreement or a security agreement substantially similar thereto (A) shall have methodology, assumptions and form of presentation consistent in all material respects with the Initial Appraisal (including the utilization of a discount rate of 11.5% and a perpetuity growth rate of 1.5%, and, if, with respect to all of the Scheduled Services between the United States and a particular country, the Appraised Value of the related Route Authorities, Slots and Foreign Gate Leaseholds is a negative number, such Appraised Value shall be deemed to be zero);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Appraisals prepared from time to time are not prepared by the same firm of appraisers as the Initial Appraisal, such Appraisals may with the consent of the Administrative Agent (such consent not to be unreasonably withheld) have methodology, assumptions and form of presentation that differ from the Initial Appraisal if such differences are deemed appropriate by such appraiser and consistent with such appraiser’s customary practice as in effect on the date hereof and (B) to the extent such Appraisal is based on historical data provided by the Borrower, shall generally be based on such data that is current as of a date no earlier than the date that is six months prior to the date of the delivery of such Appraisal;</w:t>
      </w:r>
    </w:p>
    <w:p>
      <w:pPr>
        <w:spacing w:after="0" w:line="379" w:lineRule="exact"/>
        <w:rPr>
          <w:rFonts w:ascii="Arial" w:cs="Arial" w:eastAsia="Arial" w:hAnsi="Arial"/>
          <w:sz w:val="19"/>
          <w:szCs w:val="19"/>
          <w:color w:val="auto"/>
        </w:rPr>
      </w:pPr>
    </w:p>
    <w:p>
      <w:pPr>
        <w:jc w:val="both"/>
        <w:ind w:firstLine="1304"/>
        <w:spacing w:after="0" w:line="263" w:lineRule="exact"/>
        <w:tabs>
          <w:tab w:leader="none" w:pos="1869" w:val="left"/>
        </w:tabs>
        <w:numPr>
          <w:ilvl w:val="1"/>
          <w:numId w:val="168"/>
        </w:numPr>
        <w:rPr>
          <w:rFonts w:ascii="Arial" w:cs="Arial" w:eastAsia="Arial" w:hAnsi="Arial"/>
          <w:sz w:val="22"/>
          <w:szCs w:val="22"/>
          <w:color w:val="auto"/>
        </w:rPr>
      </w:pPr>
      <w:r>
        <w:rPr>
          <w:rFonts w:ascii="Arial" w:cs="Arial" w:eastAsia="Arial" w:hAnsi="Arial"/>
          <w:sz w:val="22"/>
          <w:szCs w:val="22"/>
          <w:color w:val="auto"/>
        </w:rPr>
        <w:t>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w:t>
      </w:r>
      <w:r>
        <w:rPr>
          <w:rFonts w:ascii="MS PGothic" w:cs="MS PGothic" w:eastAsia="MS PGothic" w:hAnsi="MS PGothic"/>
          <w:sz w:val="22"/>
          <w:szCs w:val="22"/>
          <w:color w:val="auto"/>
        </w:rPr>
        <w:t>‑</w:t>
      </w:r>
      <w:r>
        <w:rPr>
          <w:rFonts w:ascii="Arial" w:cs="Arial" w:eastAsia="Arial" w:hAnsi="Arial"/>
          <w:sz w:val="22"/>
          <w:szCs w:val="22"/>
          <w:color w:val="auto"/>
        </w:rPr>
        <w:t>life; or</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jc w:val="both"/>
        <w:ind w:firstLine="1304"/>
        <w:spacing w:after="0" w:line="253" w:lineRule="auto"/>
        <w:tabs>
          <w:tab w:leader="none" w:pos="186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Additional Route Authorities, FAA Slots, Foreign Slots and Gate Leaseholds not described in clause (1) above, any Spare Parts and any other type of property shall be based upon a methodology and assumptions deemed appropriate by the applicable appraisal firm.</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648"/>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Appraised Value</w:t>
      </w:r>
      <w:r>
        <w:rPr>
          <w:rFonts w:ascii="Arial" w:cs="Arial" w:eastAsia="Arial" w:hAnsi="Arial"/>
          <w:sz w:val="22"/>
          <w:szCs w:val="22"/>
          <w:color w:val="auto"/>
        </w:rPr>
        <w:t xml:space="preserve"> ” shall mean, as of any date, (x) with respect to any cash pledged or being pledged at such time as Collateral or maintained in the Collateral Proceeds Account, 200% of the face amount thereof, (y) with respect to any Cash Equivalents pledged or being pledged at such time as Collateral or maintained in the Collateral Proceeds Account, 200% of the fair market value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98" w:name="page199"/>
    <w:bookmarkEnd w:id="198"/>
    <w:p>
      <w:pPr>
        <w:jc w:val="both"/>
        <w:spacing w:after="0" w:line="258" w:lineRule="auto"/>
        <w:rPr>
          <w:sz w:val="20"/>
          <w:szCs w:val="20"/>
          <w:color w:val="auto"/>
        </w:rPr>
      </w:pPr>
      <w:r>
        <w:rPr>
          <w:rFonts w:ascii="Arial" w:cs="Arial" w:eastAsia="Arial" w:hAnsi="Arial"/>
          <w:sz w:val="21"/>
          <w:szCs w:val="21"/>
          <w:color w:val="auto"/>
        </w:rPr>
        <w:t xml:space="preserve">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that, with respect to any Collateral consisting of property described in clause (z), (A) if no Appraisal relating to such Collateral has been delivered to the Administrative Agent prior to such date, the Appraised Value of such Collateral shall be deemed to be zero and (B) if an Appraisal relating to such Collateral has been delivered to the Administrative Agent prior to such date, but no Appraisal relating to such Collateral has been delivered to the Administrative Agent by the last day of the 30 day period prior to May 31 referred to in Section 5.06(1) (such last day, the “ </w:t>
      </w:r>
      <w:r>
        <w:rPr>
          <w:rFonts w:ascii="Arial" w:cs="Arial" w:eastAsia="Arial" w:hAnsi="Arial"/>
          <w:sz w:val="21"/>
          <w:szCs w:val="21"/>
          <w:i w:val="1"/>
          <w:iCs w:val="1"/>
          <w:color w:val="auto"/>
        </w:rPr>
        <w:t>Required Appraisal Date</w:t>
      </w:r>
      <w:r>
        <w:rPr>
          <w:rFonts w:ascii="Arial" w:cs="Arial" w:eastAsia="Arial" w:hAnsi="Arial"/>
          <w:sz w:val="21"/>
          <w:szCs w:val="21"/>
          <w:color w:val="auto"/>
        </w:rPr>
        <w:t xml:space="preserve"> ”) that immediately precedes such date, then the Appraised Value of such Collateral shall be deemed to be zero for the period from such Required Appraisal Date to the date an Appraisal relating to such Collateral is delivered to the Administrative Agent.</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Approved Fund</w:t>
      </w:r>
      <w:r>
        <w:rPr>
          <w:rFonts w:ascii="Arial" w:cs="Arial" w:eastAsia="Arial" w:hAnsi="Arial"/>
          <w:sz w:val="22"/>
          <w:szCs w:val="22"/>
          <w:color w:val="auto"/>
        </w:rPr>
        <w:t xml:space="preserve"> ” shall have the meaning set forth in Section 10.02(b).</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ARB Indebtedness</w:t>
      </w:r>
      <w:r>
        <w:rPr>
          <w:rFonts w:ascii="Arial" w:cs="Arial" w:eastAsia="Arial" w:hAnsi="Arial"/>
          <w:sz w:val="22"/>
          <w:szCs w:val="22"/>
          <w:color w:val="auto"/>
        </w:rPr>
        <w:t xml:space="preserve"> ”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w:t>
      </w:r>
    </w:p>
    <w:p>
      <w:pPr>
        <w:spacing w:after="0" w:line="200" w:lineRule="exact"/>
        <w:rPr>
          <w:sz w:val="20"/>
          <w:szCs w:val="20"/>
          <w:color w:val="auto"/>
        </w:rPr>
      </w:pPr>
    </w:p>
    <w:p>
      <w:pPr>
        <w:spacing w:after="0" w:line="207"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Arranger Fee Letter</w:t>
      </w:r>
      <w:r>
        <w:rPr>
          <w:rFonts w:ascii="Arial" w:cs="Arial" w:eastAsia="Arial" w:hAnsi="Arial"/>
          <w:sz w:val="22"/>
          <w:szCs w:val="22"/>
          <w:color w:val="auto"/>
        </w:rPr>
        <w:t xml:space="preserve"> ” shall mean that certain letter dated as of the Closing Date, between the Lead Arranger, the Joint Lead Arrangers and Bookrunners and the Borrower.</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Ascend</w:t>
      </w:r>
      <w:r>
        <w:rPr>
          <w:rFonts w:ascii="Arial" w:cs="Arial" w:eastAsia="Arial" w:hAnsi="Arial"/>
          <w:sz w:val="22"/>
          <w:szCs w:val="22"/>
          <w:color w:val="auto"/>
        </w:rPr>
        <w:t xml:space="preserve"> ” shall mean Ascend Worldwide Limited.</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Assignment and Acceptance</w:t>
      </w:r>
      <w:r>
        <w:rPr>
          <w:rFonts w:ascii="Arial" w:cs="Arial" w:eastAsia="Arial" w:hAnsi="Arial"/>
          <w:sz w:val="22"/>
          <w:szCs w:val="22"/>
          <w:color w:val="auto"/>
        </w:rPr>
        <w:t xml:space="preserve"> ” shall mean an assignment and acceptance entered into by a Lender and an assignee (with the consent of any party whose consent is required by Section 10.02), and accepted by the Administrative Agent, substantially in the form of Exhibit C.</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AVITAS</w:t>
      </w:r>
      <w:r>
        <w:rPr>
          <w:rFonts w:ascii="Arial" w:cs="Arial" w:eastAsia="Arial" w:hAnsi="Arial"/>
          <w:sz w:val="22"/>
          <w:szCs w:val="22"/>
          <w:color w:val="auto"/>
        </w:rPr>
        <w:t xml:space="preserve"> ” shall mean AVITAS, Inc.</w:t>
      </w:r>
    </w:p>
    <w:p>
      <w:pPr>
        <w:spacing w:after="0" w:line="200" w:lineRule="exact"/>
        <w:rPr>
          <w:sz w:val="20"/>
          <w:szCs w:val="20"/>
          <w:color w:val="auto"/>
        </w:rPr>
      </w:pPr>
    </w:p>
    <w:p>
      <w:pPr>
        <w:spacing w:after="0" w:line="23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Bail-In Action</w:t>
      </w:r>
      <w:r>
        <w:rPr>
          <w:rFonts w:ascii="Arial" w:cs="Arial" w:eastAsia="Arial" w:hAnsi="Arial"/>
          <w:sz w:val="22"/>
          <w:szCs w:val="22"/>
          <w:color w:val="auto"/>
        </w:rPr>
        <w:t xml:space="preserve"> ” means the exercise of any Write-Down and Conversion Powers by the applicable Resolution Authority in respect of any liability of an Affected Financial Institution.</w:t>
      </w:r>
    </w:p>
    <w:p>
      <w:pPr>
        <w:spacing w:after="0" w:line="39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Bail-In Legislatio</w:t>
      </w:r>
      <w:r>
        <w:rPr>
          <w:rFonts w:ascii="Arial" w:cs="Arial" w:eastAsia="Arial" w:hAnsi="Arial"/>
          <w:sz w:val="22"/>
          <w:szCs w:val="22"/>
          <w:color w:val="auto"/>
        </w:rPr>
        <w:t xml:space="preserve"> 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99" w:name="page200"/>
    <w:bookmarkEnd w:id="199"/>
    <w:p>
      <w:pPr>
        <w:jc w:val="both"/>
        <w:ind w:firstLine="1296"/>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Banking Product Obligations</w:t>
      </w:r>
      <w:r>
        <w:rPr>
          <w:rFonts w:ascii="Arial" w:cs="Arial" w:eastAsia="Arial" w:hAnsi="Arial"/>
          <w:sz w:val="19"/>
          <w:szCs w:val="19"/>
          <w:color w:val="auto"/>
        </w:rPr>
        <w:t xml:space="preserve"> ” shall mean, as applied to any Person, any direct or indirect liability, contingent or otherwise, of such Person in respect of any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36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Bankruptcy Code</w:t>
      </w:r>
      <w:r>
        <w:rPr>
          <w:rFonts w:ascii="Arial" w:cs="Arial" w:eastAsia="Arial" w:hAnsi="Arial"/>
          <w:sz w:val="22"/>
          <w:szCs w:val="22"/>
          <w:color w:val="auto"/>
        </w:rPr>
        <w:t xml:space="preserve"> ” shall mean The Bankruptcy Reform Act of 1978, as heretofore and hereafter amended, and codified as 11 U.S.C. Section 101 et seq.</w:t>
      </w:r>
    </w:p>
    <w:p>
      <w:pPr>
        <w:spacing w:after="0" w:line="390"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Bankruptcy Event</w:t>
      </w:r>
      <w:r>
        <w:rPr>
          <w:rFonts w:ascii="Arial" w:cs="Arial" w:eastAsia="Arial" w:hAnsi="Arial"/>
          <w:sz w:val="19"/>
          <w:szCs w:val="19"/>
          <w:color w:val="auto"/>
        </w:rPr>
        <w:t xml:space="preserve"> ”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37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Bankruptcy Law</w:t>
      </w:r>
      <w:r>
        <w:rPr>
          <w:rFonts w:ascii="Arial" w:cs="Arial" w:eastAsia="Arial" w:hAnsi="Arial"/>
          <w:sz w:val="19"/>
          <w:szCs w:val="19"/>
          <w:color w:val="auto"/>
        </w:rPr>
        <w:t xml:space="preserve"> ” shall mean the Bankruptcy Code or any similar federal or state law for the relief of debtors.</w:t>
      </w:r>
    </w:p>
    <w:p>
      <w:pPr>
        <w:spacing w:after="0" w:line="200" w:lineRule="exact"/>
        <w:rPr>
          <w:sz w:val="20"/>
          <w:szCs w:val="20"/>
          <w:color w:val="auto"/>
        </w:rPr>
      </w:pPr>
    </w:p>
    <w:p>
      <w:pPr>
        <w:spacing w:after="0" w:line="270" w:lineRule="exact"/>
        <w:rPr>
          <w:sz w:val="20"/>
          <w:szCs w:val="20"/>
          <w:color w:val="auto"/>
        </w:rPr>
      </w:pPr>
    </w:p>
    <w:p>
      <w:pPr>
        <w:jc w:val="both"/>
        <w:ind w:firstLine="1296"/>
        <w:spacing w:after="0" w:line="265" w:lineRule="exact"/>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Beneficial Owner</w:t>
      </w:r>
      <w:r>
        <w:rPr>
          <w:rFonts w:ascii="Arial" w:cs="Arial" w:eastAsia="Arial" w:hAnsi="Arial"/>
          <w:sz w:val="19"/>
          <w:szCs w:val="19"/>
          <w:color w:val="auto"/>
        </w:rPr>
        <w:t xml:space="preserve"> ” shall have the meaning assigned to such term in Rule 13d</w:t>
      </w:r>
      <w:r>
        <w:rPr>
          <w:rFonts w:ascii="MS PGothic" w:cs="MS PGothic" w:eastAsia="MS PGothic" w:hAnsi="MS PGothic"/>
          <w:sz w:val="19"/>
          <w:szCs w:val="19"/>
          <w:color w:val="auto"/>
        </w:rPr>
        <w:t>‑</w:t>
      </w:r>
      <w:r>
        <w:rPr>
          <w:rFonts w:ascii="Arial" w:cs="Arial" w:eastAsia="Arial" w:hAnsi="Arial"/>
          <w:sz w:val="19"/>
          <w:szCs w:val="19"/>
          <w:color w:val="auto"/>
        </w:rPr>
        <w:t>3 and Rule 13d</w:t>
      </w:r>
      <w:r>
        <w:rPr>
          <w:rFonts w:ascii="MS PGothic" w:cs="MS PGothic" w:eastAsia="MS PGothic" w:hAnsi="MS PGothic"/>
          <w:sz w:val="19"/>
          <w:szCs w:val="19"/>
          <w:color w:val="auto"/>
        </w:rPr>
        <w:t>‑</w:t>
      </w:r>
      <w:r>
        <w:rPr>
          <w:rFonts w:ascii="Arial" w:cs="Arial" w:eastAsia="Arial" w:hAnsi="Arial"/>
          <w:sz w:val="19"/>
          <w:szCs w:val="19"/>
          <w:color w:val="auto"/>
        </w:rPr>
        <w:t>5 under the Exchange Act, except that in calculating the beneficial ownership of any particular “person” (as that term is used in Section 13(d)</w:t>
      </w:r>
    </w:p>
    <w:p>
      <w:pPr>
        <w:spacing w:after="0" w:line="1" w:lineRule="exact"/>
        <w:rPr>
          <w:sz w:val="20"/>
          <w:szCs w:val="20"/>
          <w:color w:val="auto"/>
        </w:rPr>
      </w:pPr>
    </w:p>
    <w:p>
      <w:pPr>
        <w:jc w:val="both"/>
        <w:ind w:right="20" w:firstLine="8"/>
        <w:spacing w:after="0" w:line="245" w:lineRule="auto"/>
        <w:tabs>
          <w:tab w:leader="none" w:pos="313" w:val="left"/>
        </w:tabs>
        <w:numPr>
          <w:ilvl w:val="0"/>
          <w:numId w:val="170"/>
        </w:numPr>
        <w:rPr>
          <w:rFonts w:ascii="Arial" w:cs="Arial" w:eastAsia="Arial" w:hAnsi="Arial"/>
          <w:sz w:val="22"/>
          <w:szCs w:val="22"/>
          <w:color w:val="auto"/>
        </w:rPr>
      </w:pPr>
      <w:r>
        <w:rPr>
          <w:rFonts w:ascii="Arial" w:cs="Arial" w:eastAsia="Arial" w:hAnsi="Arial"/>
          <w:sz w:val="22"/>
          <w:szCs w:val="22"/>
          <w:color w:val="auto"/>
        </w:rPr>
        <w:t>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firstLine="1296"/>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Benefit Plan</w:t>
      </w:r>
      <w:r>
        <w:rPr>
          <w:rFonts w:ascii="Arial" w:cs="Arial" w:eastAsia="Arial" w:hAnsi="Arial"/>
          <w:sz w:val="22"/>
          <w:szCs w:val="22"/>
          <w:color w:val="auto"/>
        </w:rPr>
        <w:t xml:space="preserve"> ”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BK</w:t>
      </w:r>
      <w:r>
        <w:rPr>
          <w:rFonts w:ascii="Arial" w:cs="Arial" w:eastAsia="Arial" w:hAnsi="Arial"/>
          <w:sz w:val="22"/>
          <w:szCs w:val="22"/>
          <w:color w:val="auto"/>
        </w:rPr>
        <w:t xml:space="preserve"> ” shall mean BK Associates, Inc.</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Board</w:t>
      </w:r>
      <w:r>
        <w:rPr>
          <w:rFonts w:ascii="Arial" w:cs="Arial" w:eastAsia="Arial" w:hAnsi="Arial"/>
          <w:sz w:val="22"/>
          <w:szCs w:val="22"/>
          <w:color w:val="auto"/>
        </w:rPr>
        <w:t xml:space="preserve"> ” shall mean the Board of Governors of the Federal Reserve System of the United States.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00" w:name="page201"/>
    <w:bookmarkEnd w:id="200"/>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Board of Directors</w:t>
      </w:r>
      <w:r>
        <w:rPr>
          <w:rFonts w:ascii="Arial" w:cs="Arial" w:eastAsia="Arial" w:hAnsi="Arial"/>
          <w:sz w:val="22"/>
          <w:szCs w:val="22"/>
          <w:color w:val="auto"/>
        </w:rPr>
        <w:t xml:space="preserve"> ” shall mean:</w:t>
      </w:r>
    </w:p>
    <w:p>
      <w:pPr>
        <w:spacing w:after="0" w:line="200" w:lineRule="exact"/>
        <w:rPr>
          <w:sz w:val="20"/>
          <w:szCs w:val="20"/>
          <w:color w:val="auto"/>
        </w:rPr>
      </w:pPr>
    </w:p>
    <w:p>
      <w:pPr>
        <w:spacing w:after="0" w:line="236" w:lineRule="exact"/>
        <w:rPr>
          <w:sz w:val="20"/>
          <w:szCs w:val="20"/>
          <w:color w:val="auto"/>
        </w:rPr>
      </w:pPr>
    </w:p>
    <w:p>
      <w:pPr>
        <w:ind w:left="660" w:firstLine="644"/>
        <w:spacing w:after="0" w:line="263" w:lineRule="auto"/>
        <w:tabs>
          <w:tab w:leader="none" w:pos="192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390" w:lineRule="exact"/>
        <w:rPr>
          <w:rFonts w:ascii="Arial" w:cs="Arial" w:eastAsia="Arial" w:hAnsi="Arial"/>
          <w:sz w:val="22"/>
          <w:szCs w:val="22"/>
          <w:color w:val="auto"/>
        </w:rPr>
      </w:pPr>
    </w:p>
    <w:p>
      <w:pPr>
        <w:ind w:left="1860" w:hanging="556"/>
        <w:spacing w:after="0"/>
        <w:tabs>
          <w:tab w:leader="none" w:pos="18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with respect to a partnership, the board of directors or other governing body of the general partner of the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partnership;</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left="660" w:firstLine="644"/>
        <w:spacing w:after="0" w:line="263" w:lineRule="auto"/>
        <w:tabs>
          <w:tab w:leader="none" w:pos="1803" w:val="left"/>
        </w:tabs>
        <w:numPr>
          <w:ilvl w:val="0"/>
          <w:numId w:val="172"/>
        </w:numPr>
        <w:rPr>
          <w:rFonts w:ascii="Arial" w:cs="Arial" w:eastAsia="Arial" w:hAnsi="Arial"/>
          <w:sz w:val="22"/>
          <w:szCs w:val="22"/>
          <w:color w:val="auto"/>
        </w:rPr>
      </w:pPr>
      <w:r>
        <w:rPr>
          <w:rFonts w:ascii="Arial" w:cs="Arial" w:eastAsia="Arial" w:hAnsi="Arial"/>
          <w:sz w:val="22"/>
          <w:szCs w:val="22"/>
          <w:color w:val="auto"/>
        </w:rPr>
        <w:t>with respect to a limited liability company, the managing member or members, manager or managers or any controlling committee of managing members or managers thereof; and</w:t>
      </w:r>
    </w:p>
    <w:p>
      <w:pPr>
        <w:spacing w:after="0" w:line="390" w:lineRule="exact"/>
        <w:rPr>
          <w:rFonts w:ascii="Arial" w:cs="Arial" w:eastAsia="Arial" w:hAnsi="Arial"/>
          <w:sz w:val="22"/>
          <w:szCs w:val="22"/>
          <w:color w:val="auto"/>
        </w:rPr>
      </w:pPr>
    </w:p>
    <w:p>
      <w:pPr>
        <w:ind w:left="1780" w:hanging="476"/>
        <w:spacing w:after="0"/>
        <w:tabs>
          <w:tab w:leader="none" w:pos="178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with respect to any other Person, the board or committee of such Person serving a similar function.</w:t>
      </w:r>
    </w:p>
    <w:p>
      <w:pPr>
        <w:spacing w:after="0" w:line="200" w:lineRule="exact"/>
        <w:rPr>
          <w:sz w:val="20"/>
          <w:szCs w:val="20"/>
          <w:color w:val="auto"/>
        </w:rPr>
      </w:pP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Borrower</w:t>
      </w:r>
      <w:r>
        <w:rPr>
          <w:rFonts w:ascii="Arial" w:cs="Arial" w:eastAsia="Arial" w:hAnsi="Arial"/>
          <w:sz w:val="22"/>
          <w:szCs w:val="22"/>
          <w:color w:val="auto"/>
        </w:rPr>
        <w:t xml:space="preserve"> ” shall have the meaning set forth in the preamble to this Agreement.</w:t>
      </w:r>
    </w:p>
    <w:p>
      <w:pPr>
        <w:spacing w:after="0" w:line="200" w:lineRule="exact"/>
        <w:rPr>
          <w:sz w:val="20"/>
          <w:szCs w:val="20"/>
          <w:color w:val="auto"/>
        </w:rPr>
      </w:pPr>
    </w:p>
    <w:p>
      <w:pPr>
        <w:spacing w:after="0" w:line="23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Borrower Release</w:t>
      </w:r>
      <w:r>
        <w:rPr>
          <w:rFonts w:ascii="Arial" w:cs="Arial" w:eastAsia="Arial" w:hAnsi="Arial"/>
          <w:sz w:val="22"/>
          <w:szCs w:val="22"/>
          <w:color w:val="auto"/>
        </w:rPr>
        <w:t xml:space="preserve"> ” shall mean the release of any Collateral from the Lien of the applicable Collateral Document at the direction of the Borrower pursuant to Section 6.09(c).</w:t>
      </w:r>
    </w:p>
    <w:p>
      <w:pPr>
        <w:spacing w:after="0" w:line="39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Borrowing</w:t>
      </w:r>
      <w:r>
        <w:rPr>
          <w:rFonts w:ascii="Arial" w:cs="Arial" w:eastAsia="Arial" w:hAnsi="Arial"/>
          <w:sz w:val="22"/>
          <w:szCs w:val="22"/>
          <w:color w:val="auto"/>
        </w:rPr>
        <w:t xml:space="preserve"> ” shall mean the incurrence, conversion or continuation of Loans of a single Type made from all the Term Lenders, on a single date and having, in the case of Eurodollar Loans, a single Interest Period.</w:t>
      </w:r>
    </w:p>
    <w:p>
      <w:pPr>
        <w:spacing w:after="0" w:line="39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Borrowing Date</w:t>
      </w:r>
      <w:r>
        <w:rPr>
          <w:rFonts w:ascii="Arial" w:cs="Arial" w:eastAsia="Arial" w:hAnsi="Arial"/>
          <w:sz w:val="22"/>
          <w:szCs w:val="22"/>
          <w:color w:val="auto"/>
        </w:rPr>
        <w:t xml:space="preserve"> ” shall mean any Business Day specified in a notice pursuant to Sections 2.03 and 2.04 as a date on which the Borrower requests the Lenders to make Loans hereunder.</w:t>
      </w:r>
    </w:p>
    <w:p>
      <w:pPr>
        <w:spacing w:after="0" w:line="3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Business Day</w:t>
      </w:r>
      <w:r>
        <w:rPr>
          <w:rFonts w:ascii="Arial" w:cs="Arial" w:eastAsia="Arial" w:hAnsi="Arial"/>
          <w:sz w:val="22"/>
          <w:szCs w:val="22"/>
          <w:color w:val="auto"/>
        </w:rPr>
        <w:t xml:space="preserve"> ” shall mean any day other than a Saturday, Sunday or other day on which commercial banks in New York City are required or authorized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when used in connection with the borrowing or repayment of a Eurodollar Loan, the term “Business Day” shall also exclude any day on which banks are not open for dealings in Dollar deposits on the London interbank market.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Capital Lease Obligation</w:t>
      </w:r>
      <w:r>
        <w:rPr>
          <w:rFonts w:ascii="Arial" w:cs="Arial" w:eastAsia="Arial" w:hAnsi="Arial"/>
          <w:sz w:val="19"/>
          <w:szCs w:val="19"/>
          <w:color w:val="auto"/>
        </w:rPr>
        <w:t xml:space="preserve"> ” shall mean, at the time any determination is to be made, the amount of the liability in respect of a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358"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Capital Markets Offering</w:t>
      </w:r>
      <w:r>
        <w:rPr>
          <w:rFonts w:ascii="Arial" w:cs="Arial" w:eastAsia="Arial" w:hAnsi="Arial"/>
          <w:sz w:val="19"/>
          <w:szCs w:val="19"/>
          <w:color w:val="auto"/>
        </w:rPr>
        <w:t xml:space="preserve"> ” shall mean any offering of “securities” (as defined under the Securities Act and, including, for the avoidance of doubt, any offering of pass-through certificates by any pass-through trust established by the Parent or any of its Restricted Subsidiaries) in (a) a public offering registered under the Securities Act, or (b) an offering not required to be registered under the Securities Act (including, without limitation, a private placement under Section 4(2) of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01" w:name="page202"/>
    <w:bookmarkEnd w:id="201"/>
    <w:p>
      <w:pPr>
        <w:spacing w:after="0" w:line="263" w:lineRule="auto"/>
        <w:rPr>
          <w:sz w:val="20"/>
          <w:szCs w:val="20"/>
          <w:color w:val="auto"/>
        </w:rPr>
      </w:pPr>
      <w:r>
        <w:rPr>
          <w:rFonts w:ascii="Arial" w:cs="Arial" w:eastAsia="Arial" w:hAnsi="Arial"/>
          <w:sz w:val="22"/>
          <w:szCs w:val="22"/>
          <w:color w:val="auto"/>
        </w:rPr>
        <w:t>the Securities Act, an exempt offering pursuant to Rule 144A and/or Regulation S of the Securities Act and an offering of exempt securities).</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Capital Stock</w:t>
      </w:r>
      <w:r>
        <w:rPr>
          <w:rFonts w:ascii="Arial" w:cs="Arial" w:eastAsia="Arial" w:hAnsi="Arial"/>
          <w:sz w:val="22"/>
          <w:szCs w:val="22"/>
          <w:color w:val="auto"/>
        </w:rPr>
        <w:t xml:space="preserve"> ” shall mean:</w:t>
      </w:r>
    </w:p>
    <w:p>
      <w:pPr>
        <w:spacing w:after="0" w:line="200" w:lineRule="exact"/>
        <w:rPr>
          <w:sz w:val="20"/>
          <w:szCs w:val="20"/>
          <w:color w:val="auto"/>
        </w:rPr>
      </w:pPr>
    </w:p>
    <w:p>
      <w:pPr>
        <w:spacing w:after="0" w:line="236" w:lineRule="exact"/>
        <w:rPr>
          <w:sz w:val="20"/>
          <w:szCs w:val="20"/>
          <w:color w:val="auto"/>
        </w:rPr>
      </w:pPr>
    </w:p>
    <w:p>
      <w:pPr>
        <w:ind w:left="1780" w:hanging="476"/>
        <w:spacing w:after="0"/>
        <w:tabs>
          <w:tab w:leader="none" w:pos="178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firstLine="644"/>
        <w:spacing w:after="0" w:line="263" w:lineRule="auto"/>
        <w:tabs>
          <w:tab w:leader="none" w:pos="185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390" w:lineRule="exact"/>
        <w:rPr>
          <w:rFonts w:ascii="Arial" w:cs="Arial" w:eastAsia="Arial" w:hAnsi="Arial"/>
          <w:sz w:val="22"/>
          <w:szCs w:val="22"/>
          <w:color w:val="auto"/>
        </w:rPr>
      </w:pPr>
    </w:p>
    <w:p>
      <w:pPr>
        <w:ind w:left="660" w:right="20" w:firstLine="644"/>
        <w:spacing w:after="0" w:line="263" w:lineRule="auto"/>
        <w:tabs>
          <w:tab w:leader="none" w:pos="179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390" w:lineRule="exact"/>
        <w:rPr>
          <w:rFonts w:ascii="Arial" w:cs="Arial" w:eastAsia="Arial" w:hAnsi="Arial"/>
          <w:sz w:val="22"/>
          <w:szCs w:val="22"/>
          <w:color w:val="auto"/>
        </w:rPr>
      </w:pPr>
    </w:p>
    <w:p>
      <w:pPr>
        <w:ind w:left="660" w:firstLine="644"/>
        <w:spacing w:after="0" w:line="263" w:lineRule="auto"/>
        <w:tabs>
          <w:tab w:leader="none" w:pos="177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Cash Equivalents</w:t>
      </w:r>
      <w:r>
        <w:rPr>
          <w:rFonts w:ascii="Arial" w:cs="Arial" w:eastAsia="Arial" w:hAnsi="Arial"/>
          <w:sz w:val="22"/>
          <w:szCs w:val="22"/>
          <w:color w:val="auto"/>
        </w:rPr>
        <w:t xml:space="preserve"> ” shall mean, as of the date acquired, purchased or made, as applicable:</w:t>
      </w:r>
    </w:p>
    <w:p>
      <w:pPr>
        <w:spacing w:after="0" w:line="200" w:lineRule="exact"/>
        <w:rPr>
          <w:sz w:val="20"/>
          <w:szCs w:val="20"/>
          <w:color w:val="auto"/>
        </w:rPr>
      </w:pPr>
    </w:p>
    <w:p>
      <w:pPr>
        <w:spacing w:after="0" w:line="236" w:lineRule="exact"/>
        <w:rPr>
          <w:sz w:val="20"/>
          <w:szCs w:val="20"/>
          <w:color w:val="auto"/>
        </w:rPr>
      </w:pPr>
    </w:p>
    <w:p>
      <w:pPr>
        <w:jc w:val="both"/>
        <w:ind w:left="660" w:firstLine="644"/>
        <w:spacing w:after="0" w:line="265" w:lineRule="auto"/>
        <w:tabs>
          <w:tab w:leader="none" w:pos="1806" w:val="left"/>
        </w:tabs>
        <w:numPr>
          <w:ilvl w:val="0"/>
          <w:numId w:val="176"/>
        </w:numPr>
        <w:rPr>
          <w:rFonts w:ascii="Arial" w:cs="Arial" w:eastAsia="Arial" w:hAnsi="Arial"/>
          <w:sz w:val="21"/>
          <w:szCs w:val="21"/>
          <w:color w:val="auto"/>
        </w:rPr>
      </w:pPr>
      <w:r>
        <w:rPr>
          <w:rFonts w:ascii="Arial" w:cs="Arial" w:eastAsia="Arial" w:hAnsi="Arial"/>
          <w:sz w:val="21"/>
          <w:szCs w:val="21"/>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391" w:lineRule="exact"/>
        <w:rPr>
          <w:rFonts w:ascii="Arial" w:cs="Arial" w:eastAsia="Arial" w:hAnsi="Arial"/>
          <w:sz w:val="21"/>
          <w:szCs w:val="21"/>
          <w:color w:val="auto"/>
        </w:rPr>
      </w:pPr>
    </w:p>
    <w:p>
      <w:pPr>
        <w:jc w:val="both"/>
        <w:ind w:left="660" w:firstLine="644"/>
        <w:spacing w:after="0" w:line="263" w:lineRule="exact"/>
        <w:tabs>
          <w:tab w:leader="none" w:pos="177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direct obligations issued by any state of the United States or any political subdivision of any such state or any instrumentality thereof, in each case maturing within three years after such date and having a rating of at least A</w:t>
      </w:r>
      <w:r>
        <w:rPr>
          <w:rFonts w:ascii="MS PGothic" w:cs="MS PGothic" w:eastAsia="MS PGothic" w:hAnsi="MS PGothic"/>
          <w:sz w:val="22"/>
          <w:szCs w:val="22"/>
          <w:color w:val="auto"/>
        </w:rPr>
        <w:t>‑</w:t>
      </w:r>
      <w:r>
        <w:rPr>
          <w:rFonts w:ascii="Arial" w:cs="Arial" w:eastAsia="Arial" w:hAnsi="Arial"/>
          <w:sz w:val="22"/>
          <w:szCs w:val="22"/>
          <w:color w:val="auto"/>
        </w:rPr>
        <w:t xml:space="preserve"> (or the equivalent thereof) from S&amp;P or A3 (or the equivalent thereof) from Moody’s;</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jc w:val="both"/>
        <w:ind w:left="660" w:firstLine="644"/>
        <w:spacing w:after="0" w:line="261" w:lineRule="exact"/>
        <w:tabs>
          <w:tab w:leader="none" w:pos="1813" w:val="left"/>
        </w:tabs>
        <w:numPr>
          <w:ilvl w:val="0"/>
          <w:numId w:val="176"/>
        </w:numPr>
        <w:rPr>
          <w:rFonts w:ascii="Arial" w:cs="Arial" w:eastAsia="Arial" w:hAnsi="Arial"/>
          <w:sz w:val="19"/>
          <w:szCs w:val="19"/>
          <w:color w:val="auto"/>
        </w:rPr>
      </w:pPr>
      <w:r>
        <w:rPr>
          <w:rFonts w:ascii="Arial" w:cs="Arial" w:eastAsia="Arial" w:hAnsi="Arial"/>
          <w:sz w:val="19"/>
          <w:szCs w:val="19"/>
          <w:color w:val="auto"/>
        </w:rPr>
        <w:t>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w:t>
      </w:r>
      <w:r>
        <w:rPr>
          <w:rFonts w:ascii="MS PGothic" w:cs="MS PGothic" w:eastAsia="MS PGothic" w:hAnsi="MS PGothic"/>
          <w:sz w:val="19"/>
          <w:szCs w:val="19"/>
          <w:color w:val="auto"/>
        </w:rPr>
        <w:t>‑</w:t>
      </w:r>
      <w:r>
        <w:rPr>
          <w:rFonts w:ascii="Arial" w:cs="Arial" w:eastAsia="Arial" w:hAnsi="Arial"/>
          <w:sz w:val="19"/>
          <w:szCs w:val="19"/>
          <w:color w:val="auto"/>
        </w:rPr>
        <w:t xml:space="preserve">backed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the security has a maturity or weighted average life of three years or less from such date;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60" w:firstLine="644"/>
        <w:spacing w:after="0" w:line="265" w:lineRule="exact"/>
        <w:tabs>
          <w:tab w:leader="none" w:pos="178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investments in commercial paper maturing no more than one year after such date and having, on such date, a rating of at least A</w:t>
      </w:r>
      <w:r>
        <w:rPr>
          <w:rFonts w:ascii="MS PGothic" w:cs="MS PGothic" w:eastAsia="MS PGothic" w:hAnsi="MS PGothic"/>
          <w:sz w:val="22"/>
          <w:szCs w:val="22"/>
          <w:color w:val="auto"/>
        </w:rPr>
        <w:t>‑</w:t>
      </w:r>
      <w:r>
        <w:rPr>
          <w:rFonts w:ascii="Arial" w:cs="Arial" w:eastAsia="Arial" w:hAnsi="Arial"/>
          <w:sz w:val="22"/>
          <w:szCs w:val="22"/>
          <w:color w:val="auto"/>
        </w:rPr>
        <w:t>2 from S&amp;P or at least P</w:t>
      </w:r>
      <w:r>
        <w:rPr>
          <w:rFonts w:ascii="MS PGothic" w:cs="MS PGothic" w:eastAsia="MS PGothic" w:hAnsi="MS PGothic"/>
          <w:sz w:val="22"/>
          <w:szCs w:val="22"/>
          <w:color w:val="auto"/>
        </w:rPr>
        <w:t>‑</w:t>
      </w:r>
      <w:r>
        <w:rPr>
          <w:rFonts w:ascii="Arial" w:cs="Arial" w:eastAsia="Arial" w:hAnsi="Arial"/>
          <w:sz w:val="22"/>
          <w:szCs w:val="22"/>
          <w:color w:val="auto"/>
        </w:rPr>
        <w:t>2 from Moody’s;</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660" w:right="20" w:firstLine="644"/>
        <w:spacing w:after="0" w:line="263" w:lineRule="auto"/>
        <w:tabs>
          <w:tab w:leader="none" w:pos="1814" w:val="left"/>
        </w:tabs>
        <w:numPr>
          <w:ilvl w:val="0"/>
          <w:numId w:val="176"/>
        </w:numPr>
        <w:rPr>
          <w:rFonts w:ascii="Arial" w:cs="Arial" w:eastAsia="Arial" w:hAnsi="Arial"/>
          <w:sz w:val="22"/>
          <w:szCs w:val="22"/>
          <w:color w:val="auto"/>
        </w:rPr>
      </w:pPr>
      <w:r>
        <w:rPr>
          <w:rFonts w:ascii="Arial" w:cs="Arial" w:eastAsia="Arial" w:hAnsi="Arial"/>
          <w:sz w:val="22"/>
          <w:szCs w:val="22"/>
          <w:color w:val="auto"/>
        </w:rPr>
        <w:t>certificates of deposit (including investments made through an intermediary, such as the certificated deposit account registry service), bankers’ acceptances, time deposits,</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02" w:name="page203"/>
    <w:bookmarkEnd w:id="202"/>
    <w:p>
      <w:pPr>
        <w:jc w:val="both"/>
        <w:ind w:left="660"/>
        <w:spacing w:after="0" w:line="250" w:lineRule="auto"/>
        <w:rPr>
          <w:sz w:val="20"/>
          <w:szCs w:val="20"/>
          <w:color w:val="auto"/>
        </w:rPr>
      </w:pPr>
      <w:r>
        <w:rPr>
          <w:rFonts w:ascii="Arial" w:cs="Arial" w:eastAsia="Arial" w:hAnsi="Arial"/>
          <w:sz w:val="22"/>
          <w:szCs w:val="22"/>
          <w:color w:val="auto"/>
        </w:rPr>
        <w:t>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w:t>
      </w:r>
    </w:p>
    <w:p>
      <w:pPr>
        <w:spacing w:after="0" w:line="200" w:lineRule="exact"/>
        <w:rPr>
          <w:sz w:val="20"/>
          <w:szCs w:val="20"/>
          <w:color w:val="auto"/>
        </w:rPr>
      </w:pPr>
    </w:p>
    <w:p>
      <w:pPr>
        <w:spacing w:after="0" w:line="204" w:lineRule="exact"/>
        <w:rPr>
          <w:sz w:val="20"/>
          <w:szCs w:val="20"/>
          <w:color w:val="auto"/>
        </w:rPr>
      </w:pPr>
    </w:p>
    <w:p>
      <w:pPr>
        <w:ind w:left="660" w:firstLine="644"/>
        <w:spacing w:after="0" w:line="265" w:lineRule="exact"/>
        <w:tabs>
          <w:tab w:leader="none" w:pos="179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fully collateralized repurchase agreements with counterparties whose long term debt is rated not less than A</w:t>
      </w:r>
      <w:r>
        <w:rPr>
          <w:rFonts w:ascii="MS PGothic" w:cs="MS PGothic" w:eastAsia="MS PGothic" w:hAnsi="MS PGothic"/>
          <w:sz w:val="22"/>
          <w:szCs w:val="22"/>
          <w:color w:val="auto"/>
        </w:rPr>
        <w:t>‑</w:t>
      </w:r>
      <w:r>
        <w:rPr>
          <w:rFonts w:ascii="Arial" w:cs="Arial" w:eastAsia="Arial" w:hAnsi="Arial"/>
          <w:sz w:val="22"/>
          <w:szCs w:val="22"/>
          <w:color w:val="auto"/>
        </w:rPr>
        <w:t>by S&amp;P and A3 by Moody’s and with a term of not more than six months from such date;</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jc w:val="both"/>
        <w:ind w:left="660" w:firstLine="644"/>
        <w:spacing w:after="0" w:line="261" w:lineRule="exact"/>
        <w:tabs>
          <w:tab w:leader="none" w:pos="1813"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w:t>
      </w:r>
      <w:r>
        <w:rPr>
          <w:rFonts w:ascii="MS PGothic" w:cs="MS PGothic" w:eastAsia="MS PGothic" w:hAnsi="MS PGothic"/>
          <w:sz w:val="19"/>
          <w:szCs w:val="19"/>
          <w:color w:val="auto"/>
        </w:rPr>
        <w:t>‑</w:t>
      </w:r>
      <w:r>
        <w:rPr>
          <w:rFonts w:ascii="Arial" w:cs="Arial" w:eastAsia="Arial" w:hAnsi="Arial"/>
          <w:sz w:val="19"/>
          <w:szCs w:val="19"/>
          <w:color w:val="auto"/>
        </w:rPr>
        <w:t>term and intermediate bonds funds;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660" w:firstLine="644"/>
        <w:spacing w:after="0" w:line="263" w:lineRule="exact"/>
        <w:tabs>
          <w:tab w:leader="none" w:pos="179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shares of any money market mutual fund that, as of such date, (a) complies with the criteria set forth in SEC Rule 2a</w:t>
      </w:r>
      <w:r>
        <w:rPr>
          <w:rFonts w:ascii="MS PGothic" w:cs="MS PGothic" w:eastAsia="MS PGothic" w:hAnsi="MS PGothic"/>
          <w:sz w:val="22"/>
          <w:szCs w:val="22"/>
          <w:color w:val="auto"/>
        </w:rPr>
        <w:t>‑</w:t>
      </w:r>
      <w:r>
        <w:rPr>
          <w:rFonts w:ascii="Arial" w:cs="Arial" w:eastAsia="Arial" w:hAnsi="Arial"/>
          <w:sz w:val="22"/>
          <w:szCs w:val="22"/>
          <w:color w:val="auto"/>
        </w:rPr>
        <w:t>7 under the Investment Company Act of 1940, as amended and (b) is rated AAA (or the equivalent thereof) by S&amp;P and Aaa (or the equivalent thereof) by Moody’s;</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660" w:firstLine="644"/>
        <w:spacing w:after="0" w:line="263" w:lineRule="auto"/>
        <w:tabs>
          <w:tab w:leader="none" w:pos="18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auction rate preferred securities that, as of such date, have the highest rating obtainable from either S&amp;P or Moody’s and with a maximum reset date at least every 30 days;</w:t>
      </w:r>
    </w:p>
    <w:p>
      <w:pPr>
        <w:spacing w:after="0" w:line="390" w:lineRule="exact"/>
        <w:rPr>
          <w:rFonts w:ascii="Arial" w:cs="Arial" w:eastAsia="Arial" w:hAnsi="Arial"/>
          <w:sz w:val="22"/>
          <w:szCs w:val="22"/>
          <w:color w:val="auto"/>
        </w:rPr>
      </w:pPr>
    </w:p>
    <w:p>
      <w:pPr>
        <w:ind w:left="660" w:firstLine="644"/>
        <w:spacing w:after="0" w:line="263" w:lineRule="auto"/>
        <w:tabs>
          <w:tab w:leader="none" w:pos="1944" w:val="left"/>
        </w:tabs>
        <w:numPr>
          <w:ilvl w:val="0"/>
          <w:numId w:val="177"/>
        </w:numPr>
        <w:rPr>
          <w:rFonts w:ascii="Arial" w:cs="Arial" w:eastAsia="Arial" w:hAnsi="Arial"/>
          <w:sz w:val="22"/>
          <w:szCs w:val="22"/>
          <w:color w:val="auto"/>
        </w:rPr>
      </w:pPr>
      <w:r>
        <w:rPr>
          <w:rFonts w:ascii="Arial" w:cs="Arial" w:eastAsia="Arial" w:hAnsi="Arial"/>
          <w:sz w:val="22"/>
          <w:szCs w:val="22"/>
          <w:color w:val="auto"/>
        </w:rPr>
        <w:t>investments made pursuant to the Borrower’s or any of its Restricted Subsidiaries’ cash equivalents/short term investment guidelines;</w:t>
      </w:r>
    </w:p>
    <w:p>
      <w:pPr>
        <w:spacing w:after="0" w:line="390" w:lineRule="exact"/>
        <w:rPr>
          <w:rFonts w:ascii="Arial" w:cs="Arial" w:eastAsia="Arial" w:hAnsi="Arial"/>
          <w:sz w:val="22"/>
          <w:szCs w:val="22"/>
          <w:color w:val="auto"/>
        </w:rPr>
      </w:pPr>
    </w:p>
    <w:p>
      <w:pPr>
        <w:ind w:left="660" w:firstLine="644"/>
        <w:spacing w:after="0" w:line="263" w:lineRule="auto"/>
        <w:tabs>
          <w:tab w:leader="none" w:pos="190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deposits available for withdrawal on demand with commercial banks organized in the United States having capital and surplus in excess of $100,000,000;</w:t>
      </w:r>
    </w:p>
    <w:p>
      <w:pPr>
        <w:spacing w:after="0" w:line="390" w:lineRule="exact"/>
        <w:rPr>
          <w:rFonts w:ascii="Arial" w:cs="Arial" w:eastAsia="Arial" w:hAnsi="Arial"/>
          <w:sz w:val="22"/>
          <w:szCs w:val="22"/>
          <w:color w:val="auto"/>
        </w:rPr>
      </w:pPr>
    </w:p>
    <w:p>
      <w:pPr>
        <w:jc w:val="both"/>
        <w:ind w:left="660" w:firstLine="644"/>
        <w:spacing w:after="0" w:line="248" w:lineRule="auto"/>
        <w:tabs>
          <w:tab w:leader="none" w:pos="199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660" w:firstLine="644"/>
        <w:spacing w:after="0" w:line="265" w:lineRule="exact"/>
        <w:tabs>
          <w:tab w:leader="none" w:pos="191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any other securities or pools of securities that are classified under GAAP as cash equivalents or short</w:t>
      </w:r>
      <w:r>
        <w:rPr>
          <w:rFonts w:ascii="MS PGothic" w:cs="MS PGothic" w:eastAsia="MS PGothic" w:hAnsi="MS PGothic"/>
          <w:sz w:val="22"/>
          <w:szCs w:val="22"/>
          <w:color w:val="auto"/>
        </w:rPr>
        <w:t>‑</w:t>
      </w:r>
      <w:r>
        <w:rPr>
          <w:rFonts w:ascii="Arial" w:cs="Arial" w:eastAsia="Arial" w:hAnsi="Arial"/>
          <w:sz w:val="22"/>
          <w:szCs w:val="22"/>
          <w:color w:val="auto"/>
        </w:rPr>
        <w:t>term investments on a balance sheet as of such date.</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Certificate Delivery Date</w:t>
      </w:r>
      <w:r>
        <w:rPr>
          <w:rFonts w:ascii="Arial" w:cs="Arial" w:eastAsia="Arial" w:hAnsi="Arial"/>
          <w:sz w:val="22"/>
          <w:szCs w:val="22"/>
          <w:color w:val="auto"/>
        </w:rPr>
        <w:t xml:space="preserve"> ” shall have the meaning set forth in Section 6.09(a).</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Change in Law</w:t>
      </w:r>
      <w:r>
        <w:rPr>
          <w:rFonts w:ascii="Arial" w:cs="Arial" w:eastAsia="Arial" w:hAnsi="Arial"/>
          <w:sz w:val="22"/>
          <w:szCs w:val="22"/>
          <w:color w:val="auto"/>
        </w:rPr>
        <w:t xml:space="preserve"> ” shall mean, after the date hereof, (a) the adoption of any law, rule or regulation after the date of this Agreement (including any request, rule, regulation, guideline, requirement or directive promulgated by the Bank for International Settlements, the Basel</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03" w:name="page204"/>
    <w:bookmarkEnd w:id="203"/>
    <w:p>
      <w:pPr>
        <w:jc w:val="both"/>
        <w:spacing w:after="0" w:line="248" w:lineRule="auto"/>
        <w:rPr>
          <w:sz w:val="20"/>
          <w:szCs w:val="20"/>
          <w:color w:val="auto"/>
        </w:rPr>
      </w:pPr>
      <w:r>
        <w:rPr>
          <w:rFonts w:ascii="Arial" w:cs="Arial" w:eastAsia="Arial" w:hAnsi="Arial"/>
          <w:sz w:val="22"/>
          <w:szCs w:val="22"/>
          <w:color w:val="auto"/>
        </w:rPr>
        <w:t>Committee on Banking Supervision (or any successor or similar authority) or the United States or foreign regulatory authorities, in each case pursuant to Basel II or Basel III or the Dodd-Frank Wall Street Reform and Consumer Protection Act and all requests, rules, guidelines or directives thereunder or issued in connection therewith) or (b) compliance by any Lender with any request, guideline or directive (whether or not having the force of law) of any Governmental Authority made or issued after the date of this Agreement.</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Change of Control</w:t>
      </w:r>
      <w:r>
        <w:rPr>
          <w:rFonts w:ascii="Arial" w:cs="Arial" w:eastAsia="Arial" w:hAnsi="Arial"/>
          <w:sz w:val="22"/>
          <w:szCs w:val="22"/>
          <w:color w:val="auto"/>
        </w:rPr>
        <w:t xml:space="preserve"> ” shall mean the occurrence of any of the following:</w:t>
      </w:r>
    </w:p>
    <w:p>
      <w:pPr>
        <w:spacing w:after="0" w:line="200" w:lineRule="exact"/>
        <w:rPr>
          <w:sz w:val="20"/>
          <w:szCs w:val="20"/>
          <w:color w:val="auto"/>
        </w:rPr>
      </w:pPr>
    </w:p>
    <w:p>
      <w:pPr>
        <w:spacing w:after="0" w:line="236" w:lineRule="exact"/>
        <w:rPr>
          <w:sz w:val="20"/>
          <w:szCs w:val="20"/>
          <w:color w:val="auto"/>
        </w:rPr>
      </w:pPr>
    </w:p>
    <w:p>
      <w:pPr>
        <w:jc w:val="both"/>
        <w:ind w:left="660" w:firstLine="644"/>
        <w:spacing w:after="0" w:line="302" w:lineRule="auto"/>
        <w:tabs>
          <w:tab w:leader="none" w:pos="178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w:t>
      </w:r>
    </w:p>
    <w:p>
      <w:pPr>
        <w:spacing w:after="0" w:line="358" w:lineRule="exact"/>
        <w:rPr>
          <w:rFonts w:ascii="Arial" w:cs="Arial" w:eastAsia="Arial" w:hAnsi="Arial"/>
          <w:sz w:val="19"/>
          <w:szCs w:val="19"/>
          <w:color w:val="auto"/>
        </w:rPr>
      </w:pPr>
    </w:p>
    <w:p>
      <w:pPr>
        <w:jc w:val="both"/>
        <w:ind w:left="660" w:firstLine="644"/>
        <w:spacing w:after="0" w:line="287" w:lineRule="auto"/>
        <w:tabs>
          <w:tab w:leader="none" w:pos="177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 </w:t>
      </w:r>
      <w:r>
        <w:rPr>
          <w:rFonts w:ascii="Arial" w:cs="Arial" w:eastAsia="Arial" w:hAnsi="Arial"/>
          <w:sz w:val="19"/>
          <w:szCs w:val="19"/>
          <w:i w:val="1"/>
          <w:iCs w:val="1"/>
          <w:color w:val="auto"/>
        </w:rPr>
        <w:t>Permitted Person</w:t>
      </w:r>
      <w:r>
        <w:rPr>
          <w:rFonts w:ascii="Arial" w:cs="Arial" w:eastAsia="Arial" w:hAnsi="Arial"/>
          <w:sz w:val="19"/>
          <w:szCs w:val="19"/>
          <w:color w:val="auto"/>
        </w:rPr>
        <w:t xml:space="preserve"> ”)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37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For the avoidance of doubt, any Airline/Parent Merger and any Airlines Merger will not be a Change of Control under this Agreement.</w:t>
      </w:r>
    </w:p>
    <w:p>
      <w:pPr>
        <w:spacing w:after="0" w:line="39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Class</w:t>
      </w:r>
      <w:r>
        <w:rPr>
          <w:rFonts w:ascii="Arial" w:cs="Arial" w:eastAsia="Arial" w:hAnsi="Arial"/>
          <w:sz w:val="22"/>
          <w:szCs w:val="22"/>
          <w:color w:val="auto"/>
        </w:rPr>
        <w:t xml:space="preserve"> ” when used in reference to any Loan or Borrowing, shall refer to whether such Loan, or the Loans comprising such Borrowing, Initial Term Loans, Delayed Draw Term Loans or Incremental Term Loans or other tranche or sub-tranche of Term Loans. In addition, any extended tranche of Term Loans shall constitute a Class of Loans separate from which they were converted. Notwithstanding anything to the contrary, any Loans having the exact same terms and conditions shall be deemed a part of the same Class.</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Closing Date</w:t>
      </w:r>
      <w:r>
        <w:rPr>
          <w:rFonts w:ascii="Arial" w:cs="Arial" w:eastAsia="Arial" w:hAnsi="Arial"/>
          <w:sz w:val="22"/>
          <w:szCs w:val="22"/>
          <w:color w:val="auto"/>
        </w:rPr>
        <w:t xml:space="preserve"> ” shall mean March 18, 2020.</w:t>
      </w:r>
    </w:p>
    <w:p>
      <w:pPr>
        <w:spacing w:after="0" w:line="200" w:lineRule="exact"/>
        <w:rPr>
          <w:sz w:val="20"/>
          <w:szCs w:val="20"/>
          <w:color w:val="auto"/>
        </w:rPr>
      </w:pPr>
    </w:p>
    <w:p>
      <w:pPr>
        <w:spacing w:after="0" w:line="23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Closing Date Transactions</w:t>
      </w:r>
      <w:r>
        <w:rPr>
          <w:rFonts w:ascii="Arial" w:cs="Arial" w:eastAsia="Arial" w:hAnsi="Arial"/>
          <w:sz w:val="22"/>
          <w:szCs w:val="22"/>
          <w:color w:val="auto"/>
        </w:rPr>
        <w:t xml:space="preserve"> ” shall mean the Transactions other than the borrowing of Loans after the Closing Date and the use of the proceeds thereof.</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04" w:name="page205"/>
    <w:bookmarkEnd w:id="204"/>
    <w:p>
      <w:pPr>
        <w:jc w:val="both"/>
        <w:ind w:firstLine="1296"/>
        <w:spacing w:after="0" w:line="260"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Branded Card Agreement(s)</w:t>
      </w:r>
      <w:r>
        <w:rPr>
          <w:rFonts w:ascii="Arial" w:cs="Arial" w:eastAsia="Arial" w:hAnsi="Arial"/>
          <w:sz w:val="22"/>
          <w:szCs w:val="22"/>
          <w:color w:val="auto"/>
        </w:rPr>
        <w:t xml:space="preserve"> ” shall mean means that certain Co-Branded Credit Card Program Agreement, dated as of July 8, 2016, between American Airlines, Inc. and Barclays Bank Delaware, as amended, restated, supplemented or otherwise modified from time to time, that certain Co-Branded Credit Card Program Agreement, dated as of June 30, 2016, between American Airlines, Inc. and Citibank, N.A., as amended, restated, supplemented or otherwise modified from time to time, and any other similar agreements or agreements related to pre-paid miles entered into by the Parent or any of its Subsidiaries from time to time.</w:t>
      </w:r>
    </w:p>
    <w:p>
      <w:pPr>
        <w:spacing w:after="0" w:line="200" w:lineRule="exact"/>
        <w:rPr>
          <w:sz w:val="20"/>
          <w:szCs w:val="20"/>
          <w:color w:val="auto"/>
        </w:rPr>
      </w:pP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Code</w:t>
      </w:r>
      <w:r>
        <w:rPr>
          <w:rFonts w:ascii="Arial" w:cs="Arial" w:eastAsia="Arial" w:hAnsi="Arial"/>
          <w:sz w:val="22"/>
          <w:szCs w:val="22"/>
          <w:color w:val="auto"/>
        </w:rPr>
        <w:t xml:space="preserve"> ” shall mean the Internal Revenue Code of 1986, as amended from time to time.</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Collateral</w:t>
      </w:r>
      <w:r>
        <w:rPr>
          <w:rFonts w:ascii="Arial" w:cs="Arial" w:eastAsia="Arial" w:hAnsi="Arial"/>
          <w:sz w:val="22"/>
          <w:szCs w:val="22"/>
          <w:color w:val="auto"/>
        </w:rPr>
        <w:t xml:space="preserve"> ” shall mean (i) the assets and properties of the Grantors upon which Liens have been granted to the Collateral Agent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the Collateral Proceeds Account, together with all amounts on deposit therein and all proceeds thereof.</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Collateral Agent</w:t>
      </w:r>
      <w:r>
        <w:rPr>
          <w:rFonts w:ascii="Arial" w:cs="Arial" w:eastAsia="Arial" w:hAnsi="Arial"/>
          <w:sz w:val="22"/>
          <w:szCs w:val="22"/>
          <w:color w:val="auto"/>
        </w:rPr>
        <w:t xml:space="preserve"> ” shall have the meaning set forth in the preamble to this Agreement.</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Collateral Coverage Failure</w:t>
      </w:r>
      <w:r>
        <w:rPr>
          <w:rFonts w:ascii="Arial" w:cs="Arial" w:eastAsia="Arial" w:hAnsi="Arial"/>
          <w:sz w:val="19"/>
          <w:szCs w:val="19"/>
          <w:color w:val="auto"/>
        </w:rPr>
        <w:t xml:space="preserve"> ” shall mean either (i) a Collateral Coverage Ratio Failure or (ii) a Core Collateral</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Failure.</w:t>
      </w: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Collateral Coverage Ratio</w:t>
      </w:r>
      <w:r>
        <w:rPr>
          <w:rFonts w:ascii="Arial" w:cs="Arial" w:eastAsia="Arial" w:hAnsi="Arial"/>
          <w:sz w:val="21"/>
          <w:szCs w:val="21"/>
          <w:color w:val="auto"/>
        </w:rPr>
        <w:t xml:space="preserve"> ” shall mean, as of any date of determination, the ratio of (i) the Appraised Value of the applicable Collateral with respect to such date of determination to (ii) the sum, without duplication, of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plus as applicable the items in the next sentence, the “ </w:t>
      </w:r>
      <w:r>
        <w:rPr>
          <w:rFonts w:ascii="Arial" w:cs="Arial" w:eastAsia="Arial" w:hAnsi="Arial"/>
          <w:sz w:val="21"/>
          <w:szCs w:val="21"/>
          <w:i w:val="1"/>
          <w:iCs w:val="1"/>
          <w:color w:val="auto"/>
        </w:rPr>
        <w:t>Total</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Obligations </w:t>
      </w:r>
      <w:r>
        <w:rPr>
          <w:rFonts w:ascii="Arial" w:cs="Arial" w:eastAsia="Arial" w:hAnsi="Arial"/>
          <w:sz w:val="21"/>
          <w:szCs w:val="21"/>
          <w:color w:val="auto"/>
        </w:rPr>
        <w:t>”). For purposes of calculating the Collateral Coverage Ratio for Collateral secured under the Second Lien SGR</w:t>
      </w:r>
      <w:r>
        <w:rPr>
          <w:rFonts w:ascii="Arial" w:cs="Arial" w:eastAsia="Arial" w:hAnsi="Arial"/>
          <w:sz w:val="21"/>
          <w:szCs w:val="21"/>
          <w:i w:val="1"/>
          <w:iCs w:val="1"/>
          <w:color w:val="auto"/>
        </w:rPr>
        <w:t xml:space="preserve"> </w:t>
      </w:r>
      <w:r>
        <w:rPr>
          <w:rFonts w:ascii="Arial" w:cs="Arial" w:eastAsia="Arial" w:hAnsi="Arial"/>
          <w:sz w:val="21"/>
          <w:szCs w:val="21"/>
          <w:color w:val="auto"/>
        </w:rPr>
        <w:t>Security Agreement, Total Obligations shall also include items (w) through (z) under and as defined in the definition of “Collateral Coverage Ratio” in the First Lien LHR Agreement.</w:t>
      </w:r>
    </w:p>
    <w:p>
      <w:pPr>
        <w:spacing w:after="0" w:line="399"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Collateral Coverage Ratio Certificate</w:t>
      </w:r>
      <w:r>
        <w:rPr>
          <w:rFonts w:ascii="Arial" w:cs="Arial" w:eastAsia="Arial" w:hAnsi="Arial"/>
          <w:sz w:val="22"/>
          <w:szCs w:val="22"/>
          <w:color w:val="auto"/>
        </w:rPr>
        <w:t xml:space="preserve"> ” shall mean an Officer’s Certificate calculating the Collateral Coverage Ratio substantially in the form of Exhibit H hereto.</w:t>
      </w:r>
    </w:p>
    <w:p>
      <w:pPr>
        <w:spacing w:after="0" w:line="3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Collateral Coverage Ratio Failure</w:t>
      </w:r>
      <w:r>
        <w:rPr>
          <w:rFonts w:ascii="Arial" w:cs="Arial" w:eastAsia="Arial" w:hAnsi="Arial"/>
          <w:sz w:val="22"/>
          <w:szCs w:val="22"/>
          <w:color w:val="auto"/>
        </w:rPr>
        <w:t xml:space="preserve"> ” shall mean, as of any date of determination, the failure of the Collateral Coverage Ratio as of such date to be at least equal to (i) 2.00 to 1.00 with respect to Collateral secured pursuant to the First Lien SGR Security Agreement or (ii) 1.33 to 1.00 with respect to Collateral secured pursuant to the Second Lien SGR Security Agreement.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Collateral Documents</w:t>
      </w:r>
      <w:r>
        <w:rPr>
          <w:rFonts w:ascii="Arial" w:cs="Arial" w:eastAsia="Arial" w:hAnsi="Arial"/>
          <w:sz w:val="19"/>
          <w:szCs w:val="19"/>
          <w:color w:val="auto"/>
        </w:rPr>
        <w:t xml:space="preserve"> ” shall mean, collectively, the First Lien SGR Security Agreement, the Second Lien SGR Agreement, the UK Debentures, the Account Control Agreement(s), the Intercreditor Agreement (on and after the execution thereof), any Other Intercreditor Agreement (on and after the execution thereof) and other agreements, instruments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05" w:name="page206"/>
    <w:bookmarkEnd w:id="205"/>
    <w:p>
      <w:pPr>
        <w:spacing w:after="0" w:line="343" w:lineRule="auto"/>
        <w:rPr>
          <w:sz w:val="20"/>
          <w:szCs w:val="20"/>
          <w:color w:val="auto"/>
        </w:rPr>
      </w:pPr>
      <w:r>
        <w:rPr>
          <w:rFonts w:ascii="Arial" w:cs="Arial" w:eastAsia="Arial" w:hAnsi="Arial"/>
          <w:sz w:val="19"/>
          <w:szCs w:val="19"/>
          <w:color w:val="auto"/>
        </w:rPr>
        <w:t>documents that create or purport to create a Lien in favor of the Collateral Agent for the benefit of the Secured Parties, in each case so long as such agreement, instrument or document shall not have been terminated in accordance with its terms.</w:t>
      </w:r>
    </w:p>
    <w:p>
      <w:pPr>
        <w:spacing w:after="0" w:line="3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Collateral Proceeds Account</w:t>
      </w:r>
      <w:r>
        <w:rPr>
          <w:rFonts w:ascii="Arial" w:cs="Arial" w:eastAsia="Arial" w:hAnsi="Arial"/>
          <w:sz w:val="22"/>
          <w:szCs w:val="22"/>
          <w:color w:val="auto"/>
        </w:rPr>
        <w:t xml:space="preserve"> ” shall mean a segregated account or accounts held by or under the control of the Collateral Agent into which the Net Proceeds of any Recovery Event or Disposition of Collateral may be deposited in accordance with the provisions of this Agreement.</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Commitment</w:t>
      </w:r>
      <w:r>
        <w:rPr>
          <w:rFonts w:ascii="Arial" w:cs="Arial" w:eastAsia="Arial" w:hAnsi="Arial"/>
          <w:sz w:val="22"/>
          <w:szCs w:val="22"/>
          <w:color w:val="auto"/>
        </w:rPr>
        <w:t xml:space="preserve"> ” shall mean, as to any Lender, the Term Loan Commitment, if any, of such Lender, it being understood that the “ </w:t>
      </w:r>
      <w:r>
        <w:rPr>
          <w:rFonts w:ascii="Arial" w:cs="Arial" w:eastAsia="Arial" w:hAnsi="Arial"/>
          <w:sz w:val="22"/>
          <w:szCs w:val="22"/>
          <w:i w:val="1"/>
          <w:iCs w:val="1"/>
          <w:color w:val="auto"/>
        </w:rPr>
        <w:t>Term Loan Commitment</w:t>
      </w:r>
      <w:r>
        <w:rPr>
          <w:rFonts w:ascii="Arial" w:cs="Arial" w:eastAsia="Arial" w:hAnsi="Arial"/>
          <w:sz w:val="22"/>
          <w:szCs w:val="22"/>
          <w:color w:val="auto"/>
        </w:rPr>
        <w:t xml:space="preserve"> ” of a Lender shall remain in effect until the Term Loans have been funded in full in accordance with this Agreement.</w:t>
      </w:r>
    </w:p>
    <w:p>
      <w:pPr>
        <w:spacing w:after="0" w:line="200" w:lineRule="exact"/>
        <w:rPr>
          <w:sz w:val="20"/>
          <w:szCs w:val="20"/>
          <w:color w:val="auto"/>
        </w:rPr>
      </w:pPr>
    </w:p>
    <w:p>
      <w:pPr>
        <w:spacing w:after="0" w:line="201" w:lineRule="exact"/>
        <w:rPr>
          <w:sz w:val="20"/>
          <w:szCs w:val="20"/>
          <w:color w:val="auto"/>
        </w:rPr>
      </w:pPr>
    </w:p>
    <w:p>
      <w:pPr>
        <w:ind w:left="1300" w:right="3040"/>
        <w:spacing w:after="0" w:line="6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Commitment Fee</w:t>
      </w:r>
      <w:r>
        <w:rPr>
          <w:rFonts w:ascii="Arial" w:cs="Arial" w:eastAsia="Arial" w:hAnsi="Arial"/>
          <w:sz w:val="22"/>
          <w:szCs w:val="22"/>
          <w:color w:val="auto"/>
        </w:rPr>
        <w:t xml:space="preserve"> ” shall have the meaning given to such term in Section 2.20. “ </w:t>
      </w:r>
      <w:r>
        <w:rPr>
          <w:rFonts w:ascii="Arial" w:cs="Arial" w:eastAsia="Arial" w:hAnsi="Arial"/>
          <w:sz w:val="22"/>
          <w:szCs w:val="22"/>
          <w:i w:val="1"/>
          <w:iCs w:val="1"/>
          <w:color w:val="auto"/>
        </w:rPr>
        <w:t>Commitment Fee Rate</w:t>
      </w:r>
      <w:r>
        <w:rPr>
          <w:rFonts w:ascii="Arial" w:cs="Arial" w:eastAsia="Arial" w:hAnsi="Arial"/>
          <w:sz w:val="22"/>
          <w:szCs w:val="22"/>
          <w:color w:val="auto"/>
        </w:rPr>
        <w:t xml:space="preserve"> ” shall be 0.50% per annum.</w:t>
      </w: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Commodity Exchange Act</w:t>
      </w:r>
      <w:r>
        <w:rPr>
          <w:rFonts w:ascii="Arial" w:cs="Arial" w:eastAsia="Arial" w:hAnsi="Arial"/>
          <w:sz w:val="22"/>
          <w:szCs w:val="22"/>
          <w:color w:val="auto"/>
        </w:rPr>
        <w:t xml:space="preserve"> ” shall mean the Commodity Exchange Act (7 U.S.C. §1 et seq.), as amended from time to time, and any successor statute.</w:t>
      </w:r>
    </w:p>
    <w:p>
      <w:pPr>
        <w:spacing w:after="0" w:line="390" w:lineRule="exact"/>
        <w:rPr>
          <w:sz w:val="20"/>
          <w:szCs w:val="20"/>
          <w:color w:val="auto"/>
        </w:rPr>
      </w:pPr>
    </w:p>
    <w:p>
      <w:pPr>
        <w:jc w:val="both"/>
        <w:ind w:right="20" w:firstLine="1296"/>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Commuter Slot</w:t>
      </w:r>
      <w:r>
        <w:rPr>
          <w:rFonts w:ascii="Arial" w:cs="Arial" w:eastAsia="Arial" w:hAnsi="Arial"/>
          <w:sz w:val="19"/>
          <w:szCs w:val="19"/>
          <w:color w:val="auto"/>
        </w:rPr>
        <w:t xml:space="preserve"> ” shall mean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w:t>
      </w:r>
    </w:p>
    <w:p>
      <w:pPr>
        <w:spacing w:after="0" w:line="34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Consolidated EBITDAR</w:t>
      </w:r>
      <w:r>
        <w:rPr>
          <w:rFonts w:ascii="Arial" w:cs="Arial" w:eastAsia="Arial" w:hAnsi="Arial"/>
          <w:sz w:val="22"/>
          <w:szCs w:val="22"/>
          <w:color w:val="auto"/>
        </w:rPr>
        <w:t xml:space="preserve"> ” shall mean, with respect to any specified Person for any period, the Consolidated Net Income of such Person for such period plus, without duplication:</w:t>
      </w:r>
    </w:p>
    <w:p>
      <w:pPr>
        <w:spacing w:after="0" w:line="391" w:lineRule="exact"/>
        <w:rPr>
          <w:sz w:val="20"/>
          <w:szCs w:val="20"/>
          <w:color w:val="auto"/>
        </w:rPr>
      </w:pPr>
    </w:p>
    <w:p>
      <w:pPr>
        <w:jc w:val="both"/>
        <w:ind w:left="660" w:firstLine="644"/>
        <w:spacing w:after="0" w:line="253" w:lineRule="auto"/>
        <w:tabs>
          <w:tab w:leader="none" w:pos="181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 amount equal to any extraordinary loss plus any net loss realized by such Person or any of its Restricted Subsidiaries in connection with any Disposition of assets, to the extent such losses were deducted in computing such Consolidated Net Income; plus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60" w:firstLine="644"/>
        <w:spacing w:after="0" w:line="263" w:lineRule="auto"/>
        <w:tabs>
          <w:tab w:leader="none" w:pos="183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provision for taxes based on income or profits of such Person and its Restricted Subsidiaries, to the extent that such provision for taxes was deducted in computing such Consolidated Net Income; plus</w:t>
      </w:r>
    </w:p>
    <w:p>
      <w:pPr>
        <w:spacing w:after="0" w:line="390" w:lineRule="exact"/>
        <w:rPr>
          <w:rFonts w:ascii="Arial" w:cs="Arial" w:eastAsia="Arial" w:hAnsi="Arial"/>
          <w:sz w:val="22"/>
          <w:szCs w:val="22"/>
          <w:color w:val="auto"/>
        </w:rPr>
      </w:pPr>
    </w:p>
    <w:p>
      <w:pPr>
        <w:ind w:left="660" w:firstLine="644"/>
        <w:spacing w:after="0" w:line="263" w:lineRule="auto"/>
        <w:tabs>
          <w:tab w:leader="none" w:pos="179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Fixed Charges of such Person and its Restricted Subsidiaries, to the extent that such Fixed Charges were deducted in computing such Consolidated Net Income; plus</w:t>
      </w:r>
    </w:p>
    <w:p>
      <w:pPr>
        <w:spacing w:after="0" w:line="390" w:lineRule="exact"/>
        <w:rPr>
          <w:rFonts w:ascii="Arial" w:cs="Arial" w:eastAsia="Arial" w:hAnsi="Arial"/>
          <w:sz w:val="22"/>
          <w:szCs w:val="22"/>
          <w:color w:val="auto"/>
        </w:rPr>
      </w:pPr>
    </w:p>
    <w:p>
      <w:pPr>
        <w:jc w:val="both"/>
        <w:ind w:left="660" w:firstLine="644"/>
        <w:spacing w:after="0" w:line="253" w:lineRule="auto"/>
        <w:tabs>
          <w:tab w:leader="none" w:pos="1776"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foreign currency translation losses (including losses related to currency remeasurements of Indebtedness) of such Person and its Restricted Subsidiaries for such period, to the extent that such losses were deducted in computing such Consolidated Net Income; plus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660" w:firstLine="644"/>
        <w:spacing w:after="0" w:line="263" w:lineRule="exact"/>
        <w:tabs>
          <w:tab w:leader="none" w:pos="1808" w:val="left"/>
        </w:tabs>
        <w:numPr>
          <w:ilvl w:val="0"/>
          <w:numId w:val="183"/>
        </w:numPr>
        <w:rPr>
          <w:rFonts w:ascii="Arial" w:cs="Arial" w:eastAsia="Arial" w:hAnsi="Arial"/>
          <w:sz w:val="19"/>
          <w:szCs w:val="19"/>
          <w:color w:val="auto"/>
        </w:rPr>
      </w:pPr>
      <w:r>
        <w:rPr>
          <w:rFonts w:ascii="Arial" w:cs="Arial" w:eastAsia="Arial" w:hAnsi="Arial"/>
          <w:sz w:val="19"/>
          <w:szCs w:val="19"/>
          <w:color w:val="auto"/>
        </w:rPr>
        <w:t>depreciation, amortization (including amortization of intangibles but excluding amortization of prepaid cash expenses that were paid in a prior period) and other non</w:t>
      </w:r>
      <w:r>
        <w:rPr>
          <w:rFonts w:ascii="MS PGothic" w:cs="MS PGothic" w:eastAsia="MS PGothic" w:hAnsi="MS PGothic"/>
          <w:sz w:val="19"/>
          <w:szCs w:val="19"/>
          <w:color w:val="auto"/>
        </w:rPr>
        <w:t>‑</w:t>
      </w:r>
      <w:r>
        <w:rPr>
          <w:rFonts w:ascii="Arial" w:cs="Arial" w:eastAsia="Arial" w:hAnsi="Arial"/>
          <w:sz w:val="19"/>
          <w:szCs w:val="19"/>
          <w:color w:val="auto"/>
        </w:rPr>
        <w:t>cash charges and expenses (excluding any such non</w:t>
      </w:r>
      <w:r>
        <w:rPr>
          <w:rFonts w:ascii="MS PGothic" w:cs="MS PGothic" w:eastAsia="MS PGothic" w:hAnsi="MS PGothic"/>
          <w:sz w:val="19"/>
          <w:szCs w:val="19"/>
          <w:color w:val="auto"/>
        </w:rPr>
        <w:t>‑</w:t>
      </w:r>
      <w:r>
        <w:rPr>
          <w:rFonts w:ascii="Arial" w:cs="Arial" w:eastAsia="Arial" w:hAnsi="Arial"/>
          <w:sz w:val="19"/>
          <w:szCs w:val="19"/>
          <w:color w:val="auto"/>
        </w:rPr>
        <w:t>cash charge or expense to the extent that it represents an accrual of or reserve for cash charges or expenses in any future period</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06" w:name="page207"/>
    <w:bookmarkEnd w:id="206"/>
    <w:p>
      <w:pPr>
        <w:jc w:val="both"/>
        <w:ind w:left="660"/>
        <w:spacing w:after="0" w:line="263" w:lineRule="exact"/>
        <w:rPr>
          <w:sz w:val="20"/>
          <w:szCs w:val="20"/>
          <w:color w:val="auto"/>
        </w:rPr>
      </w:pPr>
      <w:r>
        <w:rPr>
          <w:rFonts w:ascii="Arial" w:cs="Arial" w:eastAsia="Arial" w:hAnsi="Arial"/>
          <w:sz w:val="22"/>
          <w:szCs w:val="22"/>
          <w:color w:val="auto"/>
        </w:rPr>
        <w:t>or amortization of a prepaid cash charge or expense that was paid in a prior period) of such Person and its Restricted Subsidiaries to the extent that such depreciation, amortization and other non</w:t>
      </w:r>
      <w:r>
        <w:rPr>
          <w:rFonts w:ascii="MS PGothic" w:cs="MS PGothic" w:eastAsia="MS PGothic" w:hAnsi="MS PGothic"/>
          <w:sz w:val="22"/>
          <w:szCs w:val="22"/>
          <w:color w:val="auto"/>
        </w:rPr>
        <w:t>‑</w:t>
      </w:r>
      <w:r>
        <w:rPr>
          <w:rFonts w:ascii="Arial" w:cs="Arial" w:eastAsia="Arial" w:hAnsi="Arial"/>
          <w:sz w:val="22"/>
          <w:szCs w:val="22"/>
          <w:color w:val="auto"/>
        </w:rPr>
        <w:t>cash charges or expenses were deducted in computing such Consolidated Net Income; plus</w:t>
      </w:r>
    </w:p>
    <w:p>
      <w:pPr>
        <w:spacing w:after="0" w:line="200" w:lineRule="exact"/>
        <w:rPr>
          <w:sz w:val="20"/>
          <w:szCs w:val="20"/>
          <w:color w:val="auto"/>
        </w:rPr>
      </w:pPr>
    </w:p>
    <w:p>
      <w:pPr>
        <w:spacing w:after="0" w:line="214" w:lineRule="exact"/>
        <w:rPr>
          <w:sz w:val="20"/>
          <w:szCs w:val="20"/>
          <w:color w:val="auto"/>
        </w:rPr>
      </w:pPr>
    </w:p>
    <w:p>
      <w:pPr>
        <w:ind w:left="660" w:firstLine="644"/>
        <w:spacing w:after="0" w:line="263" w:lineRule="auto"/>
        <w:tabs>
          <w:tab w:leader="none" w:pos="1909"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amortization of debt discount to the extent that such amortization was deducted in computing such Consolidated Net Income; plus</w:t>
      </w:r>
    </w:p>
    <w:p>
      <w:pPr>
        <w:spacing w:after="0" w:line="390" w:lineRule="exact"/>
        <w:rPr>
          <w:rFonts w:ascii="Arial" w:cs="Arial" w:eastAsia="Arial" w:hAnsi="Arial"/>
          <w:sz w:val="22"/>
          <w:szCs w:val="22"/>
          <w:color w:val="auto"/>
        </w:rPr>
      </w:pPr>
    </w:p>
    <w:p>
      <w:pPr>
        <w:ind w:left="660" w:firstLine="644"/>
        <w:spacing w:after="0" w:line="263" w:lineRule="auto"/>
        <w:tabs>
          <w:tab w:leader="none" w:pos="1806" w:val="left"/>
        </w:tabs>
        <w:numPr>
          <w:ilvl w:val="0"/>
          <w:numId w:val="184"/>
        </w:numPr>
        <w:rPr>
          <w:rFonts w:ascii="Arial" w:cs="Arial" w:eastAsia="Arial" w:hAnsi="Arial"/>
          <w:sz w:val="22"/>
          <w:szCs w:val="22"/>
          <w:color w:val="auto"/>
        </w:rPr>
      </w:pPr>
      <w:r>
        <w:rPr>
          <w:rFonts w:ascii="Arial" w:cs="Arial" w:eastAsia="Arial" w:hAnsi="Arial"/>
          <w:sz w:val="22"/>
          <w:szCs w:val="22"/>
          <w:color w:val="auto"/>
        </w:rPr>
        <w:t>deductions for grants to any employee of Parent or its Restricted Subsidiaries of any Equity Interests during such period to the extent deducted in computing such Consolidated Net Income; plus</w:t>
      </w:r>
    </w:p>
    <w:p>
      <w:pPr>
        <w:spacing w:after="0" w:line="390" w:lineRule="exact"/>
        <w:rPr>
          <w:rFonts w:ascii="Arial" w:cs="Arial" w:eastAsia="Arial" w:hAnsi="Arial"/>
          <w:sz w:val="22"/>
          <w:szCs w:val="22"/>
          <w:color w:val="auto"/>
        </w:rPr>
      </w:pPr>
    </w:p>
    <w:p>
      <w:pPr>
        <w:jc w:val="both"/>
        <w:ind w:left="660" w:firstLine="644"/>
        <w:spacing w:after="0" w:line="250" w:lineRule="auto"/>
        <w:tabs>
          <w:tab w:leader="none" w:pos="182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jc w:val="both"/>
        <w:ind w:left="660" w:right="20" w:firstLine="644"/>
        <w:spacing w:after="0" w:line="253" w:lineRule="auto"/>
        <w:tabs>
          <w:tab w:leader="none" w:pos="186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any losses arising under fuel hedging arrangements entered into prior to the Closing Date and any losses actually realized under fuel hedging arrangements entered into after the Closing Date, in each case to the extent deducted in computing such Consolidated Net Income; plus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60" w:firstLine="644"/>
        <w:spacing w:after="0" w:line="263" w:lineRule="auto"/>
        <w:tabs>
          <w:tab w:leader="none" w:pos="206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proceeds from business interruption insurance for such period, to the extent not already included in computing such Consolidated Net Income; plus</w:t>
      </w:r>
    </w:p>
    <w:p>
      <w:pPr>
        <w:spacing w:after="0" w:line="390" w:lineRule="exact"/>
        <w:rPr>
          <w:rFonts w:ascii="Arial" w:cs="Arial" w:eastAsia="Arial" w:hAnsi="Arial"/>
          <w:sz w:val="22"/>
          <w:szCs w:val="22"/>
          <w:color w:val="auto"/>
        </w:rPr>
      </w:pPr>
    </w:p>
    <w:p>
      <w:pPr>
        <w:jc w:val="both"/>
        <w:ind w:left="660" w:firstLine="644"/>
        <w:spacing w:after="0" w:line="265" w:lineRule="auto"/>
        <w:tabs>
          <w:tab w:leader="none" w:pos="1936"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any expenses and charges that are covered by indemnification or reimbursement provisions in connection with any permitted acquisition, merger (including any Airlines Merger or any Airline/Parent Merger), disposition, incurrence of Indebtedness, issuance of Equity Interests or any investment to the extent (a) actually indemnified or reimbursed and (b) deducted in computing such Consolidated Net Income; plus</w:t>
      </w:r>
    </w:p>
    <w:p>
      <w:pPr>
        <w:spacing w:after="0" w:line="391" w:lineRule="exact"/>
        <w:rPr>
          <w:rFonts w:ascii="Arial" w:cs="Arial" w:eastAsia="Arial" w:hAnsi="Arial"/>
          <w:sz w:val="21"/>
          <w:szCs w:val="21"/>
          <w:color w:val="auto"/>
        </w:rPr>
      </w:pPr>
    </w:p>
    <w:p>
      <w:pPr>
        <w:ind w:left="660" w:firstLine="644"/>
        <w:spacing w:after="0" w:line="265" w:lineRule="exact"/>
        <w:tabs>
          <w:tab w:leader="none" w:pos="1958" w:val="left"/>
        </w:tabs>
        <w:numPr>
          <w:ilvl w:val="0"/>
          <w:numId w:val="184"/>
        </w:numPr>
        <w:rPr>
          <w:rFonts w:ascii="Arial" w:cs="Arial" w:eastAsia="Arial" w:hAnsi="Arial"/>
          <w:sz w:val="22"/>
          <w:szCs w:val="22"/>
          <w:color w:val="auto"/>
        </w:rPr>
      </w:pPr>
      <w:r>
        <w:rPr>
          <w:rFonts w:ascii="Arial" w:cs="Arial" w:eastAsia="Arial" w:hAnsi="Arial"/>
          <w:sz w:val="22"/>
          <w:szCs w:val="22"/>
          <w:color w:val="auto"/>
        </w:rPr>
        <w:t>non</w:t>
      </w:r>
      <w:r>
        <w:rPr>
          <w:rFonts w:ascii="MS PGothic" w:cs="MS PGothic" w:eastAsia="MS PGothic" w:hAnsi="MS PGothic"/>
          <w:sz w:val="22"/>
          <w:szCs w:val="22"/>
          <w:color w:val="auto"/>
        </w:rPr>
        <w:t>‑</w:t>
      </w:r>
      <w:r>
        <w:rPr>
          <w:rFonts w:ascii="Arial" w:cs="Arial" w:eastAsia="Arial" w:hAnsi="Arial"/>
          <w:sz w:val="22"/>
          <w:szCs w:val="22"/>
          <w:color w:val="auto"/>
        </w:rPr>
        <w:t>cash items, other than the accrual of revenue in the Ordinary Course of Business, to the extent such amount increased such Consolidated Net Income; minus</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1960" w:hanging="656"/>
        <w:spacing w:after="0"/>
        <w:tabs>
          <w:tab w:leader="none" w:pos="196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sum of (A) income tax credits and (B) interest income included in computing such Consolidated Net</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Income;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in each case, determined on a consolidated basis in accordance with GAAP.</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Consolidated Net Income</w:t>
      </w:r>
      <w:r>
        <w:rPr>
          <w:rFonts w:ascii="Arial" w:cs="Arial" w:eastAsia="Arial" w:hAnsi="Arial"/>
          <w:sz w:val="22"/>
          <w:szCs w:val="22"/>
          <w:color w:val="auto"/>
        </w:rPr>
        <w:t xml:space="preserve"> ”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07" w:name="page208"/>
    <w:bookmarkEnd w:id="207"/>
    <w:p>
      <w:pPr>
        <w:jc w:val="both"/>
        <w:ind w:left="4" w:firstLine="644"/>
        <w:spacing w:after="0" w:line="260" w:lineRule="exact"/>
        <w:tabs>
          <w:tab w:leader="none" w:pos="1219" w:val="left"/>
        </w:tabs>
        <w:numPr>
          <w:ilvl w:val="1"/>
          <w:numId w:val="186"/>
        </w:numPr>
        <w:rPr>
          <w:rFonts w:ascii="Arial" w:cs="Arial" w:eastAsia="Arial" w:hAnsi="Arial"/>
          <w:sz w:val="19"/>
          <w:szCs w:val="19"/>
          <w:color w:val="auto"/>
        </w:rPr>
      </w:pPr>
      <w:r>
        <w:rPr>
          <w:rFonts w:ascii="Arial" w:cs="Arial" w:eastAsia="Arial" w:hAnsi="Arial"/>
          <w:sz w:val="19"/>
          <w:szCs w:val="19"/>
          <w:color w:val="auto"/>
        </w:rPr>
        <w:t>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 Parent’s reorganization plan); curtailments or modifications to pension and post</w:t>
      </w:r>
      <w:r>
        <w:rPr>
          <w:rFonts w:ascii="MS PGothic" w:cs="MS PGothic" w:eastAsia="MS PGothic" w:hAnsi="MS PGothic"/>
          <w:sz w:val="19"/>
          <w:szCs w:val="19"/>
          <w:color w:val="auto"/>
        </w:rPr>
        <w:t>‑</w:t>
      </w:r>
      <w:r>
        <w:rPr>
          <w:rFonts w:ascii="Arial" w:cs="Arial" w:eastAsia="Arial" w:hAnsi="Arial"/>
          <w:sz w:val="19"/>
          <w:szCs w:val="19"/>
          <w:color w:val="auto"/>
        </w:rPr>
        <w:t>retirement employee benefit plans;</w:t>
      </w:r>
    </w:p>
    <w:p>
      <w:pPr>
        <w:spacing w:after="0" w:line="3" w:lineRule="exact"/>
        <w:rPr>
          <w:rFonts w:ascii="Arial" w:cs="Arial" w:eastAsia="Arial" w:hAnsi="Arial"/>
          <w:sz w:val="19"/>
          <w:szCs w:val="19"/>
          <w:color w:val="auto"/>
        </w:rPr>
      </w:pPr>
    </w:p>
    <w:p>
      <w:pPr>
        <w:jc w:val="both"/>
        <w:ind w:left="4" w:hanging="4"/>
        <w:spacing w:after="0" w:line="256" w:lineRule="exact"/>
        <w:tabs>
          <w:tab w:leader="none" w:pos="32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any expenses (including, without limitation, transaction costs, integration or transition costs, financial advisory fees, accounting fees, legal fees and other similar advisory and consulting fees and related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cost</w:t>
      </w:r>
      <w:r>
        <w:rPr>
          <w:rFonts w:ascii="MS PGothic" w:cs="MS PGothic" w:eastAsia="MS PGothic" w:hAnsi="MS PGothic"/>
          <w:sz w:val="19"/>
          <w:szCs w:val="19"/>
          <w:color w:val="auto"/>
        </w:rPr>
        <w:t>‑</w:t>
      </w:r>
      <w:r>
        <w:rPr>
          <w:rFonts w:ascii="Arial" w:cs="Arial" w:eastAsia="Arial" w:hAnsi="Arial"/>
          <w:sz w:val="19"/>
          <w:szCs w:val="19"/>
          <w:color w:val="auto"/>
        </w:rPr>
        <w:t>savings, costs or charges incurred in connection with any issuance of securities, Permitted Investments, acquisitions, dispositions, recapitalizations or incurrences or repayments of Indebtedness permitted hereunder (in each case whether or not successful) (including but not limited to any one or more of any Airlines Merger and any Airline/Parent Merger) and</w:t>
      </w:r>
    </w:p>
    <w:p>
      <w:pPr>
        <w:spacing w:after="0" w:line="3" w:lineRule="exact"/>
        <w:rPr>
          <w:rFonts w:ascii="Arial" w:cs="Arial" w:eastAsia="Arial" w:hAnsi="Arial"/>
          <w:sz w:val="19"/>
          <w:szCs w:val="19"/>
          <w:color w:val="auto"/>
        </w:rPr>
      </w:pPr>
    </w:p>
    <w:p>
      <w:pPr>
        <w:jc w:val="both"/>
        <w:ind w:left="4" w:hanging="4"/>
        <w:spacing w:after="0" w:line="245" w:lineRule="auto"/>
        <w:tabs>
          <w:tab w:leader="none" w:pos="31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gains and losses realized in connection with any sale of assets, the disposition of securities, the early extinguishment of Indebtedness or associated with Hedging Obligations, together with any related provision for taxes on any such gain, will be excluded;</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left="4" w:firstLine="644"/>
        <w:spacing w:after="0" w:line="312" w:lineRule="auto"/>
        <w:tabs>
          <w:tab w:leader="none" w:pos="1145" w:val="left"/>
        </w:tabs>
        <w:numPr>
          <w:ilvl w:val="1"/>
          <w:numId w:val="187"/>
        </w:numPr>
        <w:rPr>
          <w:rFonts w:ascii="Arial" w:cs="Arial" w:eastAsia="Arial" w:hAnsi="Arial"/>
          <w:sz w:val="19"/>
          <w:szCs w:val="19"/>
          <w:color w:val="auto"/>
        </w:rPr>
      </w:pPr>
      <w:r>
        <w:rPr>
          <w:rFonts w:ascii="Arial" w:cs="Arial" w:eastAsia="Arial" w:hAnsi="Arial"/>
          <w:sz w:val="19"/>
          <w:szCs w:val="19"/>
          <w:color w:val="auto"/>
        </w:rPr>
        <w:t>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w:t>
      </w:r>
    </w:p>
    <w:p>
      <w:pPr>
        <w:spacing w:after="0" w:line="349" w:lineRule="exact"/>
        <w:rPr>
          <w:rFonts w:ascii="Arial" w:cs="Arial" w:eastAsia="Arial" w:hAnsi="Arial"/>
          <w:sz w:val="19"/>
          <w:szCs w:val="19"/>
          <w:color w:val="auto"/>
        </w:rPr>
      </w:pPr>
    </w:p>
    <w:p>
      <w:pPr>
        <w:jc w:val="both"/>
        <w:ind w:left="4" w:firstLine="644"/>
        <w:spacing w:after="0" w:line="263" w:lineRule="auto"/>
        <w:tabs>
          <w:tab w:leader="none" w:pos="1152" w:val="left"/>
        </w:tabs>
        <w:numPr>
          <w:ilvl w:val="1"/>
          <w:numId w:val="187"/>
        </w:numPr>
        <w:rPr>
          <w:rFonts w:ascii="Arial" w:cs="Arial" w:eastAsia="Arial" w:hAnsi="Arial"/>
          <w:sz w:val="21"/>
          <w:szCs w:val="21"/>
          <w:color w:val="auto"/>
        </w:rPr>
      </w:pPr>
      <w:r>
        <w:rPr>
          <w:rFonts w:ascii="Arial" w:cs="Arial" w:eastAsia="Arial" w:hAnsi="Arial"/>
          <w:sz w:val="21"/>
          <w:szCs w:val="21"/>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391" w:lineRule="exact"/>
        <w:rPr>
          <w:rFonts w:ascii="Arial" w:cs="Arial" w:eastAsia="Arial" w:hAnsi="Arial"/>
          <w:sz w:val="21"/>
          <w:szCs w:val="21"/>
          <w:color w:val="auto"/>
        </w:rPr>
      </w:pPr>
    </w:p>
    <w:p>
      <w:pPr>
        <w:ind w:left="1124" w:hanging="476"/>
        <w:spacing w:after="0"/>
        <w:tabs>
          <w:tab w:leader="none" w:pos="1124"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 on such Person will be excluded;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4" w:firstLine="644"/>
        <w:spacing w:after="0" w:line="263" w:lineRule="exact"/>
        <w:tabs>
          <w:tab w:leader="none" w:pos="1285"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effect of non</w:t>
      </w:r>
      <w:r>
        <w:rPr>
          <w:rFonts w:ascii="MS PGothic" w:cs="MS PGothic" w:eastAsia="MS PGothic" w:hAnsi="MS PGothic"/>
          <w:sz w:val="22"/>
          <w:szCs w:val="22"/>
          <w:color w:val="auto"/>
        </w:rPr>
        <w:t>‑</w:t>
      </w:r>
      <w:r>
        <w:rPr>
          <w:rFonts w:ascii="Arial" w:cs="Arial" w:eastAsia="Arial" w:hAnsi="Arial"/>
          <w:sz w:val="22"/>
          <w:szCs w:val="22"/>
          <w:color w:val="auto"/>
        </w:rPr>
        <w:t>cash gains and losses of such Person resulting from Hedging Obligations, including attributable to movement in the mark</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market valuation of Hedging Obligations pursuant to Financial Accounting Standards Board Statement No. 133 will be excluded;</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4" w:firstLine="644"/>
        <w:spacing w:after="0" w:line="265" w:lineRule="exact"/>
        <w:tabs>
          <w:tab w:leader="none" w:pos="1195" w:val="left"/>
        </w:tabs>
        <w:numPr>
          <w:ilvl w:val="1"/>
          <w:numId w:val="187"/>
        </w:numPr>
        <w:rPr>
          <w:rFonts w:ascii="Arial" w:cs="Arial" w:eastAsia="Arial" w:hAnsi="Arial"/>
          <w:sz w:val="21"/>
          <w:szCs w:val="21"/>
          <w:color w:val="auto"/>
        </w:rPr>
      </w:pPr>
      <w:r>
        <w:rPr>
          <w:rFonts w:ascii="Arial" w:cs="Arial" w:eastAsia="Arial" w:hAnsi="Arial"/>
          <w:sz w:val="21"/>
          <w:szCs w:val="21"/>
          <w:color w:val="auto"/>
        </w:rPr>
        <w:t>any non</w:t>
      </w:r>
      <w:r>
        <w:rPr>
          <w:rFonts w:ascii="MS PGothic" w:cs="MS PGothic" w:eastAsia="MS PGothic" w:hAnsi="MS PGothic"/>
          <w:sz w:val="21"/>
          <w:szCs w:val="21"/>
          <w:color w:val="auto"/>
        </w:rPr>
        <w:t>‑</w:t>
      </w:r>
      <w:r>
        <w:rPr>
          <w:rFonts w:ascii="Arial" w:cs="Arial" w:eastAsia="Arial" w:hAnsi="Arial"/>
          <w:sz w:val="21"/>
          <w:szCs w:val="21"/>
          <w:color w:val="auto"/>
        </w:rPr>
        <w:t>cash compensation expense recorded from grants by such Person of stock appreciation or similar rights, stock options or other rights to officers, directors or employees, will be excluded;</w:t>
      </w:r>
    </w:p>
    <w:p>
      <w:pPr>
        <w:spacing w:after="0" w:line="200" w:lineRule="exact"/>
        <w:rPr>
          <w:rFonts w:ascii="Arial" w:cs="Arial" w:eastAsia="Arial" w:hAnsi="Arial"/>
          <w:sz w:val="21"/>
          <w:szCs w:val="21"/>
          <w:color w:val="auto"/>
        </w:rPr>
      </w:pPr>
    </w:p>
    <w:p>
      <w:pPr>
        <w:spacing w:after="0" w:line="215" w:lineRule="exact"/>
        <w:rPr>
          <w:rFonts w:ascii="Arial" w:cs="Arial" w:eastAsia="Arial" w:hAnsi="Arial"/>
          <w:sz w:val="21"/>
          <w:szCs w:val="21"/>
          <w:color w:val="auto"/>
        </w:rPr>
      </w:pPr>
    </w:p>
    <w:p>
      <w:pPr>
        <w:ind w:left="4" w:firstLine="644"/>
        <w:spacing w:after="0" w:line="265" w:lineRule="exact"/>
        <w:tabs>
          <w:tab w:leader="none" w:pos="1222"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effect on such Person of any non</w:t>
      </w:r>
      <w:r>
        <w:rPr>
          <w:rFonts w:ascii="MS PGothic" w:cs="MS PGothic" w:eastAsia="MS PGothic" w:hAnsi="MS PGothic"/>
          <w:sz w:val="22"/>
          <w:szCs w:val="22"/>
          <w:color w:val="auto"/>
        </w:rPr>
        <w:t>‑</w:t>
      </w:r>
      <w:r>
        <w:rPr>
          <w:rFonts w:ascii="Arial" w:cs="Arial" w:eastAsia="Arial" w:hAnsi="Arial"/>
          <w:sz w:val="22"/>
          <w:szCs w:val="22"/>
          <w:color w:val="auto"/>
        </w:rPr>
        <w:t>cash items resulting from any write</w:t>
      </w:r>
      <w:r>
        <w:rPr>
          <w:rFonts w:ascii="MS PGothic" w:cs="MS PGothic" w:eastAsia="MS PGothic" w:hAnsi="MS PGothic"/>
          <w:sz w:val="22"/>
          <w:szCs w:val="22"/>
          <w:color w:val="auto"/>
        </w:rPr>
        <w:t>‑</w:t>
      </w:r>
      <w:r>
        <w:rPr>
          <w:rFonts w:ascii="Arial" w:cs="Arial" w:eastAsia="Arial" w:hAnsi="Arial"/>
          <w:sz w:val="22"/>
          <w:szCs w:val="22"/>
          <w:color w:val="auto"/>
        </w:rPr>
        <w:t>up, write</w:t>
      </w:r>
      <w:r>
        <w:rPr>
          <w:rFonts w:ascii="MS PGothic" w:cs="MS PGothic" w:eastAsia="MS PGothic" w:hAnsi="MS PGothic"/>
          <w:sz w:val="22"/>
          <w:szCs w:val="22"/>
          <w:color w:val="auto"/>
        </w:rPr>
        <w:t>‑</w:t>
      </w:r>
      <w:r>
        <w:rPr>
          <w:rFonts w:ascii="Arial" w:cs="Arial" w:eastAsia="Arial" w:hAnsi="Arial"/>
          <w:sz w:val="22"/>
          <w:szCs w:val="22"/>
          <w:color w:val="auto"/>
        </w:rPr>
        <w:t>down or write</w:t>
      </w:r>
      <w:r>
        <w:rPr>
          <w:rFonts w:ascii="MS PGothic" w:cs="MS PGothic" w:eastAsia="MS PGothic" w:hAnsi="MS PGothic"/>
          <w:sz w:val="22"/>
          <w:szCs w:val="22"/>
          <w:color w:val="auto"/>
        </w:rPr>
        <w:t>‑</w:t>
      </w:r>
      <w:r>
        <w:rPr>
          <w:rFonts w:ascii="Arial" w:cs="Arial" w:eastAsia="Arial" w:hAnsi="Arial"/>
          <w:sz w:val="22"/>
          <w:szCs w:val="22"/>
          <w:color w:val="auto"/>
        </w:rPr>
        <w:t>off of assets (including intangible assets, goodwill and deferred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80" w:right="339" w:bottom="1440" w:gutter="0" w:footer="0" w:header="0"/>
        </w:sectPr>
      </w:pPr>
    </w:p>
    <w:bookmarkStart w:id="208" w:name="page209"/>
    <w:bookmarkEnd w:id="208"/>
    <w:p>
      <w:pPr>
        <w:jc w:val="both"/>
        <w:ind w:left="660"/>
        <w:spacing w:after="0" w:line="259" w:lineRule="exact"/>
        <w:rPr>
          <w:sz w:val="20"/>
          <w:szCs w:val="20"/>
          <w:color w:val="auto"/>
        </w:rPr>
      </w:pPr>
      <w:r>
        <w:rPr>
          <w:rFonts w:ascii="Arial" w:cs="Arial" w:eastAsia="Arial" w:hAnsi="Arial"/>
          <w:sz w:val="21"/>
          <w:szCs w:val="21"/>
          <w:color w:val="auto"/>
        </w:rPr>
        <w:t>financing costs) in connection with any acquisition, disposition, merger, consolidation or similar transaction (including but not limited to any one or more of any Airlines Merger and any Airline/Parent Merger) or any other non</w:t>
      </w:r>
      <w:r>
        <w:rPr>
          <w:rFonts w:ascii="MS PGothic" w:cs="MS PGothic" w:eastAsia="MS PGothic" w:hAnsi="MS PGothic"/>
          <w:sz w:val="21"/>
          <w:szCs w:val="21"/>
          <w:color w:val="auto"/>
        </w:rPr>
        <w:t>‑</w:t>
      </w:r>
      <w:r>
        <w:rPr>
          <w:rFonts w:ascii="Arial" w:cs="Arial" w:eastAsia="Arial" w:hAnsi="Arial"/>
          <w:sz w:val="21"/>
          <w:szCs w:val="21"/>
          <w:color w:val="auto"/>
        </w:rPr>
        <w:t>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805-Business Combinations (excluding any such non</w:t>
      </w:r>
      <w:r>
        <w:rPr>
          <w:rFonts w:ascii="MS PGothic" w:cs="MS PGothic" w:eastAsia="MS PGothic" w:hAnsi="MS PGothic"/>
          <w:sz w:val="21"/>
          <w:szCs w:val="21"/>
          <w:color w:val="auto"/>
        </w:rPr>
        <w:t>‑</w:t>
      </w:r>
      <w:r>
        <w:rPr>
          <w:rFonts w:ascii="Arial" w:cs="Arial" w:eastAsia="Arial" w:hAnsi="Arial"/>
          <w:sz w:val="21"/>
          <w:szCs w:val="21"/>
          <w:color w:val="auto"/>
        </w:rPr>
        <w:t>cash item to the extent that it represents an accrual of or reserve for cash expenditures in any future period except to the extent such item is subsequently reversed), will be excluded;</w:t>
      </w:r>
    </w:p>
    <w:p>
      <w:pPr>
        <w:spacing w:after="0" w:line="200" w:lineRule="exact"/>
        <w:rPr>
          <w:sz w:val="20"/>
          <w:szCs w:val="20"/>
          <w:color w:val="auto"/>
        </w:rPr>
      </w:pPr>
    </w:p>
    <w:p>
      <w:pPr>
        <w:spacing w:after="0" w:line="217" w:lineRule="exact"/>
        <w:rPr>
          <w:sz w:val="20"/>
          <w:szCs w:val="20"/>
          <w:color w:val="auto"/>
        </w:rPr>
      </w:pPr>
    </w:p>
    <w:p>
      <w:pPr>
        <w:jc w:val="both"/>
        <w:ind w:left="660" w:firstLine="644"/>
        <w:spacing w:after="0" w:line="253" w:lineRule="auto"/>
        <w:tabs>
          <w:tab w:leader="none" w:pos="178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provision for income tax reflected on such Person’s financial statements for such period will be excluded to the extent such provision exceeds the actual amount of taxes paid in cash during such period by such Person and its consolidated Subsidiaries; and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660" w:firstLine="644"/>
        <w:spacing w:after="0" w:line="253" w:lineRule="auto"/>
        <w:tabs>
          <w:tab w:leader="none" w:pos="178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Consolidated Tangible Assets</w:t>
      </w:r>
      <w:r>
        <w:rPr>
          <w:rFonts w:ascii="Arial" w:cs="Arial" w:eastAsia="Arial" w:hAnsi="Arial"/>
          <w:sz w:val="21"/>
          <w:szCs w:val="21"/>
          <w:color w:val="auto"/>
        </w:rPr>
        <w:t xml:space="preserve"> ”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38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Consolidated Total Assets</w:t>
      </w:r>
      <w:r>
        <w:rPr>
          <w:rFonts w:ascii="Arial" w:cs="Arial" w:eastAsia="Arial" w:hAnsi="Arial"/>
          <w:sz w:val="22"/>
          <w:szCs w:val="22"/>
          <w:color w:val="auto"/>
        </w:rPr>
        <w:t xml:space="preserve"> ” shall mean, as of any date of determination, the sum of the amounts that would appear on a consolidated balance sheet of Parent and its consolidated Restricted Subsidiaries as the total assets of Parent and its Restricted Subsidiaries in accordance with GAAP.</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Convertible Indebtedness</w:t>
      </w:r>
      <w:r>
        <w:rPr>
          <w:rFonts w:ascii="Arial" w:cs="Arial" w:eastAsia="Arial" w:hAnsi="Arial"/>
          <w:sz w:val="19"/>
          <w:szCs w:val="19"/>
          <w:color w:val="auto"/>
        </w:rPr>
        <w:t xml:space="preserve"> ” shall mean Indebtedness of Parent or a Restricted Subsidiary of Parent permitted to be incurred under the terms of this Agreement that is either (a) convertible or exchangeable into common stock of Parent (and cash in lieu of fractional shares) and/or cash (in an amount determined by reference to the price of such common stock) or</w:t>
      </w:r>
    </w:p>
    <w:p>
      <w:pPr>
        <w:jc w:val="both"/>
        <w:ind w:firstLine="8"/>
        <w:spacing w:after="0" w:line="245" w:lineRule="auto"/>
        <w:tabs>
          <w:tab w:leader="none" w:pos="334"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sold as units with call options, warrants or rights to purchase (or substantially equivalent derivative transactions) that are exercisable for common stock of Parent or a parent company of the issuer and/or cash (in an amount determined by reference to the price of such common stock).</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firstLine="1296"/>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Core Collateral</w:t>
      </w:r>
      <w:r>
        <w:rPr>
          <w:rFonts w:ascii="Arial" w:cs="Arial" w:eastAsia="Arial" w:hAnsi="Arial"/>
          <w:sz w:val="22"/>
          <w:szCs w:val="22"/>
          <w:color w:val="auto"/>
        </w:rPr>
        <w:t xml:space="preserve"> ” shall mean any of the following categories of assets, in each case, for which Appraisals have been delivered to the Administrative Agent pursuant to this Agreement:</w:t>
      </w:r>
    </w:p>
    <w:p>
      <w:pPr>
        <w:spacing w:after="0" w:line="391" w:lineRule="exact"/>
        <w:rPr>
          <w:sz w:val="20"/>
          <w:szCs w:val="20"/>
          <w:color w:val="auto"/>
        </w:rPr>
      </w:pPr>
    </w:p>
    <w:p>
      <w:pPr>
        <w:ind w:firstLine="1304"/>
        <w:spacing w:after="0" w:line="263" w:lineRule="auto"/>
        <w:tabs>
          <w:tab w:leader="none" w:pos="186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all of the Spare Parts owned by the Borrower other than Spare Parts of the Borrower with an aggregate Appraised Value less than or equal to $100 million;</w:t>
      </w:r>
    </w:p>
    <w:p>
      <w:pPr>
        <w:spacing w:after="0" w:line="390" w:lineRule="exact"/>
        <w:rPr>
          <w:rFonts w:ascii="Arial" w:cs="Arial" w:eastAsia="Arial" w:hAnsi="Arial"/>
          <w:sz w:val="22"/>
          <w:szCs w:val="22"/>
          <w:color w:val="auto"/>
        </w:rPr>
      </w:pPr>
    </w:p>
    <w:p>
      <w:pPr>
        <w:jc w:val="both"/>
        <w:ind w:firstLine="1304"/>
        <w:spacing w:after="0" w:line="250" w:lineRule="auto"/>
        <w:tabs>
          <w:tab w:leader="none" w:pos="180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 number of FAA Slots (other than any Temporary Slots) held by the Borrower at DCA that is not less than the sum of (1) the product of (I) 66% and (II) the total number of FAA Slots (other than any Temporary Slots) that are Mainline Slots held by the Borrower at DCA and (2) the product of (I) 66% and (II) the total number of FAA Slots (other than any Temporary Slots)</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09" w:name="page210"/>
    <w:bookmarkEnd w:id="209"/>
    <w:p>
      <w:pPr>
        <w:jc w:val="both"/>
        <w:spacing w:after="0" w:line="253" w:lineRule="auto"/>
        <w:rPr>
          <w:sz w:val="20"/>
          <w:szCs w:val="20"/>
          <w:color w:val="auto"/>
        </w:rPr>
      </w:pPr>
      <w:r>
        <w:rPr>
          <w:rFonts w:ascii="Arial" w:cs="Arial" w:eastAsia="Arial" w:hAnsi="Arial"/>
          <w:sz w:val="22"/>
          <w:szCs w:val="22"/>
          <w:color w:val="auto"/>
        </w:rPr>
        <w:t>that are Commuter Slots held by the Borrower at DCA, in each case, based on an Officer’s Certificate of the Borrower delivered to the Administrative Agent on the Third Amendment Effective Date (as defined in the First Lien LHR Agreement) or such later time as the Administrative Agent may agree;</w:t>
      </w:r>
    </w:p>
    <w:p>
      <w:pPr>
        <w:spacing w:after="0" w:line="200" w:lineRule="exact"/>
        <w:rPr>
          <w:sz w:val="20"/>
          <w:szCs w:val="20"/>
          <w:color w:val="auto"/>
        </w:rPr>
      </w:pPr>
    </w:p>
    <w:p>
      <w:pPr>
        <w:spacing w:after="0" w:line="201" w:lineRule="exact"/>
        <w:rPr>
          <w:sz w:val="20"/>
          <w:szCs w:val="20"/>
          <w:color w:val="auto"/>
        </w:rPr>
      </w:pPr>
    </w:p>
    <w:p>
      <w:pPr>
        <w:jc w:val="both"/>
        <w:ind w:firstLine="1304"/>
        <w:spacing w:after="0" w:line="265" w:lineRule="auto"/>
        <w:tabs>
          <w:tab w:leader="none" w:pos="1792"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 number of FAA Slots (other than any Temporary Slots) held by the Borrower at LGA that is not less than the product of (I) 66% and (II) the total number of FAA Slots (other than any Temporary Slots) held by the Borrower at LGA based on an Officer’s Certificate of the Borrower delivered to the Administrative Agent on the Third Amendment Effective Date (as defined in the First Lien LHR Agreement) or such later time as the Administrative Agent may agree;</w:t>
      </w:r>
    </w:p>
    <w:p>
      <w:pPr>
        <w:spacing w:after="0" w:line="391" w:lineRule="exact"/>
        <w:rPr>
          <w:rFonts w:ascii="Arial" w:cs="Arial" w:eastAsia="Arial" w:hAnsi="Arial"/>
          <w:sz w:val="21"/>
          <w:szCs w:val="21"/>
          <w:color w:val="auto"/>
        </w:rPr>
      </w:pPr>
    </w:p>
    <w:p>
      <w:pPr>
        <w:jc w:val="both"/>
        <w:ind w:firstLine="1304"/>
        <w:spacing w:after="0" w:line="302" w:lineRule="auto"/>
        <w:tabs>
          <w:tab w:leader="none" w:pos="1779" w:val="left"/>
        </w:tabs>
        <w:numPr>
          <w:ilvl w:val="0"/>
          <w:numId w:val="191"/>
        </w:numPr>
        <w:rPr>
          <w:rFonts w:ascii="Arial" w:cs="Arial" w:eastAsia="Arial" w:hAnsi="Arial"/>
          <w:sz w:val="19"/>
          <w:szCs w:val="19"/>
          <w:color w:val="auto"/>
        </w:rPr>
      </w:pPr>
      <w:r>
        <w:rPr>
          <w:rFonts w:ascii="Arial" w:cs="Arial" w:eastAsia="Arial" w:hAnsi="Arial"/>
          <w:sz w:val="19"/>
          <w:szCs w:val="19"/>
          <w:color w:val="auto"/>
        </w:rPr>
        <w:t>a number of FAA Slots (other than any Temporary Slots) held by the Borrower at JFK that is not less than to the product of (I) 66% and (II) the total number of FAA Slots (other than any Temporary Slots) held by the Borrower at JFK based on an Officer’s Certificate of the Borrower delivered to the Administrative Agent on the Third Amendment Effective Date (as defined in the First Lien LHR Agreement) or such later time as the Administrative Agent may agree;</w:t>
      </w:r>
    </w:p>
    <w:p>
      <w:pPr>
        <w:spacing w:after="0" w:line="358" w:lineRule="exact"/>
        <w:rPr>
          <w:rFonts w:ascii="Arial" w:cs="Arial" w:eastAsia="Arial" w:hAnsi="Arial"/>
          <w:sz w:val="19"/>
          <w:szCs w:val="19"/>
          <w:color w:val="auto"/>
        </w:rPr>
      </w:pPr>
    </w:p>
    <w:p>
      <w:pPr>
        <w:jc w:val="both"/>
        <w:ind w:firstLine="1304"/>
        <w:spacing w:after="0" w:line="294" w:lineRule="auto"/>
        <w:tabs>
          <w:tab w:leader="none" w:pos="176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(1) a number of Foreign Slots (other than any Temporary Slots) of the Borrower at airports in Asia that is not less than the product of (I) 90% and (II) the total number of Foreign Slots (other than any Temporary Slots) of the Borrower used in any non-stop scheduled service of the Borrower between airports in the United States and airports in Asia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Asia;</w:t>
      </w:r>
    </w:p>
    <w:p>
      <w:pPr>
        <w:spacing w:after="0" w:line="365" w:lineRule="exact"/>
        <w:rPr>
          <w:rFonts w:ascii="Arial" w:cs="Arial" w:eastAsia="Arial" w:hAnsi="Arial"/>
          <w:sz w:val="19"/>
          <w:szCs w:val="19"/>
          <w:color w:val="auto"/>
        </w:rPr>
      </w:pPr>
    </w:p>
    <w:p>
      <w:pPr>
        <w:jc w:val="both"/>
        <w:ind w:firstLine="1304"/>
        <w:spacing w:after="0" w:line="246" w:lineRule="auto"/>
        <w:tabs>
          <w:tab w:leader="none" w:pos="178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jc w:val="both"/>
        <w:ind w:firstLine="1304"/>
        <w:spacing w:after="0" w:line="260" w:lineRule="auto"/>
        <w:tabs>
          <w:tab w:leader="none" w:pos="190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(1) a number of Foreign Slots (other than any Temporary Slots) of the Borrower at airports in Central America and Mexico that is not less than the product of (I) 90% and (II) the total number of Foreign Slots (other than any Temporary Slots) of the Borrower used in any non-stop scheduled service of the Borrower between airports in the United States and airports in Central America and Mexico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Central America and Mexico;</w:t>
      </w:r>
    </w:p>
    <w:p>
      <w:pPr>
        <w:spacing w:after="0" w:line="396" w:lineRule="exact"/>
        <w:rPr>
          <w:rFonts w:ascii="Arial" w:cs="Arial" w:eastAsia="Arial" w:hAnsi="Arial"/>
          <w:sz w:val="21"/>
          <w:szCs w:val="21"/>
          <w:color w:val="auto"/>
        </w:rPr>
      </w:pPr>
    </w:p>
    <w:p>
      <w:pPr>
        <w:ind w:firstLine="1304"/>
        <w:spacing w:after="0" w:line="263" w:lineRule="auto"/>
        <w:tabs>
          <w:tab w:leader="none" w:pos="1786"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 number of Foreign Slots (other than any Temporary Slots) of the Borrower at LHR that is not less than the product of (I) 66% and (II) (x) during the IATA summer season,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0" w:name="page211"/>
    <w:bookmarkEnd w:id="210"/>
    <w:p>
      <w:pPr>
        <w:jc w:val="both"/>
        <w:spacing w:after="0" w:line="260" w:lineRule="auto"/>
        <w:rPr>
          <w:sz w:val="20"/>
          <w:szCs w:val="20"/>
          <w:color w:val="auto"/>
        </w:rPr>
      </w:pPr>
      <w:r>
        <w:rPr>
          <w:rFonts w:ascii="Arial" w:cs="Arial" w:eastAsia="Arial" w:hAnsi="Arial"/>
          <w:sz w:val="21"/>
          <w:szCs w:val="21"/>
          <w:color w:val="auto"/>
        </w:rPr>
        <w:t>total number of IATA summer season Foreign Slots (other than any Temporary Slots) of the Borrower at LHR that are IATA summer season Foreign Slots used in any non-stop scheduled service of the Borrower between airports in the United States and LHR or (y) during the IATA winter season, the total number of IATA winter season Foreign Slots (other than any Temporary Slots) of the Borrower at LHR that are IATA winter season Foreign Slots used in any non-stop scheduled service of the Borrower between airports in the United States and LHR, in each case as based on an Officer’s Certificate of the Borrower delivered to the Administrative Agent on the Third Amendment Effective Date (as defined in the First Lien LHR Agreement) or such later time as the Administrative Agent may agree; or</w:t>
      </w:r>
    </w:p>
    <w:p>
      <w:pPr>
        <w:spacing w:after="0" w:line="396" w:lineRule="exact"/>
        <w:rPr>
          <w:sz w:val="20"/>
          <w:szCs w:val="20"/>
          <w:color w:val="auto"/>
        </w:rPr>
      </w:pPr>
    </w:p>
    <w:p>
      <w:pPr>
        <w:jc w:val="both"/>
        <w:ind w:firstLine="1304"/>
        <w:spacing w:after="0" w:line="288" w:lineRule="auto"/>
        <w:tabs>
          <w:tab w:leader="none" w:pos="1764" w:val="left"/>
        </w:tabs>
        <w:numPr>
          <w:ilvl w:val="1"/>
          <w:numId w:val="192"/>
        </w:numPr>
        <w:rPr>
          <w:rFonts w:ascii="Arial" w:cs="Arial" w:eastAsia="Arial" w:hAnsi="Arial"/>
          <w:sz w:val="19"/>
          <w:szCs w:val="19"/>
          <w:color w:val="auto"/>
        </w:rPr>
      </w:pPr>
      <w:r>
        <w:rPr>
          <w:rFonts w:ascii="Arial" w:cs="Arial" w:eastAsia="Arial" w:hAnsi="Arial"/>
          <w:sz w:val="19"/>
          <w:szCs w:val="19"/>
          <w:color w:val="auto"/>
        </w:rPr>
        <w:t>any Airbus A320 NEO family aircraft, Airbus 320 family aircraft, Airbus A330 family aircraft, Boeing 737 NG family aircraft, Boeing 737 MAX family aircraft, Boeing 777 family aircraft, Boeing 787 family aircraft and/or any engines, or any combination of the foregoing assets, in each case, the Appraised Value of which is not less than the product of (i) 20% and</w:t>
      </w:r>
    </w:p>
    <w:p>
      <w:pPr>
        <w:jc w:val="both"/>
        <w:ind w:firstLine="8"/>
        <w:spacing w:after="0" w:line="245" w:lineRule="auto"/>
        <w:tabs>
          <w:tab w:leader="none" w:pos="344" w:val="left"/>
        </w:tabs>
        <w:numPr>
          <w:ilvl w:val="0"/>
          <w:numId w:val="193"/>
        </w:numPr>
        <w:rPr>
          <w:rFonts w:ascii="Arial" w:cs="Arial" w:eastAsia="Arial" w:hAnsi="Arial"/>
          <w:sz w:val="22"/>
          <w:szCs w:val="22"/>
          <w:color w:val="auto"/>
        </w:rPr>
      </w:pPr>
      <w:r>
        <w:rPr>
          <w:rFonts w:ascii="Arial" w:cs="Arial" w:eastAsia="Arial" w:hAnsi="Arial"/>
          <w:sz w:val="22"/>
          <w:szCs w:val="22"/>
          <w:color w:val="auto"/>
        </w:rPr>
        <w:t>of the product of (x) 1.6 and (y) the Total Obligations as of any date of determination; provided, that all such aircraft or engines are of the type described in Section 1110 of the Bankruptcy Code or any analogous successor provision of the Bankruptcy Code.</w:t>
      </w:r>
    </w:p>
    <w:p>
      <w:pPr>
        <w:spacing w:after="0" w:line="200" w:lineRule="exact"/>
        <w:rPr>
          <w:sz w:val="20"/>
          <w:szCs w:val="20"/>
          <w:color w:val="auto"/>
        </w:rPr>
      </w:pPr>
    </w:p>
    <w:p>
      <w:pPr>
        <w:spacing w:after="0" w:line="209"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Core Collateral Failure</w:t>
      </w:r>
      <w:r>
        <w:rPr>
          <w:rFonts w:ascii="Arial" w:cs="Arial" w:eastAsia="Arial" w:hAnsi="Arial"/>
          <w:sz w:val="22"/>
          <w:szCs w:val="22"/>
          <w:color w:val="auto"/>
        </w:rPr>
        <w:t xml:space="preserve"> ” shall mean, as of any date of determination, the failure of the Collateral to include at least one category of Core Collateral as of such date.</w:t>
      </w:r>
    </w:p>
    <w:p>
      <w:pPr>
        <w:spacing w:after="0" w:line="390"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Credit Facilities</w:t>
      </w:r>
      <w:r>
        <w:rPr>
          <w:rFonts w:ascii="Arial" w:cs="Arial" w:eastAsia="Arial" w:hAnsi="Arial"/>
          <w:sz w:val="22"/>
          <w:szCs w:val="22"/>
          <w:color w:val="auto"/>
        </w:rPr>
        <w:t xml:space="preserve"> ”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DCA</w:t>
      </w:r>
      <w:r>
        <w:rPr>
          <w:rFonts w:ascii="Arial" w:cs="Arial" w:eastAsia="Arial" w:hAnsi="Arial"/>
          <w:sz w:val="22"/>
          <w:szCs w:val="22"/>
          <w:color w:val="auto"/>
        </w:rPr>
        <w:t xml:space="preserve"> ” shall mean Ronald Reagan Washington National Airport, Washington D.C.</w:t>
      </w:r>
    </w:p>
    <w:p>
      <w:pPr>
        <w:spacing w:after="0" w:line="200" w:lineRule="exact"/>
        <w:rPr>
          <w:sz w:val="20"/>
          <w:szCs w:val="20"/>
          <w:color w:val="auto"/>
        </w:rPr>
      </w:pPr>
    </w:p>
    <w:p>
      <w:pPr>
        <w:spacing w:after="0" w:line="23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Default</w:t>
      </w:r>
      <w:r>
        <w:rPr>
          <w:rFonts w:ascii="Arial" w:cs="Arial" w:eastAsia="Arial" w:hAnsi="Arial"/>
          <w:sz w:val="22"/>
          <w:szCs w:val="22"/>
          <w:color w:val="auto"/>
        </w:rPr>
        <w:t xml:space="preserve"> ” shall mean any event that, unless cured or waived, is, or with the passage of time or the giving of notice or both would be, an Event of Default.</w:t>
      </w:r>
    </w:p>
    <w:p>
      <w:pPr>
        <w:spacing w:after="0" w:line="39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Defaulting Lender</w:t>
      </w:r>
      <w:r>
        <w:rPr>
          <w:rFonts w:ascii="Arial" w:cs="Arial" w:eastAsia="Arial" w:hAnsi="Arial"/>
          <w:sz w:val="22"/>
          <w:szCs w:val="22"/>
          <w:color w:val="auto"/>
        </w:rPr>
        <w:t xml:space="preserve"> ” shall mean, at any time, subject to Section 2.26(i) (a) any Lender (including any Agent in its capacity as Lender) that has failed, within two (2) Business Days from the date required to be funded or paid by it hereunder, to fund or pay (x) any portion of the Loans, or (y) any other amount required to be paid by it hereunder to the Administrative Agent or any other Lender (or its banking Affiliates), (b) any Lender (including any Agent in its capacity as Lender) that has notified the Borrower, the Administrative Agent, or any other Lender or has made a public statement, in each case, verbally or in writing and has not rescinded such notice or publication, to the effect, that it does not intend or expect to comply with any of its funding obligations (i) under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1" w:name="page212"/>
    <w:bookmarkEnd w:id="211"/>
    <w:p>
      <w:pPr>
        <w:jc w:val="both"/>
        <w:spacing w:after="0" w:line="285" w:lineRule="auto"/>
        <w:rPr>
          <w:sz w:val="20"/>
          <w:szCs w:val="20"/>
          <w:color w:val="auto"/>
        </w:rPr>
      </w:pPr>
      <w:r>
        <w:rPr>
          <w:rFonts w:ascii="Arial" w:cs="Arial" w:eastAsia="Arial" w:hAnsi="Arial"/>
          <w:sz w:val="19"/>
          <w:szCs w:val="19"/>
          <w:color w:val="auto"/>
        </w:rPr>
        <w:t xml:space="preserve">this Agreement (unless such notification or public statement relates to such Lender’s obligation to fund a Borrowing hereunder and states that such position is based on such Lender’s determination that a condition precedent to funding (which condition precedent,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the Administrative Agent’s, such other Lender’s or the Borrower’s, as applicable, receipt of such confirmation in form and substance satisfactory to the Administrative Agent and the Borrower or (d) any Agent or any Lender that has become the subject of a Bankruptcy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2.26(h)) upon notification of such determination by the Administrative Agent to the Borrower and the Lenders.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Delayed Draw Commitment Period</w:t>
      </w:r>
      <w:r>
        <w:rPr>
          <w:rFonts w:ascii="Arial" w:cs="Arial" w:eastAsia="Arial" w:hAnsi="Arial"/>
          <w:sz w:val="22"/>
          <w:szCs w:val="22"/>
          <w:color w:val="auto"/>
        </w:rPr>
        <w:t xml:space="preserve"> ” means the period from and including the Closing Date to and including the Delayed Draw Commitment Termination Date.</w:t>
      </w:r>
    </w:p>
    <w:p>
      <w:pPr>
        <w:spacing w:after="0" w:line="39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Delayed Draw Commitment Termination Date</w:t>
      </w:r>
      <w:r>
        <w:rPr>
          <w:rFonts w:ascii="Arial" w:cs="Arial" w:eastAsia="Arial" w:hAnsi="Arial"/>
          <w:sz w:val="22"/>
          <w:szCs w:val="22"/>
          <w:color w:val="auto"/>
        </w:rPr>
        <w:t xml:space="preserve"> ” means the earliest to occur of (i) 11:59 p.m. on the day that is 180 days after the Closing Date, (ii) the date on which the Term Loan Commitment has been funded pursuant to Section 2.01(b) and (iii) the date on which all unfunded Term Loan Commitments have been reduced to $0 or terminated by the Borrower pursuant to Section 2.11.</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Delayed Draw Term Loans</w:t>
      </w:r>
      <w:r>
        <w:rPr>
          <w:rFonts w:ascii="Arial" w:cs="Arial" w:eastAsia="Arial" w:hAnsi="Arial"/>
          <w:sz w:val="22"/>
          <w:szCs w:val="22"/>
          <w:color w:val="auto"/>
        </w:rPr>
        <w:t xml:space="preserve"> ” means the Term Loans made pursuant to Section 2.01(b).</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Designated Banking Product Agreement</w:t>
      </w:r>
      <w:r>
        <w:rPr>
          <w:rFonts w:ascii="Arial" w:cs="Arial" w:eastAsia="Arial" w:hAnsi="Arial"/>
          <w:sz w:val="21"/>
          <w:szCs w:val="21"/>
          <w:color w:val="auto"/>
        </w:rPr>
        <w:t xml:space="preserve"> ” shall mean any agreement evidencing Designated Banking Product Obligations entered into by Parent or the Borrower and any Person that, at the time such Person entered into such agreement, was a Lender or a banking Affiliate of a Lender, in each case designated by the relevant Lender and Parent or the Borrower, by written notice to the Administrative Agent, as a “Designated Banking Product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 long as any Lender is a Defaulting Lender, such Lender shall not have any rights hereunder with respect to any Designated Banking Product Agreement entered into while such Lender was a Defaulting Lender.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2" w:name="page213"/>
    <w:bookmarkEnd w:id="212"/>
    <w:p>
      <w:pPr>
        <w:jc w:val="both"/>
        <w:ind w:firstLine="1296"/>
        <w:spacing w:after="0" w:line="258" w:lineRule="exact"/>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Designated Banking Product Obligations</w:t>
      </w:r>
      <w:r>
        <w:rPr>
          <w:rFonts w:ascii="Arial" w:cs="Arial" w:eastAsia="Arial" w:hAnsi="Arial"/>
          <w:sz w:val="21"/>
          <w:szCs w:val="21"/>
          <w:color w:val="auto"/>
        </w:rPr>
        <w:t xml:space="preserve"> ” shall mean any Banking Product Obligations, in each case as designated by any Lender (or a banking Affiliate thereof) and Parent or the Borrower from time to time and agreed to by the Administrative Agent as constituting “Designated Banking Product Obligations,” which notice shall include (i) a copy of an agreement providing an agreed</w:t>
      </w:r>
      <w:r>
        <w:rPr>
          <w:rFonts w:ascii="MS PGothic" w:cs="MS PGothic" w:eastAsia="MS PGothic" w:hAnsi="MS PGothic"/>
          <w:sz w:val="21"/>
          <w:szCs w:val="21"/>
          <w:color w:val="auto"/>
        </w:rPr>
        <w:t>‑</w:t>
      </w:r>
      <w:r>
        <w:rPr>
          <w:rFonts w:ascii="Arial" w:cs="Arial" w:eastAsia="Arial" w:hAnsi="Arial"/>
          <w:sz w:val="21"/>
          <w:szCs w:val="21"/>
          <w:color w:val="auto"/>
        </w:rPr>
        <w:t xml:space="preserve">upon maximum amount of Designated Banking Product Obligations that can be included as Obligations, and (ii) the acknowledgment of such Lender (or such banking Affiliate) that its security interest in the Collateral securing such Designated Banking Product Obligations shall be subject to the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after giving effect to such designation, the aggregate agreed</w:t>
      </w:r>
      <w:r>
        <w:rPr>
          <w:rFonts w:ascii="MS PGothic" w:cs="MS PGothic" w:eastAsia="MS PGothic" w:hAnsi="MS PGothic"/>
          <w:sz w:val="21"/>
          <w:szCs w:val="21"/>
          <w:color w:val="auto"/>
        </w:rPr>
        <w:t>‑</w:t>
      </w:r>
      <w:r>
        <w:rPr>
          <w:rFonts w:ascii="Arial" w:cs="Arial" w:eastAsia="Arial" w:hAnsi="Arial"/>
          <w:sz w:val="21"/>
          <w:szCs w:val="21"/>
          <w:color w:val="auto"/>
        </w:rPr>
        <w:t>upon maximum amount of all “Designated Banking Product Obligations” included as Obligations, together with the aggregate agreed</w:t>
      </w:r>
      <w:r>
        <w:rPr>
          <w:rFonts w:ascii="MS PGothic" w:cs="MS PGothic" w:eastAsia="MS PGothic" w:hAnsi="MS PGothic"/>
          <w:sz w:val="21"/>
          <w:szCs w:val="21"/>
          <w:color w:val="auto"/>
        </w:rPr>
        <w:t>‑</w:t>
      </w:r>
      <w:r>
        <w:rPr>
          <w:rFonts w:ascii="Arial" w:cs="Arial" w:eastAsia="Arial" w:hAnsi="Arial"/>
          <w:sz w:val="21"/>
          <w:szCs w:val="21"/>
          <w:color w:val="auto"/>
        </w:rPr>
        <w:t>upon maximum amount of all “Designated Hedging Obligations” included as Obligations, shall not exceed $100,000,000 in the aggregate.</w:t>
      </w:r>
    </w:p>
    <w:p>
      <w:pPr>
        <w:spacing w:after="0" w:line="200" w:lineRule="exact"/>
        <w:rPr>
          <w:sz w:val="20"/>
          <w:szCs w:val="20"/>
          <w:color w:val="auto"/>
        </w:rPr>
      </w:pPr>
    </w:p>
    <w:p>
      <w:pPr>
        <w:spacing w:after="0" w:line="222" w:lineRule="exact"/>
        <w:rPr>
          <w:sz w:val="20"/>
          <w:szCs w:val="20"/>
          <w:color w:val="auto"/>
        </w:rPr>
      </w:pPr>
    </w:p>
    <w:p>
      <w:pPr>
        <w:jc w:val="both"/>
        <w:ind w:firstLine="1296"/>
        <w:spacing w:after="0" w:line="261" w:lineRule="exact"/>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Designated Hedging Agreement</w:t>
      </w:r>
      <w:r>
        <w:rPr>
          <w:rFonts w:ascii="Arial" w:cs="Arial" w:eastAsia="Arial" w:hAnsi="Arial"/>
          <w:sz w:val="19"/>
          <w:szCs w:val="19"/>
          <w:color w:val="auto"/>
        </w:rPr>
        <w:t xml:space="preserve"> ” shall mean any Hedging Agreement entered into by Parent or the Borrower and any Person that, if such Hedge Agreement was in effect on the Closing Date, then as of the Closing Date, and if otherwise at the time such Person entered into such Hedging Agreement, was a Lender or an Affiliate of a Lender, as designated by the relevant Lender (or Affiliate of a Lender) and Parent or the Borrower, by written notice to the Administrative Agent, as a “Designated Hedging Agreement,” which notice shall include a copy of an agreement providing for (i) a methodology agreed to by Parent or the Borrower, such Lender or Affiliate of a Lender, and the Administrative Agent for reporting the outstanding amount of Designated Hedging Obligations under such Designated Hedging Agreement from time to time, (ii) an agreed</w:t>
      </w:r>
      <w:r>
        <w:rPr>
          <w:rFonts w:ascii="MS PGothic" w:cs="MS PGothic" w:eastAsia="MS PGothic" w:hAnsi="MS PGothic"/>
          <w:sz w:val="19"/>
          <w:szCs w:val="19"/>
          <w:color w:val="auto"/>
        </w:rPr>
        <w:t>‑</w:t>
      </w:r>
      <w:r>
        <w:rPr>
          <w:rFonts w:ascii="Arial" w:cs="Arial" w:eastAsia="Arial" w:hAnsi="Arial"/>
          <w:sz w:val="19"/>
          <w:szCs w:val="19"/>
          <w:color w:val="auto"/>
        </w:rPr>
        <w:t xml:space="preserve">upon maximum amount of Designated Hedging Obligations under such Designated Hedging Agreement that can be included as Obligations and (iii) the acknowledgment of such Lender or Affiliate of a Lender that its security interest in the Collateral securing such Designated Hedging Obligations shall be subject to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such designation, the aggregate agreed</w:t>
      </w:r>
      <w:r>
        <w:rPr>
          <w:rFonts w:ascii="MS PGothic" w:cs="MS PGothic" w:eastAsia="MS PGothic" w:hAnsi="MS PGothic"/>
          <w:sz w:val="19"/>
          <w:szCs w:val="19"/>
          <w:color w:val="auto"/>
        </w:rPr>
        <w:t>‑</w:t>
      </w:r>
      <w:r>
        <w:rPr>
          <w:rFonts w:ascii="Arial" w:cs="Arial" w:eastAsia="Arial" w:hAnsi="Arial"/>
          <w:sz w:val="19"/>
          <w:szCs w:val="19"/>
          <w:color w:val="auto"/>
        </w:rPr>
        <w:t>upon maximum amount of all “Designated Hedging Obligations” included as Obligations, together with the aggregate agreed</w:t>
      </w:r>
      <w:r>
        <w:rPr>
          <w:rFonts w:ascii="MS PGothic" w:cs="MS PGothic" w:eastAsia="MS PGothic" w:hAnsi="MS PGothic"/>
          <w:sz w:val="19"/>
          <w:szCs w:val="19"/>
          <w:color w:val="auto"/>
        </w:rPr>
        <w:t>‑</w:t>
      </w:r>
      <w:r>
        <w:rPr>
          <w:rFonts w:ascii="Arial" w:cs="Arial" w:eastAsia="Arial" w:hAnsi="Arial"/>
          <w:sz w:val="19"/>
          <w:szCs w:val="19"/>
          <w:color w:val="auto"/>
        </w:rPr>
        <w:t xml:space="preserve">upon maximum amount of all “Designated Banking Product Obligations” included as Obligations, shall not exceed $100,000,000 in the aggregate;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so long as any Lender is a Defaulting Lender, such Lender shall not have any rights hereunder with respect to any Designated Hedging Agreement entered into while such Lender was a Defaulting Lender.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Designated Hedging Obligations</w:t>
      </w:r>
      <w:r>
        <w:rPr>
          <w:rFonts w:ascii="Arial" w:cs="Arial" w:eastAsia="Arial" w:hAnsi="Arial"/>
          <w:sz w:val="19"/>
          <w:szCs w:val="19"/>
          <w:color w:val="auto"/>
        </w:rPr>
        <w:t xml:space="preserve"> ”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w:t>
      </w:r>
    </w:p>
    <w:p>
      <w:pPr>
        <w:spacing w:after="0" w:line="36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Disposition</w:t>
      </w:r>
      <w:r>
        <w:rPr>
          <w:rFonts w:ascii="Arial" w:cs="Arial" w:eastAsia="Arial" w:hAnsi="Arial"/>
          <w:sz w:val="22"/>
          <w:szCs w:val="22"/>
          <w:color w:val="auto"/>
        </w:rPr>
        <w:t xml:space="preserve"> ” shall mean, with respect to any property, any sale, lease, sale and leaseback, conveyance, transfer or other disposition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that none of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3" w:name="page214"/>
    <w:bookmarkEnd w:id="213"/>
    <w:p>
      <w:pPr>
        <w:spacing w:after="0" w:line="263" w:lineRule="auto"/>
        <w:rPr>
          <w:sz w:val="20"/>
          <w:szCs w:val="20"/>
          <w:color w:val="auto"/>
        </w:rPr>
      </w:pPr>
      <w:r>
        <w:rPr>
          <w:rFonts w:ascii="Arial" w:cs="Arial" w:eastAsia="Arial" w:hAnsi="Arial"/>
          <w:sz w:val="22"/>
          <w:szCs w:val="22"/>
          <w:color w:val="auto"/>
        </w:rPr>
        <w:t>circumstances described in the last sentence of Section 6.04 shall constitute a “Disposition”. The terms “Dispose” and “Disposed of” shall have correlative meanings.</w:t>
      </w:r>
    </w:p>
    <w:p>
      <w:pPr>
        <w:spacing w:after="0" w:line="391"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Disqualified Institution</w:t>
      </w:r>
      <w:r>
        <w:rPr>
          <w:rFonts w:ascii="Arial" w:cs="Arial" w:eastAsia="Arial" w:hAnsi="Arial"/>
          <w:sz w:val="19"/>
          <w:szCs w:val="19"/>
          <w:color w:val="auto"/>
        </w:rPr>
        <w:t xml:space="preserve"> ” shall mean (a) any Person identified in writing to the Lead Arranger and the Joint Lead Arrangers and Bookrunners on or prior to the Closing Date and (b) any Person that is or becomes a competitor of the Borrower and is designated by the Borrower as such in a writing provided to the Administrative Agent after the Closing Date.</w:t>
      </w:r>
    </w:p>
    <w:p>
      <w:pPr>
        <w:spacing w:after="0" w:line="34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Disqualified Stock</w:t>
      </w:r>
      <w:r>
        <w:rPr>
          <w:rFonts w:ascii="Arial" w:cs="Arial" w:eastAsia="Arial" w:hAnsi="Arial"/>
          <w:sz w:val="19"/>
          <w:szCs w:val="19"/>
          <w:color w:val="auto"/>
        </w:rPr>
        <w:t xml:space="preserve"> ”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00" w:right="1800"/>
        <w:spacing w:after="0" w:line="6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Documentation Agents</w:t>
      </w:r>
      <w:r>
        <w:rPr>
          <w:rFonts w:ascii="Arial" w:cs="Arial" w:eastAsia="Arial" w:hAnsi="Arial"/>
          <w:sz w:val="22"/>
          <w:szCs w:val="22"/>
          <w:color w:val="auto"/>
        </w:rPr>
        <w:t xml:space="preserve"> ” shall have the meaning set forth in the preamble to this Agreement. “ </w:t>
      </w:r>
      <w:r>
        <w:rPr>
          <w:rFonts w:ascii="Arial" w:cs="Arial" w:eastAsia="Arial" w:hAnsi="Arial"/>
          <w:sz w:val="22"/>
          <w:szCs w:val="22"/>
          <w:i w:val="1"/>
          <w:iCs w:val="1"/>
          <w:color w:val="auto"/>
        </w:rPr>
        <w:t>Dollars</w:t>
      </w:r>
      <w:r>
        <w:rPr>
          <w:rFonts w:ascii="Arial" w:cs="Arial" w:eastAsia="Arial" w:hAnsi="Arial"/>
          <w:sz w:val="22"/>
          <w:szCs w:val="22"/>
          <w:color w:val="auto"/>
        </w:rPr>
        <w:t xml:space="preserve"> ” and “ </w:t>
      </w:r>
      <w:r>
        <w:rPr>
          <w:rFonts w:ascii="Arial" w:cs="Arial" w:eastAsia="Arial" w:hAnsi="Arial"/>
          <w:sz w:val="22"/>
          <w:szCs w:val="22"/>
          <w:i w:val="1"/>
          <w:iCs w:val="1"/>
          <w:color w:val="auto"/>
        </w:rPr>
        <w:t>$</w:t>
      </w:r>
      <w:r>
        <w:rPr>
          <w:rFonts w:ascii="Arial" w:cs="Arial" w:eastAsia="Arial" w:hAnsi="Arial"/>
          <w:sz w:val="22"/>
          <w:szCs w:val="22"/>
          <w:color w:val="auto"/>
        </w:rPr>
        <w:t xml:space="preserve"> ” shall mean lawful money of the United States.</w:t>
      </w: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Domestic Subsidiary</w:t>
      </w:r>
      <w:r>
        <w:rPr>
          <w:rFonts w:ascii="Arial" w:cs="Arial" w:eastAsia="Arial" w:hAnsi="Arial"/>
          <w:sz w:val="22"/>
          <w:szCs w:val="22"/>
          <w:color w:val="auto"/>
        </w:rPr>
        <w:t xml:space="preserve"> ”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DOT</w:t>
      </w:r>
      <w:r>
        <w:rPr>
          <w:rFonts w:ascii="Arial" w:cs="Arial" w:eastAsia="Arial" w:hAnsi="Arial"/>
          <w:sz w:val="22"/>
          <w:szCs w:val="22"/>
          <w:color w:val="auto"/>
        </w:rPr>
        <w:t xml:space="preserve"> ” shall mean the United States Department of Transportation and any successor thereto.</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63"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Dutch Auction</w:t>
      </w:r>
      <w:r>
        <w:rPr>
          <w:rFonts w:ascii="Arial" w:cs="Arial" w:eastAsia="Arial" w:hAnsi="Arial"/>
          <w:sz w:val="22"/>
          <w:szCs w:val="22"/>
          <w:color w:val="auto"/>
        </w:rPr>
        <w:t xml:space="preserve"> ” shall mean an auction of Term Loans conducted pursuant to Section 10.02(g) to allow the Borrower to purchase Term Loans at a discount to par value and on a non</w:t>
      </w:r>
      <w:r>
        <w:rPr>
          <w:rFonts w:ascii="MS PGothic" w:cs="MS PGothic" w:eastAsia="MS PGothic" w:hAnsi="MS PGothic"/>
          <w:sz w:val="22"/>
          <w:szCs w:val="22"/>
          <w:color w:val="auto"/>
        </w:rPr>
        <w:t>‑</w:t>
      </w:r>
      <w:r>
        <w:rPr>
          <w:rFonts w:ascii="Arial" w:cs="Arial" w:eastAsia="Arial" w:hAnsi="Arial"/>
          <w:sz w:val="22"/>
          <w:szCs w:val="22"/>
          <w:color w:val="auto"/>
        </w:rPr>
        <w:t>pro rata basis, in each case in accordance with the applicable Dutch Auction Procedures.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4" w:name="page215"/>
    <w:bookmarkEnd w:id="214"/>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Dutch Auction Procedures</w:t>
      </w:r>
      <w:r>
        <w:rPr>
          <w:rFonts w:ascii="Arial" w:cs="Arial" w:eastAsia="Arial" w:hAnsi="Arial"/>
          <w:sz w:val="22"/>
          <w:szCs w:val="22"/>
          <w:color w:val="auto"/>
        </w:rPr>
        <w:t xml:space="preserve"> ” shall mean, with respect to a purchase of Term Loans by the Borrower pursuant to Section 10.02(g), Dutch auction procedures to be reasonably agreed upon by the Borrower and the Administrative Agent in connection with any such purchase.</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EEA Financial Institution</w:t>
      </w:r>
      <w:r>
        <w:rPr>
          <w:rFonts w:ascii="Arial" w:cs="Arial" w:eastAsia="Arial" w:hAnsi="Arial"/>
          <w:sz w:val="22"/>
          <w:szCs w:val="22"/>
          <w:color w:val="auto"/>
        </w:rPr>
        <w:t xml:space="preserve"> ”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EEA Member Country</w:t>
      </w:r>
      <w:r>
        <w:rPr>
          <w:rFonts w:ascii="Arial" w:cs="Arial" w:eastAsia="Arial" w:hAnsi="Arial"/>
          <w:sz w:val="19"/>
          <w:szCs w:val="19"/>
          <w:color w:val="auto"/>
        </w:rPr>
        <w:t xml:space="preserve"> ” means any of the member states of the European Union, Iceland, Liechtenstein, and</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EEA Resolution Authority</w:t>
      </w:r>
      <w:r>
        <w:rPr>
          <w:rFonts w:ascii="Arial" w:cs="Arial" w:eastAsia="Arial" w:hAnsi="Arial"/>
          <w:sz w:val="22"/>
          <w:szCs w:val="22"/>
          <w:color w:val="auto"/>
        </w:rPr>
        <w:t xml:space="preserve"> ”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Eligible Assignee</w:t>
      </w:r>
      <w:r>
        <w:rPr>
          <w:rFonts w:ascii="Arial" w:cs="Arial" w:eastAsia="Arial" w:hAnsi="Arial"/>
          <w:sz w:val="19"/>
          <w:szCs w:val="19"/>
          <w:color w:val="auto"/>
        </w:rPr>
        <w:t xml:space="preserve"> ”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(d) an Approved Fund of any Lender, and (e)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 long as no Event of Default has occurred and is continuing, no Disqualified Institution shall constitute an Eligible Assignee unless otherwise consented to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except as provided in clause (f) above, neither Parent nor any Subsidiary of the Parent shall constitute an Eligible Assignee.</w:t>
      </w:r>
    </w:p>
    <w:p>
      <w:pPr>
        <w:spacing w:after="0" w:line="3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Environmental Laws</w:t>
      </w:r>
      <w:r>
        <w:rPr>
          <w:rFonts w:ascii="Arial" w:cs="Arial" w:eastAsia="Arial" w:hAnsi="Arial"/>
          <w:sz w:val="22"/>
          <w:szCs w:val="22"/>
          <w:color w:val="auto"/>
        </w:rPr>
        <w:t xml:space="preserve"> ”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w:t>
      </w:r>
    </w:p>
    <w:p>
      <w:pPr>
        <w:spacing w:after="0" w:line="200" w:lineRule="exact"/>
        <w:rPr>
          <w:sz w:val="20"/>
          <w:szCs w:val="20"/>
          <w:color w:val="auto"/>
        </w:rPr>
      </w:pPr>
    </w:p>
    <w:p>
      <w:pPr>
        <w:spacing w:after="0" w:line="20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Environmental Liability</w:t>
      </w:r>
      <w:r>
        <w:rPr>
          <w:rFonts w:ascii="Arial" w:cs="Arial" w:eastAsia="Arial" w:hAnsi="Arial"/>
          <w:sz w:val="19"/>
          <w:szCs w:val="19"/>
          <w:color w:val="auto"/>
        </w:rPr>
        <w:t xml:space="preserve"> ” shall mean any liability (including any liability for damages, natural resource damage, costs of environmental investigation, remediation or monitoring or costs, fines or penalties) resulting from or based upon</w:t>
      </w:r>
    </w:p>
    <w:p>
      <w:pPr>
        <w:spacing w:after="0" w:line="1" w:lineRule="exact"/>
        <w:rPr>
          <w:sz w:val="20"/>
          <w:szCs w:val="20"/>
          <w:color w:val="auto"/>
        </w:rPr>
      </w:pPr>
    </w:p>
    <w:p>
      <w:pPr>
        <w:jc w:val="both"/>
        <w:ind w:firstLine="8"/>
        <w:spacing w:after="0" w:line="262" w:lineRule="auto"/>
        <w:tabs>
          <w:tab w:leader="none" w:pos="329" w:val="left"/>
        </w:tabs>
        <w:numPr>
          <w:ilvl w:val="0"/>
          <w:numId w:val="198"/>
        </w:numPr>
        <w:rPr>
          <w:rFonts w:ascii="Arial" w:cs="Arial" w:eastAsia="Arial" w:hAnsi="Arial"/>
          <w:sz w:val="21"/>
          <w:szCs w:val="21"/>
          <w:color w:val="auto"/>
        </w:rPr>
      </w:pPr>
      <w:r>
        <w:rPr>
          <w:rFonts w:ascii="Arial" w:cs="Arial" w:eastAsia="Arial" w:hAnsi="Arial"/>
          <w:sz w:val="21"/>
          <w:szCs w:val="21"/>
          <w:color w:val="auto"/>
        </w:rPr>
        <w:t>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5" w:name="page216"/>
    <w:bookmarkEnd w:id="215"/>
    <w:p>
      <w:pPr>
        <w:spacing w:after="0"/>
        <w:rPr>
          <w:sz w:val="20"/>
          <w:szCs w:val="20"/>
          <w:color w:val="auto"/>
        </w:rPr>
      </w:pPr>
      <w:r>
        <w:rPr>
          <w:rFonts w:ascii="Arial" w:cs="Arial" w:eastAsia="Arial" w:hAnsi="Arial"/>
          <w:sz w:val="19"/>
          <w:szCs w:val="19"/>
          <w:color w:val="auto"/>
        </w:rPr>
        <w:t>lease or other consensual arrangement pursuant to which liability is assumed or imposed with respect to any of the foregoing.</w:t>
      </w:r>
    </w:p>
    <w:p>
      <w:pPr>
        <w:spacing w:after="0" w:line="200" w:lineRule="exact"/>
        <w:rPr>
          <w:sz w:val="20"/>
          <w:szCs w:val="20"/>
          <w:color w:val="auto"/>
        </w:rPr>
      </w:pPr>
    </w:p>
    <w:p>
      <w:pPr>
        <w:spacing w:after="0" w:line="27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Equity Interests</w:t>
      </w:r>
      <w:r>
        <w:rPr>
          <w:rFonts w:ascii="Arial" w:cs="Arial" w:eastAsia="Arial" w:hAnsi="Arial"/>
          <w:sz w:val="22"/>
          <w:szCs w:val="22"/>
          <w:color w:val="auto"/>
        </w:rPr>
        <w:t xml:space="preserve"> ” shall mean Capital Stock and all warrants, options or other rights to acquire Capital Stock (but excluding any debt security that is convertible into, or exchangeable for, Capital Stock).</w:t>
      </w:r>
    </w:p>
    <w:p>
      <w:pPr>
        <w:spacing w:after="0" w:line="39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ERISA</w:t>
      </w:r>
      <w:r>
        <w:rPr>
          <w:rFonts w:ascii="Arial" w:cs="Arial" w:eastAsia="Arial" w:hAnsi="Arial"/>
          <w:sz w:val="22"/>
          <w:szCs w:val="22"/>
          <w:color w:val="auto"/>
        </w:rPr>
        <w:t xml:space="preserve"> ” shall mean the Employee Retirement Income Security Act of 1974, as amended from time to time, and the regulations promulgated thereunder.</w:t>
      </w:r>
    </w:p>
    <w:p>
      <w:pPr>
        <w:spacing w:after="0" w:line="39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ERISA Affiliate</w:t>
      </w:r>
      <w:r>
        <w:rPr>
          <w:rFonts w:ascii="Arial" w:cs="Arial" w:eastAsia="Arial" w:hAnsi="Arial"/>
          <w:sz w:val="21"/>
          <w:szCs w:val="21"/>
          <w:color w:val="auto"/>
        </w:rPr>
        <w:t xml:space="preserve"> ”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w:t>
      </w:r>
    </w:p>
    <w:p>
      <w:pPr>
        <w:spacing w:after="0" w:line="383"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Escrow Accounts</w:t>
      </w:r>
      <w:r>
        <w:rPr>
          <w:rFonts w:ascii="Arial" w:cs="Arial" w:eastAsia="Arial" w:hAnsi="Arial"/>
          <w:sz w:val="19"/>
          <w:szCs w:val="19"/>
          <w:color w:val="auto"/>
        </w:rPr>
        <w:t xml:space="preserve"> ”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w:t>
      </w:r>
    </w:p>
    <w:p>
      <w:pPr>
        <w:spacing w:after="0" w:line="6" w:lineRule="exact"/>
        <w:rPr>
          <w:sz w:val="20"/>
          <w:szCs w:val="20"/>
          <w:color w:val="auto"/>
        </w:rPr>
      </w:pPr>
    </w:p>
    <w:p>
      <w:pPr>
        <w:jc w:val="both"/>
        <w:ind w:firstLine="8"/>
        <w:spacing w:after="0" w:line="245" w:lineRule="auto"/>
        <w:tabs>
          <w:tab w:leader="none" w:pos="272" w:val="left"/>
        </w:tabs>
        <w:numPr>
          <w:ilvl w:val="0"/>
          <w:numId w:val="199"/>
        </w:numPr>
        <w:rPr>
          <w:rFonts w:ascii="Arial" w:cs="Arial" w:eastAsia="Arial" w:hAnsi="Arial"/>
          <w:sz w:val="22"/>
          <w:szCs w:val="22"/>
          <w:color w:val="auto"/>
        </w:rPr>
      </w:pPr>
      <w:r>
        <w:rPr>
          <w:rFonts w:ascii="Arial" w:cs="Arial" w:eastAsia="Arial" w:hAnsi="Arial"/>
          <w:sz w:val="22"/>
          <w:szCs w:val="22"/>
          <w:color w:val="auto"/>
        </w:rPr>
        <w:t>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right="20" w:firstLine="1296"/>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EU Bail-In Legislation Schedule</w:t>
      </w:r>
      <w:r>
        <w:rPr>
          <w:rFonts w:ascii="Arial" w:cs="Arial" w:eastAsia="Arial" w:hAnsi="Arial"/>
          <w:sz w:val="22"/>
          <w:szCs w:val="22"/>
          <w:color w:val="auto"/>
        </w:rPr>
        <w:t xml:space="preserve"> ” means the EU Bail-In Legislation Schedule published by the Loan Market Association (or any successor person), as in effect from time to time.</w:t>
      </w:r>
    </w:p>
    <w:p>
      <w:pPr>
        <w:spacing w:after="0" w:line="390" w:lineRule="exact"/>
        <w:rPr>
          <w:rFonts w:ascii="Arial" w:cs="Arial" w:eastAsia="Arial" w:hAnsi="Arial"/>
          <w:sz w:val="22"/>
          <w:szCs w:val="22"/>
          <w:color w:val="auto"/>
        </w:rPr>
      </w:pPr>
    </w:p>
    <w:p>
      <w:pPr>
        <w:ind w:firstLine="1296"/>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Eurodollar</w:t>
      </w:r>
      <w:r>
        <w:rPr>
          <w:rFonts w:ascii="Arial" w:cs="Arial" w:eastAsia="Arial" w:hAnsi="Arial"/>
          <w:sz w:val="22"/>
          <w:szCs w:val="22"/>
          <w:color w:val="auto"/>
        </w:rPr>
        <w:t xml:space="preserve"> ” when used in reference to any Loan or Borrowing, refers to whether such Loan, or the Loans comprising such Borrowing, is bearing interest at a rate determined by reference to the LIBO Rate.</w:t>
      </w:r>
    </w:p>
    <w:p>
      <w:pPr>
        <w:spacing w:after="0" w:line="390" w:lineRule="exact"/>
        <w:rPr>
          <w:rFonts w:ascii="Arial" w:cs="Arial" w:eastAsia="Arial" w:hAnsi="Arial"/>
          <w:sz w:val="22"/>
          <w:szCs w:val="22"/>
          <w:color w:val="auto"/>
        </w:rPr>
      </w:pPr>
    </w:p>
    <w:p>
      <w:pPr>
        <w:jc w:val="both"/>
        <w:ind w:right="20" w:firstLine="1296"/>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Eurodollar Tranche</w:t>
      </w:r>
      <w:r>
        <w:rPr>
          <w:rFonts w:ascii="Arial" w:cs="Arial" w:eastAsia="Arial" w:hAnsi="Arial"/>
          <w:sz w:val="22"/>
          <w:szCs w:val="22"/>
          <w:color w:val="auto"/>
        </w:rPr>
        <w:t xml:space="preserve"> ” shall mean the collective reference to Eurodollar Loans under a particular Facility the then current Interest Periods with respect to all of which begin on the same date and end on the same later date (whether or not such Loans shall originally have been made on the same day).</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Event of Default</w:t>
      </w:r>
      <w:r>
        <w:rPr>
          <w:rFonts w:ascii="Arial" w:cs="Arial" w:eastAsia="Arial" w:hAnsi="Arial"/>
          <w:sz w:val="22"/>
          <w:szCs w:val="22"/>
          <w:color w:val="auto"/>
        </w:rPr>
        <w:t xml:space="preserve"> ” shall have the meaning set forth in Section 7.01.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6" w:name="page217"/>
    <w:bookmarkEnd w:id="216"/>
    <w:p>
      <w:pPr>
        <w:jc w:val="both"/>
        <w:ind w:firstLine="1296"/>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Excess Cash Flow</w:t>
      </w:r>
      <w:r>
        <w:rPr>
          <w:rFonts w:ascii="Arial" w:cs="Arial" w:eastAsia="Arial" w:hAnsi="Arial"/>
          <w:sz w:val="19"/>
          <w:szCs w:val="19"/>
          <w:color w:val="auto"/>
        </w:rPr>
        <w:t xml:space="preserve"> ”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w:t>
      </w:r>
    </w:p>
    <w:p>
      <w:pPr>
        <w:spacing w:after="0" w:line="3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Exchange Act</w:t>
      </w:r>
      <w:r>
        <w:rPr>
          <w:rFonts w:ascii="Arial" w:cs="Arial" w:eastAsia="Arial" w:hAnsi="Arial"/>
          <w:sz w:val="22"/>
          <w:szCs w:val="22"/>
          <w:color w:val="auto"/>
        </w:rPr>
        <w:t xml:space="preserve"> ” shall mean the Securities Exchange Act of 1934, as amended.</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Excluded Contributions</w:t>
      </w:r>
      <w:r>
        <w:rPr>
          <w:rFonts w:ascii="Arial" w:cs="Arial" w:eastAsia="Arial" w:hAnsi="Arial"/>
          <w:sz w:val="21"/>
          <w:szCs w:val="21"/>
          <w:color w:val="auto"/>
        </w:rPr>
        <w:t xml:space="preserve"> ” shall mean net cash proceeds received by Parent after the Closing Date from:</w:t>
      </w:r>
    </w:p>
    <w:p>
      <w:pPr>
        <w:spacing w:after="0" w:line="200" w:lineRule="exact"/>
        <w:rPr>
          <w:sz w:val="20"/>
          <w:szCs w:val="20"/>
          <w:color w:val="auto"/>
        </w:rPr>
      </w:pPr>
    </w:p>
    <w:p>
      <w:pPr>
        <w:spacing w:after="0" w:line="247" w:lineRule="exact"/>
        <w:rPr>
          <w:sz w:val="20"/>
          <w:szCs w:val="20"/>
          <w:color w:val="auto"/>
        </w:rPr>
      </w:pPr>
    </w:p>
    <w:p>
      <w:pPr>
        <w:ind w:left="1780" w:hanging="476"/>
        <w:spacing w:after="0"/>
        <w:tabs>
          <w:tab w:leader="none" w:pos="178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contributions to its common equity capital (other than from any Subsidiary); 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firstLine="644"/>
        <w:spacing w:after="0" w:line="343" w:lineRule="auto"/>
        <w:tabs>
          <w:tab w:leader="none" w:pos="1879"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sale (other than to a Subsidiary or to any management equity plan or stock option plan or any other management or employee benefit plan or agreement of Parent or any Subsidiary) of Qualifying Equity Interests,</w:t>
      </w:r>
    </w:p>
    <w:p>
      <w:pPr>
        <w:spacing w:after="0" w:line="3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w:t>
      </w:r>
    </w:p>
    <w:p>
      <w:pPr>
        <w:spacing w:after="0" w:line="3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Excluded Information</w:t>
      </w:r>
      <w:r>
        <w:rPr>
          <w:rFonts w:ascii="Arial" w:cs="Arial" w:eastAsia="Arial" w:hAnsi="Arial"/>
          <w:sz w:val="22"/>
          <w:szCs w:val="22"/>
          <w:color w:val="auto"/>
        </w:rPr>
        <w:t xml:space="preserve"> ” shall have the meaning set forth in Section 10.02(g).</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Excluded Subsidiary</w:t>
      </w:r>
      <w:r>
        <w:rPr>
          <w:rFonts w:ascii="Arial" w:cs="Arial" w:eastAsia="Arial" w:hAnsi="Arial"/>
          <w:sz w:val="19"/>
          <w:szCs w:val="19"/>
          <w:color w:val="auto"/>
        </w:rPr>
        <w:t xml:space="preserve"> ”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Unrestricted Subsidiary, (8) that is a Foreign Subsidiary, (9) AWHQ LLC or (10) US Airways Company Store LLC.</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9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Excluded Swap Obligation</w:t>
      </w:r>
      <w:r>
        <w:rPr>
          <w:rFonts w:ascii="Arial" w:cs="Arial" w:eastAsia="Arial" w:hAnsi="Arial"/>
          <w:sz w:val="19"/>
          <w:szCs w:val="19"/>
          <w:color w:val="auto"/>
        </w:rPr>
        <w:t xml:space="preserve"> ”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36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Excluded Taxes</w:t>
      </w:r>
      <w:r>
        <w:rPr>
          <w:rFonts w:ascii="Arial" w:cs="Arial" w:eastAsia="Arial" w:hAnsi="Arial"/>
          <w:sz w:val="19"/>
          <w:szCs w:val="19"/>
          <w:color w:val="auto"/>
        </w:rPr>
        <w:t xml:space="preserve"> ” shall mean, with respect to the Administrative Agent, any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w:t>
      </w:r>
    </w:p>
    <w:p>
      <w:pPr>
        <w:spacing w:after="0" w:line="1" w:lineRule="exact"/>
        <w:rPr>
          <w:sz w:val="20"/>
          <w:szCs w:val="20"/>
          <w:color w:val="auto"/>
        </w:rPr>
      </w:pPr>
    </w:p>
    <w:p>
      <w:pPr>
        <w:jc w:val="both"/>
        <w:ind w:firstLine="8"/>
        <w:spacing w:after="0" w:line="285" w:lineRule="auto"/>
        <w:tabs>
          <w:tab w:leader="none" w:pos="323" w:val="left"/>
        </w:tabs>
        <w:numPr>
          <w:ilvl w:val="0"/>
          <w:numId w:val="203"/>
        </w:numPr>
        <w:rPr>
          <w:rFonts w:ascii="Arial" w:cs="Arial" w:eastAsia="Arial" w:hAnsi="Arial"/>
          <w:sz w:val="19"/>
          <w:szCs w:val="19"/>
          <w:color w:val="auto"/>
        </w:rPr>
      </w:pPr>
      <w:r>
        <w:rPr>
          <w:rFonts w:ascii="Arial" w:cs="Arial" w:eastAsia="Arial" w:hAnsi="Arial"/>
          <w:sz w:val="19"/>
          <w:szCs w:val="19"/>
          <w:color w:val="auto"/>
        </w:rPr>
        <w:t>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w:t>
      </w:r>
    </w:p>
    <w:p>
      <w:pPr>
        <w:spacing w:after="0" w:line="375" w:lineRule="exact"/>
        <w:rPr>
          <w:rFonts w:ascii="Arial" w:cs="Arial" w:eastAsia="Arial" w:hAnsi="Arial"/>
          <w:sz w:val="19"/>
          <w:szCs w:val="19"/>
          <w:color w:val="auto"/>
        </w:rPr>
      </w:pPr>
    </w:p>
    <w:p>
      <w:pPr>
        <w:ind w:firstLine="1296"/>
        <w:spacing w:after="0" w:line="263"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Existing Indebtedness</w:t>
      </w:r>
      <w:r>
        <w:rPr>
          <w:rFonts w:ascii="Arial" w:cs="Arial" w:eastAsia="Arial" w:hAnsi="Arial"/>
          <w:sz w:val="22"/>
          <w:szCs w:val="22"/>
          <w:color w:val="auto"/>
        </w:rPr>
        <w:t xml:space="preserve"> ” shall mean all Indebtedness of Parent and its Subsidiaries in existence on the Closing Date, until such amounts are repaid.</w:t>
      </w:r>
    </w:p>
    <w:p>
      <w:pPr>
        <w:spacing w:after="0" w:line="390" w:lineRule="exact"/>
        <w:rPr>
          <w:rFonts w:ascii="Arial" w:cs="Arial" w:eastAsia="Arial" w:hAnsi="Arial"/>
          <w:sz w:val="19"/>
          <w:szCs w:val="19"/>
          <w:color w:val="auto"/>
        </w:rPr>
      </w:pPr>
    </w:p>
    <w:p>
      <w:pPr>
        <w:ind w:left="1300" w:right="3120"/>
        <w:spacing w:after="0" w:line="817" w:lineRule="auto"/>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Extended Term Loan</w:t>
      </w:r>
      <w:r>
        <w:rPr>
          <w:rFonts w:ascii="Arial" w:cs="Arial" w:eastAsia="Arial" w:hAnsi="Arial"/>
          <w:sz w:val="19"/>
          <w:szCs w:val="19"/>
          <w:color w:val="auto"/>
        </w:rPr>
        <w:t xml:space="preserve"> ” shall have the meaning set forth in Section 2.28(a)(ii). “ </w:t>
      </w:r>
      <w:r>
        <w:rPr>
          <w:rFonts w:ascii="Arial" w:cs="Arial" w:eastAsia="Arial" w:hAnsi="Arial"/>
          <w:sz w:val="19"/>
          <w:szCs w:val="19"/>
          <w:i w:val="1"/>
          <w:iCs w:val="1"/>
          <w:color w:val="auto"/>
        </w:rPr>
        <w:t>Extension</w:t>
      </w:r>
      <w:r>
        <w:rPr>
          <w:rFonts w:ascii="Arial" w:cs="Arial" w:eastAsia="Arial" w:hAnsi="Arial"/>
          <w:sz w:val="19"/>
          <w:szCs w:val="19"/>
          <w:color w:val="auto"/>
        </w:rPr>
        <w:t xml:space="preserve"> ” shall have the meaning set forth in Section 2.28(a).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8" w:name="page219"/>
    <w:bookmarkEnd w:id="218"/>
    <w:p>
      <w:pPr>
        <w:ind w:left="1300" w:right="324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Extension Amendment</w:t>
      </w:r>
      <w:r>
        <w:rPr>
          <w:rFonts w:ascii="Arial" w:cs="Arial" w:eastAsia="Arial" w:hAnsi="Arial"/>
          <w:sz w:val="19"/>
          <w:szCs w:val="19"/>
          <w:color w:val="auto"/>
        </w:rPr>
        <w:t xml:space="preserve"> ” shall have the meaning set forth in Section 2.28(d). “ </w:t>
      </w:r>
      <w:r>
        <w:rPr>
          <w:rFonts w:ascii="Arial" w:cs="Arial" w:eastAsia="Arial" w:hAnsi="Arial"/>
          <w:sz w:val="19"/>
          <w:szCs w:val="19"/>
          <w:i w:val="1"/>
          <w:iCs w:val="1"/>
          <w:color w:val="auto"/>
        </w:rPr>
        <w:t>Extension of Credit</w:t>
      </w:r>
      <w:r>
        <w:rPr>
          <w:rFonts w:ascii="Arial" w:cs="Arial" w:eastAsia="Arial" w:hAnsi="Arial"/>
          <w:sz w:val="19"/>
          <w:szCs w:val="19"/>
          <w:color w:val="auto"/>
        </w:rPr>
        <w:t xml:space="preserve"> ” shall mean, as to any Lender, the making of a Loan. “ </w:t>
      </w:r>
      <w:r>
        <w:rPr>
          <w:rFonts w:ascii="Arial" w:cs="Arial" w:eastAsia="Arial" w:hAnsi="Arial"/>
          <w:sz w:val="19"/>
          <w:szCs w:val="19"/>
          <w:i w:val="1"/>
          <w:iCs w:val="1"/>
          <w:color w:val="auto"/>
        </w:rPr>
        <w:t>Extension Offer</w:t>
      </w:r>
      <w:r>
        <w:rPr>
          <w:rFonts w:ascii="Arial" w:cs="Arial" w:eastAsia="Arial" w:hAnsi="Arial"/>
          <w:sz w:val="19"/>
          <w:szCs w:val="19"/>
          <w:color w:val="auto"/>
        </w:rPr>
        <w:t xml:space="preserve"> ” shall have the meaning set forth in Section 2.28(a).</w:t>
      </w:r>
    </w:p>
    <w:p>
      <w:pPr>
        <w:ind w:left="13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FAA</w:t>
      </w:r>
      <w:r>
        <w:rPr>
          <w:rFonts w:ascii="Arial" w:cs="Arial" w:eastAsia="Arial" w:hAnsi="Arial"/>
          <w:sz w:val="21"/>
          <w:szCs w:val="21"/>
          <w:color w:val="auto"/>
        </w:rPr>
        <w:t xml:space="preserve"> ” shall mean the Federal Aviation Administration of the United States and any successor thereto.</w:t>
      </w:r>
    </w:p>
    <w:p>
      <w:pPr>
        <w:spacing w:after="0" w:line="200" w:lineRule="exact"/>
        <w:rPr>
          <w:sz w:val="20"/>
          <w:szCs w:val="20"/>
          <w:color w:val="auto"/>
        </w:rPr>
      </w:pPr>
    </w:p>
    <w:p>
      <w:pPr>
        <w:spacing w:after="0" w:line="247"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FAA Route Slot</w:t>
      </w:r>
      <w:r>
        <w:rPr>
          <w:rFonts w:ascii="Arial" w:cs="Arial" w:eastAsia="Arial" w:hAnsi="Arial"/>
          <w:sz w:val="19"/>
          <w:szCs w:val="19"/>
          <w:color w:val="auto"/>
        </w:rPr>
        <w:t xml:space="preserve"> ”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w:t>
      </w:r>
    </w:p>
    <w:p>
      <w:pPr>
        <w:spacing w:after="0" w:line="36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FAA Slot</w:t>
      </w:r>
      <w:r>
        <w:rPr>
          <w:rFonts w:ascii="Arial" w:cs="Arial" w:eastAsia="Arial" w:hAnsi="Arial"/>
          <w:sz w:val="22"/>
          <w:szCs w:val="22"/>
          <w:color w:val="auto"/>
        </w:rPr>
        <w:t xml:space="preserve"> ”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Facility</w:t>
      </w:r>
      <w:r>
        <w:rPr>
          <w:rFonts w:ascii="Arial" w:cs="Arial" w:eastAsia="Arial" w:hAnsi="Arial"/>
          <w:sz w:val="22"/>
          <w:szCs w:val="22"/>
          <w:color w:val="auto"/>
        </w:rPr>
        <w:t xml:space="preserve"> ” shall mean the Term Loan Commitments and the Term Loans made thereunder.</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Fair Market Value</w:t>
      </w:r>
      <w:r>
        <w:rPr>
          <w:rFonts w:ascii="Arial" w:cs="Arial" w:eastAsia="Arial" w:hAnsi="Arial"/>
          <w:sz w:val="21"/>
          <w:szCs w:val="21"/>
          <w:color w:val="auto"/>
        </w:rPr>
        <w:t xml:space="preserve"> ”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3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FASB</w:t>
      </w:r>
      <w:r>
        <w:rPr>
          <w:rFonts w:ascii="Arial" w:cs="Arial" w:eastAsia="Arial" w:hAnsi="Arial"/>
          <w:sz w:val="22"/>
          <w:szCs w:val="22"/>
          <w:color w:val="auto"/>
        </w:rPr>
        <w:t xml:space="preserve"> ” shall mean the Financial Accounting Standards Board.</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FATCA</w:t>
      </w:r>
      <w:r>
        <w:rPr>
          <w:rFonts w:ascii="Arial" w:cs="Arial" w:eastAsia="Arial" w:hAnsi="Arial"/>
          <w:sz w:val="22"/>
          <w:szCs w:val="22"/>
          <w:color w:val="auto"/>
        </w:rPr>
        <w:t xml:space="preserve"> ”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w:t>
      </w:r>
    </w:p>
    <w:p>
      <w:pPr>
        <w:spacing w:after="0" w:line="200" w:lineRule="exact"/>
        <w:rPr>
          <w:sz w:val="20"/>
          <w:szCs w:val="20"/>
          <w:color w:val="auto"/>
        </w:rPr>
      </w:pPr>
    </w:p>
    <w:p>
      <w:pPr>
        <w:spacing w:after="0" w:line="207"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Federal Funds Effective Rate</w:t>
      </w:r>
      <w:r>
        <w:rPr>
          <w:rFonts w:ascii="Arial" w:cs="Arial" w:eastAsia="Arial" w:hAnsi="Arial"/>
          <w:sz w:val="22"/>
          <w:szCs w:val="22"/>
          <w:color w:val="auto"/>
        </w:rPr>
        <w:t xml:space="preserve"> ” shall mean, for any day, the rate calculated by the Federal Reserve Bank of New York based on such day’s federal funds transactions by depository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9" w:name="page220"/>
    <w:bookmarkEnd w:id="219"/>
    <w:p>
      <w:pPr>
        <w:jc w:val="both"/>
        <w:spacing w:after="0" w:line="250" w:lineRule="auto"/>
        <w:rPr>
          <w:sz w:val="20"/>
          <w:szCs w:val="20"/>
          <w:color w:val="auto"/>
        </w:rPr>
      </w:pPr>
      <w:r>
        <w:rPr>
          <w:rFonts w:ascii="Arial" w:cs="Arial" w:eastAsia="Arial" w:hAnsi="Arial"/>
          <w:sz w:val="22"/>
          <w:szCs w:val="22"/>
          <w:color w:val="auto"/>
        </w:rPr>
        <w:t xml:space="preserve">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that, if the Federal Funds Effective Rate shall be less than zero, such rate shall be deemed to be zero for purposes of this Agreement.</w:t>
      </w:r>
    </w:p>
    <w:p>
      <w:pPr>
        <w:spacing w:after="0" w:line="200" w:lineRule="exact"/>
        <w:rPr>
          <w:sz w:val="20"/>
          <w:szCs w:val="20"/>
          <w:color w:val="auto"/>
        </w:rPr>
      </w:pPr>
    </w:p>
    <w:p>
      <w:pPr>
        <w:spacing w:after="0" w:line="204" w:lineRule="exact"/>
        <w:rPr>
          <w:sz w:val="20"/>
          <w:szCs w:val="20"/>
          <w:color w:val="auto"/>
        </w:rPr>
      </w:pPr>
    </w:p>
    <w:p>
      <w:pPr>
        <w:ind w:left="1300" w:right="44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Fee Letters</w:t>
      </w:r>
      <w:r>
        <w:rPr>
          <w:rFonts w:ascii="Arial" w:cs="Arial" w:eastAsia="Arial" w:hAnsi="Arial"/>
          <w:sz w:val="19"/>
          <w:szCs w:val="19"/>
          <w:color w:val="auto"/>
        </w:rPr>
        <w:t xml:space="preserve"> ” shall mean the Arranger Fee Letter, the Agent Fee Letter and the Structuring Agent Fee Letter. “ </w:t>
      </w:r>
      <w:r>
        <w:rPr>
          <w:rFonts w:ascii="Arial" w:cs="Arial" w:eastAsia="Arial" w:hAnsi="Arial"/>
          <w:sz w:val="19"/>
          <w:szCs w:val="19"/>
          <w:i w:val="1"/>
          <w:iCs w:val="1"/>
          <w:color w:val="auto"/>
        </w:rPr>
        <w:t>Fees</w:t>
      </w:r>
      <w:r>
        <w:rPr>
          <w:rFonts w:ascii="Arial" w:cs="Arial" w:eastAsia="Arial" w:hAnsi="Arial"/>
          <w:sz w:val="19"/>
          <w:szCs w:val="19"/>
          <w:color w:val="auto"/>
        </w:rPr>
        <w:t xml:space="preserve"> ” shall collectively mean the Commitment Fees and other fees referred to in Section 2.19.</w:t>
      </w:r>
    </w:p>
    <w:p>
      <w:pPr>
        <w:spacing w:after="0" w:line="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i w:val="1"/>
          <w:iCs w:val="1"/>
          <w:color w:val="auto"/>
        </w:rPr>
        <w:t xml:space="preserve">“First Lien Additional Appraisal” </w:t>
      </w:r>
      <w:r>
        <w:rPr>
          <w:rFonts w:ascii="Arial" w:cs="Arial" w:eastAsia="Arial" w:hAnsi="Arial"/>
          <w:sz w:val="22"/>
          <w:szCs w:val="22"/>
          <w:color w:val="auto"/>
        </w:rPr>
        <w:t>shall mean the report of MBA to be delivered to the Administrative Agent by</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Borrower pursuant to Section 5.06(1).</w:t>
      </w:r>
    </w:p>
    <w:p>
      <w:pPr>
        <w:spacing w:after="0" w:line="39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i w:val="1"/>
          <w:iCs w:val="1"/>
          <w:color w:val="auto"/>
        </w:rPr>
        <w:t xml:space="preserve">“First Lien Initial Appraisal” </w:t>
      </w:r>
      <w:r>
        <w:rPr>
          <w:rFonts w:ascii="Arial" w:cs="Arial" w:eastAsia="Arial" w:hAnsi="Arial"/>
          <w:sz w:val="22"/>
          <w:szCs w:val="22"/>
          <w:color w:val="auto"/>
        </w:rPr>
        <w:t>shall mean the report of MBA to be delivered to the Administrative Agent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pursuant to Section 5.06(1).</w:t>
      </w:r>
    </w:p>
    <w:p>
      <w:pPr>
        <w:spacing w:after="0" w:line="391" w:lineRule="exact"/>
        <w:rPr>
          <w:sz w:val="20"/>
          <w:szCs w:val="20"/>
          <w:color w:val="auto"/>
        </w:rPr>
      </w:pPr>
    </w:p>
    <w:p>
      <w:pPr>
        <w:jc w:val="center"/>
        <w:ind w:right="140"/>
        <w:spacing w:after="0"/>
        <w:rPr>
          <w:sz w:val="20"/>
          <w:szCs w:val="20"/>
          <w:color w:val="auto"/>
        </w:rPr>
      </w:pPr>
      <w:r>
        <w:rPr>
          <w:rFonts w:ascii="Arial" w:cs="Arial" w:eastAsia="Arial" w:hAnsi="Arial"/>
          <w:sz w:val="22"/>
          <w:szCs w:val="22"/>
          <w:i w:val="1"/>
          <w:iCs w:val="1"/>
          <w:color w:val="auto"/>
        </w:rPr>
        <w:t xml:space="preserve">“First Lien LHR Agreement” </w:t>
      </w:r>
      <w:r>
        <w:rPr>
          <w:rFonts w:ascii="Arial" w:cs="Arial" w:eastAsia="Arial" w:hAnsi="Arial"/>
          <w:sz w:val="22"/>
          <w:szCs w:val="22"/>
          <w:color w:val="auto"/>
        </w:rPr>
        <w:t>shall have the meaning set forth in the definition of Permitted Liens.</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First Lien SGR Security Agreement</w:t>
      </w:r>
      <w:r>
        <w:rPr>
          <w:rFonts w:ascii="Arial" w:cs="Arial" w:eastAsia="Arial" w:hAnsi="Arial"/>
          <w:sz w:val="21"/>
          <w:szCs w:val="21"/>
          <w:color w:val="auto"/>
        </w:rPr>
        <w:t xml:space="preserve"> ” shall mean that certain First Lien Security Agreement (Slots, Foreign Gate Leaseholds and Route Authorities), dated as of the Closing Date by and among the Borrower, as grantor, the other grantors thereto from time to time and the Collateral Agent, as the same may be amended from time to time.</w:t>
      </w:r>
    </w:p>
    <w:p>
      <w:pPr>
        <w:spacing w:after="0" w:line="3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Fixed Charges</w:t>
      </w:r>
      <w:r>
        <w:rPr>
          <w:rFonts w:ascii="Arial" w:cs="Arial" w:eastAsia="Arial" w:hAnsi="Arial"/>
          <w:sz w:val="19"/>
          <w:szCs w:val="19"/>
          <w:color w:val="auto"/>
        </w:rPr>
        <w:t xml:space="preserve"> ” shall mean, with respect to any specified Person for any period, the sum, without duplication,</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of:</w:t>
      </w:r>
    </w:p>
    <w:p>
      <w:pPr>
        <w:spacing w:after="0" w:line="200" w:lineRule="exact"/>
        <w:rPr>
          <w:sz w:val="20"/>
          <w:szCs w:val="20"/>
          <w:color w:val="auto"/>
        </w:rPr>
      </w:pPr>
    </w:p>
    <w:p>
      <w:pPr>
        <w:spacing w:after="0" w:line="218" w:lineRule="exact"/>
        <w:rPr>
          <w:sz w:val="20"/>
          <w:szCs w:val="20"/>
          <w:color w:val="auto"/>
        </w:rPr>
      </w:pPr>
    </w:p>
    <w:p>
      <w:pPr>
        <w:jc w:val="both"/>
        <w:ind w:left="660" w:firstLine="644"/>
        <w:spacing w:after="0" w:line="253" w:lineRule="auto"/>
        <w:tabs>
          <w:tab w:leader="none" w:pos="1827"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660" w:firstLine="644"/>
        <w:spacing w:after="0" w:line="253" w:lineRule="auto"/>
        <w:tabs>
          <w:tab w:leader="none" w:pos="192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660" w:firstLine="644"/>
        <w:spacing w:after="0" w:line="271" w:lineRule="auto"/>
        <w:tabs>
          <w:tab w:leader="none" w:pos="1905" w:val="left"/>
        </w:tabs>
        <w:numPr>
          <w:ilvl w:val="0"/>
          <w:numId w:val="207"/>
        </w:numPr>
        <w:rPr>
          <w:rFonts w:ascii="Arial" w:cs="Arial" w:eastAsia="Arial" w:hAnsi="Arial"/>
          <w:sz w:val="21"/>
          <w:szCs w:val="21"/>
          <w:color w:val="auto"/>
        </w:rPr>
      </w:pPr>
      <w:r>
        <w:rPr>
          <w:rFonts w:ascii="Arial" w:cs="Arial" w:eastAsia="Arial" w:hAnsi="Arial"/>
          <w:sz w:val="21"/>
          <w:szCs w:val="21"/>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383" w:lineRule="exact"/>
        <w:rPr>
          <w:rFonts w:ascii="Arial" w:cs="Arial" w:eastAsia="Arial" w:hAnsi="Arial"/>
          <w:sz w:val="21"/>
          <w:szCs w:val="21"/>
          <w:color w:val="auto"/>
        </w:rPr>
      </w:pPr>
    </w:p>
    <w:p>
      <w:pPr>
        <w:jc w:val="both"/>
        <w:ind w:left="660" w:firstLine="644"/>
        <w:spacing w:after="0" w:line="312" w:lineRule="auto"/>
        <w:tabs>
          <w:tab w:leader="none" w:pos="183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20" w:name="page221"/>
    <w:bookmarkEnd w:id="220"/>
    <w:p>
      <w:pPr>
        <w:ind w:left="660"/>
        <w:spacing w:after="0" w:line="263" w:lineRule="auto"/>
        <w:rPr>
          <w:sz w:val="20"/>
          <w:szCs w:val="20"/>
          <w:color w:val="auto"/>
        </w:rPr>
      </w:pPr>
      <w:r>
        <w:rPr>
          <w:rFonts w:ascii="Arial" w:cs="Arial" w:eastAsia="Arial" w:hAnsi="Arial"/>
          <w:sz w:val="22"/>
          <w:szCs w:val="22"/>
          <w:color w:val="auto"/>
        </w:rPr>
        <w:t>statutory tax rate of such Person, expressed as a decimal, in each case, determined on a consolidated basis in accordance with GAAP; plus</w:t>
      </w:r>
    </w:p>
    <w:p>
      <w:pPr>
        <w:spacing w:after="0" w:line="391" w:lineRule="exact"/>
        <w:rPr>
          <w:sz w:val="20"/>
          <w:szCs w:val="20"/>
          <w:color w:val="auto"/>
        </w:rPr>
      </w:pPr>
    </w:p>
    <w:p>
      <w:pPr>
        <w:ind w:left="660" w:firstLine="644"/>
        <w:spacing w:after="0" w:line="263" w:lineRule="auto"/>
        <w:tabs>
          <w:tab w:leader="none" w:pos="1791"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aircraft rent expense of such Person and its Restricted Subsidiaries for such period to the extent that such aircraft rent expense is payable in cash,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all as determined on a consolidated basis in accordance with GAAP.</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Flight Simulators</w:t>
      </w:r>
      <w:r>
        <w:rPr>
          <w:rFonts w:ascii="Arial" w:cs="Arial" w:eastAsia="Arial" w:hAnsi="Arial"/>
          <w:sz w:val="22"/>
          <w:szCs w:val="22"/>
          <w:color w:val="auto"/>
        </w:rPr>
        <w:t xml:space="preserve"> ” shall mean the flight simulators and flight training devices owned by Parent or any of its Restricted Subsidiaries.</w:t>
      </w:r>
    </w:p>
    <w:p>
      <w:pPr>
        <w:spacing w:after="0" w:line="390"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Flyer Miles Obligations</w:t>
      </w:r>
      <w:r>
        <w:rPr>
          <w:rFonts w:ascii="Arial" w:cs="Arial" w:eastAsia="Arial" w:hAnsi="Arial"/>
          <w:sz w:val="21"/>
          <w:szCs w:val="21"/>
          <w:color w:val="auto"/>
        </w:rPr>
        <w:t xml:space="preserve"> ”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391" w:lineRule="exact"/>
        <w:rPr>
          <w:sz w:val="20"/>
          <w:szCs w:val="20"/>
          <w:color w:val="auto"/>
        </w:rPr>
      </w:pPr>
    </w:p>
    <w:p>
      <w:pPr>
        <w:ind w:left="1300" w:right="164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Foreign Aviation Authority</w:t>
      </w:r>
      <w:r>
        <w:rPr>
          <w:rFonts w:ascii="Arial" w:cs="Arial" w:eastAsia="Arial" w:hAnsi="Arial"/>
          <w:sz w:val="19"/>
          <w:szCs w:val="19"/>
          <w:color w:val="auto"/>
        </w:rPr>
        <w:t xml:space="preserve"> ” shall have the meaning set forth in the SGR Security Agreement. “ </w:t>
      </w:r>
      <w:r>
        <w:rPr>
          <w:rFonts w:ascii="Arial" w:cs="Arial" w:eastAsia="Arial" w:hAnsi="Arial"/>
          <w:sz w:val="19"/>
          <w:szCs w:val="19"/>
          <w:i w:val="1"/>
          <w:iCs w:val="1"/>
          <w:color w:val="auto"/>
        </w:rPr>
        <w:t>Foreign Gate Leasehold</w:t>
      </w:r>
      <w:r>
        <w:rPr>
          <w:rFonts w:ascii="Arial" w:cs="Arial" w:eastAsia="Arial" w:hAnsi="Arial"/>
          <w:sz w:val="19"/>
          <w:szCs w:val="19"/>
          <w:color w:val="auto"/>
        </w:rPr>
        <w:t xml:space="preserve"> ” shall have the meaning set forth in the SGR Security Agreement.</w:t>
      </w: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Foreign Lender</w:t>
      </w:r>
      <w:r>
        <w:rPr>
          <w:rFonts w:ascii="Arial" w:cs="Arial" w:eastAsia="Arial" w:hAnsi="Arial"/>
          <w:sz w:val="19"/>
          <w:szCs w:val="19"/>
          <w:color w:val="auto"/>
        </w:rPr>
        <w:t xml:space="preserve"> ” shall mean any Lender that is not a “United States person” as defined in Section 7701(a)(3) of</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the Code.</w:t>
      </w: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Foreign Route Slot</w:t>
      </w:r>
      <w:r>
        <w:rPr>
          <w:rFonts w:ascii="Arial" w:cs="Arial" w:eastAsia="Arial" w:hAnsi="Arial"/>
          <w:sz w:val="22"/>
          <w:szCs w:val="22"/>
          <w:color w:val="auto"/>
        </w:rPr>
        <w:t xml:space="preserve"> ”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Foreign Slot</w:t>
      </w:r>
      <w:r>
        <w:rPr>
          <w:rFonts w:ascii="Arial" w:cs="Arial" w:eastAsia="Arial" w:hAnsi="Arial"/>
          <w:sz w:val="22"/>
          <w:szCs w:val="22"/>
          <w:color w:val="auto"/>
        </w:rPr>
        <w:t xml:space="preserve"> ” shall mean, at any time of determination, in the case of airports outside the United States, the right and operational authority to conduct one landing or take-off operation at a specific time or during a specific time period at such airport.</w:t>
      </w:r>
    </w:p>
    <w:p>
      <w:pPr>
        <w:spacing w:after="0" w:line="200" w:lineRule="exact"/>
        <w:rPr>
          <w:sz w:val="20"/>
          <w:szCs w:val="20"/>
          <w:color w:val="auto"/>
        </w:rPr>
      </w:pPr>
    </w:p>
    <w:p>
      <w:pPr>
        <w:spacing w:after="0" w:line="20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Foreign Subsidiary</w:t>
      </w:r>
      <w:r>
        <w:rPr>
          <w:rFonts w:ascii="Arial" w:cs="Arial" w:eastAsia="Arial" w:hAnsi="Arial"/>
          <w:sz w:val="22"/>
          <w:szCs w:val="22"/>
          <w:color w:val="auto"/>
        </w:rPr>
        <w:t xml:space="preserve"> ” shall mean any direct or indirect Subsidiary of Parent that was not formed under the laws of the United States or any state of the United States or the District of Columbia.</w:t>
      </w:r>
    </w:p>
    <w:p>
      <w:pPr>
        <w:spacing w:after="0" w:line="39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GAAP</w:t>
      </w:r>
      <w:r>
        <w:rPr>
          <w:rFonts w:ascii="Arial" w:cs="Arial" w:eastAsia="Arial" w:hAnsi="Arial"/>
          <w:sz w:val="19"/>
          <w:szCs w:val="19"/>
          <w:color w:val="auto"/>
        </w:rPr>
        <w:t xml:space="preserve"> ”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21" w:name="page222"/>
    <w:bookmarkEnd w:id="221"/>
    <w:p>
      <w:pPr>
        <w:jc w:val="both"/>
        <w:spacing w:after="0" w:line="259" w:lineRule="auto"/>
        <w:rPr>
          <w:sz w:val="20"/>
          <w:szCs w:val="20"/>
          <w:color w:val="auto"/>
        </w:rPr>
      </w:pPr>
      <w:r>
        <w:rPr>
          <w:rFonts w:ascii="Arial" w:cs="Arial" w:eastAsia="Arial" w:hAnsi="Arial"/>
          <w:sz w:val="21"/>
          <w:szCs w:val="21"/>
          <w:color w:val="auto"/>
        </w:rPr>
        <w:t>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w:t>
      </w:r>
    </w:p>
    <w:p>
      <w:pPr>
        <w:spacing w:after="0" w:line="399"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Gate Leasehold</w:t>
      </w:r>
      <w:r>
        <w:rPr>
          <w:rFonts w:ascii="Arial" w:cs="Arial" w:eastAsia="Arial" w:hAnsi="Arial"/>
          <w:sz w:val="22"/>
          <w:szCs w:val="22"/>
          <w:color w:val="auto"/>
        </w:rPr>
        <w:t xml:space="preserve"> ” shall mean all of the right, title, interest, privilege and authority of any Person to use or occupy space in an airport terminal in connection with the provision of air carrier service.</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Governmental Authority</w:t>
      </w:r>
      <w:r>
        <w:rPr>
          <w:rFonts w:ascii="Arial" w:cs="Arial" w:eastAsia="Arial" w:hAnsi="Arial"/>
          <w:sz w:val="22"/>
          <w:szCs w:val="22"/>
          <w:color w:val="auto"/>
        </w:rPr>
        <w:t xml:space="preserve"> ” shall have the meaning set forth in the SGR Security Agreement.</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Grantor</w:t>
      </w:r>
      <w:r>
        <w:rPr>
          <w:rFonts w:ascii="Arial" w:cs="Arial" w:eastAsia="Arial" w:hAnsi="Arial"/>
          <w:sz w:val="19"/>
          <w:szCs w:val="19"/>
          <w:color w:val="auto"/>
        </w:rPr>
        <w:t xml:space="preserve"> ” shall mean the Borrower and any Guarantor that shall at any time pledge Collateral under a Collateral</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Document.</w:t>
      </w: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63"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Ground Service Equipment</w:t>
      </w:r>
      <w:r>
        <w:rPr>
          <w:rFonts w:ascii="Arial" w:cs="Arial" w:eastAsia="Arial" w:hAnsi="Arial"/>
          <w:sz w:val="22"/>
          <w:szCs w:val="22"/>
          <w:color w:val="auto"/>
        </w:rPr>
        <w:t xml:space="preserve"> ” shall mean the ground service equipment, de</w:t>
      </w:r>
      <w:r>
        <w:rPr>
          <w:rFonts w:ascii="MS PGothic" w:cs="MS PGothic" w:eastAsia="MS PGothic" w:hAnsi="MS PGothic"/>
          <w:sz w:val="22"/>
          <w:szCs w:val="22"/>
          <w:color w:val="auto"/>
        </w:rPr>
        <w:t>‑</w:t>
      </w:r>
      <w:r>
        <w:rPr>
          <w:rFonts w:ascii="Arial" w:cs="Arial" w:eastAsia="Arial" w:hAnsi="Arial"/>
          <w:sz w:val="22"/>
          <w:szCs w:val="22"/>
          <w:color w:val="auto"/>
        </w:rPr>
        <w:t>icers, ground support equipment, aircraft cleaning devices, materials handling equipment, passenger walkways and other similar equipment owned by Parent or any of its Restricted Subsidiaries.</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Guarantee</w:t>
      </w:r>
      <w:r>
        <w:rPr>
          <w:rFonts w:ascii="Arial" w:cs="Arial" w:eastAsia="Arial" w:hAnsi="Arial"/>
          <w:sz w:val="19"/>
          <w:szCs w:val="19"/>
          <w:color w:val="auto"/>
        </w:rPr>
        <w:t xml:space="preserve"> ” shall mean a guarantee (other than (a) by endorsement of negotiable instruments for collection or</w:t>
      </w:r>
    </w:p>
    <w:p>
      <w:pPr>
        <w:spacing w:after="0" w:line="55" w:lineRule="exact"/>
        <w:rPr>
          <w:sz w:val="20"/>
          <w:szCs w:val="20"/>
          <w:color w:val="auto"/>
        </w:rPr>
      </w:pPr>
    </w:p>
    <w:p>
      <w:pPr>
        <w:jc w:val="both"/>
        <w:ind w:firstLine="8"/>
        <w:spacing w:after="0" w:line="256" w:lineRule="exact"/>
        <w:tabs>
          <w:tab w:leader="none" w:pos="34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t>
      </w:r>
      <w:r>
        <w:rPr>
          <w:rFonts w:ascii="MS PGothic" w:cs="MS PGothic" w:eastAsia="MS PGothic" w:hAnsi="MS PGothic"/>
          <w:sz w:val="19"/>
          <w:szCs w:val="19"/>
          <w:color w:val="auto"/>
        </w:rPr>
        <w:t>‑</w:t>
      </w:r>
      <w:r>
        <w:rPr>
          <w:rFonts w:ascii="Arial" w:cs="Arial" w:eastAsia="Arial" w:hAnsi="Arial"/>
          <w:sz w:val="19"/>
          <w:szCs w:val="19"/>
          <w:color w:val="auto"/>
        </w:rPr>
        <w:t>well, to purchase assets, goods, securities or services, to take or pay or to maintain financial statement conditions).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Guaranteed Obligations</w:t>
      </w:r>
      <w:r>
        <w:rPr>
          <w:rFonts w:ascii="Arial" w:cs="Arial" w:eastAsia="Arial" w:hAnsi="Arial"/>
          <w:sz w:val="22"/>
          <w:szCs w:val="22"/>
          <w:color w:val="auto"/>
        </w:rPr>
        <w:t xml:space="preserve"> ” shall have the meaning set forth in Section 9.01(a).</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firstLine="1296"/>
        <w:spacing w:after="0" w:line="263"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Guarantors</w:t>
      </w:r>
      <w:r>
        <w:rPr>
          <w:rFonts w:ascii="Arial" w:cs="Arial" w:eastAsia="Arial" w:hAnsi="Arial"/>
          <w:sz w:val="22"/>
          <w:szCs w:val="22"/>
          <w:color w:val="auto"/>
        </w:rPr>
        <w:t xml:space="preserve"> ” shall mean, collectively, Parent and each Domestic Subsidiary of Parent that becomes a party to the Guaranty pursuant to Section 5.09. As of the Closing Date, Parent is the only Guarantor.</w:t>
      </w:r>
    </w:p>
    <w:p>
      <w:pPr>
        <w:spacing w:after="0" w:line="390"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Guaranty</w:t>
      </w:r>
      <w:r>
        <w:rPr>
          <w:rFonts w:ascii="Arial" w:cs="Arial" w:eastAsia="Arial" w:hAnsi="Arial"/>
          <w:sz w:val="22"/>
          <w:szCs w:val="22"/>
          <w:color w:val="auto"/>
        </w:rPr>
        <w:t xml:space="preserve"> ” shall mean the guaranty set forth in Article IX.</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Guaranty Obligations</w:t>
      </w:r>
      <w:r>
        <w:rPr>
          <w:rFonts w:ascii="Arial" w:cs="Arial" w:eastAsia="Arial" w:hAnsi="Arial"/>
          <w:sz w:val="22"/>
          <w:szCs w:val="22"/>
          <w:color w:val="auto"/>
        </w:rPr>
        <w:t xml:space="preserve"> ” shall have the meaning set forth in Section 9.01(a).</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296"/>
        <w:spacing w:after="0" w:line="253"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Hazardous Materials</w:t>
      </w:r>
      <w:r>
        <w:rPr>
          <w:rFonts w:ascii="Arial" w:cs="Arial" w:eastAsia="Arial" w:hAnsi="Arial"/>
          <w:sz w:val="22"/>
          <w:szCs w:val="22"/>
          <w:color w:val="auto"/>
        </w:rPr>
        <w:t xml:space="preserve"> ” shall mean all radioactive substances or wastes and all hazardous or toxic substances, wastes or other pollutants, including petroleum or petroleum distillates, asbestos or asbestos containing materials, polychlorinated biphenyls, radon gas,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22" w:name="page223"/>
    <w:bookmarkEnd w:id="222"/>
    <w:p>
      <w:pPr>
        <w:spacing w:after="0" w:line="263" w:lineRule="auto"/>
        <w:rPr>
          <w:sz w:val="20"/>
          <w:szCs w:val="20"/>
          <w:color w:val="auto"/>
        </w:rPr>
      </w:pPr>
      <w:r>
        <w:rPr>
          <w:rFonts w:ascii="Arial" w:cs="Arial" w:eastAsia="Arial" w:hAnsi="Arial"/>
          <w:sz w:val="22"/>
          <w:szCs w:val="22"/>
          <w:color w:val="auto"/>
        </w:rPr>
        <w:t>infectious or medical wastes and all other substances or wastes of any nature that are regulated pursuant to, or could reasonably be expected to give rise to liability under any Environmental Law.</w:t>
      </w:r>
    </w:p>
    <w:p>
      <w:pPr>
        <w:spacing w:after="0" w:line="3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Hedging Agreement</w:t>
      </w:r>
      <w:r>
        <w:rPr>
          <w:rFonts w:ascii="Arial" w:cs="Arial" w:eastAsia="Arial" w:hAnsi="Arial"/>
          <w:sz w:val="22"/>
          <w:szCs w:val="22"/>
          <w:color w:val="auto"/>
        </w:rPr>
        <w:t xml:space="preserve"> ” shall mean any agreement evidencing Hedging Obligations.</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Hedging Obligations</w:t>
      </w:r>
      <w:r>
        <w:rPr>
          <w:rFonts w:ascii="Arial" w:cs="Arial" w:eastAsia="Arial" w:hAnsi="Arial"/>
          <w:sz w:val="21"/>
          <w:szCs w:val="21"/>
          <w:color w:val="auto"/>
        </w:rPr>
        <w:t xml:space="preserve"> ” shall mean, with respect to any Person, all obligations and liabilities of such Person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under:</w:t>
      </w:r>
    </w:p>
    <w:p>
      <w:pPr>
        <w:spacing w:after="0" w:line="200" w:lineRule="exact"/>
        <w:rPr>
          <w:sz w:val="20"/>
          <w:szCs w:val="20"/>
          <w:color w:val="auto"/>
        </w:rPr>
      </w:pPr>
    </w:p>
    <w:p>
      <w:pPr>
        <w:spacing w:after="0" w:line="218" w:lineRule="exact"/>
        <w:rPr>
          <w:sz w:val="20"/>
          <w:szCs w:val="20"/>
          <w:color w:val="auto"/>
        </w:rPr>
      </w:pPr>
    </w:p>
    <w:p>
      <w:pPr>
        <w:ind w:left="660" w:firstLine="644"/>
        <w:spacing w:after="0" w:line="263" w:lineRule="auto"/>
        <w:tabs>
          <w:tab w:leader="none" w:pos="187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390" w:lineRule="exact"/>
        <w:rPr>
          <w:rFonts w:ascii="Arial" w:cs="Arial" w:eastAsia="Arial" w:hAnsi="Arial"/>
          <w:sz w:val="22"/>
          <w:szCs w:val="22"/>
          <w:color w:val="auto"/>
        </w:rPr>
      </w:pPr>
    </w:p>
    <w:p>
      <w:pPr>
        <w:ind w:left="1780" w:hanging="476"/>
        <w:spacing w:after="0"/>
        <w:tabs>
          <w:tab w:leader="none" w:pos="1780" w:val="left"/>
        </w:tabs>
        <w:numPr>
          <w:ilvl w:val="0"/>
          <w:numId w:val="212"/>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660" w:firstLine="644"/>
        <w:spacing w:after="0" w:line="250" w:lineRule="auto"/>
        <w:tabs>
          <w:tab w:leader="none" w:pos="1798" w:val="left"/>
        </w:tabs>
        <w:numPr>
          <w:ilvl w:val="0"/>
          <w:numId w:val="212"/>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any Permitted Convertible Indebtedness Call Transaction will not constitute Hedging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Obligations.</w:t>
      </w:r>
    </w:p>
    <w:p>
      <w:pPr>
        <w:spacing w:after="0" w:line="200" w:lineRule="exact"/>
        <w:rPr>
          <w:sz w:val="20"/>
          <w:szCs w:val="20"/>
          <w:color w:val="auto"/>
        </w:rPr>
      </w:pPr>
    </w:p>
    <w:p>
      <w:pPr>
        <w:spacing w:after="0" w:line="218" w:lineRule="exact"/>
        <w:rPr>
          <w:sz w:val="20"/>
          <w:szCs w:val="20"/>
          <w:color w:val="auto"/>
        </w:rPr>
      </w:pPr>
    </w:p>
    <w:p>
      <w:pPr>
        <w:ind w:left="1300" w:right="212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IATA</w:t>
      </w:r>
      <w:r>
        <w:rPr>
          <w:rFonts w:ascii="Arial" w:cs="Arial" w:eastAsia="Arial" w:hAnsi="Arial"/>
          <w:sz w:val="19"/>
          <w:szCs w:val="19"/>
          <w:color w:val="auto"/>
        </w:rPr>
        <w:t xml:space="preserve"> ” shall mean the International Air Transport Association and any successor thereto. “ </w:t>
      </w:r>
      <w:r>
        <w:rPr>
          <w:rFonts w:ascii="Arial" w:cs="Arial" w:eastAsia="Arial" w:hAnsi="Arial"/>
          <w:sz w:val="19"/>
          <w:szCs w:val="19"/>
          <w:i w:val="1"/>
          <w:iCs w:val="1"/>
          <w:color w:val="auto"/>
        </w:rPr>
        <w:t>ICE LIBOR</w:t>
      </w:r>
      <w:r>
        <w:rPr>
          <w:rFonts w:ascii="Arial" w:cs="Arial" w:eastAsia="Arial" w:hAnsi="Arial"/>
          <w:sz w:val="19"/>
          <w:szCs w:val="19"/>
          <w:color w:val="auto"/>
        </w:rPr>
        <w:t xml:space="preserve"> ” shall have the meaning set forth in the definition of “LIBO Rate”.</w:t>
      </w: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ICF</w:t>
      </w:r>
      <w:r>
        <w:rPr>
          <w:rFonts w:ascii="Arial" w:cs="Arial" w:eastAsia="Arial" w:hAnsi="Arial"/>
          <w:sz w:val="22"/>
          <w:szCs w:val="22"/>
          <w:color w:val="auto"/>
        </w:rPr>
        <w:t xml:space="preserve"> ” shall mean ICF International, formerly known as ICF SH&amp;E, Inc.</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8" w:lineRule="exact"/>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Immaterial Subsidiaries</w:t>
      </w:r>
      <w:r>
        <w:rPr>
          <w:rFonts w:ascii="Arial" w:cs="Arial" w:eastAsia="Arial" w:hAnsi="Arial"/>
          <w:sz w:val="21"/>
          <w:szCs w:val="21"/>
          <w:color w:val="auto"/>
        </w:rPr>
        <w:t xml:space="preserve"> ”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w:t>
      </w:r>
      <w:r>
        <w:rPr>
          <w:rFonts w:ascii="MS PGothic" w:cs="MS PGothic" w:eastAsia="MS PGothic" w:hAnsi="MS PGothic"/>
          <w:sz w:val="21"/>
          <w:szCs w:val="21"/>
          <w:color w:val="auto"/>
        </w:rPr>
        <w:t>‑</w:t>
      </w:r>
      <w:r>
        <w:rPr>
          <w:rFonts w:ascii="Arial" w:cs="Arial" w:eastAsia="Arial" w:hAnsi="Arial"/>
          <w:sz w:val="21"/>
          <w:szCs w:val="21"/>
          <w:color w:val="auto"/>
        </w:rPr>
        <w:t xml:space="preserve">month period ending on the last day of the most recent fiscal quarter of Parent for which internal financial statements are available;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w:t>
      </w:r>
    </w:p>
    <w:p>
      <w:pPr>
        <w:spacing w:after="0" w:line="200" w:lineRule="exact"/>
        <w:rPr>
          <w:sz w:val="20"/>
          <w:szCs w:val="20"/>
          <w:color w:val="auto"/>
        </w:rPr>
      </w:pPr>
    </w:p>
    <w:p>
      <w:pPr>
        <w:spacing w:after="0" w:line="221" w:lineRule="exact"/>
        <w:rPr>
          <w:sz w:val="20"/>
          <w:szCs w:val="20"/>
          <w:color w:val="auto"/>
        </w:rPr>
      </w:pPr>
    </w:p>
    <w:p>
      <w:pPr>
        <w:ind w:left="1300" w:right="316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Increase Effective Date</w:t>
      </w:r>
      <w:r>
        <w:rPr>
          <w:rFonts w:ascii="Arial" w:cs="Arial" w:eastAsia="Arial" w:hAnsi="Arial"/>
          <w:sz w:val="19"/>
          <w:szCs w:val="19"/>
          <w:color w:val="auto"/>
        </w:rPr>
        <w:t xml:space="preserve"> ” shall have the meaning set forth in Section 2.27(a). “ </w:t>
      </w:r>
      <w:r>
        <w:rPr>
          <w:rFonts w:ascii="Arial" w:cs="Arial" w:eastAsia="Arial" w:hAnsi="Arial"/>
          <w:sz w:val="19"/>
          <w:szCs w:val="19"/>
          <w:i w:val="1"/>
          <w:iCs w:val="1"/>
          <w:color w:val="auto"/>
        </w:rPr>
        <w:t>Increase Joinder</w:t>
      </w:r>
      <w:r>
        <w:rPr>
          <w:rFonts w:ascii="Arial" w:cs="Arial" w:eastAsia="Arial" w:hAnsi="Arial"/>
          <w:sz w:val="19"/>
          <w:szCs w:val="19"/>
          <w:color w:val="auto"/>
        </w:rPr>
        <w:t xml:space="preserve"> ” shall have the meaning set forth in Section 2.27(c).</w:t>
      </w: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Incremental Commitments</w:t>
      </w:r>
      <w:r>
        <w:rPr>
          <w:rFonts w:ascii="Arial" w:cs="Arial" w:eastAsia="Arial" w:hAnsi="Arial"/>
          <w:sz w:val="22"/>
          <w:szCs w:val="22"/>
          <w:color w:val="auto"/>
        </w:rPr>
        <w:t xml:space="preserve"> ” shall have the meaning set forth in Section 2.27(a).</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23" w:name="page224"/>
    <w:bookmarkEnd w:id="223"/>
    <w:p>
      <w:pPr>
        <w:ind w:left="1300" w:right="200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Incremental Term Loan Commitment</w:t>
      </w:r>
      <w:r>
        <w:rPr>
          <w:rFonts w:ascii="Arial" w:cs="Arial" w:eastAsia="Arial" w:hAnsi="Arial"/>
          <w:sz w:val="19"/>
          <w:szCs w:val="19"/>
          <w:color w:val="auto"/>
        </w:rPr>
        <w:t xml:space="preserve"> ” shall have the meaning set forth in Section 2.27(a). “ </w:t>
      </w:r>
      <w:r>
        <w:rPr>
          <w:rFonts w:ascii="Arial" w:cs="Arial" w:eastAsia="Arial" w:hAnsi="Arial"/>
          <w:sz w:val="19"/>
          <w:szCs w:val="19"/>
          <w:i w:val="1"/>
          <w:iCs w:val="1"/>
          <w:color w:val="auto"/>
        </w:rPr>
        <w:t>Incremental Term Loans</w:t>
      </w:r>
      <w:r>
        <w:rPr>
          <w:rFonts w:ascii="Arial" w:cs="Arial" w:eastAsia="Arial" w:hAnsi="Arial"/>
          <w:sz w:val="19"/>
          <w:szCs w:val="19"/>
          <w:color w:val="auto"/>
        </w:rPr>
        <w:t xml:space="preserve"> ” shall have the meaning set forth in Section 2.27(c)(i).</w:t>
      </w: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Indebtedness</w:t>
      </w:r>
      <w:r>
        <w:rPr>
          <w:rFonts w:ascii="Arial" w:cs="Arial" w:eastAsia="Arial" w:hAnsi="Arial"/>
          <w:sz w:val="22"/>
          <w:szCs w:val="22"/>
          <w:color w:val="auto"/>
        </w:rPr>
        <w:t xml:space="preserve"> ” shall mean, with respect to any specified Person, any indebtedness of such Person (excluding air traffic liability, accrued expenses and trade payables), whether or not contingent:</w:t>
      </w:r>
    </w:p>
    <w:p>
      <w:pPr>
        <w:spacing w:after="0" w:line="391" w:lineRule="exact"/>
        <w:rPr>
          <w:sz w:val="20"/>
          <w:szCs w:val="20"/>
          <w:color w:val="auto"/>
        </w:rPr>
      </w:pPr>
    </w:p>
    <w:p>
      <w:pPr>
        <w:ind w:left="1780" w:hanging="476"/>
        <w:spacing w:after="0"/>
        <w:tabs>
          <w:tab w:leader="none" w:pos="17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right="20" w:firstLine="644"/>
        <w:spacing w:after="0" w:line="263" w:lineRule="auto"/>
        <w:tabs>
          <w:tab w:leader="none" w:pos="1995" w:val="left"/>
        </w:tabs>
        <w:numPr>
          <w:ilvl w:val="0"/>
          <w:numId w:val="215"/>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390" w:lineRule="exact"/>
        <w:rPr>
          <w:rFonts w:ascii="Arial" w:cs="Arial" w:eastAsia="Arial" w:hAnsi="Arial"/>
          <w:sz w:val="22"/>
          <w:szCs w:val="22"/>
          <w:color w:val="auto"/>
        </w:rPr>
      </w:pPr>
    </w:p>
    <w:p>
      <w:pPr>
        <w:ind w:left="1780" w:hanging="476"/>
        <w:spacing w:after="0"/>
        <w:tabs>
          <w:tab w:leader="none" w:pos="17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780" w:hanging="476"/>
        <w:spacing w:after="0"/>
        <w:tabs>
          <w:tab w:leader="none" w:pos="17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660" w:firstLine="644"/>
        <w:spacing w:after="0" w:line="253" w:lineRule="auto"/>
        <w:tabs>
          <w:tab w:leader="none" w:pos="1789" w:val="left"/>
        </w:tabs>
        <w:numPr>
          <w:ilvl w:val="0"/>
          <w:numId w:val="215"/>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780" w:hanging="476"/>
        <w:spacing w:after="0"/>
        <w:tabs>
          <w:tab w:leader="none" w:pos="178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399" w:lineRule="exact"/>
        <w:rPr>
          <w:sz w:val="20"/>
          <w:szCs w:val="20"/>
          <w:color w:val="auto"/>
        </w:rPr>
      </w:pPr>
    </w:p>
    <w:p>
      <w:pPr>
        <w:jc w:val="both"/>
        <w:ind w:firstLine="1296"/>
        <w:spacing w:after="0" w:line="259" w:lineRule="exact"/>
        <w:rPr>
          <w:sz w:val="20"/>
          <w:szCs w:val="20"/>
          <w:color w:val="auto"/>
        </w:rPr>
      </w:pPr>
      <w:r>
        <w:rPr>
          <w:rFonts w:ascii="Arial" w:cs="Arial" w:eastAsia="Arial" w:hAnsi="Arial"/>
          <w:sz w:val="19"/>
          <w:szCs w:val="19"/>
          <w:color w:val="auto"/>
        </w:rPr>
        <w:t>For the avoidance of doubt, (a) Banking Product Obligations, (b) obligations under leases (other than leases determined to be Capital Lease Obligations under GAAP as in effect on December 31, 2018), (c) obligations to fund pension plans and retiree liabilities, (d) Disqualified Stock and preferred stock, (e) Flyer Miles Obligations and other obligations in respect of the pre</w:t>
      </w:r>
      <w:r>
        <w:rPr>
          <w:rFonts w:ascii="MS PGothic" w:cs="MS PGothic" w:eastAsia="MS PGothic" w:hAnsi="MS PGothic"/>
          <w:sz w:val="19"/>
          <w:szCs w:val="19"/>
          <w:color w:val="auto"/>
        </w:rPr>
        <w:t>‑</w:t>
      </w:r>
      <w:r>
        <w:rPr>
          <w:rFonts w:ascii="Arial" w:cs="Arial" w:eastAsia="Arial" w:hAnsi="Arial"/>
          <w:sz w:val="19"/>
          <w:szCs w:val="19"/>
          <w:color w:val="auto"/>
        </w:rPr>
        <w:t>purchase by others of frequent flyer miles, (f) maintenance deferral agreements, (g) an amount recorded as Indebtedness in such Person’s financial statements solely by operation of Financial Accounting Standards Board Accounting Standards Codification 840</w:t>
      </w:r>
      <w:r>
        <w:rPr>
          <w:rFonts w:ascii="MS PGothic" w:cs="MS PGothic" w:eastAsia="MS PGothic" w:hAnsi="MS PGothic"/>
          <w:sz w:val="19"/>
          <w:szCs w:val="19"/>
          <w:color w:val="auto"/>
        </w:rPr>
        <w:t>‑</w:t>
      </w:r>
      <w:r>
        <w:rPr>
          <w:rFonts w:ascii="Arial" w:cs="Arial" w:eastAsia="Arial" w:hAnsi="Arial"/>
          <w:sz w:val="19"/>
          <w:szCs w:val="19"/>
          <w:color w:val="auto"/>
        </w:rPr>
        <w:t>40</w:t>
      </w:r>
      <w:r>
        <w:rPr>
          <w:rFonts w:ascii="MS PGothic" w:cs="MS PGothic" w:eastAsia="MS PGothic" w:hAnsi="MS PGothic"/>
          <w:sz w:val="19"/>
          <w:szCs w:val="19"/>
          <w:color w:val="auto"/>
        </w:rPr>
        <w:t>‑</w:t>
      </w:r>
      <w:r>
        <w:rPr>
          <w:rFonts w:ascii="Arial" w:cs="Arial" w:eastAsia="Arial" w:hAnsi="Arial"/>
          <w:sz w:val="19"/>
          <w:szCs w:val="19"/>
          <w:color w:val="auto"/>
        </w:rPr>
        <w:t>55 or any successor provision of GAAP but which does not otherwise constitute Indebtedness as defined hereinabove, (h) obligations under Co</w:t>
      </w:r>
      <w:r>
        <w:rPr>
          <w:rFonts w:ascii="MS PGothic" w:cs="MS PGothic" w:eastAsia="MS PGothic" w:hAnsi="MS PGothic"/>
          <w:sz w:val="19"/>
          <w:szCs w:val="19"/>
          <w:color w:val="auto"/>
        </w:rPr>
        <w:t>‑</w:t>
      </w:r>
      <w:r>
        <w:rPr>
          <w:rFonts w:ascii="Arial" w:cs="Arial" w:eastAsia="Arial" w:hAnsi="Arial"/>
          <w:sz w:val="19"/>
          <w:szCs w:val="19"/>
          <w:color w:val="auto"/>
        </w:rPr>
        <w:t>Branded Card Agreements, (i) a deferral of pre</w:t>
      </w:r>
      <w:r>
        <w:rPr>
          <w:rFonts w:ascii="MS PGothic" w:cs="MS PGothic" w:eastAsia="MS PGothic" w:hAnsi="MS PGothic"/>
          <w:sz w:val="19"/>
          <w:szCs w:val="19"/>
          <w:color w:val="auto"/>
        </w:rPr>
        <w:t>‑</w:t>
      </w:r>
      <w:r>
        <w:rPr>
          <w:rFonts w:ascii="Arial" w:cs="Arial" w:eastAsia="Arial" w:hAnsi="Arial"/>
          <w:sz w:val="19"/>
          <w:szCs w:val="19"/>
          <w:color w:val="auto"/>
        </w:rPr>
        <w:t>delivery payments relating to the purchases of Aircraft Related Equipment and (j) obligations under flyer miles participation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24" w:name="page225"/>
    <w:bookmarkEnd w:id="224"/>
    <w:p>
      <w:pPr>
        <w:spacing w:after="0" w:line="263" w:lineRule="auto"/>
        <w:rPr>
          <w:sz w:val="20"/>
          <w:szCs w:val="20"/>
          <w:color w:val="auto"/>
        </w:rPr>
      </w:pPr>
      <w:r>
        <w:rPr>
          <w:rFonts w:ascii="Arial" w:cs="Arial" w:eastAsia="Arial" w:hAnsi="Arial"/>
          <w:sz w:val="22"/>
          <w:szCs w:val="22"/>
          <w:color w:val="auto"/>
        </w:rPr>
        <w:t>agreements do not constitute Indebtedness, whether or not such obligations would appear as a liability upon a balance sheet of a specified Person.</w:t>
      </w:r>
    </w:p>
    <w:p>
      <w:pPr>
        <w:spacing w:after="0" w:line="39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Indemnified Taxes</w:t>
      </w:r>
      <w:r>
        <w:rPr>
          <w:rFonts w:ascii="Arial" w:cs="Arial" w:eastAsia="Arial" w:hAnsi="Arial"/>
          <w:sz w:val="22"/>
          <w:szCs w:val="22"/>
          <w:color w:val="auto"/>
        </w:rPr>
        <w:t xml:space="preserve"> ” shall mean Taxes, other than Excluded Taxes, imposed on or with respect to any payments made by the Borrower or any Guarantor under this Agreement or any other Loan Document.</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Indemnitee</w:t>
      </w:r>
      <w:r>
        <w:rPr>
          <w:rFonts w:ascii="Arial" w:cs="Arial" w:eastAsia="Arial" w:hAnsi="Arial"/>
          <w:sz w:val="22"/>
          <w:szCs w:val="22"/>
          <w:color w:val="auto"/>
        </w:rPr>
        <w:t xml:space="preserve"> ” shall have the meaning set forth in Section 10.04(b).</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Initial Appraisal</w:t>
      </w:r>
      <w:r>
        <w:rPr>
          <w:rFonts w:ascii="Arial" w:cs="Arial" w:eastAsia="Arial" w:hAnsi="Arial"/>
          <w:sz w:val="21"/>
          <w:szCs w:val="21"/>
          <w:color w:val="auto"/>
        </w:rPr>
        <w:t xml:space="preserve"> ” shall mean collectively, First Lien Initial Appraisal and the Second Lien Initial Appraisal.</w:t>
      </w:r>
    </w:p>
    <w:p>
      <w:pPr>
        <w:spacing w:after="0" w:line="200" w:lineRule="exact"/>
        <w:rPr>
          <w:sz w:val="20"/>
          <w:szCs w:val="20"/>
          <w:color w:val="auto"/>
        </w:rPr>
      </w:pPr>
    </w:p>
    <w:p>
      <w:pPr>
        <w:spacing w:after="0" w:line="247"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Initial Term Loans</w:t>
      </w:r>
      <w:r>
        <w:rPr>
          <w:rFonts w:ascii="Arial" w:cs="Arial" w:eastAsia="Arial" w:hAnsi="Arial"/>
          <w:sz w:val="22"/>
          <w:szCs w:val="22"/>
          <w:color w:val="auto"/>
        </w:rPr>
        <w:t xml:space="preserve"> ” shall mean the Term Loans incurred on the Closing Date and, unless the context otherwise requires, Delayed Draw Term Loans.</w:t>
      </w:r>
    </w:p>
    <w:p>
      <w:pPr>
        <w:spacing w:after="0" w:line="39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Intercreditor Agreement</w:t>
      </w:r>
      <w:r>
        <w:rPr>
          <w:rFonts w:ascii="Arial" w:cs="Arial" w:eastAsia="Arial" w:hAnsi="Arial"/>
          <w:sz w:val="22"/>
          <w:szCs w:val="22"/>
          <w:color w:val="auto"/>
        </w:rPr>
        <w:t xml:space="preserve"> ” shall mean an intercreditor agreement substantially in the form of Exhibit I hereto, including that certain Intercreditor Agreement, dated as of the Closing Date by and among the Collateral Agent, as Second Lien Collateral Agent, Citibank N.A., as First Lien Collateral Agent and the Borrower.</w:t>
      </w:r>
    </w:p>
    <w:p>
      <w:pPr>
        <w:spacing w:after="0" w:line="200" w:lineRule="exact"/>
        <w:rPr>
          <w:sz w:val="20"/>
          <w:szCs w:val="20"/>
          <w:color w:val="auto"/>
        </w:rPr>
      </w:pPr>
    </w:p>
    <w:p>
      <w:pPr>
        <w:spacing w:after="0" w:line="201"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Interest Election Request</w:t>
      </w:r>
      <w:r>
        <w:rPr>
          <w:rFonts w:ascii="Arial" w:cs="Arial" w:eastAsia="Arial" w:hAnsi="Arial"/>
          <w:sz w:val="22"/>
          <w:szCs w:val="22"/>
          <w:color w:val="auto"/>
        </w:rPr>
        <w:t xml:space="preserve"> ” shall mean a request by the Borrower to convert or continue a Borrowing in accordance with Section 2.05.</w:t>
      </w:r>
    </w:p>
    <w:p>
      <w:pPr>
        <w:spacing w:after="0" w:line="39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Interest Payment Date</w:t>
      </w:r>
      <w:r>
        <w:rPr>
          <w:rFonts w:ascii="Arial" w:cs="Arial" w:eastAsia="Arial" w:hAnsi="Arial"/>
          <w:sz w:val="19"/>
          <w:szCs w:val="19"/>
          <w:color w:val="auto"/>
        </w:rPr>
        <w:t xml:space="preserve"> ” shall mean (a) as to any Eurodollar Loan having an Interest Period of one or three months, the last day of such Interest Period, (b) as to any Eurodollar Loan having an Interest Period of more than three months, each day that is three months, or a whole multiple thereof, after the first day of such Interest Period and the last day of such Interest Period and (c) with respect to ABR Loans, the last Business Day of each March, June, September and December.</w:t>
      </w:r>
    </w:p>
    <w:p>
      <w:pPr>
        <w:spacing w:after="0" w:line="35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Interest Period</w:t>
      </w:r>
      <w:r>
        <w:rPr>
          <w:rFonts w:ascii="Arial" w:cs="Arial" w:eastAsia="Arial" w:hAnsi="Arial"/>
          <w:sz w:val="19"/>
          <w:szCs w:val="19"/>
          <w:color w:val="auto"/>
        </w:rPr>
        <w:t xml:space="preserve"> ” shall mean, as to any Borrowing of Eurodollar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(or, if available to all affected Lenders, 12 months or a shorter period as agreed to by the Administrative Agent and the affected Lenders), as the Borrower may elect in the related notice delivered pursuant to Section 2.03 or 2.05;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and (ii) no Interest Period shall end later than the applicable Termination Date.</w:t>
      </w:r>
    </w:p>
    <w:p>
      <w:pPr>
        <w:spacing w:after="0" w:line="11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Interpolated Screen Rate</w:t>
      </w:r>
      <w:r>
        <w:rPr>
          <w:rFonts w:ascii="Arial" w:cs="Arial" w:eastAsia="Arial" w:hAnsi="Arial"/>
          <w:sz w:val="22"/>
          <w:szCs w:val="22"/>
          <w:color w:val="auto"/>
        </w:rPr>
        <w:t xml:space="preserve"> ”</w:t>
      </w:r>
    </w:p>
    <w:p>
      <w:pPr>
        <w:ind w:left="1960"/>
        <w:spacing w:after="0" w:line="214" w:lineRule="auto"/>
        <w:rPr>
          <w:sz w:val="20"/>
          <w:szCs w:val="20"/>
          <w:color w:val="auto"/>
        </w:rPr>
      </w:pPr>
      <w:r>
        <w:rPr>
          <w:rFonts w:ascii="Arial" w:cs="Arial" w:eastAsia="Arial" w:hAnsi="Arial"/>
          <w:sz w:val="21"/>
          <w:szCs w:val="21"/>
          <w:color w:val="auto"/>
        </w:rPr>
        <w:t>shall mean, in relation to the LIBO Rate, the rate which results from interpolating on a linear basis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25" w:name="page226"/>
    <w:bookmarkEnd w:id="225"/>
    <w:p>
      <w:pPr>
        <w:ind w:firstLine="1304"/>
        <w:spacing w:after="0" w:line="213" w:lineRule="auto"/>
        <w:tabs>
          <w:tab w:leader="none" w:pos="223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applicable ICE LIBOR for the longest period (for which that ICE LIBOR is available) which is less than the Interest Period of that Loan; and</w:t>
      </w:r>
    </w:p>
    <w:p>
      <w:pPr>
        <w:ind w:firstLine="1304"/>
        <w:spacing w:after="0" w:line="224" w:lineRule="auto"/>
        <w:tabs>
          <w:tab w:leader="none" w:pos="2277" w:val="left"/>
        </w:tabs>
        <w:numPr>
          <w:ilvl w:val="0"/>
          <w:numId w:val="218"/>
        </w:numPr>
        <w:rPr>
          <w:rFonts w:ascii="Arial" w:cs="Arial" w:eastAsia="Arial" w:hAnsi="Arial"/>
          <w:sz w:val="22"/>
          <w:szCs w:val="22"/>
          <w:color w:val="auto"/>
        </w:rPr>
      </w:pPr>
      <w:r>
        <w:rPr>
          <w:rFonts w:ascii="Arial" w:cs="Arial" w:eastAsia="Arial" w:hAnsi="Arial"/>
          <w:sz w:val="22"/>
          <w:szCs w:val="22"/>
          <w:color w:val="auto"/>
        </w:rPr>
        <w:t>the applicable ICE LIBOR for the shortest period (for which that ICE LIBOR is available) which exceeds the Interest Period of that Loan,</w:t>
      </w:r>
    </w:p>
    <w:p>
      <w:pPr>
        <w:spacing w:after="0" w:line="18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each as of approximately 11:00 a.m. (London, England time) two Business Days prior to the commencement of such Interest Period of that Loan.</w:t>
      </w:r>
    </w:p>
    <w:p>
      <w:pPr>
        <w:spacing w:after="0" w:line="391" w:lineRule="exact"/>
        <w:rPr>
          <w:sz w:val="20"/>
          <w:szCs w:val="20"/>
          <w:color w:val="auto"/>
        </w:rPr>
      </w:pPr>
    </w:p>
    <w:p>
      <w:pPr>
        <w:jc w:val="both"/>
        <w:ind w:firstLine="1296"/>
        <w:spacing w:after="0" w:line="260" w:lineRule="exact"/>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Investments</w:t>
      </w:r>
      <w:r>
        <w:rPr>
          <w:rFonts w:ascii="Arial" w:cs="Arial" w:eastAsia="Arial" w:hAnsi="Arial"/>
          <w:sz w:val="19"/>
          <w:szCs w:val="19"/>
          <w:color w:val="auto"/>
        </w:rPr>
        <w:t xml:space="preserve"> ”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w:t>
      </w:r>
      <w:r>
        <w:rPr>
          <w:rFonts w:ascii="MS PGothic" w:cs="MS PGothic" w:eastAsia="MS PGothic" w:hAnsi="MS PGothic"/>
          <w:sz w:val="19"/>
          <w:szCs w:val="19"/>
          <w:color w:val="auto"/>
        </w:rPr>
        <w:t>‑</w:t>
      </w:r>
      <w:r>
        <w:rPr>
          <w:rFonts w:ascii="Arial" w:cs="Arial" w:eastAsia="Arial" w:hAnsi="Arial"/>
          <w:sz w:val="19"/>
          <w:szCs w:val="19"/>
          <w:color w:val="auto"/>
        </w:rPr>
        <w:t>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JFK</w:t>
      </w:r>
      <w:r>
        <w:rPr>
          <w:rFonts w:ascii="Arial" w:cs="Arial" w:eastAsia="Arial" w:hAnsi="Arial"/>
          <w:sz w:val="22"/>
          <w:szCs w:val="22"/>
          <w:color w:val="auto"/>
        </w:rPr>
        <w:t xml:space="preserve"> ” shall mean John F. Kennedy International Airport, New York.</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Joint Lead Arrangers and Bookrunners</w:t>
      </w:r>
      <w:r>
        <w:rPr>
          <w:rFonts w:ascii="Arial" w:cs="Arial" w:eastAsia="Arial" w:hAnsi="Arial"/>
          <w:sz w:val="19"/>
          <w:szCs w:val="19"/>
          <w:color w:val="auto"/>
        </w:rPr>
        <w:t xml:space="preserve"> ” shall have the meaning set forth in the preamble to this Agreement.</w:t>
      </w:r>
    </w:p>
    <w:p>
      <w:pPr>
        <w:spacing w:after="0" w:line="200" w:lineRule="exact"/>
        <w:rPr>
          <w:sz w:val="20"/>
          <w:szCs w:val="20"/>
          <w:color w:val="auto"/>
        </w:rPr>
      </w:pPr>
    </w:p>
    <w:p>
      <w:pPr>
        <w:spacing w:after="0" w:line="27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Junior Secured Debt</w:t>
      </w:r>
      <w:r>
        <w:rPr>
          <w:rFonts w:ascii="Arial" w:cs="Arial" w:eastAsia="Arial" w:hAnsi="Arial"/>
          <w:sz w:val="21"/>
          <w:szCs w:val="21"/>
          <w:color w:val="auto"/>
        </w:rPr>
        <w:t xml:space="preserve"> ” shall mean Indebtedness permitted to be secured by a Lien on Collateral under</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Section 6.06.</w:t>
      </w:r>
    </w:p>
    <w:p>
      <w:pPr>
        <w:spacing w:after="0" w:line="200" w:lineRule="exact"/>
        <w:rPr>
          <w:sz w:val="20"/>
          <w:szCs w:val="20"/>
          <w:color w:val="auto"/>
        </w:rPr>
      </w:pPr>
    </w:p>
    <w:p>
      <w:pPr>
        <w:spacing w:after="0" w:line="217"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Latest Maturity Date</w:t>
      </w:r>
      <w:r>
        <w:rPr>
          <w:rFonts w:ascii="Arial" w:cs="Arial" w:eastAsia="Arial" w:hAnsi="Arial"/>
          <w:sz w:val="22"/>
          <w:szCs w:val="22"/>
          <w:color w:val="auto"/>
        </w:rPr>
        <w:t xml:space="preserve"> ” shall mean, at any date of determination, the latest maturity or expiration date applicable to any Loan or Commitment hereunder at such time, including the latest maturity date of any Term Loan.</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Lead Arranger</w:t>
      </w:r>
      <w:r>
        <w:rPr>
          <w:rFonts w:ascii="Arial" w:cs="Arial" w:eastAsia="Arial" w:hAnsi="Arial"/>
          <w:sz w:val="22"/>
          <w:szCs w:val="22"/>
          <w:color w:val="auto"/>
        </w:rPr>
        <w:t xml:space="preserve"> ” shall have the meaning set forth in the preamble to this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26" w:name="page227"/>
    <w:bookmarkEnd w:id="226"/>
    <w:p>
      <w:pPr>
        <w:ind w:left="1300" w:right="142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Leased Collateral</w:t>
      </w:r>
      <w:r>
        <w:rPr>
          <w:rFonts w:ascii="Arial" w:cs="Arial" w:eastAsia="Arial" w:hAnsi="Arial"/>
          <w:sz w:val="19"/>
          <w:szCs w:val="19"/>
          <w:color w:val="auto"/>
        </w:rPr>
        <w:t xml:space="preserve"> ” shall have the meaning set forth in the definition of “Permitted Disposition.” “ </w:t>
      </w:r>
      <w:r>
        <w:rPr>
          <w:rFonts w:ascii="Arial" w:cs="Arial" w:eastAsia="Arial" w:hAnsi="Arial"/>
          <w:sz w:val="19"/>
          <w:szCs w:val="19"/>
          <w:i w:val="1"/>
          <w:iCs w:val="1"/>
          <w:color w:val="auto"/>
        </w:rPr>
        <w:t>Leased Slots</w:t>
      </w:r>
      <w:r>
        <w:rPr>
          <w:rFonts w:ascii="Arial" w:cs="Arial" w:eastAsia="Arial" w:hAnsi="Arial"/>
          <w:sz w:val="19"/>
          <w:szCs w:val="19"/>
          <w:color w:val="auto"/>
        </w:rPr>
        <w:t xml:space="preserve"> ” shall have the meaning set forth in the definition of “Permitted Disposition.”</w:t>
      </w:r>
    </w:p>
    <w:p>
      <w:pPr>
        <w:ind w:right="6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Lenders</w:t>
      </w:r>
      <w:r>
        <w:rPr>
          <w:rFonts w:ascii="Arial" w:cs="Arial" w:eastAsia="Arial" w:hAnsi="Arial"/>
          <w:sz w:val="22"/>
          <w:szCs w:val="22"/>
          <w:color w:val="auto"/>
        </w:rPr>
        <w:t xml:space="preserve"> ” shall mean each of the several banks and other financial institutions or entities from time to time party hereto as a lender.</w:t>
      </w:r>
    </w:p>
    <w:p>
      <w:pPr>
        <w:spacing w:after="0" w:line="174" w:lineRule="exact"/>
        <w:rPr>
          <w:sz w:val="20"/>
          <w:szCs w:val="20"/>
          <w:color w:val="auto"/>
        </w:rPr>
      </w:pPr>
    </w:p>
    <w:p>
      <w:pPr>
        <w:ind w:left="1300" w:right="554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LGA</w:t>
      </w:r>
      <w:r>
        <w:rPr>
          <w:rFonts w:ascii="Arial" w:cs="Arial" w:eastAsia="Arial" w:hAnsi="Arial"/>
          <w:sz w:val="19"/>
          <w:szCs w:val="19"/>
          <w:color w:val="auto"/>
        </w:rPr>
        <w:t xml:space="preserve"> ” shall mean LaGuardia Airport, New York. “ </w:t>
      </w:r>
      <w:r>
        <w:rPr>
          <w:rFonts w:ascii="Arial" w:cs="Arial" w:eastAsia="Arial" w:hAnsi="Arial"/>
          <w:sz w:val="19"/>
          <w:szCs w:val="19"/>
          <w:i w:val="1"/>
          <w:iCs w:val="1"/>
          <w:color w:val="auto"/>
        </w:rPr>
        <w:t>LHR</w:t>
      </w:r>
      <w:r>
        <w:rPr>
          <w:rFonts w:ascii="Arial" w:cs="Arial" w:eastAsia="Arial" w:hAnsi="Arial"/>
          <w:sz w:val="19"/>
          <w:szCs w:val="19"/>
          <w:color w:val="auto"/>
        </w:rPr>
        <w:t xml:space="preserve"> ” shall mean Heathrow Airport, England.</w:t>
      </w:r>
    </w:p>
    <w:p>
      <w:pPr>
        <w:jc w:val="both"/>
        <w:ind w:firstLine="1296"/>
        <w:spacing w:after="0" w:line="29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LIBO Rate</w:t>
      </w:r>
      <w:r>
        <w:rPr>
          <w:rFonts w:ascii="Arial" w:cs="Arial" w:eastAsia="Arial" w:hAnsi="Arial"/>
          <w:sz w:val="19"/>
          <w:szCs w:val="19"/>
          <w:color w:val="auto"/>
        </w:rPr>
        <w:t xml:space="preserve"> ” shall mean, with respect to each day during each Interest Period pertaining to a Eurodollar Loan, the rate per annum equal to the ICE Benchmark Administration (or any successor organization) LIBOR Rate (“ </w:t>
      </w:r>
      <w:r>
        <w:rPr>
          <w:rFonts w:ascii="Arial" w:cs="Arial" w:eastAsia="Arial" w:hAnsi="Arial"/>
          <w:sz w:val="19"/>
          <w:szCs w:val="19"/>
          <w:i w:val="1"/>
          <w:iCs w:val="1"/>
          <w:color w:val="auto"/>
        </w:rPr>
        <w:t>ICE LIBOR</w:t>
      </w:r>
      <w:r>
        <w:rPr>
          <w:rFonts w:ascii="Arial" w:cs="Arial" w:eastAsia="Arial" w:hAnsi="Arial"/>
          <w:sz w:val="19"/>
          <w:szCs w:val="19"/>
          <w:color w:val="auto"/>
        </w:rPr>
        <w:t xml:space="preserve"> ”), as published by Reuters (or other commercially available source providing quotations of ICE LIBOR as designated by the Administrative Agent from time to time) (the “ </w:t>
      </w:r>
      <w:r>
        <w:rPr>
          <w:rFonts w:ascii="Arial" w:cs="Arial" w:eastAsia="Arial" w:hAnsi="Arial"/>
          <w:sz w:val="19"/>
          <w:szCs w:val="19"/>
          <w:i w:val="1"/>
          <w:iCs w:val="1"/>
          <w:color w:val="auto"/>
        </w:rPr>
        <w:t>Screen Rate</w:t>
      </w:r>
      <w:r>
        <w:rPr>
          <w:rFonts w:ascii="Arial" w:cs="Arial" w:eastAsia="Arial" w:hAnsi="Arial"/>
          <w:sz w:val="19"/>
          <w:szCs w:val="19"/>
          <w:color w:val="auto"/>
        </w:rPr>
        <w:t xml:space="preserve"> ”) at approximately 11:00 a.m., London time, two (2) Business Days prior to the commencement of such Interest Period, for deposits in Dollars (for delivery on the first day of such Interest Period) with a term equivalent to such Interest Period; provided, that solely in respect of the Initial Term Loans, the LIBO Rate shall not be less than 1.00%. In the event that the rate identified in the foregoing sentence (without regard to the proviso) is not available at such time for any reason, then such rate shall be equal to the Interpolated Screen Rate.</w:t>
      </w:r>
    </w:p>
    <w:p>
      <w:pPr>
        <w:spacing w:after="0" w:line="37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Lien</w:t>
      </w:r>
      <w:r>
        <w:rPr>
          <w:rFonts w:ascii="Arial" w:cs="Arial" w:eastAsia="Arial" w:hAnsi="Arial"/>
          <w:sz w:val="22"/>
          <w:szCs w:val="22"/>
          <w:color w:val="auto"/>
        </w:rPr>
        <w:t xml:space="preserve"> ”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Liquidity</w:t>
      </w:r>
      <w:r>
        <w:rPr>
          <w:rFonts w:ascii="Arial" w:cs="Arial" w:eastAsia="Arial" w:hAnsi="Arial"/>
          <w:sz w:val="19"/>
          <w:szCs w:val="19"/>
          <w:color w:val="auto"/>
        </w:rPr>
        <w:t xml:space="preserve"> ”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of Parent and its Restricted Subsidiaries and</w:t>
      </w:r>
    </w:p>
    <w:p>
      <w:pPr>
        <w:spacing w:after="0" w:line="2" w:lineRule="exact"/>
        <w:rPr>
          <w:sz w:val="20"/>
          <w:szCs w:val="20"/>
          <w:color w:val="auto"/>
        </w:rPr>
      </w:pPr>
    </w:p>
    <w:p>
      <w:pPr>
        <w:jc w:val="both"/>
        <w:ind w:firstLine="8"/>
        <w:spacing w:after="0" w:line="244" w:lineRule="auto"/>
        <w:tabs>
          <w:tab w:leader="none" w:pos="379"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jc w:val="both"/>
        <w:ind w:firstLine="1296"/>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Loan Documents</w:t>
      </w:r>
      <w:r>
        <w:rPr>
          <w:rFonts w:ascii="Arial" w:cs="Arial" w:eastAsia="Arial" w:hAnsi="Arial"/>
          <w:sz w:val="22"/>
          <w:szCs w:val="22"/>
          <w:color w:val="auto"/>
        </w:rPr>
        <w:t xml:space="preserve"> ” shall mean this Agreement, the Collateral Documents, any Intercreditor Agreement, any Other Intercreditor Agreement, the Arranger Fee Letter and any other instrument or agreement (which is designated as a Loan Document therein) executed and delivered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27" w:name="page228"/>
    <w:bookmarkEnd w:id="227"/>
    <w:p>
      <w:pPr>
        <w:jc w:val="both"/>
        <w:spacing w:after="0" w:line="253" w:lineRule="auto"/>
        <w:rPr>
          <w:sz w:val="20"/>
          <w:szCs w:val="20"/>
          <w:color w:val="auto"/>
        </w:rPr>
      </w:pPr>
      <w:r>
        <w:rPr>
          <w:rFonts w:ascii="Arial" w:cs="Arial" w:eastAsia="Arial" w:hAnsi="Arial"/>
          <w:sz w:val="22"/>
          <w:szCs w:val="22"/>
          <w:color w:val="auto"/>
        </w:rPr>
        <w:t>by the Borrower or a Guarantor to the Administrative Agent, the Collateral Agent or any Lender, in each case, as the same may be amended, restated, modified, supplemented, extended or amended and restated from time to time in accordance with the terms hereof.</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Loan Parties</w:t>
      </w:r>
      <w:r>
        <w:rPr>
          <w:rFonts w:ascii="Arial" w:cs="Arial" w:eastAsia="Arial" w:hAnsi="Arial"/>
          <w:sz w:val="22"/>
          <w:szCs w:val="22"/>
          <w:color w:val="auto"/>
        </w:rPr>
        <w:t xml:space="preserve"> ” shall mean the Borrower and the Guarantors.</w:t>
      </w:r>
    </w:p>
    <w:p>
      <w:pPr>
        <w:spacing w:after="0" w:line="200" w:lineRule="exact"/>
        <w:rPr>
          <w:sz w:val="20"/>
          <w:szCs w:val="20"/>
          <w:color w:val="auto"/>
        </w:rPr>
      </w:pPr>
    </w:p>
    <w:p>
      <w:pPr>
        <w:spacing w:after="0" w:line="23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Loan Request</w:t>
      </w:r>
      <w:r>
        <w:rPr>
          <w:rFonts w:ascii="Arial" w:cs="Arial" w:eastAsia="Arial" w:hAnsi="Arial"/>
          <w:sz w:val="22"/>
          <w:szCs w:val="22"/>
          <w:color w:val="auto"/>
        </w:rPr>
        <w:t xml:space="preserve"> ” shall mean a request by the Borrower, executed by a Responsible Officer of the Borrower, for a Loan in accordance with Section 2.03 in substantially the form of Exhibit D-1.</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Loans</w:t>
      </w:r>
      <w:r>
        <w:rPr>
          <w:rFonts w:ascii="Arial" w:cs="Arial" w:eastAsia="Arial" w:hAnsi="Arial"/>
          <w:sz w:val="22"/>
          <w:szCs w:val="22"/>
          <w:color w:val="auto"/>
        </w:rPr>
        <w:t xml:space="preserve"> ” shall mean, collectively, the Term Loans.</w:t>
      </w:r>
    </w:p>
    <w:p>
      <w:pPr>
        <w:spacing w:after="0" w:line="200" w:lineRule="exact"/>
        <w:rPr>
          <w:sz w:val="20"/>
          <w:szCs w:val="20"/>
          <w:color w:val="auto"/>
        </w:rPr>
      </w:pPr>
    </w:p>
    <w:p>
      <w:pPr>
        <w:spacing w:after="0" w:line="235" w:lineRule="exact"/>
        <w:rPr>
          <w:sz w:val="20"/>
          <w:szCs w:val="20"/>
          <w:color w:val="auto"/>
        </w:rPr>
      </w:pPr>
    </w:p>
    <w:p>
      <w:pPr>
        <w:ind w:left="1300" w:right="402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Mainline Slot</w:t>
      </w:r>
      <w:r>
        <w:rPr>
          <w:rFonts w:ascii="Arial" w:cs="Arial" w:eastAsia="Arial" w:hAnsi="Arial"/>
          <w:sz w:val="19"/>
          <w:szCs w:val="19"/>
          <w:color w:val="auto"/>
        </w:rPr>
        <w:t xml:space="preserve"> ” means any FAA Slot that is not a Commuter Slot. “ </w:t>
      </w:r>
      <w:r>
        <w:rPr>
          <w:rFonts w:ascii="Arial" w:cs="Arial" w:eastAsia="Arial" w:hAnsi="Arial"/>
          <w:sz w:val="19"/>
          <w:szCs w:val="19"/>
          <w:i w:val="1"/>
          <w:iCs w:val="1"/>
          <w:color w:val="auto"/>
        </w:rPr>
        <w:t>Margin Stock</w:t>
      </w:r>
      <w:r>
        <w:rPr>
          <w:rFonts w:ascii="Arial" w:cs="Arial" w:eastAsia="Arial" w:hAnsi="Arial"/>
          <w:sz w:val="19"/>
          <w:szCs w:val="19"/>
          <w:color w:val="auto"/>
        </w:rPr>
        <w:t xml:space="preserve"> ” shall have the meaning set forth in Section 3.12(a).</w:t>
      </w:r>
    </w:p>
    <w:p>
      <w:pPr>
        <w:jc w:val="both"/>
        <w:ind w:firstLine="1296"/>
        <w:spacing w:after="0" w:line="260" w:lineRule="exact"/>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Marketing and Service Agreements</w:t>
      </w:r>
      <w:r>
        <w:rPr>
          <w:rFonts w:ascii="Arial" w:cs="Arial" w:eastAsia="Arial" w:hAnsi="Arial"/>
          <w:sz w:val="19"/>
          <w:szCs w:val="19"/>
          <w:color w:val="auto"/>
        </w:rPr>
        <w:t xml:space="preserve"> ” shall mean those certain business, marketing and service agreements among a Loan Party and/or any of its Subsidiaries and any of Mesa Airlines, Inc., Chautauqua Airlines, Inc., Trans States Airlines, Inc., United Air Lines, Inc., Republic Airline, Inc., SkyWest Airlines and Air Wisconsin Airlines Corporation and such other parties or agreements from time to time that include, but are not limited to, code</w:t>
      </w:r>
      <w:r>
        <w:rPr>
          <w:rFonts w:ascii="MS PGothic" w:cs="MS PGothic" w:eastAsia="MS PGothic" w:hAnsi="MS PGothic"/>
          <w:sz w:val="19"/>
          <w:szCs w:val="19"/>
          <w:color w:val="auto"/>
        </w:rPr>
        <w:t>‑</w:t>
      </w:r>
      <w:r>
        <w:rPr>
          <w:rFonts w:ascii="Arial" w:cs="Arial" w:eastAsia="Arial" w:hAnsi="Arial"/>
          <w:sz w:val="19"/>
          <w:szCs w:val="19"/>
          <w:color w:val="auto"/>
        </w:rPr>
        <w:t>sharing, pro</w:t>
      </w:r>
      <w:r>
        <w:rPr>
          <w:rFonts w:ascii="MS PGothic" w:cs="MS PGothic" w:eastAsia="MS PGothic" w:hAnsi="MS PGothic"/>
          <w:sz w:val="19"/>
          <w:szCs w:val="19"/>
          <w:color w:val="auto"/>
        </w:rPr>
        <w:t>‑</w:t>
      </w:r>
      <w:r>
        <w:rPr>
          <w:rFonts w:ascii="Arial" w:cs="Arial" w:eastAsia="Arial" w:hAnsi="Arial"/>
          <w:sz w:val="19"/>
          <w:szCs w:val="19"/>
          <w:color w:val="auto"/>
        </w:rPr>
        <w:t>rate, capacity purchase, service, frequent flyer, ground handling and marketing agreements that are entered into in the Ordinary Course of Business.</w:t>
      </w:r>
    </w:p>
    <w:p>
      <w:pPr>
        <w:spacing w:after="0" w:line="200" w:lineRule="exact"/>
        <w:rPr>
          <w:sz w:val="20"/>
          <w:szCs w:val="20"/>
          <w:color w:val="auto"/>
        </w:rPr>
      </w:pPr>
    </w:p>
    <w:p>
      <w:pPr>
        <w:spacing w:after="0" w:line="217"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Material Adverse Change</w:t>
      </w:r>
      <w:r>
        <w:rPr>
          <w:rFonts w:ascii="Arial" w:cs="Arial" w:eastAsia="Arial" w:hAnsi="Arial"/>
          <w:sz w:val="19"/>
          <w:szCs w:val="19"/>
          <w:color w:val="auto"/>
        </w:rPr>
        <w:t xml:space="preserve"> ” shall mean any event, change, condition, occurrence, development or circumstance that, either individually or in the aggregate, has had or could reasonably be expected to have a Material Adverse Effect.</w:t>
      </w:r>
    </w:p>
    <w:p>
      <w:pPr>
        <w:spacing w:after="0" w:line="3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Material Adverse Effect</w:t>
      </w:r>
      <w:r>
        <w:rPr>
          <w:rFonts w:ascii="Arial" w:cs="Arial" w:eastAsia="Arial" w:hAnsi="Arial"/>
          <w:sz w:val="22"/>
          <w:szCs w:val="22"/>
          <w:color w:val="auto"/>
        </w:rPr>
        <w:t xml:space="preserve"> ”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w:t>
      </w:r>
    </w:p>
    <w:p>
      <w:pPr>
        <w:spacing w:after="0" w:line="200" w:lineRule="exact"/>
        <w:rPr>
          <w:sz w:val="20"/>
          <w:szCs w:val="20"/>
          <w:color w:val="auto"/>
        </w:rPr>
      </w:pPr>
    </w:p>
    <w:p>
      <w:pPr>
        <w:spacing w:after="0" w:line="203"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Material Indebtedness</w:t>
      </w:r>
      <w:r>
        <w:rPr>
          <w:rFonts w:ascii="Arial" w:cs="Arial" w:eastAsia="Arial" w:hAnsi="Arial"/>
          <w:sz w:val="22"/>
          <w:szCs w:val="22"/>
          <w:color w:val="auto"/>
        </w:rPr>
        <w:t xml:space="preserve"> ” shall mean Indebtedness of the Borrower and/or Guarantors (other than the Loans) outstanding under the same agreement in a principal amount exceeding $150,000,000.</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MBA</w:t>
      </w:r>
      <w:r>
        <w:rPr>
          <w:rFonts w:ascii="Arial" w:cs="Arial" w:eastAsia="Arial" w:hAnsi="Arial"/>
          <w:sz w:val="22"/>
          <w:szCs w:val="22"/>
          <w:color w:val="auto"/>
        </w:rPr>
        <w:t xml:space="preserve"> ” shall mean Morten Beyer &amp; Agnew.</w:t>
      </w:r>
    </w:p>
    <w:p>
      <w:pPr>
        <w:spacing w:after="0" w:line="200" w:lineRule="exact"/>
        <w:rPr>
          <w:sz w:val="20"/>
          <w:szCs w:val="20"/>
          <w:color w:val="auto"/>
        </w:rPr>
      </w:pPr>
    </w:p>
    <w:p>
      <w:pPr>
        <w:spacing w:after="0" w:line="235" w:lineRule="exact"/>
        <w:rPr>
          <w:sz w:val="20"/>
          <w:szCs w:val="20"/>
          <w:color w:val="auto"/>
        </w:rPr>
      </w:pPr>
    </w:p>
    <w:p>
      <w:pPr>
        <w:ind w:left="1300" w:right="2520"/>
        <w:spacing w:after="0" w:line="6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Minimum Extension Condition</w:t>
      </w:r>
      <w:r>
        <w:rPr>
          <w:rFonts w:ascii="Arial" w:cs="Arial" w:eastAsia="Arial" w:hAnsi="Arial"/>
          <w:sz w:val="22"/>
          <w:szCs w:val="22"/>
          <w:color w:val="auto"/>
        </w:rPr>
        <w:t xml:space="preserve"> ” shall have the meaning set forth in Section 2.28(c). “ </w:t>
      </w:r>
      <w:r>
        <w:rPr>
          <w:rFonts w:ascii="Arial" w:cs="Arial" w:eastAsia="Arial" w:hAnsi="Arial"/>
          <w:sz w:val="22"/>
          <w:szCs w:val="22"/>
          <w:i w:val="1"/>
          <w:iCs w:val="1"/>
          <w:color w:val="auto"/>
        </w:rPr>
        <w:t>Moody’s</w:t>
      </w:r>
      <w:r>
        <w:rPr>
          <w:rFonts w:ascii="Arial" w:cs="Arial" w:eastAsia="Arial" w:hAnsi="Arial"/>
          <w:sz w:val="22"/>
          <w:szCs w:val="22"/>
          <w:color w:val="auto"/>
        </w:rPr>
        <w:t xml:space="preserve"> ” shall mean Moody’s Investors Service, Inc.</w:t>
      </w:r>
    </w:p>
    <w:p>
      <w:pPr>
        <w:jc w:val="both"/>
        <w:ind w:firstLine="1296"/>
        <w:spacing w:after="0" w:line="261"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Net Proceeds</w:t>
      </w:r>
      <w:r>
        <w:rPr>
          <w:rFonts w:ascii="Arial" w:cs="Arial" w:eastAsia="Arial" w:hAnsi="Arial"/>
          <w:sz w:val="22"/>
          <w:szCs w:val="22"/>
          <w:color w:val="auto"/>
        </w:rPr>
        <w:t xml:space="preserve"> ”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w:t>
      </w:r>
      <w:r>
        <w:rPr>
          <w:rFonts w:ascii="MS PGothic" w:cs="MS PGothic" w:eastAsia="MS PGothic" w:hAnsi="MS PGothic"/>
          <w:sz w:val="22"/>
          <w:szCs w:val="22"/>
          <w:color w:val="auto"/>
        </w:rPr>
        <w:t>‑</w:t>
      </w:r>
      <w:r>
        <w:rPr>
          <w:rFonts w:ascii="Arial" w:cs="Arial" w:eastAsia="Arial" w:hAnsi="Arial"/>
          <w:sz w:val="22"/>
          <w:szCs w:val="22"/>
          <w:color w:val="auto"/>
        </w:rPr>
        <w:t>cash consideration received in any Disposition of Collateral) or Recovery</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28" w:name="page229"/>
    <w:bookmarkEnd w:id="228"/>
    <w:p>
      <w:pPr>
        <w:jc w:val="both"/>
        <w:spacing w:after="0" w:line="258" w:lineRule="exact"/>
        <w:rPr>
          <w:sz w:val="20"/>
          <w:szCs w:val="20"/>
          <w:color w:val="auto"/>
        </w:rPr>
      </w:pPr>
      <w:r>
        <w:rPr>
          <w:rFonts w:ascii="Arial" w:cs="Arial" w:eastAsia="Arial" w:hAnsi="Arial"/>
          <w:sz w:val="21"/>
          <w:szCs w:val="21"/>
          <w:color w:val="auto"/>
        </w:rPr>
        <w:t>Event, net of: (a) the direct costs and expenses relating to such Disposition of Collateral and incurred by Parent or a Restricted Subsidiary (including the sale or disposition of any such non</w:t>
      </w:r>
      <w:r>
        <w:rPr>
          <w:rFonts w:ascii="MS PGothic" w:cs="MS PGothic" w:eastAsia="MS PGothic" w:hAnsi="MS PGothic"/>
          <w:sz w:val="21"/>
          <w:szCs w:val="21"/>
          <w:color w:val="auto"/>
        </w:rPr>
        <w:t>‑</w:t>
      </w:r>
      <w:r>
        <w:rPr>
          <w:rFonts w:ascii="Arial" w:cs="Arial" w:eastAsia="Arial" w:hAnsi="Arial"/>
          <w:sz w:val="21"/>
          <w:szCs w:val="21"/>
          <w:color w:val="auto"/>
        </w:rPr>
        <w:t>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w:t>
      </w:r>
    </w:p>
    <w:p>
      <w:pPr>
        <w:spacing w:after="0" w:line="200" w:lineRule="exact"/>
        <w:rPr>
          <w:sz w:val="20"/>
          <w:szCs w:val="20"/>
          <w:color w:val="auto"/>
        </w:rPr>
      </w:pPr>
    </w:p>
    <w:p>
      <w:pPr>
        <w:spacing w:after="0" w:line="221" w:lineRule="exact"/>
        <w:rPr>
          <w:sz w:val="20"/>
          <w:szCs w:val="20"/>
          <w:color w:val="auto"/>
        </w:rPr>
      </w:pPr>
    </w:p>
    <w:p>
      <w:pPr>
        <w:ind w:left="1300" w:right="330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Net Proceeds Amount</w:t>
      </w:r>
      <w:r>
        <w:rPr>
          <w:rFonts w:ascii="Arial" w:cs="Arial" w:eastAsia="Arial" w:hAnsi="Arial"/>
          <w:sz w:val="19"/>
          <w:szCs w:val="19"/>
          <w:color w:val="auto"/>
        </w:rPr>
        <w:t xml:space="preserve"> ” shall have the meaning set forth in Section 2.12(a). “ </w:t>
      </w:r>
      <w:r>
        <w:rPr>
          <w:rFonts w:ascii="Arial" w:cs="Arial" w:eastAsia="Arial" w:hAnsi="Arial"/>
          <w:sz w:val="19"/>
          <w:szCs w:val="19"/>
          <w:i w:val="1"/>
          <w:iCs w:val="1"/>
          <w:color w:val="auto"/>
        </w:rPr>
        <w:t>New Lender</w:t>
      </w:r>
      <w:r>
        <w:rPr>
          <w:rFonts w:ascii="Arial" w:cs="Arial" w:eastAsia="Arial" w:hAnsi="Arial"/>
          <w:sz w:val="19"/>
          <w:szCs w:val="19"/>
          <w:color w:val="auto"/>
        </w:rPr>
        <w:t xml:space="preserve"> ” shall have the meaning set forth in Section 2.27(a).</w:t>
      </w:r>
    </w:p>
    <w:p>
      <w:pPr>
        <w:ind w:left="1300" w:right="1960"/>
        <w:spacing w:after="0" w:line="481" w:lineRule="exact"/>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Defaulting Lender</w:t>
      </w:r>
      <w:r>
        <w:rPr>
          <w:rFonts w:ascii="Arial" w:cs="Arial" w:eastAsia="Arial" w:hAnsi="Arial"/>
          <w:sz w:val="19"/>
          <w:szCs w:val="19"/>
          <w:color w:val="auto"/>
        </w:rPr>
        <w:t xml:space="preserve"> ” shall mean, at any time, a Lender that is not a Defaulting Lender. “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Extending Lender</w:t>
      </w:r>
      <w:r>
        <w:rPr>
          <w:rFonts w:ascii="Arial" w:cs="Arial" w:eastAsia="Arial" w:hAnsi="Arial"/>
          <w:sz w:val="19"/>
          <w:szCs w:val="19"/>
          <w:color w:val="auto"/>
        </w:rPr>
        <w:t xml:space="preserve"> ” shall have the meaning set forth in Section 10.08(g).</w:t>
      </w:r>
    </w:p>
    <w:p>
      <w:pPr>
        <w:spacing w:after="0" w:line="200" w:lineRule="exact"/>
        <w:rPr>
          <w:sz w:val="20"/>
          <w:szCs w:val="20"/>
          <w:color w:val="auto"/>
        </w:rPr>
      </w:pPr>
    </w:p>
    <w:p>
      <w:pPr>
        <w:spacing w:after="0" w:line="215" w:lineRule="exact"/>
        <w:rPr>
          <w:sz w:val="20"/>
          <w:szCs w:val="20"/>
          <w:color w:val="auto"/>
        </w:rPr>
      </w:pPr>
    </w:p>
    <w:p>
      <w:pPr>
        <w:ind w:left="1300" w:right="1600"/>
        <w:spacing w:after="0" w:line="481"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Non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Lender Secured Party</w:t>
      </w:r>
      <w:r>
        <w:rPr>
          <w:rFonts w:ascii="Arial" w:cs="Arial" w:eastAsia="Arial" w:hAnsi="Arial"/>
          <w:sz w:val="22"/>
          <w:szCs w:val="22"/>
          <w:color w:val="auto"/>
        </w:rPr>
        <w:t xml:space="preserve"> ” shall have the meaning provided in the SGR Security Agreement. “ </w:t>
      </w:r>
      <w:r>
        <w:rPr>
          <w:rFonts w:ascii="Arial" w:cs="Arial" w:eastAsia="Arial" w:hAnsi="Arial"/>
          <w:sz w:val="22"/>
          <w:szCs w:val="22"/>
          <w:i w:val="1"/>
          <w:iCs w:val="1"/>
          <w:color w:val="auto"/>
        </w:rPr>
        <w:t>Non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Recourse Debt</w:t>
      </w:r>
      <w:r>
        <w:rPr>
          <w:rFonts w:ascii="Arial" w:cs="Arial" w:eastAsia="Arial" w:hAnsi="Arial"/>
          <w:sz w:val="22"/>
          <w:szCs w:val="22"/>
          <w:color w:val="auto"/>
        </w:rPr>
        <w:t xml:space="preserve"> ” shall mean Indebtedness:</w:t>
      </w:r>
    </w:p>
    <w:p>
      <w:pPr>
        <w:spacing w:after="0" w:line="200" w:lineRule="exact"/>
        <w:rPr>
          <w:sz w:val="20"/>
          <w:szCs w:val="20"/>
          <w:color w:val="auto"/>
        </w:rPr>
      </w:pPr>
    </w:p>
    <w:p>
      <w:pPr>
        <w:spacing w:after="0" w:line="216" w:lineRule="exact"/>
        <w:rPr>
          <w:sz w:val="20"/>
          <w:szCs w:val="20"/>
          <w:color w:val="auto"/>
        </w:rPr>
      </w:pPr>
    </w:p>
    <w:p>
      <w:pPr>
        <w:jc w:val="both"/>
        <w:ind w:left="660" w:firstLine="644"/>
        <w:spacing w:after="0" w:line="253" w:lineRule="auto"/>
        <w:tabs>
          <w:tab w:leader="none" w:pos="187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as to which neither Parent nor any of its Restricted Subsidiaries (A) provides credit support of any kind (including any undertaking, agreement or instrument that would constitute Indebtedness) or (B) is directly or indirectly liable as a guarantor or otherwise; and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60" w:right="20" w:firstLine="644"/>
        <w:spacing w:after="0" w:line="287" w:lineRule="auto"/>
        <w:tabs>
          <w:tab w:leader="none" w:pos="1806" w:val="left"/>
        </w:tabs>
        <w:numPr>
          <w:ilvl w:val="0"/>
          <w:numId w:val="223"/>
        </w:numPr>
        <w:rPr>
          <w:rFonts w:ascii="Arial" w:cs="Arial" w:eastAsia="Arial" w:hAnsi="Arial"/>
          <w:sz w:val="21"/>
          <w:szCs w:val="21"/>
          <w:color w:val="auto"/>
        </w:rPr>
      </w:pPr>
      <w:r>
        <w:rPr>
          <w:rFonts w:ascii="Arial" w:cs="Arial" w:eastAsia="Arial" w:hAnsi="Arial"/>
          <w:sz w:val="21"/>
          <w:szCs w:val="21"/>
          <w:color w:val="auto"/>
        </w:rPr>
        <w:t>as to which the holders of such Indebtedness do not otherwise have recourse to the stock or assets of Parent or any of its Restricted Subsidiaries (other than the Equity Interests of an Unrestricted Subsidiary).</w:t>
      </w:r>
    </w:p>
    <w:p>
      <w:pPr>
        <w:spacing w:after="0" w:line="367" w:lineRule="exact"/>
        <w:rPr>
          <w:sz w:val="20"/>
          <w:szCs w:val="20"/>
          <w:color w:val="auto"/>
        </w:rPr>
      </w:pPr>
    </w:p>
    <w:p>
      <w:pPr>
        <w:jc w:val="both"/>
        <w:ind w:firstLine="1296"/>
        <w:spacing w:after="0" w:line="263"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Non</w:t>
      </w:r>
      <w:r>
        <w:rPr>
          <w:rFonts w:ascii="MS PGothic" w:cs="MS PGothic" w:eastAsia="MS PGothic" w:hAnsi="MS PGothic"/>
          <w:sz w:val="22"/>
          <w:szCs w:val="22"/>
          <w:i w:val="1"/>
          <w:iCs w:val="1"/>
          <w:color w:val="auto"/>
        </w:rPr>
        <w:t>‑</w:t>
      </w:r>
      <w:r>
        <w:rPr>
          <w:rFonts w:ascii="Arial" w:cs="Arial" w:eastAsia="Arial" w:hAnsi="Arial"/>
          <w:sz w:val="22"/>
          <w:szCs w:val="22"/>
          <w:i w:val="1"/>
          <w:iCs w:val="1"/>
          <w:color w:val="auto"/>
        </w:rPr>
        <w:t>Recourse Financing Subsidiary</w:t>
      </w:r>
      <w:r>
        <w:rPr>
          <w:rFonts w:ascii="Arial" w:cs="Arial" w:eastAsia="Arial" w:hAnsi="Arial"/>
          <w:sz w:val="22"/>
          <w:szCs w:val="22"/>
          <w:color w:val="auto"/>
        </w:rPr>
        <w:t xml:space="preserve"> ” shall mean any Unrestricted Subsidiary that (a) has no Indebtedness other than Non</w:t>
      </w:r>
      <w:r>
        <w:rPr>
          <w:rFonts w:ascii="MS PGothic" w:cs="MS PGothic" w:eastAsia="MS PGothic" w:hAnsi="MS PGothic"/>
          <w:sz w:val="22"/>
          <w:szCs w:val="22"/>
          <w:color w:val="auto"/>
        </w:rPr>
        <w:t>‑</w:t>
      </w:r>
      <w:r>
        <w:rPr>
          <w:rFonts w:ascii="Arial" w:cs="Arial" w:eastAsia="Arial" w:hAnsi="Arial"/>
          <w:sz w:val="22"/>
          <w:szCs w:val="22"/>
          <w:color w:val="auto"/>
        </w:rPr>
        <w:t>Recourse Debt and (b) engages in no activities other than those relating to the financing of specified assets and other activities incidental thereto.</w:t>
      </w:r>
    </w:p>
    <w:p>
      <w:pPr>
        <w:spacing w:after="0" w:line="200" w:lineRule="exact"/>
        <w:rPr>
          <w:sz w:val="20"/>
          <w:szCs w:val="20"/>
          <w:color w:val="auto"/>
        </w:rPr>
      </w:pPr>
    </w:p>
    <w:p>
      <w:pPr>
        <w:spacing w:after="0" w:line="214" w:lineRule="exact"/>
        <w:rPr>
          <w:sz w:val="20"/>
          <w:szCs w:val="20"/>
          <w:color w:val="auto"/>
        </w:rPr>
      </w:pPr>
    </w:p>
    <w:p>
      <w:pPr>
        <w:jc w:val="both"/>
        <w:ind w:firstLine="1296"/>
        <w:spacing w:after="0" w:line="260"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Obligations</w:t>
      </w:r>
      <w:r>
        <w:rPr>
          <w:rFonts w:ascii="Arial" w:cs="Arial" w:eastAsia="Arial" w:hAnsi="Arial"/>
          <w:sz w:val="22"/>
          <w:szCs w:val="22"/>
          <w:color w:val="auto"/>
        </w:rPr>
        <w:t xml:space="preserve"> ”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w:t>
      </w:r>
      <w:r>
        <w:rPr>
          <w:rFonts w:ascii="MS PGothic" w:cs="MS PGothic" w:eastAsia="MS PGothic" w:hAnsi="MS PGothic"/>
          <w:sz w:val="22"/>
          <w:szCs w:val="22"/>
          <w:color w:val="auto"/>
        </w:rPr>
        <w:t>‑</w:t>
      </w:r>
      <w:r>
        <w:rPr>
          <w:rFonts w:ascii="Arial" w:cs="Arial" w:eastAsia="Arial" w:hAnsi="Arial"/>
          <w:sz w:val="22"/>
          <w:szCs w:val="22"/>
          <w:color w:val="auto"/>
        </w:rPr>
        <w:t>filing or post</w:t>
      </w:r>
      <w:r>
        <w:rPr>
          <w:rFonts w:ascii="MS PGothic" w:cs="MS PGothic" w:eastAsia="MS PGothic" w:hAnsi="MS PGothic"/>
          <w:sz w:val="22"/>
          <w:szCs w:val="22"/>
          <w:color w:val="auto"/>
        </w:rPr>
        <w:t>‑</w:t>
      </w:r>
      <w:r>
        <w:rPr>
          <w:rFonts w:ascii="Arial" w:cs="Arial" w:eastAsia="Arial" w:hAnsi="Arial"/>
          <w:sz w:val="22"/>
          <w:szCs w:val="22"/>
          <w:color w:val="auto"/>
        </w:rPr>
        <w: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29" w:name="page230"/>
    <w:bookmarkEnd w:id="229"/>
    <w:p>
      <w:pPr>
        <w:spacing w:after="0" w:line="291" w:lineRule="auto"/>
        <w:rPr>
          <w:sz w:val="20"/>
          <w:szCs w:val="20"/>
          <w:color w:val="auto"/>
        </w:rPr>
      </w:pPr>
      <w:r>
        <w:rPr>
          <w:rFonts w:ascii="Arial" w:cs="Arial" w:eastAsia="Arial" w:hAnsi="Arial"/>
          <w:sz w:val="19"/>
          <w:szCs w:val="19"/>
          <w:color w:val="auto"/>
        </w:rPr>
        <w:t>or any Lender (or (i) in the case of Designated Hedging Obligations, any obligee with respect to such designated Hedging Obligations who was a Lender or an Affiliate of a Lender when the related Designated Hedging Agreement was entered into or</w:t>
      </w:r>
    </w:p>
    <w:p>
      <w:pPr>
        <w:spacing w:after="0" w:line="1" w:lineRule="exact"/>
        <w:rPr>
          <w:sz w:val="20"/>
          <w:szCs w:val="20"/>
          <w:color w:val="auto"/>
        </w:rPr>
      </w:pPr>
    </w:p>
    <w:p>
      <w:pPr>
        <w:jc w:val="both"/>
        <w:ind w:firstLine="8"/>
        <w:spacing w:after="0" w:line="256" w:lineRule="exact"/>
        <w:tabs>
          <w:tab w:leader="none" w:pos="362"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in the case of Designated Banking Product Obligations, any obligee with respect to such Designated Banking Product Obligations who was a Lender or a banking Affiliate of any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costs, and expenses (including all fees, charges and disbursements of counsel to any Agent, or any Lender that are required to be paid by the Borrower pursuant hereto)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in no event shall the Obligations include Excluded Swap Obligations.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OFAC</w:t>
      </w:r>
      <w:r>
        <w:rPr>
          <w:rFonts w:ascii="Arial" w:cs="Arial" w:eastAsia="Arial" w:hAnsi="Arial"/>
          <w:sz w:val="22"/>
          <w:szCs w:val="22"/>
          <w:color w:val="auto"/>
        </w:rPr>
        <w:t xml:space="preserve"> ” shall have the meaning set forth in Section 3.17.</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296"/>
        <w:spacing w:after="0" w:line="248"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Officer’s Certificate</w:t>
      </w:r>
      <w:r>
        <w:rPr>
          <w:rFonts w:ascii="Arial" w:cs="Arial" w:eastAsia="Arial" w:hAnsi="Arial"/>
          <w:sz w:val="22"/>
          <w:szCs w:val="22"/>
          <w:color w:val="auto"/>
        </w:rPr>
        <w:t xml:space="preserve"> ”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OID</w:t>
      </w:r>
      <w:r>
        <w:rPr>
          <w:rFonts w:ascii="Arial" w:cs="Arial" w:eastAsia="Arial" w:hAnsi="Arial"/>
          <w:sz w:val="22"/>
          <w:szCs w:val="22"/>
          <w:color w:val="auto"/>
        </w:rPr>
        <w:t xml:space="preserve"> ” shall have the meaning set forth in the definition of “All-In Initial Yield.”</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296"/>
        <w:spacing w:after="0" w:line="253"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Operating Lease</w:t>
      </w:r>
      <w:r>
        <w:rPr>
          <w:rFonts w:ascii="Arial" w:cs="Arial" w:eastAsia="Arial" w:hAnsi="Arial"/>
          <w:sz w:val="22"/>
          <w:szCs w:val="22"/>
          <w:color w:val="auto"/>
        </w:rPr>
        <w:t xml:space="preserve"> ” shall mean, as applied to any Person, any lease (including, without limitation, leases that may be terminated by the lessee at any time) of any property (whether real, personal or mixed) under which such Person is lessee, that is not a lease representing Capital Lease Obligations.</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firstLine="1296"/>
        <w:spacing w:after="0" w:line="291" w:lineRule="auto"/>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Ordinary Course of Business</w:t>
      </w:r>
      <w:r>
        <w:rPr>
          <w:rFonts w:ascii="Arial" w:cs="Arial" w:eastAsia="Arial" w:hAnsi="Arial"/>
          <w:sz w:val="19"/>
          <w:szCs w:val="19"/>
          <w:color w:val="auto"/>
        </w:rPr>
        <w:t xml:space="preserve"> ” shall mean with respect to Parent or any of its Subsidiaries, (a) in the ordinary course of business of, or in furtherance of an objective that is in the ordinary course of business of, Parent and its Subsidiaries,</w:t>
      </w:r>
    </w:p>
    <w:p>
      <w:pPr>
        <w:spacing w:after="0" w:line="1" w:lineRule="exact"/>
        <w:rPr>
          <w:rFonts w:ascii="Arial" w:cs="Arial" w:eastAsia="Arial" w:hAnsi="Arial"/>
          <w:sz w:val="19"/>
          <w:szCs w:val="19"/>
          <w:color w:val="auto"/>
        </w:rPr>
      </w:pPr>
    </w:p>
    <w:p>
      <w:pPr>
        <w:ind w:firstLine="8"/>
        <w:spacing w:after="0" w:line="246" w:lineRule="auto"/>
        <w:tabs>
          <w:tab w:leader="none" w:pos="31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customary and usual in the commercial airline industry in the United States or (c) consistent with the past or current practice of one or more commercial air carriers in the United States.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Original Term Loans</w:t>
      </w:r>
      <w:r>
        <w:rPr>
          <w:rFonts w:ascii="Arial" w:cs="Arial" w:eastAsia="Arial" w:hAnsi="Arial"/>
          <w:sz w:val="22"/>
          <w:szCs w:val="22"/>
          <w:color w:val="auto"/>
        </w:rPr>
        <w:t xml:space="preserve"> ” shall have the meaning set forth in Section 2.27(c)(iv).</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firstLine="1296"/>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Other Intercreditor Agreement</w:t>
      </w:r>
      <w:r>
        <w:rPr>
          <w:rFonts w:ascii="Arial" w:cs="Arial" w:eastAsia="Arial" w:hAnsi="Arial"/>
          <w:sz w:val="22"/>
          <w:szCs w:val="22"/>
          <w:color w:val="auto"/>
        </w:rPr>
        <w:t xml:space="preserve"> ” shall mean an intercreditor agreement in form and substance reasonably satisfactory to the Borrower and the Administrative Agent.</w:t>
      </w:r>
    </w:p>
    <w:p>
      <w:pPr>
        <w:spacing w:after="0" w:line="390" w:lineRule="exact"/>
        <w:rPr>
          <w:rFonts w:ascii="Arial" w:cs="Arial" w:eastAsia="Arial" w:hAnsi="Arial"/>
          <w:sz w:val="22"/>
          <w:szCs w:val="22"/>
          <w:color w:val="auto"/>
        </w:rPr>
      </w:pPr>
    </w:p>
    <w:p>
      <w:pPr>
        <w:jc w:val="both"/>
        <w:ind w:firstLine="1296"/>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Other Taxes</w:t>
      </w:r>
      <w:r>
        <w:rPr>
          <w:rFonts w:ascii="Arial" w:cs="Arial" w:eastAsia="Arial" w:hAnsi="Arial"/>
          <w:sz w:val="22"/>
          <w:szCs w:val="22"/>
          <w:color w:val="auto"/>
        </w:rPr>
        <w:t xml:space="preserve"> ”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30" w:name="page231"/>
    <w:bookmarkEnd w:id="230"/>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PAC</w:t>
      </w:r>
      <w:r>
        <w:rPr>
          <w:rFonts w:ascii="Arial" w:cs="Arial" w:eastAsia="Arial" w:hAnsi="Arial"/>
          <w:sz w:val="22"/>
          <w:szCs w:val="22"/>
          <w:color w:val="auto"/>
        </w:rPr>
        <w:t xml:space="preserve"> ” shall mean Panum Aviation Consulting.</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Parent</w:t>
      </w:r>
      <w:r>
        <w:rPr>
          <w:rFonts w:ascii="Arial" w:cs="Arial" w:eastAsia="Arial" w:hAnsi="Arial"/>
          <w:sz w:val="22"/>
          <w:szCs w:val="22"/>
          <w:color w:val="auto"/>
        </w:rPr>
        <w:t xml:space="preserve"> ” shall have the meaning set forth in the preamble to this Agreement.</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Pari Passu Notes</w:t>
      </w:r>
      <w:r>
        <w:rPr>
          <w:rFonts w:ascii="Arial" w:cs="Arial" w:eastAsia="Arial" w:hAnsi="Arial"/>
          <w:sz w:val="19"/>
          <w:szCs w:val="19"/>
          <w:color w:val="auto"/>
        </w:rPr>
        <w:t xml:space="preserve"> ” shall mean Indebtedness of the Borrower or any Guarantor in the form of senior secured 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(i) less than 2.00 to 1.0 with respect to Collateral secured pursuant to the First Lien SGR Security Agreement or (ii) less than 1.33 to 1.0 with respect to Collateral secured pursuant to the Second Lien SGR Security Agreement, and the aggregate amount of Liquidity shall be no less than $2,000,000,000; (ii) such Indebtedness is secured only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the Facility pursuant to the Collateral Documents; (iii) such Indebtedness shall benefit only from substantially the same guarantees as the guarantees of the Facility provided hereunder; (iv) such Indebtedness matures no earlier than the Term Loan Maturity Date, (v) such Indebtedness shall have a Weighted Average Life to Maturity that is not shorter than the Weighted Average Life to Maturity of the Facility and</w:t>
      </w:r>
    </w:p>
    <w:p>
      <w:pPr>
        <w:spacing w:after="0" w:line="6" w:lineRule="exact"/>
        <w:rPr>
          <w:sz w:val="20"/>
          <w:szCs w:val="20"/>
          <w:color w:val="auto"/>
        </w:rPr>
      </w:pPr>
    </w:p>
    <w:p>
      <w:pPr>
        <w:ind w:firstLine="8"/>
        <w:spacing w:after="0" w:line="246" w:lineRule="auto"/>
        <w:tabs>
          <w:tab w:leader="none" w:pos="396" w:val="left"/>
        </w:tabs>
        <w:numPr>
          <w:ilvl w:val="0"/>
          <w:numId w:val="227"/>
        </w:numPr>
        <w:rPr>
          <w:rFonts w:ascii="Arial" w:cs="Arial" w:eastAsia="Arial" w:hAnsi="Arial"/>
          <w:sz w:val="22"/>
          <w:szCs w:val="22"/>
          <w:color w:val="auto"/>
        </w:rPr>
      </w:pPr>
      <w:r>
        <w:rPr>
          <w:rFonts w:ascii="Arial" w:cs="Arial" w:eastAsia="Arial" w:hAnsi="Arial"/>
          <w:sz w:val="22"/>
          <w:szCs w:val="22"/>
          <w:color w:val="auto"/>
        </w:rPr>
        <w:t>such Indebtedness constitutes “Priority Lien Debt” as defined under, and in accordance with the terms of, the Collateral Documents.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Pari Passu Senior Secured Debt</w:t>
      </w:r>
      <w:r>
        <w:rPr>
          <w:rFonts w:ascii="Arial" w:cs="Arial" w:eastAsia="Arial" w:hAnsi="Arial"/>
          <w:sz w:val="19"/>
          <w:szCs w:val="19"/>
          <w:color w:val="auto"/>
        </w:rPr>
        <w:t xml:space="preserve"> ” shall mean any Pari Passu Notes (and any Guarantee thereof by the Borrower</w:t>
      </w:r>
    </w:p>
    <w:p>
      <w:pPr>
        <w:spacing w:after="0" w:line="5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or Parent).</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Participant</w:t>
      </w:r>
      <w:r>
        <w:rPr>
          <w:rFonts w:ascii="Arial" w:cs="Arial" w:eastAsia="Arial" w:hAnsi="Arial"/>
          <w:sz w:val="22"/>
          <w:szCs w:val="22"/>
          <w:color w:val="auto"/>
        </w:rPr>
        <w:t xml:space="preserve"> ” shall have the meaning set forth in Section 10.02(d)(i).</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Participant Register</w:t>
      </w:r>
      <w:r>
        <w:rPr>
          <w:rFonts w:ascii="Arial" w:cs="Arial" w:eastAsia="Arial" w:hAnsi="Arial"/>
          <w:sz w:val="22"/>
          <w:szCs w:val="22"/>
          <w:color w:val="auto"/>
        </w:rPr>
        <w:t xml:space="preserve"> ” shall have the meaning set forth in Section 10.02(d)(i).</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firstLine="1296"/>
        <w:spacing w:after="0" w:line="265" w:lineRule="exact"/>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Patriot Act</w:t>
      </w:r>
      <w:r>
        <w:rPr>
          <w:rFonts w:ascii="Arial" w:cs="Arial" w:eastAsia="Arial" w:hAnsi="Arial"/>
          <w:sz w:val="19"/>
          <w:szCs w:val="19"/>
          <w:color w:val="auto"/>
        </w:rPr>
        <w:t xml:space="preserve"> ” shall mean the USA Patriot Act, Title III of Pub. L. 107</w:t>
      </w:r>
      <w:r>
        <w:rPr>
          <w:rFonts w:ascii="MS PGothic" w:cs="MS PGothic" w:eastAsia="MS PGothic" w:hAnsi="MS PGothic"/>
          <w:sz w:val="19"/>
          <w:szCs w:val="19"/>
          <w:color w:val="auto"/>
        </w:rPr>
        <w:t>‑</w:t>
      </w:r>
      <w:r>
        <w:rPr>
          <w:rFonts w:ascii="Arial" w:cs="Arial" w:eastAsia="Arial" w:hAnsi="Arial"/>
          <w:sz w:val="19"/>
          <w:szCs w:val="19"/>
          <w:color w:val="auto"/>
        </w:rPr>
        <w:t>56, signed into law on October 26, 2001 and any subsequent legislation that amends or supplements such Act or any subsequent legislation that supersedes such Act.</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Payroll Accounts</w:t>
      </w:r>
      <w:r>
        <w:rPr>
          <w:rFonts w:ascii="Arial" w:cs="Arial" w:eastAsia="Arial" w:hAnsi="Arial"/>
          <w:sz w:val="22"/>
          <w:szCs w:val="22"/>
          <w:color w:val="auto"/>
        </w:rPr>
        <w:t xml:space="preserve"> ” shall mean depository accounts used only for payroll.</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firstLine="1296"/>
        <w:spacing w:after="0" w:line="261"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Permitted Bond Hedge Transaction</w:t>
      </w:r>
      <w:r>
        <w:rPr>
          <w:rFonts w:ascii="Arial" w:cs="Arial" w:eastAsia="Arial" w:hAnsi="Arial"/>
          <w:sz w:val="21"/>
          <w:szCs w:val="21"/>
          <w:color w:val="auto"/>
        </w:rPr>
        <w:t xml:space="preserve"> ” shall mean any call or capped call option (or substantively equivalent derivative transaction) on Parent’s common stock purchased by the issuer of any Convertible Indebtedness in connection with the issuance of any such Convertible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w:t>
      </w:r>
    </w:p>
    <w:p>
      <w:pPr>
        <w:spacing w:after="0" w:line="395" w:lineRule="exact"/>
        <w:rPr>
          <w:rFonts w:ascii="Arial" w:cs="Arial" w:eastAsia="Arial" w:hAnsi="Arial"/>
          <w:sz w:val="22"/>
          <w:szCs w:val="22"/>
          <w:color w:val="auto"/>
        </w:rPr>
      </w:pPr>
    </w:p>
    <w:p>
      <w:pPr>
        <w:jc w:val="both"/>
        <w:ind w:firstLine="1296"/>
        <w:spacing w:after="0" w:line="25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Business</w:t>
      </w:r>
      <w:r>
        <w:rPr>
          <w:rFonts w:ascii="Arial" w:cs="Arial" w:eastAsia="Arial" w:hAnsi="Arial"/>
          <w:sz w:val="22"/>
          <w:szCs w:val="22"/>
          <w:color w:val="auto"/>
        </w:rPr>
        <w:t xml:space="preserve"> ” shall mean any business that is similar, or reasonably related, ancillary, supportive or complementary to, or any reasonable extension of the businesses in which Parent and its Restricted Subsidiaries are engaged on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31" w:name="page232"/>
    <w:bookmarkEnd w:id="231"/>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Convertible Indebtedness Call Transaction</w:t>
      </w:r>
      <w:r>
        <w:rPr>
          <w:rFonts w:ascii="Arial" w:cs="Arial" w:eastAsia="Arial" w:hAnsi="Arial"/>
          <w:sz w:val="22"/>
          <w:szCs w:val="22"/>
          <w:color w:val="auto"/>
        </w:rPr>
        <w:t xml:space="preserve"> ” shall mean any Permitted Bond Hedge Transaction and any Permitted Warrant Transaction.</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Disposition</w:t>
      </w:r>
      <w:r>
        <w:rPr>
          <w:rFonts w:ascii="Arial" w:cs="Arial" w:eastAsia="Arial" w:hAnsi="Arial"/>
          <w:sz w:val="22"/>
          <w:szCs w:val="22"/>
          <w:color w:val="auto"/>
        </w:rPr>
        <w:t xml:space="preserve"> ” shall mean, with respect to Dispositions of Collateral, any of the following:</w:t>
      </w:r>
    </w:p>
    <w:p>
      <w:pPr>
        <w:spacing w:after="0" w:line="200" w:lineRule="exact"/>
        <w:rPr>
          <w:sz w:val="20"/>
          <w:szCs w:val="20"/>
          <w:color w:val="auto"/>
        </w:rPr>
      </w:pPr>
    </w:p>
    <w:p>
      <w:pPr>
        <w:spacing w:after="0" w:line="236" w:lineRule="exact"/>
        <w:rPr>
          <w:sz w:val="20"/>
          <w:szCs w:val="20"/>
          <w:color w:val="auto"/>
        </w:rPr>
      </w:pPr>
    </w:p>
    <w:p>
      <w:pPr>
        <w:ind w:left="660" w:firstLine="644"/>
        <w:spacing w:after="0" w:line="263" w:lineRule="auto"/>
        <w:tabs>
          <w:tab w:leader="none" w:pos="1841"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any single transaction or series of related transactions that involves the Disposition of assets having a Fair Market Value of less than $50,000,000 during any six-month period;</w:t>
      </w:r>
    </w:p>
    <w:p>
      <w:pPr>
        <w:spacing w:after="0" w:line="390" w:lineRule="exact"/>
        <w:rPr>
          <w:rFonts w:ascii="Arial" w:cs="Arial" w:eastAsia="Arial" w:hAnsi="Arial"/>
          <w:sz w:val="22"/>
          <w:szCs w:val="22"/>
          <w:color w:val="auto"/>
        </w:rPr>
      </w:pPr>
    </w:p>
    <w:p>
      <w:pPr>
        <w:jc w:val="both"/>
        <w:ind w:left="660" w:firstLine="644"/>
        <w:spacing w:after="0" w:line="286" w:lineRule="auto"/>
        <w:tabs>
          <w:tab w:leader="none" w:pos="1935"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Dispositions between or among any of Parent and any of its Restricted Subsidiaries that are Grantors (including any Person that shall become a Grantor simultaneous with such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Collateral Agent, concurrently with, or promptly after, such Disposition, the Collateral Agent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4.01(e)(i)), and (y) in the case of any other Collateral, as to the creation and perfection of the Lien of such security agreement or mortgage, as applicable, in form and substance reasonably satisfactory to the Collateral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following such Disposition, such Collateral is subject to a Lien with the priority and perfection required by the applicable Collateral Document immediately prior to such Disposition (and otherwise subject only to Permitted Liens) in favor of the Collateral Agent or trustee (as applicable) for the benefit of the Secured Parties;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780" w:hanging="476"/>
        <w:spacing w:after="0"/>
        <w:tabs>
          <w:tab w:leader="none" w:pos="178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any Liens not prohibited by Section 6.06;</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firstLine="644"/>
        <w:spacing w:after="0" w:line="263" w:lineRule="auto"/>
        <w:tabs>
          <w:tab w:leader="none" w:pos="1953" w:val="left"/>
        </w:tabs>
        <w:numPr>
          <w:ilvl w:val="0"/>
          <w:numId w:val="229"/>
        </w:numPr>
        <w:rPr>
          <w:rFonts w:ascii="Arial" w:cs="Arial" w:eastAsia="Arial" w:hAnsi="Arial"/>
          <w:sz w:val="22"/>
          <w:szCs w:val="22"/>
          <w:color w:val="auto"/>
        </w:rPr>
      </w:pPr>
      <w:r>
        <w:rPr>
          <w:rFonts w:ascii="Arial" w:cs="Arial" w:eastAsia="Arial" w:hAnsi="Arial"/>
          <w:sz w:val="22"/>
          <w:szCs w:val="22"/>
          <w:color w:val="auto"/>
        </w:rPr>
        <w:t>Disposition of cash or Cash Equivalents in exchange for other cash or Cash Equivalents constituting Collateral and having reasonably equivalent value therefor;</w:t>
      </w:r>
    </w:p>
    <w:p>
      <w:pPr>
        <w:spacing w:after="0" w:line="390" w:lineRule="exact"/>
        <w:rPr>
          <w:rFonts w:ascii="Arial" w:cs="Arial" w:eastAsia="Arial" w:hAnsi="Arial"/>
          <w:sz w:val="22"/>
          <w:szCs w:val="22"/>
          <w:color w:val="auto"/>
        </w:rPr>
      </w:pPr>
    </w:p>
    <w:p>
      <w:pPr>
        <w:jc w:val="both"/>
        <w:ind w:left="660" w:firstLine="644"/>
        <w:spacing w:after="0" w:line="253" w:lineRule="auto"/>
        <w:tabs>
          <w:tab w:leader="none" w:pos="192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the abandonment or Disposition of assets no longer useful or used in the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abandonment or Disposition is (A) in the Ordinary Course of Business and (B) with respect to assets that are not material to the business of Parent and its Restricted Subsidiaries taken as a whole;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660" w:firstLine="644"/>
        <w:spacing w:after="0" w:line="248" w:lineRule="auto"/>
        <w:tabs>
          <w:tab w:leader="none" w:pos="1926"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xml:space="preserve">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 </w:t>
      </w:r>
      <w:r>
        <w:rPr>
          <w:rFonts w:ascii="Arial" w:cs="Arial" w:eastAsia="Arial" w:hAnsi="Arial"/>
          <w:sz w:val="22"/>
          <w:szCs w:val="22"/>
          <w:i w:val="1"/>
          <w:iCs w:val="1"/>
          <w:color w:val="auto"/>
        </w:rPr>
        <w:t>Leased Collateral</w:t>
      </w:r>
      <w:r>
        <w:rPr>
          <w:rFonts w:ascii="Arial" w:cs="Arial" w:eastAsia="Arial" w:hAnsi="Arial"/>
          <w:sz w:val="22"/>
          <w:szCs w:val="22"/>
          <w:color w:val="auto"/>
        </w:rPr>
        <w:t xml:space="preserve"> ”), (A) such transaction has a term of one year or less, or in the case of Leased Collateral comprised of Pledged Slots (“ </w:t>
      </w:r>
      <w:r>
        <w:rPr>
          <w:rFonts w:ascii="Arial" w:cs="Arial" w:eastAsia="Arial" w:hAnsi="Arial"/>
          <w:sz w:val="22"/>
          <w:szCs w:val="22"/>
          <w:i w:val="1"/>
          <w:iCs w:val="1"/>
          <w:color w:val="auto"/>
        </w:rPr>
        <w:t>Leased Slots</w:t>
      </w:r>
      <w:r>
        <w:rPr>
          <w:rFonts w:ascii="Arial" w:cs="Arial" w:eastAsia="Arial" w:hAnsi="Arial"/>
          <w:sz w:val="22"/>
          <w:szCs w:val="22"/>
          <w:color w:val="auto"/>
        </w:rPr>
        <w:t xml:space="preserve"> ”), does not extend beyond three comparable IATA traffic</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32" w:name="page233"/>
    <w:bookmarkEnd w:id="232"/>
    <w:p>
      <w:pPr>
        <w:jc w:val="both"/>
        <w:ind w:left="4"/>
        <w:spacing w:after="0" w:line="284" w:lineRule="auto"/>
        <w:rPr>
          <w:sz w:val="20"/>
          <w:szCs w:val="20"/>
          <w:color w:val="auto"/>
        </w:rPr>
      </w:pPr>
      <w:r>
        <w:rPr>
          <w:rFonts w:ascii="Arial" w:cs="Arial" w:eastAsia="Arial" w:hAnsi="Arial"/>
          <w:sz w:val="19"/>
          <w:szCs w:val="19"/>
          <w:color w:val="auto"/>
        </w:rPr>
        <w:t xml:space="preserve">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(i) 2.00 to 1.0 with respect to Collateral secured pursuant to the First Lien SGR Security Agreement or (ii) less than 1.33 to 1.0 with respect to Collateral secured pursuant to the Second Lien SGR Security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Leased Collateral is comprised of one or more Leased Slots,</w:t>
      </w:r>
    </w:p>
    <w:p>
      <w:pPr>
        <w:spacing w:after="0" w:line="2" w:lineRule="exact"/>
        <w:rPr>
          <w:sz w:val="20"/>
          <w:szCs w:val="20"/>
          <w:color w:val="auto"/>
        </w:rPr>
      </w:pPr>
    </w:p>
    <w:p>
      <w:pPr>
        <w:jc w:val="both"/>
        <w:ind w:left="4" w:hanging="4"/>
        <w:spacing w:after="0" w:line="257" w:lineRule="auto"/>
        <w:tabs>
          <w:tab w:leader="none" w:pos="338" w:val="left"/>
        </w:tabs>
        <w:numPr>
          <w:ilvl w:val="0"/>
          <w:numId w:val="230"/>
        </w:numPr>
        <w:rPr>
          <w:rFonts w:ascii="Arial" w:cs="Arial" w:eastAsia="Arial" w:hAnsi="Arial"/>
          <w:sz w:val="21"/>
          <w:szCs w:val="21"/>
          <w:color w:val="auto"/>
        </w:rPr>
      </w:pPr>
      <w:r>
        <w:rPr>
          <w:rFonts w:ascii="Arial" w:cs="Arial" w:eastAsia="Arial" w:hAnsi="Arial"/>
          <w:sz w:val="21"/>
          <w:szCs w:val="21"/>
          <w:color w:val="auto"/>
        </w:rPr>
        <w:t xml:space="preserve">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Agent’s Liens on such Collateral are not materially adversely affected by such transaction;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certification in this clause (ii) shall not be required with respect to any Leased Collateral comprised of Slots or Foreign Gate Leaseholds and (iii) no Event of Default exists at the time of such transaction;</w:t>
      </w:r>
    </w:p>
    <w:p>
      <w:pPr>
        <w:spacing w:after="0" w:line="397" w:lineRule="exact"/>
        <w:rPr>
          <w:rFonts w:ascii="Arial" w:cs="Arial" w:eastAsia="Arial" w:hAnsi="Arial"/>
          <w:sz w:val="21"/>
          <w:szCs w:val="21"/>
          <w:color w:val="auto"/>
        </w:rPr>
      </w:pPr>
    </w:p>
    <w:p>
      <w:pPr>
        <w:jc w:val="both"/>
        <w:ind w:left="4" w:firstLine="644"/>
        <w:spacing w:after="0" w:line="260" w:lineRule="auto"/>
        <w:tabs>
          <w:tab w:leader="none" w:pos="1196" w:val="left"/>
        </w:tabs>
        <w:numPr>
          <w:ilvl w:val="1"/>
          <w:numId w:val="230"/>
        </w:numPr>
        <w:rPr>
          <w:rFonts w:ascii="Arial" w:cs="Arial" w:eastAsia="Arial" w:hAnsi="Arial"/>
          <w:sz w:val="21"/>
          <w:szCs w:val="21"/>
          <w:color w:val="auto"/>
        </w:rPr>
      </w:pPr>
      <w:r>
        <w:rPr>
          <w:rFonts w:ascii="Arial" w:cs="Arial" w:eastAsia="Arial" w:hAnsi="Arial"/>
          <w:sz w:val="21"/>
          <w:szCs w:val="21"/>
          <w:color w:val="auto"/>
        </w:rPr>
        <w:t xml:space="preserve">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w:t>
      </w:r>
    </w:p>
    <w:p>
      <w:pPr>
        <w:spacing w:after="0" w:line="396" w:lineRule="exact"/>
        <w:rPr>
          <w:rFonts w:ascii="Arial" w:cs="Arial" w:eastAsia="Arial" w:hAnsi="Arial"/>
          <w:sz w:val="21"/>
          <w:szCs w:val="21"/>
          <w:color w:val="auto"/>
        </w:rPr>
      </w:pPr>
    </w:p>
    <w:p>
      <w:pPr>
        <w:jc w:val="both"/>
        <w:ind w:left="4" w:firstLine="644"/>
        <w:spacing w:after="0" w:line="287" w:lineRule="auto"/>
        <w:tabs>
          <w:tab w:leader="none" w:pos="1219"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w:t>
      </w:r>
    </w:p>
    <w:p>
      <w:pPr>
        <w:spacing w:after="0" w:line="200" w:lineRule="exact"/>
        <w:rPr>
          <w:sz w:val="20"/>
          <w:szCs w:val="20"/>
          <w:color w:val="auto"/>
        </w:rPr>
      </w:pPr>
    </w:p>
    <w:p>
      <w:pPr>
        <w:spacing w:after="0" w:line="39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80" w:right="339" w:bottom="1440" w:gutter="0" w:footer="0" w:header="0"/>
        </w:sectPr>
      </w:pPr>
    </w:p>
    <w:bookmarkStart w:id="233" w:name="page234"/>
    <w:bookmarkEnd w:id="233"/>
    <w:p>
      <w:pPr>
        <w:jc w:val="both"/>
        <w:ind w:firstLine="644"/>
        <w:spacing w:after="0" w:line="253" w:lineRule="auto"/>
        <w:tabs>
          <w:tab w:leader="none" w:pos="1167"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any Disposition of property resulting from an event of loss with respect to any aircraft, airframe, engine or spare engine if the Grantor is replacing such aircraft, airframe, engine or spare engine in accordance with the terms of the applicable Aircraft Security Agreement; and</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644"/>
        <w:spacing w:after="0" w:line="253" w:lineRule="auto"/>
        <w:tabs>
          <w:tab w:leader="none" w:pos="1224" w:val="left"/>
        </w:tabs>
        <w:numPr>
          <w:ilvl w:val="0"/>
          <w:numId w:val="231"/>
        </w:numPr>
        <w:rPr>
          <w:rFonts w:ascii="Arial" w:cs="Arial" w:eastAsia="Arial" w:hAnsi="Arial"/>
          <w:sz w:val="22"/>
          <w:szCs w:val="22"/>
          <w:color w:val="auto"/>
        </w:rPr>
      </w:pPr>
      <w:r>
        <w:rPr>
          <w:rFonts w:ascii="Arial" w:cs="Arial" w:eastAsia="Arial" w:hAnsi="Arial"/>
          <w:sz w:val="22"/>
          <w:szCs w:val="22"/>
          <w:color w:val="auto"/>
        </w:rPr>
        <w:t>any Disposition of Collateral permitted by any of the Collateral Documents (to the extent such permission is not made by cross-reference to, or incorporation by reference of, a Disposition of Collateral permitted under Section 6.04(ii)).</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Investments</w:t>
      </w:r>
      <w:r>
        <w:rPr>
          <w:rFonts w:ascii="Arial" w:cs="Arial" w:eastAsia="Arial" w:hAnsi="Arial"/>
          <w:sz w:val="22"/>
          <w:szCs w:val="22"/>
          <w:color w:val="auto"/>
        </w:rPr>
        <w:t xml:space="preserve"> ” shall mean:</w:t>
      </w:r>
    </w:p>
    <w:p>
      <w:pPr>
        <w:spacing w:after="0" w:line="200" w:lineRule="exact"/>
        <w:rPr>
          <w:sz w:val="20"/>
          <w:szCs w:val="20"/>
          <w:color w:val="auto"/>
        </w:rPr>
      </w:pPr>
    </w:p>
    <w:p>
      <w:pPr>
        <w:spacing w:after="0" w:line="236" w:lineRule="exact"/>
        <w:rPr>
          <w:sz w:val="20"/>
          <w:szCs w:val="20"/>
          <w:color w:val="auto"/>
        </w:rPr>
      </w:pPr>
    </w:p>
    <w:p>
      <w:pPr>
        <w:ind w:left="1120" w:hanging="476"/>
        <w:spacing w:after="0"/>
        <w:tabs>
          <w:tab w:leader="none" w:pos="112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any Investment in Parent or in a Restricted Subsidiary of Parent;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120" w:hanging="476"/>
        <w:spacing w:after="0"/>
        <w:tabs>
          <w:tab w:leader="none" w:pos="112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any Investment in cash, Cash Equivalents and any foreign equivalents;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hanging="656"/>
        <w:spacing w:after="0"/>
        <w:tabs>
          <w:tab w:leader="none" w:pos="130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any Investment by Parent or any Restricted Subsidiary of Parent in a Person, if as a result of such</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Investment:</w:t>
      </w:r>
    </w:p>
    <w:p>
      <w:pPr>
        <w:spacing w:after="0" w:line="200" w:lineRule="exact"/>
        <w:rPr>
          <w:rFonts w:ascii="Arial" w:cs="Arial" w:eastAsia="Arial" w:hAnsi="Arial"/>
          <w:sz w:val="21"/>
          <w:szCs w:val="21"/>
          <w:color w:val="auto"/>
        </w:rPr>
      </w:pPr>
    </w:p>
    <w:p>
      <w:pPr>
        <w:spacing w:after="0" w:line="217" w:lineRule="exact"/>
        <w:rPr>
          <w:rFonts w:ascii="Arial" w:cs="Arial" w:eastAsia="Arial" w:hAnsi="Arial"/>
          <w:sz w:val="21"/>
          <w:szCs w:val="21"/>
          <w:color w:val="auto"/>
        </w:rPr>
      </w:pPr>
    </w:p>
    <w:p>
      <w:pPr>
        <w:ind w:left="1940" w:hanging="648"/>
        <w:spacing w:after="0"/>
        <w:tabs>
          <w:tab w:leader="none" w:pos="1940" w:val="left"/>
        </w:tabs>
        <w:numPr>
          <w:ilvl w:val="1"/>
          <w:numId w:val="233"/>
        </w:numPr>
        <w:rPr>
          <w:rFonts w:ascii="Arial" w:cs="Arial" w:eastAsia="Arial" w:hAnsi="Arial"/>
          <w:sz w:val="22"/>
          <w:szCs w:val="22"/>
          <w:color w:val="auto"/>
        </w:rPr>
      </w:pPr>
      <w:r>
        <w:rPr>
          <w:rFonts w:ascii="Arial" w:cs="Arial" w:eastAsia="Arial" w:hAnsi="Arial"/>
          <w:sz w:val="22"/>
          <w:szCs w:val="22"/>
          <w:color w:val="auto"/>
        </w:rPr>
        <w:t>such Person becomes a Restricted Subsidiary of Parent; or</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1940" w:hanging="648"/>
        <w:spacing w:after="0" w:line="312" w:lineRule="auto"/>
        <w:tabs>
          <w:tab w:leader="none" w:pos="1940" w:val="left"/>
        </w:tabs>
        <w:numPr>
          <w:ilvl w:val="1"/>
          <w:numId w:val="233"/>
        </w:numPr>
        <w:rPr>
          <w:rFonts w:ascii="Arial" w:cs="Arial" w:eastAsia="Arial" w:hAnsi="Arial"/>
          <w:sz w:val="19"/>
          <w:szCs w:val="19"/>
          <w:color w:val="auto"/>
        </w:rPr>
      </w:pPr>
      <w:r>
        <w:rPr>
          <w:rFonts w:ascii="Arial" w:cs="Arial" w:eastAsia="Arial" w:hAnsi="Arial"/>
          <w:sz w:val="19"/>
          <w:szCs w:val="19"/>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349" w:lineRule="exact"/>
        <w:rPr>
          <w:rFonts w:ascii="Arial" w:cs="Arial" w:eastAsia="Arial" w:hAnsi="Arial"/>
          <w:sz w:val="19"/>
          <w:szCs w:val="19"/>
          <w:color w:val="auto"/>
        </w:rPr>
      </w:pPr>
    </w:p>
    <w:p>
      <w:pPr>
        <w:ind w:left="1120" w:hanging="476"/>
        <w:spacing w:after="0" w:line="219" w:lineRule="exact"/>
        <w:tabs>
          <w:tab w:leader="none" w:pos="112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any Investment made as a result of the receipt of non</w:t>
      </w:r>
      <w:r>
        <w:rPr>
          <w:rFonts w:ascii="MS PGothic" w:cs="MS PGothic" w:eastAsia="MS PGothic" w:hAnsi="MS PGothic"/>
          <w:sz w:val="19"/>
          <w:szCs w:val="19"/>
          <w:color w:val="auto"/>
        </w:rPr>
        <w:t>‑</w:t>
      </w:r>
      <w:r>
        <w:rPr>
          <w:rFonts w:ascii="Arial" w:cs="Arial" w:eastAsia="Arial" w:hAnsi="Arial"/>
          <w:sz w:val="19"/>
          <w:szCs w:val="19"/>
          <w:color w:val="auto"/>
        </w:rPr>
        <w:t>cash consideration from a Disposition of assets;</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ind w:left="1120" w:hanging="476"/>
        <w:spacing w:after="0"/>
        <w:tabs>
          <w:tab w:leader="none" w:pos="112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any acquisition of assets or Capital Stock in exchange for the issuance of Qualifying Equity Interests;</w:t>
      </w:r>
    </w:p>
    <w:p>
      <w:pPr>
        <w:spacing w:after="0" w:line="200" w:lineRule="exact"/>
        <w:rPr>
          <w:rFonts w:ascii="Arial" w:cs="Arial" w:eastAsia="Arial" w:hAnsi="Arial"/>
          <w:sz w:val="21"/>
          <w:szCs w:val="21"/>
          <w:color w:val="auto"/>
        </w:rPr>
      </w:pPr>
    </w:p>
    <w:p>
      <w:pPr>
        <w:spacing w:after="0" w:line="247" w:lineRule="exact"/>
        <w:rPr>
          <w:rFonts w:ascii="Arial" w:cs="Arial" w:eastAsia="Arial" w:hAnsi="Arial"/>
          <w:sz w:val="21"/>
          <w:szCs w:val="21"/>
          <w:color w:val="auto"/>
        </w:rPr>
      </w:pPr>
    </w:p>
    <w:p>
      <w:pPr>
        <w:jc w:val="both"/>
        <w:ind w:firstLine="644"/>
        <w:spacing w:after="0" w:line="250" w:lineRule="auto"/>
        <w:tabs>
          <w:tab w:leader="none" w:pos="1136" w:val="left"/>
        </w:tabs>
        <w:numPr>
          <w:ilvl w:val="0"/>
          <w:numId w:val="233"/>
        </w:numPr>
        <w:rPr>
          <w:rFonts w:ascii="Arial" w:cs="Arial" w:eastAsia="Arial" w:hAnsi="Arial"/>
          <w:sz w:val="22"/>
          <w:szCs w:val="22"/>
          <w:color w:val="auto"/>
        </w:rPr>
      </w:pPr>
      <w:r>
        <w:rPr>
          <w:rFonts w:ascii="Arial" w:cs="Arial" w:eastAsia="Arial" w:hAnsi="Arial"/>
          <w:sz w:val="22"/>
          <w:szCs w:val="22"/>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jc w:val="both"/>
        <w:ind w:firstLine="644"/>
        <w:spacing w:after="0" w:line="253" w:lineRule="auto"/>
        <w:tabs>
          <w:tab w:leader="none" w:pos="1278" w:val="left"/>
        </w:tabs>
        <w:numPr>
          <w:ilvl w:val="0"/>
          <w:numId w:val="233"/>
        </w:numPr>
        <w:rPr>
          <w:rFonts w:ascii="Arial" w:cs="Arial" w:eastAsia="Arial" w:hAnsi="Arial"/>
          <w:sz w:val="22"/>
          <w:szCs w:val="22"/>
          <w:color w:val="auto"/>
        </w:rPr>
      </w:pPr>
      <w:r>
        <w:rPr>
          <w:rFonts w:ascii="Arial" w:cs="Arial" w:eastAsia="Arial" w:hAnsi="Arial"/>
          <w:sz w:val="22"/>
          <w:szCs w:val="22"/>
          <w:color w:val="auto"/>
        </w:rPr>
        <w:t>Investments represented by Hedging Obligations or made in connection therewith (including any cash collateral or other collateral that does not constitute Collateral provided to or by Parent or any of its Restricted Subsidiaries in connection with any Hedging Obligation);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644"/>
        <w:spacing w:after="0" w:line="253" w:lineRule="auto"/>
        <w:tabs>
          <w:tab w:leader="none" w:pos="1160" w:val="left"/>
        </w:tabs>
        <w:numPr>
          <w:ilvl w:val="0"/>
          <w:numId w:val="233"/>
        </w:numPr>
        <w:rPr>
          <w:rFonts w:ascii="Arial" w:cs="Arial" w:eastAsia="Arial" w:hAnsi="Arial"/>
          <w:sz w:val="22"/>
          <w:szCs w:val="22"/>
          <w:color w:val="auto"/>
        </w:rPr>
      </w:pPr>
      <w:r>
        <w:rPr>
          <w:rFonts w:ascii="Arial" w:cs="Arial" w:eastAsia="Arial" w:hAnsi="Arial"/>
          <w:sz w:val="22"/>
          <w:szCs w:val="22"/>
          <w:color w:val="auto"/>
        </w:rPr>
        <w:t>loans or advances to officers, directors or employees made in the Ordinary Course of Business of Parent or any Restricted Subsidiary of Parent in an aggregate principal amount not to exceed $30,000,000 at any one time outstanding;</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120" w:hanging="476"/>
        <w:spacing w:after="0"/>
        <w:tabs>
          <w:tab w:leader="none" w:pos="112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prepayment or purchase of any Loans in accordance with the terms and conditions of this Agreement;</w:t>
      </w:r>
    </w:p>
    <w:p>
      <w:pPr>
        <w:sectPr>
          <w:pgSz w:w="11900" w:h="16838" w:orient="portrait"/>
          <w:cols w:equalWidth="0" w:num="1">
            <w:col w:w="10580"/>
          </w:cols>
          <w:pgMar w:left="98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88900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type w:val="continuous"/>
        </w:sectPr>
      </w:pPr>
    </w:p>
    <w:bookmarkStart w:id="234" w:name="page235"/>
    <w:bookmarkEnd w:id="234"/>
    <w:p>
      <w:pPr>
        <w:ind w:left="1224" w:hanging="576"/>
        <w:spacing w:after="0"/>
        <w:tabs>
          <w:tab w:leader="none" w:pos="1224" w:val="left"/>
        </w:tabs>
        <w:numPr>
          <w:ilvl w:val="1"/>
          <w:numId w:val="234"/>
        </w:numPr>
        <w:rPr>
          <w:rFonts w:ascii="Arial" w:cs="Arial" w:eastAsia="Arial" w:hAnsi="Arial"/>
          <w:sz w:val="22"/>
          <w:szCs w:val="22"/>
          <w:color w:val="auto"/>
        </w:rPr>
      </w:pPr>
      <w:r>
        <w:rPr>
          <w:rFonts w:ascii="Arial" w:cs="Arial" w:eastAsia="Arial" w:hAnsi="Arial"/>
          <w:sz w:val="22"/>
          <w:szCs w:val="22"/>
          <w:color w:val="auto"/>
        </w:rPr>
        <w:t>any Guarantee of Indebtedness;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4" w:firstLine="644"/>
        <w:spacing w:after="0" w:line="288" w:lineRule="auto"/>
        <w:tabs>
          <w:tab w:leader="none" w:pos="1288" w:val="left"/>
        </w:tabs>
        <w:numPr>
          <w:ilvl w:val="1"/>
          <w:numId w:val="234"/>
        </w:numPr>
        <w:rPr>
          <w:rFonts w:ascii="Arial" w:cs="Arial" w:eastAsia="Arial" w:hAnsi="Arial"/>
          <w:sz w:val="19"/>
          <w:szCs w:val="19"/>
          <w:color w:val="auto"/>
        </w:rPr>
      </w:pPr>
      <w:r>
        <w:rPr>
          <w:rFonts w:ascii="Arial" w:cs="Arial" w:eastAsia="Arial" w:hAnsi="Arial"/>
          <w:sz w:val="19"/>
          <w:szCs w:val="19"/>
          <w:color w:val="auto"/>
        </w:rPr>
        <w:t xml:space="preserve">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such Investment may be increased</w:t>
      </w:r>
    </w:p>
    <w:p>
      <w:pPr>
        <w:ind w:left="4" w:hanging="4"/>
        <w:spacing w:after="0" w:line="246" w:lineRule="auto"/>
        <w:tabs>
          <w:tab w:leader="none" w:pos="36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as required by the terms of such Investment as in existence on the Closing Date or (B) as otherwise permitted under this Agreement;</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left="4" w:firstLine="644"/>
        <w:spacing w:after="0" w:line="290" w:lineRule="auto"/>
        <w:tabs>
          <w:tab w:leader="none" w:pos="1348" w:val="left"/>
        </w:tabs>
        <w:numPr>
          <w:ilvl w:val="1"/>
          <w:numId w:val="235"/>
        </w:numPr>
        <w:rPr>
          <w:rFonts w:ascii="Arial" w:cs="Arial" w:eastAsia="Arial" w:hAnsi="Arial"/>
          <w:sz w:val="19"/>
          <w:szCs w:val="19"/>
          <w:color w:val="auto"/>
        </w:rPr>
      </w:pPr>
      <w:r>
        <w:rPr>
          <w:rFonts w:ascii="Arial" w:cs="Arial" w:eastAsia="Arial" w:hAnsi="Arial"/>
          <w:sz w:val="19"/>
          <w:szCs w:val="19"/>
          <w:color w:val="auto"/>
        </w:rPr>
        <w:t>(a)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w:t>
      </w:r>
    </w:p>
    <w:p>
      <w:pPr>
        <w:spacing w:after="0" w:line="371" w:lineRule="exact"/>
        <w:rPr>
          <w:rFonts w:ascii="Arial" w:cs="Arial" w:eastAsia="Arial" w:hAnsi="Arial"/>
          <w:sz w:val="19"/>
          <w:szCs w:val="19"/>
          <w:color w:val="auto"/>
        </w:rPr>
      </w:pPr>
    </w:p>
    <w:p>
      <w:pPr>
        <w:jc w:val="both"/>
        <w:ind w:left="4" w:firstLine="644"/>
        <w:spacing w:after="0" w:line="302" w:lineRule="auto"/>
        <w:tabs>
          <w:tab w:leader="none" w:pos="1349" w:val="left"/>
        </w:tabs>
        <w:numPr>
          <w:ilvl w:val="1"/>
          <w:numId w:val="235"/>
        </w:numPr>
        <w:rPr>
          <w:rFonts w:ascii="Arial" w:cs="Arial" w:eastAsia="Arial" w:hAnsi="Arial"/>
          <w:sz w:val="19"/>
          <w:szCs w:val="19"/>
          <w:color w:val="auto"/>
        </w:rPr>
      </w:pPr>
      <w:r>
        <w:rPr>
          <w:rFonts w:ascii="Arial" w:cs="Arial" w:eastAsia="Arial" w:hAnsi="Arial"/>
          <w:sz w:val="19"/>
          <w:szCs w:val="19"/>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w:t>
      </w:r>
    </w:p>
    <w:p>
      <w:pPr>
        <w:spacing w:after="0" w:line="358" w:lineRule="exact"/>
        <w:rPr>
          <w:rFonts w:ascii="Arial" w:cs="Arial" w:eastAsia="Arial" w:hAnsi="Arial"/>
          <w:sz w:val="19"/>
          <w:szCs w:val="19"/>
          <w:color w:val="auto"/>
        </w:rPr>
      </w:pPr>
    </w:p>
    <w:p>
      <w:pPr>
        <w:ind w:left="4" w:firstLine="644"/>
        <w:spacing w:after="0" w:line="263" w:lineRule="auto"/>
        <w:tabs>
          <w:tab w:leader="none" w:pos="1285" w:val="left"/>
        </w:tabs>
        <w:numPr>
          <w:ilvl w:val="1"/>
          <w:numId w:val="235"/>
        </w:numPr>
        <w:rPr>
          <w:rFonts w:ascii="Arial" w:cs="Arial" w:eastAsia="Arial" w:hAnsi="Arial"/>
          <w:sz w:val="22"/>
          <w:szCs w:val="22"/>
          <w:color w:val="auto"/>
        </w:rPr>
      </w:pPr>
      <w:r>
        <w:rPr>
          <w:rFonts w:ascii="Arial" w:cs="Arial" w:eastAsia="Arial" w:hAnsi="Arial"/>
          <w:sz w:val="22"/>
          <w:szCs w:val="22"/>
          <w:color w:val="auto"/>
        </w:rPr>
        <w:t>Receivables arising in the Ordinary Course of Business, and Investment in Receivables and related assets including pursuant to a Receivables Repurchase Obligation;</w:t>
      </w:r>
    </w:p>
    <w:p>
      <w:pPr>
        <w:spacing w:after="0" w:line="390" w:lineRule="exact"/>
        <w:rPr>
          <w:rFonts w:ascii="Arial" w:cs="Arial" w:eastAsia="Arial" w:hAnsi="Arial"/>
          <w:sz w:val="22"/>
          <w:szCs w:val="22"/>
          <w:color w:val="auto"/>
        </w:rPr>
      </w:pPr>
    </w:p>
    <w:p>
      <w:pPr>
        <w:ind w:left="1224" w:hanging="576"/>
        <w:spacing w:after="0"/>
        <w:tabs>
          <w:tab w:leader="none" w:pos="1224" w:val="left"/>
        </w:tabs>
        <w:numPr>
          <w:ilvl w:val="1"/>
          <w:numId w:val="235"/>
        </w:numPr>
        <w:rPr>
          <w:rFonts w:ascii="Arial" w:cs="Arial" w:eastAsia="Arial" w:hAnsi="Arial"/>
          <w:sz w:val="22"/>
          <w:szCs w:val="22"/>
          <w:color w:val="auto"/>
        </w:rPr>
      </w:pPr>
      <w:r>
        <w:rPr>
          <w:rFonts w:ascii="Arial" w:cs="Arial" w:eastAsia="Arial" w:hAnsi="Arial"/>
          <w:sz w:val="22"/>
          <w:szCs w:val="22"/>
          <w:color w:val="auto"/>
        </w:rPr>
        <w:t>Investments in connection with outsourcing initiatives in the Ordinary Course of Business;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224" w:hanging="576"/>
        <w:spacing w:after="0"/>
        <w:tabs>
          <w:tab w:leader="none" w:pos="1224" w:val="left"/>
        </w:tabs>
        <w:numPr>
          <w:ilvl w:val="1"/>
          <w:numId w:val="235"/>
        </w:numPr>
        <w:rPr>
          <w:rFonts w:ascii="Arial" w:cs="Arial" w:eastAsia="Arial" w:hAnsi="Arial"/>
          <w:sz w:val="22"/>
          <w:szCs w:val="22"/>
          <w:color w:val="auto"/>
        </w:rPr>
      </w:pPr>
      <w:r>
        <w:rPr>
          <w:rFonts w:ascii="Arial" w:cs="Arial" w:eastAsia="Arial" w:hAnsi="Arial"/>
          <w:sz w:val="22"/>
          <w:szCs w:val="22"/>
          <w:color w:val="auto"/>
        </w:rPr>
        <w:t>Permitted Bond Hedge Transactions which constitute Investments;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4" w:firstLine="644"/>
        <w:spacing w:after="0" w:line="248" w:lineRule="auto"/>
        <w:tabs>
          <w:tab w:leader="none" w:pos="1251" w:val="left"/>
        </w:tabs>
        <w:numPr>
          <w:ilvl w:val="1"/>
          <w:numId w:val="235"/>
        </w:numPr>
        <w:rPr>
          <w:rFonts w:ascii="Arial" w:cs="Arial" w:eastAsia="Arial" w:hAnsi="Arial"/>
          <w:sz w:val="22"/>
          <w:szCs w:val="22"/>
          <w:color w:val="auto"/>
        </w:rPr>
      </w:pPr>
      <w:r>
        <w:rPr>
          <w:rFonts w:ascii="Arial" w:cs="Arial" w:eastAsia="Arial" w:hAnsi="Arial"/>
          <w:sz w:val="22"/>
          <w:szCs w:val="22"/>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4" w:firstLine="644"/>
        <w:spacing w:after="0" w:line="343" w:lineRule="auto"/>
        <w:tabs>
          <w:tab w:leader="none" w:pos="1380" w:val="left"/>
        </w:tabs>
        <w:numPr>
          <w:ilvl w:val="1"/>
          <w:numId w:val="235"/>
        </w:numPr>
        <w:rPr>
          <w:rFonts w:ascii="Arial" w:cs="Arial" w:eastAsia="Arial" w:hAnsi="Arial"/>
          <w:sz w:val="19"/>
          <w:szCs w:val="19"/>
          <w:color w:val="auto"/>
        </w:rPr>
      </w:pPr>
      <w:r>
        <w:rPr>
          <w:rFonts w:ascii="Arial" w:cs="Arial" w:eastAsia="Arial" w:hAnsi="Arial"/>
          <w:sz w:val="19"/>
          <w:szCs w:val="19"/>
          <w:color w:val="auto"/>
        </w:rPr>
        <w:t xml:space="preserve">Investments consisting of reimbursable extensions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Investment made pursuant to this clause (18) shall not be permitted if unreimbursed within 90 days of any such extension of credit;</w:t>
      </w:r>
    </w:p>
    <w:p>
      <w:pPr>
        <w:spacing w:after="0" w:line="200" w:lineRule="exact"/>
        <w:rPr>
          <w:sz w:val="20"/>
          <w:szCs w:val="20"/>
          <w:color w:val="auto"/>
        </w:rPr>
      </w:pPr>
    </w:p>
    <w:p>
      <w:pPr>
        <w:spacing w:after="0" w:line="33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80" w:right="339" w:bottom="1440" w:gutter="0" w:footer="0" w:header="0"/>
        </w:sectPr>
      </w:pPr>
    </w:p>
    <w:bookmarkStart w:id="235" w:name="page236"/>
    <w:bookmarkEnd w:id="235"/>
    <w:p>
      <w:pPr>
        <w:ind w:right="20" w:firstLine="644"/>
        <w:spacing w:after="0" w:line="265" w:lineRule="exact"/>
        <w:tabs>
          <w:tab w:leader="none" w:pos="1287"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in connection with financing any pre</w:t>
      </w:r>
      <w:r>
        <w:rPr>
          <w:rFonts w:ascii="MS PGothic" w:cs="MS PGothic" w:eastAsia="MS PGothic" w:hAnsi="MS PGothic"/>
          <w:sz w:val="22"/>
          <w:szCs w:val="22"/>
          <w:color w:val="auto"/>
        </w:rPr>
        <w:t>‑</w:t>
      </w:r>
      <w:r>
        <w:rPr>
          <w:rFonts w:ascii="Arial" w:cs="Arial" w:eastAsia="Arial" w:hAnsi="Arial"/>
          <w:sz w:val="22"/>
          <w:szCs w:val="22"/>
          <w:color w:val="auto"/>
        </w:rPr>
        <w:t>delivery, progress or other similar payments relating to the acquisition of Aircraft Related Equipment;</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firstLine="644"/>
        <w:spacing w:after="0" w:line="265" w:lineRule="exact"/>
        <w:tabs>
          <w:tab w:leader="none" w:pos="1320" w:val="left"/>
        </w:tabs>
        <w:numPr>
          <w:ilvl w:val="0"/>
          <w:numId w:val="236"/>
        </w:numPr>
        <w:rPr>
          <w:rFonts w:ascii="Arial" w:cs="Arial" w:eastAsia="Arial" w:hAnsi="Arial"/>
          <w:sz w:val="19"/>
          <w:szCs w:val="19"/>
          <w:color w:val="auto"/>
        </w:rPr>
      </w:pPr>
      <w:r>
        <w:rPr>
          <w:rFonts w:ascii="Arial" w:cs="Arial" w:eastAsia="Arial" w:hAnsi="Arial"/>
          <w:sz w:val="19"/>
          <w:szCs w:val="19"/>
          <w:color w:val="auto"/>
        </w:rPr>
        <w:t>Investments in Non</w:t>
      </w:r>
      <w:r>
        <w:rPr>
          <w:rFonts w:ascii="MS PGothic" w:cs="MS PGothic" w:eastAsia="MS PGothic" w:hAnsi="MS PGothic"/>
          <w:sz w:val="19"/>
          <w:szCs w:val="19"/>
          <w:color w:val="auto"/>
        </w:rPr>
        <w:t>‑</w:t>
      </w:r>
      <w:r>
        <w:rPr>
          <w:rFonts w:ascii="Arial" w:cs="Arial" w:eastAsia="Arial" w:hAnsi="Arial"/>
          <w:sz w:val="19"/>
          <w:szCs w:val="19"/>
          <w:color w:val="auto"/>
        </w:rPr>
        <w:t>Recourse Financing Subsidiaries (other than Receivables Subsidiaries in connection with Qualified Receivables Transactions), in an aggregate amount outstanding at any time not to exceed $300,000,000;</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44"/>
        <w:spacing w:after="0" w:line="261" w:lineRule="exact"/>
        <w:tabs>
          <w:tab w:leader="none" w:pos="1398"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consisting of payments to or on behalf of any Person (including without limitation any third</w:t>
      </w:r>
      <w:r>
        <w:rPr>
          <w:rFonts w:ascii="MS PGothic" w:cs="MS PGothic" w:eastAsia="MS PGothic" w:hAnsi="MS PGothic"/>
          <w:sz w:val="22"/>
          <w:szCs w:val="22"/>
          <w:color w:val="auto"/>
        </w:rPr>
        <w:t>‑</w:t>
      </w:r>
      <w:r>
        <w:rPr>
          <w:rFonts w:ascii="Arial" w:cs="Arial" w:eastAsia="Arial" w:hAnsi="Arial"/>
          <w:sz w:val="22"/>
          <w:szCs w:val="22"/>
          <w:color w:val="auto"/>
        </w:rPr>
        <w:t>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firstLine="644"/>
        <w:spacing w:after="0" w:line="248" w:lineRule="auto"/>
        <w:tabs>
          <w:tab w:leader="none" w:pos="1434"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firstLine="644"/>
        <w:spacing w:after="0" w:line="263" w:lineRule="auto"/>
        <w:tabs>
          <w:tab w:leader="none" w:pos="1272"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consisting of payroll advances and advances for business and travel expenses in the Ordinary Course of Business;</w:t>
      </w:r>
    </w:p>
    <w:p>
      <w:pPr>
        <w:spacing w:after="0" w:line="390" w:lineRule="exact"/>
        <w:rPr>
          <w:rFonts w:ascii="Arial" w:cs="Arial" w:eastAsia="Arial" w:hAnsi="Arial"/>
          <w:sz w:val="22"/>
          <w:szCs w:val="22"/>
          <w:color w:val="auto"/>
        </w:rPr>
      </w:pPr>
    </w:p>
    <w:p>
      <w:pPr>
        <w:ind w:firstLine="644"/>
        <w:spacing w:after="0" w:line="263" w:lineRule="auto"/>
        <w:tabs>
          <w:tab w:leader="none" w:pos="1232"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made by way of any endorsement of negotiable instruments received in the Ordinary Course of Business and presented to any bank for collection or deposit;</w:t>
      </w:r>
    </w:p>
    <w:p>
      <w:pPr>
        <w:spacing w:after="0" w:line="390" w:lineRule="exact"/>
        <w:rPr>
          <w:rFonts w:ascii="Arial" w:cs="Arial" w:eastAsia="Arial" w:hAnsi="Arial"/>
          <w:sz w:val="22"/>
          <w:szCs w:val="22"/>
          <w:color w:val="auto"/>
        </w:rPr>
      </w:pPr>
    </w:p>
    <w:p>
      <w:pPr>
        <w:jc w:val="both"/>
        <w:ind w:right="20" w:firstLine="644"/>
        <w:spacing w:after="0" w:line="253" w:lineRule="auto"/>
        <w:tabs>
          <w:tab w:leader="none" w:pos="1239"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consisting of stock, obligations or securities received in settlement of amounts owing to Parent or any Restricted Subsidiary in the Ordinary Course of Business or in a distribution received in respect of an Investment permitted hereunder;</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1420" w:hanging="776"/>
        <w:spacing w:after="0"/>
        <w:tabs>
          <w:tab w:leader="none" w:pos="142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Investments made in Unrestricted Subsidiaries not to exceed $30,000,000 in any fiscal year in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aggregate;</w:t>
      </w:r>
    </w:p>
    <w:p>
      <w:pPr>
        <w:spacing w:after="0" w:line="200" w:lineRule="exact"/>
        <w:rPr>
          <w:rFonts w:ascii="Arial" w:cs="Arial" w:eastAsia="Arial" w:hAnsi="Arial"/>
          <w:sz w:val="21"/>
          <w:szCs w:val="21"/>
          <w:color w:val="auto"/>
        </w:rPr>
      </w:pPr>
    </w:p>
    <w:p>
      <w:pPr>
        <w:spacing w:after="0" w:line="217" w:lineRule="exact"/>
        <w:rPr>
          <w:rFonts w:ascii="Arial" w:cs="Arial" w:eastAsia="Arial" w:hAnsi="Arial"/>
          <w:sz w:val="21"/>
          <w:szCs w:val="21"/>
          <w:color w:val="auto"/>
        </w:rPr>
      </w:pPr>
    </w:p>
    <w:p>
      <w:pPr>
        <w:jc w:val="both"/>
        <w:ind w:firstLine="644"/>
        <w:spacing w:after="0" w:line="253" w:lineRule="auto"/>
        <w:tabs>
          <w:tab w:leader="none" w:pos="1249"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firstLine="644"/>
        <w:spacing w:after="0" w:line="263" w:lineRule="auto"/>
        <w:tabs>
          <w:tab w:leader="none" w:pos="1243"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consisting of advances and loans to Affiliates of Parent or any of its Restricted Subsidiaries, in an aggregate amount outstanding at any time not to exceed $300,000,000;</w:t>
      </w:r>
    </w:p>
    <w:p>
      <w:pPr>
        <w:spacing w:after="0" w:line="390" w:lineRule="exact"/>
        <w:rPr>
          <w:rFonts w:ascii="Arial" w:cs="Arial" w:eastAsia="Arial" w:hAnsi="Arial"/>
          <w:sz w:val="22"/>
          <w:szCs w:val="22"/>
          <w:color w:val="auto"/>
        </w:rPr>
      </w:pPr>
    </w:p>
    <w:p>
      <w:pPr>
        <w:ind w:firstLine="644"/>
        <w:spacing w:after="0" w:line="263" w:lineRule="auto"/>
        <w:tabs>
          <w:tab w:leader="none" w:pos="1236" w:val="left"/>
        </w:tabs>
        <w:numPr>
          <w:ilvl w:val="0"/>
          <w:numId w:val="236"/>
        </w:numPr>
        <w:rPr>
          <w:rFonts w:ascii="Arial" w:cs="Arial" w:eastAsia="Arial" w:hAnsi="Arial"/>
          <w:sz w:val="22"/>
          <w:szCs w:val="22"/>
          <w:color w:val="auto"/>
        </w:rPr>
      </w:pPr>
      <w:r>
        <w:rPr>
          <w:rFonts w:ascii="Arial" w:cs="Arial" w:eastAsia="Arial" w:hAnsi="Arial"/>
          <w:sz w:val="22"/>
          <w:szCs w:val="22"/>
          <w:color w:val="auto"/>
        </w:rPr>
        <w:t>Investments made in Excluded Subsidiaries consistent with past practice and not to exceed $30,000,000 per fiscal year in the aggregate;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236" w:name="page237"/>
    <w:bookmarkEnd w:id="236"/>
    <w:p>
      <w:pPr>
        <w:jc w:val="both"/>
        <w:ind w:left="-460" w:firstLine="644"/>
        <w:spacing w:after="0" w:line="248" w:lineRule="auto"/>
        <w:tabs>
          <w:tab w:leader="none" w:pos="812" w:val="left"/>
        </w:tabs>
        <w:numPr>
          <w:ilvl w:val="0"/>
          <w:numId w:val="237"/>
        </w:numPr>
        <w:rPr>
          <w:rFonts w:ascii="Arial" w:cs="Arial" w:eastAsia="Arial" w:hAnsi="Arial"/>
          <w:sz w:val="22"/>
          <w:szCs w:val="22"/>
          <w:color w:val="auto"/>
        </w:rPr>
      </w:pPr>
      <w:r>
        <w:rPr>
          <w:rFonts w:ascii="Arial" w:cs="Arial" w:eastAsia="Arial" w:hAnsi="Arial"/>
          <w:sz w:val="22"/>
          <w:szCs w:val="22"/>
          <w:color w:val="auto"/>
        </w:rPr>
        <w:t>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460" w:right="20" w:firstLine="644"/>
        <w:spacing w:after="0" w:line="263" w:lineRule="auto"/>
        <w:tabs>
          <w:tab w:leader="none" w:pos="796" w:val="left"/>
        </w:tabs>
        <w:numPr>
          <w:ilvl w:val="0"/>
          <w:numId w:val="237"/>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any Investment by Parent and/or any Restricted Subsidiary of Parent;</w:t>
      </w:r>
    </w:p>
    <w:p>
      <w:pPr>
        <w:spacing w:after="0" w:line="390" w:lineRule="exact"/>
        <w:rPr>
          <w:rFonts w:ascii="Arial" w:cs="Arial" w:eastAsia="Arial" w:hAnsi="Arial"/>
          <w:sz w:val="22"/>
          <w:szCs w:val="22"/>
          <w:color w:val="auto"/>
        </w:rPr>
      </w:pPr>
    </w:p>
    <w:p>
      <w:pPr>
        <w:jc w:val="both"/>
        <w:ind w:left="-460" w:firstLine="644"/>
        <w:spacing w:after="0" w:line="302" w:lineRule="auto"/>
        <w:tabs>
          <w:tab w:leader="none" w:pos="80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and</w:t>
      </w:r>
    </w:p>
    <w:p>
      <w:pPr>
        <w:spacing w:after="0" w:line="358" w:lineRule="exact"/>
        <w:rPr>
          <w:rFonts w:ascii="Arial" w:cs="Arial" w:eastAsia="Arial" w:hAnsi="Arial"/>
          <w:sz w:val="19"/>
          <w:szCs w:val="19"/>
          <w:color w:val="auto"/>
        </w:rPr>
      </w:pPr>
    </w:p>
    <w:p>
      <w:pPr>
        <w:ind w:left="-460" w:firstLine="644"/>
        <w:spacing w:after="0" w:line="263" w:lineRule="auto"/>
        <w:tabs>
          <w:tab w:leader="none" w:pos="86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ownership by each of Parent and its Restricted Subsidiaries of the Capital Stock of each of its wholly-owned Subsidiaries.</w:t>
      </w:r>
    </w:p>
    <w:p>
      <w:pPr>
        <w:spacing w:after="0" w:line="3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Liens</w:t>
      </w:r>
      <w:r>
        <w:rPr>
          <w:rFonts w:ascii="Arial" w:cs="Arial" w:eastAsia="Arial" w:hAnsi="Arial"/>
          <w:sz w:val="22"/>
          <w:szCs w:val="22"/>
          <w:color w:val="auto"/>
        </w:rPr>
        <w:t xml:space="preserve"> ” shall mean:</w:t>
      </w:r>
    </w:p>
    <w:p>
      <w:pPr>
        <w:spacing w:after="0" w:line="200" w:lineRule="exact"/>
        <w:rPr>
          <w:sz w:val="20"/>
          <w:szCs w:val="20"/>
          <w:color w:val="auto"/>
        </w:rPr>
      </w:pPr>
    </w:p>
    <w:p>
      <w:pPr>
        <w:spacing w:after="0" w:line="236" w:lineRule="exact"/>
        <w:rPr>
          <w:sz w:val="20"/>
          <w:szCs w:val="20"/>
          <w:color w:val="auto"/>
        </w:rPr>
      </w:pPr>
    </w:p>
    <w:p>
      <w:pPr>
        <w:ind w:left="660" w:hanging="476"/>
        <w:spacing w:after="0"/>
        <w:tabs>
          <w:tab w:leader="none" w:pos="6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Liens held by the Collateral Agent or trustee (as applicable) securing Obligations;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460" w:firstLine="644"/>
        <w:spacing w:after="0" w:line="253" w:lineRule="auto"/>
        <w:tabs>
          <w:tab w:leader="none" w:pos="656"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Liens securing Junior Secured Debt;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shall (x) rank junior to the Liens in favor of the Collateral Agent securing the Obligations (y) be subject to any Intercreditor Agreement or any Other Intercreditor Agreement and (z) shall be consented to by the Required Lenders;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460" w:firstLine="644"/>
        <w:spacing w:after="0" w:line="271" w:lineRule="auto"/>
        <w:tabs>
          <w:tab w:leader="none" w:pos="697" w:val="left"/>
        </w:tabs>
        <w:numPr>
          <w:ilvl w:val="0"/>
          <w:numId w:val="239"/>
        </w:numPr>
        <w:rPr>
          <w:rFonts w:ascii="Arial" w:cs="Arial" w:eastAsia="Arial" w:hAnsi="Arial"/>
          <w:sz w:val="21"/>
          <w:szCs w:val="21"/>
          <w:color w:val="auto"/>
        </w:rPr>
      </w:pPr>
      <w:r>
        <w:rPr>
          <w:rFonts w:ascii="Arial" w:cs="Arial" w:eastAsia="Arial" w:hAnsi="Arial"/>
          <w:sz w:val="21"/>
          <w:szCs w:val="21"/>
          <w:color w:val="auto"/>
        </w:rPr>
        <w:t xml:space="preserve">Liens for taxes, assessments or governmental charges or claims that are not yet delinquent or that are being contested in good faith by appropriate proceedings promptly instituted and diligently pursued;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reserve or other appropriate provision as is required in conformity with GAAP has been made therefor;</w:t>
      </w:r>
    </w:p>
    <w:p>
      <w:pPr>
        <w:spacing w:after="0" w:line="383" w:lineRule="exact"/>
        <w:rPr>
          <w:rFonts w:ascii="Arial" w:cs="Arial" w:eastAsia="Arial" w:hAnsi="Arial"/>
          <w:sz w:val="21"/>
          <w:szCs w:val="21"/>
          <w:color w:val="auto"/>
        </w:rPr>
      </w:pPr>
    </w:p>
    <w:p>
      <w:pPr>
        <w:ind w:left="-460" w:firstLine="644"/>
        <w:spacing w:after="0" w:line="343" w:lineRule="auto"/>
        <w:tabs>
          <w:tab w:leader="none" w:pos="660" w:val="left"/>
        </w:tabs>
        <w:numPr>
          <w:ilvl w:val="0"/>
          <w:numId w:val="239"/>
        </w:numPr>
        <w:rPr>
          <w:rFonts w:ascii="Arial" w:cs="Arial" w:eastAsia="Arial" w:hAnsi="Arial"/>
          <w:sz w:val="19"/>
          <w:szCs w:val="19"/>
          <w:color w:val="auto"/>
        </w:rPr>
      </w:pPr>
      <w:r>
        <w:rPr>
          <w:rFonts w:ascii="Arial" w:cs="Arial" w:eastAsia="Arial" w:hAnsi="Arial"/>
          <w:sz w:val="19"/>
          <w:szCs w:val="19"/>
          <w:color w:val="auto"/>
        </w:rPr>
        <w:t>Liens imposed by law, including carriers’, vendors’, materialmen’s, warehousemen’s, landlord’s, mechanics’, repairmen’s, employees’ or other like Liens, in each case, incurred in the Ordinary Course of Business;</w:t>
      </w:r>
    </w:p>
    <w:p>
      <w:pPr>
        <w:spacing w:after="0" w:line="320" w:lineRule="exact"/>
        <w:rPr>
          <w:rFonts w:ascii="Arial" w:cs="Arial" w:eastAsia="Arial" w:hAnsi="Arial"/>
          <w:sz w:val="19"/>
          <w:szCs w:val="19"/>
          <w:color w:val="auto"/>
        </w:rPr>
      </w:pPr>
    </w:p>
    <w:p>
      <w:pPr>
        <w:ind w:left="-460" w:firstLine="644"/>
        <w:spacing w:after="0" w:line="263" w:lineRule="auto"/>
        <w:tabs>
          <w:tab w:leader="none" w:pos="818" w:val="left"/>
        </w:tabs>
        <w:numPr>
          <w:ilvl w:val="0"/>
          <w:numId w:val="239"/>
        </w:numPr>
        <w:rPr>
          <w:rFonts w:ascii="Arial" w:cs="Arial" w:eastAsia="Arial" w:hAnsi="Arial"/>
          <w:sz w:val="22"/>
          <w:szCs w:val="22"/>
          <w:color w:val="auto"/>
        </w:rPr>
      </w:pPr>
      <w:r>
        <w:rPr>
          <w:rFonts w:ascii="Arial" w:cs="Arial" w:eastAsia="Arial" w:hAnsi="Arial"/>
          <w:sz w:val="22"/>
          <w:szCs w:val="22"/>
          <w:color w:val="auto"/>
        </w:rPr>
        <w:t>Liens arising by operation of law in connection with judgments, attachments or awards which do not constitute an Event of Default hereunder;</w:t>
      </w:r>
    </w:p>
    <w:p>
      <w:pPr>
        <w:spacing w:after="0" w:line="390" w:lineRule="exact"/>
        <w:rPr>
          <w:rFonts w:ascii="Arial" w:cs="Arial" w:eastAsia="Arial" w:hAnsi="Arial"/>
          <w:sz w:val="22"/>
          <w:szCs w:val="22"/>
          <w:color w:val="auto"/>
        </w:rPr>
      </w:pPr>
    </w:p>
    <w:p>
      <w:pPr>
        <w:ind w:left="660" w:hanging="476"/>
        <w:spacing w:after="0"/>
        <w:tabs>
          <w:tab w:leader="none" w:pos="66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Liens created for the benefit of (or to secure) the Obligations or any Guaranty Obligations;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80" w:right="339" w:bottom="1440" w:gutter="0" w:footer="0" w:header="0"/>
        </w:sectPr>
      </w:pPr>
    </w:p>
    <w:bookmarkStart w:id="237" w:name="page238"/>
    <w:bookmarkEnd w:id="237"/>
    <w:p>
      <w:pPr>
        <w:ind w:left="4" w:firstLine="644"/>
        <w:spacing w:after="0" w:line="263" w:lineRule="auto"/>
        <w:tabs>
          <w:tab w:leader="none" w:pos="1228" w:val="left"/>
        </w:tabs>
        <w:numPr>
          <w:ilvl w:val="1"/>
          <w:numId w:val="240"/>
        </w:numPr>
        <w:rPr>
          <w:rFonts w:ascii="Arial" w:cs="Arial" w:eastAsia="Arial" w:hAnsi="Arial"/>
          <w:sz w:val="22"/>
          <w:szCs w:val="22"/>
          <w:color w:val="auto"/>
        </w:rPr>
      </w:pPr>
      <w:r>
        <w:rPr>
          <w:rFonts w:ascii="Arial" w:cs="Arial" w:eastAsia="Arial" w:hAnsi="Arial"/>
          <w:sz w:val="22"/>
          <w:szCs w:val="22"/>
          <w:color w:val="auto"/>
        </w:rPr>
        <w:t>Liens on Receivables and related assets of the type specified in the definition of “Qualified Receivables Transaction,” incurred in connection with a Qualified Receivables Transaction;</w:t>
      </w:r>
    </w:p>
    <w:p>
      <w:pPr>
        <w:spacing w:after="0" w:line="390" w:lineRule="exact"/>
        <w:rPr>
          <w:rFonts w:ascii="Arial" w:cs="Arial" w:eastAsia="Arial" w:hAnsi="Arial"/>
          <w:sz w:val="22"/>
          <w:szCs w:val="22"/>
          <w:color w:val="auto"/>
        </w:rPr>
      </w:pPr>
    </w:p>
    <w:p>
      <w:pPr>
        <w:jc w:val="both"/>
        <w:ind w:left="4" w:firstLine="644"/>
        <w:spacing w:after="0" w:line="261" w:lineRule="exact"/>
        <w:tabs>
          <w:tab w:leader="none" w:pos="1228" w:val="left"/>
        </w:tabs>
        <w:numPr>
          <w:ilvl w:val="1"/>
          <w:numId w:val="240"/>
        </w:numPr>
        <w:rPr>
          <w:rFonts w:ascii="Arial" w:cs="Arial" w:eastAsia="Arial" w:hAnsi="Arial"/>
          <w:sz w:val="21"/>
          <w:szCs w:val="21"/>
          <w:color w:val="auto"/>
        </w:rPr>
      </w:pPr>
      <w:r>
        <w:rPr>
          <w:rFonts w:ascii="Arial" w:cs="Arial" w:eastAsia="Arial" w:hAnsi="Arial"/>
          <w:sz w:val="21"/>
          <w:szCs w:val="21"/>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w:t>
      </w:r>
      <w:r>
        <w:rPr>
          <w:rFonts w:ascii="MS PGothic" w:cs="MS PGothic" w:eastAsia="MS PGothic" w:hAnsi="MS PGothic"/>
          <w:sz w:val="21"/>
          <w:szCs w:val="21"/>
          <w:color w:val="auto"/>
        </w:rPr>
        <w:t>‑</w:t>
      </w:r>
      <w:r>
        <w:rPr>
          <w:rFonts w:ascii="Arial" w:cs="Arial" w:eastAsia="Arial" w:hAnsi="Arial"/>
          <w:sz w:val="21"/>
          <w:szCs w:val="21"/>
          <w:color w:val="auto"/>
        </w:rPr>
        <w:t>off in favor of the depository bank or securities intermediary in respect of the Collateral Proceeds Account;</w:t>
      </w:r>
    </w:p>
    <w:p>
      <w:pPr>
        <w:spacing w:after="0" w:line="200" w:lineRule="exact"/>
        <w:rPr>
          <w:rFonts w:ascii="Arial" w:cs="Arial" w:eastAsia="Arial" w:hAnsi="Arial"/>
          <w:sz w:val="21"/>
          <w:szCs w:val="21"/>
          <w:color w:val="auto"/>
        </w:rPr>
      </w:pPr>
    </w:p>
    <w:p>
      <w:pPr>
        <w:spacing w:after="0" w:line="215" w:lineRule="exact"/>
        <w:rPr>
          <w:rFonts w:ascii="Arial" w:cs="Arial" w:eastAsia="Arial" w:hAnsi="Arial"/>
          <w:sz w:val="21"/>
          <w:szCs w:val="21"/>
          <w:color w:val="auto"/>
        </w:rPr>
      </w:pPr>
    </w:p>
    <w:p>
      <w:pPr>
        <w:jc w:val="both"/>
        <w:ind w:left="4" w:firstLine="644"/>
        <w:spacing w:after="0" w:line="297" w:lineRule="auto"/>
        <w:tabs>
          <w:tab w:leader="none" w:pos="1168" w:val="left"/>
        </w:tabs>
        <w:numPr>
          <w:ilvl w:val="1"/>
          <w:numId w:val="240"/>
        </w:numPr>
        <w:rPr>
          <w:rFonts w:ascii="Arial" w:cs="Arial" w:eastAsia="Arial" w:hAnsi="Arial"/>
          <w:sz w:val="19"/>
          <w:szCs w:val="19"/>
          <w:color w:val="auto"/>
        </w:rPr>
      </w:pPr>
      <w:r>
        <w:rPr>
          <w:rFonts w:ascii="Arial" w:cs="Arial" w:eastAsia="Arial" w:hAnsi="Arial"/>
          <w:sz w:val="19"/>
          <w:szCs w:val="19"/>
          <w:color w:val="auto"/>
        </w:rPr>
        <w:t>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Agent pursuant to the Collateral Documents or (B) otherwise expressly permitted by the Collateral Documents;</w:t>
      </w:r>
    </w:p>
    <w:p>
      <w:pPr>
        <w:spacing w:after="0" w:line="362" w:lineRule="exact"/>
        <w:rPr>
          <w:rFonts w:ascii="Arial" w:cs="Arial" w:eastAsia="Arial" w:hAnsi="Arial"/>
          <w:sz w:val="19"/>
          <w:szCs w:val="19"/>
          <w:color w:val="auto"/>
        </w:rPr>
      </w:pPr>
    </w:p>
    <w:p>
      <w:pPr>
        <w:jc w:val="both"/>
        <w:ind w:left="4" w:firstLine="644"/>
        <w:spacing w:after="0" w:line="286" w:lineRule="auto"/>
        <w:tabs>
          <w:tab w:leader="none" w:pos="1552" w:val="left"/>
        </w:tabs>
        <w:numPr>
          <w:ilvl w:val="1"/>
          <w:numId w:val="240"/>
        </w:numPr>
        <w:rPr>
          <w:rFonts w:ascii="Arial" w:cs="Arial" w:eastAsia="Arial" w:hAnsi="Arial"/>
          <w:sz w:val="19"/>
          <w:szCs w:val="19"/>
          <w:color w:val="auto"/>
        </w:rPr>
      </w:pPr>
      <w:r>
        <w:rPr>
          <w:rFonts w:ascii="Arial" w:cs="Arial" w:eastAsia="Arial" w:hAnsi="Arial"/>
          <w:sz w:val="19"/>
          <w:szCs w:val="19"/>
          <w:color w:val="auto"/>
        </w:rPr>
        <w:t>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w:t>
      </w:r>
    </w:p>
    <w:p>
      <w:pPr>
        <w:spacing w:after="0" w:line="2" w:lineRule="exact"/>
        <w:rPr>
          <w:rFonts w:ascii="Arial" w:cs="Arial" w:eastAsia="Arial" w:hAnsi="Arial"/>
          <w:sz w:val="19"/>
          <w:szCs w:val="19"/>
          <w:color w:val="auto"/>
        </w:rPr>
      </w:pPr>
    </w:p>
    <w:p>
      <w:pPr>
        <w:jc w:val="both"/>
        <w:ind w:left="4" w:hanging="4"/>
        <w:spacing w:after="0" w:line="245" w:lineRule="auto"/>
        <w:tabs>
          <w:tab w:leader="none" w:pos="362" w:val="left"/>
        </w:tabs>
        <w:numPr>
          <w:ilvl w:val="0"/>
          <w:numId w:val="241"/>
        </w:numPr>
        <w:rPr>
          <w:rFonts w:ascii="Arial" w:cs="Arial" w:eastAsia="Arial" w:hAnsi="Arial"/>
          <w:sz w:val="22"/>
          <w:szCs w:val="22"/>
          <w:color w:val="auto"/>
        </w:rPr>
      </w:pPr>
      <w:r>
        <w:rPr>
          <w:rFonts w:ascii="Arial" w:cs="Arial" w:eastAsia="Arial" w:hAnsi="Arial"/>
          <w:sz w:val="22"/>
          <w:szCs w:val="22"/>
          <w:color w:val="auto"/>
        </w:rPr>
        <w:t>do not materially detract from the value of the property to which they attach or materially impair the use thereof to Parent and its Subsidiaries, taken as a whole and (C) do not materially adversely affect the marketability of the applicable property;</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4" w:firstLine="644"/>
        <w:spacing w:after="0" w:line="263" w:lineRule="auto"/>
        <w:tabs>
          <w:tab w:leader="none" w:pos="1355" w:val="left"/>
        </w:tabs>
        <w:numPr>
          <w:ilvl w:val="1"/>
          <w:numId w:val="241"/>
        </w:numPr>
        <w:rPr>
          <w:rFonts w:ascii="Arial" w:cs="Arial" w:eastAsia="Arial" w:hAnsi="Arial"/>
          <w:sz w:val="22"/>
          <w:szCs w:val="22"/>
          <w:color w:val="auto"/>
        </w:rPr>
      </w:pPr>
      <w:r>
        <w:rPr>
          <w:rFonts w:ascii="Arial" w:cs="Arial" w:eastAsia="Arial" w:hAnsi="Arial"/>
          <w:sz w:val="22"/>
          <w:szCs w:val="22"/>
          <w:color w:val="auto"/>
        </w:rPr>
        <w:t>salvage or similar rights of insurers, in each case as it relates to any aircraft, airframe, engine or any Additional Collateral, if any;</w:t>
      </w:r>
    </w:p>
    <w:p>
      <w:pPr>
        <w:spacing w:after="0" w:line="390" w:lineRule="exact"/>
        <w:rPr>
          <w:rFonts w:ascii="Arial" w:cs="Arial" w:eastAsia="Arial" w:hAnsi="Arial"/>
          <w:sz w:val="22"/>
          <w:szCs w:val="22"/>
          <w:color w:val="auto"/>
        </w:rPr>
      </w:pPr>
    </w:p>
    <w:p>
      <w:pPr>
        <w:ind w:left="4" w:firstLine="644"/>
        <w:spacing w:after="0" w:line="343" w:lineRule="auto"/>
        <w:tabs>
          <w:tab w:leader="none" w:pos="1228" w:val="left"/>
        </w:tabs>
        <w:numPr>
          <w:ilvl w:val="1"/>
          <w:numId w:val="241"/>
        </w:numPr>
        <w:rPr>
          <w:rFonts w:ascii="Arial" w:cs="Arial" w:eastAsia="Arial" w:hAnsi="Arial"/>
          <w:sz w:val="19"/>
          <w:szCs w:val="19"/>
          <w:color w:val="auto"/>
        </w:rPr>
      </w:pPr>
      <w:r>
        <w:rPr>
          <w:rFonts w:ascii="Arial" w:cs="Arial" w:eastAsia="Arial" w:hAnsi="Arial"/>
          <w:sz w:val="19"/>
          <w:szCs w:val="19"/>
          <w:color w:val="auto"/>
        </w:rPr>
        <w:t>in each case as it relates to any aircraft, Liens on appliances, parts, components, instruments, appurtenances, furnishings and other equipment installed on such aircraft and separately financed by a Grantor, to secure such financing;</w:t>
      </w:r>
    </w:p>
    <w:p>
      <w:pPr>
        <w:spacing w:after="0" w:line="320" w:lineRule="exact"/>
        <w:rPr>
          <w:rFonts w:ascii="Arial" w:cs="Arial" w:eastAsia="Arial" w:hAnsi="Arial"/>
          <w:sz w:val="19"/>
          <w:szCs w:val="19"/>
          <w:color w:val="auto"/>
        </w:rPr>
      </w:pPr>
    </w:p>
    <w:p>
      <w:pPr>
        <w:ind w:left="4" w:firstLine="644"/>
        <w:spacing w:after="0" w:line="287" w:lineRule="auto"/>
        <w:tabs>
          <w:tab w:leader="none" w:pos="1303" w:val="left"/>
        </w:tabs>
        <w:numPr>
          <w:ilvl w:val="1"/>
          <w:numId w:val="241"/>
        </w:numPr>
        <w:rPr>
          <w:rFonts w:ascii="Arial" w:cs="Arial" w:eastAsia="Arial" w:hAnsi="Arial"/>
          <w:sz w:val="21"/>
          <w:szCs w:val="21"/>
          <w:color w:val="auto"/>
        </w:rPr>
      </w:pPr>
      <w:r>
        <w:rPr>
          <w:rFonts w:ascii="Arial" w:cs="Arial" w:eastAsia="Arial" w:hAnsi="Arial"/>
          <w:sz w:val="21"/>
          <w:szCs w:val="21"/>
          <w:color w:val="auto"/>
        </w:rPr>
        <w:t>Liens incurred in the Ordinary Course of Business of Parent or any Restricted Subsidiary of Parent with respect to obligations that do not exceed in the aggregate $30,000,000 at any one time outstanding;</w:t>
      </w:r>
    </w:p>
    <w:p>
      <w:pPr>
        <w:spacing w:after="0" w:line="367" w:lineRule="exact"/>
        <w:rPr>
          <w:rFonts w:ascii="Arial" w:cs="Arial" w:eastAsia="Arial" w:hAnsi="Arial"/>
          <w:sz w:val="21"/>
          <w:szCs w:val="21"/>
          <w:color w:val="auto"/>
        </w:rPr>
      </w:pPr>
    </w:p>
    <w:p>
      <w:pPr>
        <w:ind w:left="4" w:firstLine="644"/>
        <w:spacing w:after="0" w:line="263" w:lineRule="auto"/>
        <w:tabs>
          <w:tab w:leader="none" w:pos="1252" w:val="left"/>
        </w:tabs>
        <w:numPr>
          <w:ilvl w:val="1"/>
          <w:numId w:val="241"/>
        </w:numPr>
        <w:rPr>
          <w:rFonts w:ascii="Arial" w:cs="Arial" w:eastAsia="Arial" w:hAnsi="Arial"/>
          <w:sz w:val="22"/>
          <w:szCs w:val="22"/>
          <w:color w:val="auto"/>
        </w:rPr>
      </w:pPr>
      <w:r>
        <w:rPr>
          <w:rFonts w:ascii="Arial" w:cs="Arial" w:eastAsia="Arial" w:hAnsi="Arial"/>
          <w:sz w:val="22"/>
          <w:szCs w:val="22"/>
          <w:color w:val="auto"/>
        </w:rPr>
        <w:t>Liens on Collateral directly resulting from (x) any Disposition permitted under Section 6.04 or (y) any sale of such Collateral in compliance with Section 6.04;</w:t>
      </w:r>
    </w:p>
    <w:p>
      <w:pPr>
        <w:spacing w:after="0" w:line="390" w:lineRule="exact"/>
        <w:rPr>
          <w:rFonts w:ascii="Arial" w:cs="Arial" w:eastAsia="Arial" w:hAnsi="Arial"/>
          <w:sz w:val="22"/>
          <w:szCs w:val="22"/>
          <w:color w:val="auto"/>
        </w:rPr>
      </w:pPr>
    </w:p>
    <w:p>
      <w:pPr>
        <w:ind w:left="4" w:firstLine="644"/>
        <w:spacing w:after="0" w:line="263" w:lineRule="auto"/>
        <w:tabs>
          <w:tab w:leader="none" w:pos="1274" w:val="left"/>
        </w:tabs>
        <w:numPr>
          <w:ilvl w:val="1"/>
          <w:numId w:val="241"/>
        </w:numPr>
        <w:rPr>
          <w:rFonts w:ascii="Arial" w:cs="Arial" w:eastAsia="Arial" w:hAnsi="Arial"/>
          <w:sz w:val="22"/>
          <w:szCs w:val="22"/>
          <w:color w:val="auto"/>
        </w:rPr>
      </w:pPr>
      <w:r>
        <w:rPr>
          <w:rFonts w:ascii="Arial" w:cs="Arial" w:eastAsia="Arial" w:hAnsi="Arial"/>
          <w:sz w:val="22"/>
          <w:szCs w:val="22"/>
          <w:color w:val="auto"/>
        </w:rPr>
        <w:t>any Transfer Restriction that applies to the transfer or assignment (other than the pledge, grant or creation of a security interest or mortgage) of any asset, right or property constituting Collateral;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80" w:right="339" w:bottom="1440" w:gutter="0" w:footer="0" w:header="0"/>
        </w:sectPr>
      </w:pPr>
    </w:p>
    <w:bookmarkStart w:id="238" w:name="page239"/>
    <w:bookmarkEnd w:id="238"/>
    <w:p>
      <w:pPr>
        <w:jc w:val="both"/>
        <w:ind w:left="-460" w:firstLine="644"/>
        <w:spacing w:after="0" w:line="253" w:lineRule="auto"/>
        <w:tabs>
          <w:tab w:leader="none" w:pos="878" w:val="left"/>
        </w:tabs>
        <w:numPr>
          <w:ilvl w:val="0"/>
          <w:numId w:val="242"/>
        </w:numPr>
        <w:rPr>
          <w:rFonts w:ascii="Arial" w:cs="Arial" w:eastAsia="Arial" w:hAnsi="Arial"/>
          <w:sz w:val="22"/>
          <w:szCs w:val="22"/>
          <w:color w:val="auto"/>
        </w:rPr>
      </w:pPr>
      <w:r>
        <w:rPr>
          <w:rFonts w:ascii="Arial" w:cs="Arial" w:eastAsia="Arial" w:hAnsi="Arial"/>
          <w:sz w:val="22"/>
          <w:szCs w:val="22"/>
          <w:color w:val="auto"/>
        </w:rPr>
        <w:t>with respect to engines (including spare engines) or parts (including spare parts), Liens relating to any pooling, exchange, interchange, borrowing or maintenance servicing agreement or arrangement entered into in the Ordinary Course of Business;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460" w:firstLine="644"/>
        <w:spacing w:after="0" w:line="253" w:lineRule="auto"/>
        <w:tabs>
          <w:tab w:leader="none" w:pos="826" w:val="left"/>
        </w:tabs>
        <w:numPr>
          <w:ilvl w:val="0"/>
          <w:numId w:val="242"/>
        </w:numPr>
        <w:rPr>
          <w:rFonts w:ascii="Arial" w:cs="Arial" w:eastAsia="Arial" w:hAnsi="Arial"/>
          <w:sz w:val="22"/>
          <w:szCs w:val="22"/>
          <w:color w:val="auto"/>
        </w:rPr>
      </w:pPr>
      <w:r>
        <w:rPr>
          <w:rFonts w:ascii="Arial" w:cs="Arial" w:eastAsia="Arial" w:hAnsi="Arial"/>
          <w:sz w:val="22"/>
          <w:szCs w:val="22"/>
          <w:color w:val="auto"/>
        </w:rPr>
        <w:t>with respect to spare parts, purchase money security interest Liens held by a vendor for goods purchased from such vendor, in each case arising in the Ordinary Course of Business and for which the Borrower or the applicable Grantor pays such vendor within 60 days of such purchase;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760" w:hanging="576"/>
        <w:spacing w:after="0"/>
        <w:tabs>
          <w:tab w:leader="none" w:pos="7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Liens on Collateral permitted by any of the Collateral Documents;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460" w:firstLine="644"/>
        <w:spacing w:after="0" w:line="253" w:lineRule="auto"/>
        <w:tabs>
          <w:tab w:leader="none" w:pos="788"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Liens securing Pari Passu Senior Secured Debt;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shall (x) rank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the Liens in favor of the Collateral Agent securing the Obligations and (y) be subject to any Intercreditor Agreement or any Other Intercreditor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460" w:firstLine="644"/>
        <w:spacing w:after="0" w:line="263" w:lineRule="auto"/>
        <w:tabs>
          <w:tab w:leader="none" w:pos="806" w:val="left"/>
        </w:tabs>
        <w:numPr>
          <w:ilvl w:val="0"/>
          <w:numId w:val="242"/>
        </w:numPr>
        <w:rPr>
          <w:rFonts w:ascii="Arial" w:cs="Arial" w:eastAsia="Arial" w:hAnsi="Arial"/>
          <w:sz w:val="22"/>
          <w:szCs w:val="22"/>
          <w:color w:val="auto"/>
        </w:rPr>
      </w:pPr>
      <w:r>
        <w:rPr>
          <w:rFonts w:ascii="Arial" w:cs="Arial" w:eastAsia="Arial" w:hAnsi="Arial"/>
          <w:sz w:val="22"/>
          <w:szCs w:val="22"/>
          <w:color w:val="auto"/>
        </w:rPr>
        <w:t>Liens in favor of customs and revenue authorities arising as a matter of law to secure payment of customs duties in connection with the importation of goods in the Ordinary Course of Business;</w:t>
      </w:r>
    </w:p>
    <w:p>
      <w:pPr>
        <w:spacing w:after="0" w:line="390" w:lineRule="exact"/>
        <w:rPr>
          <w:rFonts w:ascii="Arial" w:cs="Arial" w:eastAsia="Arial" w:hAnsi="Arial"/>
          <w:sz w:val="22"/>
          <w:szCs w:val="22"/>
          <w:color w:val="auto"/>
        </w:rPr>
      </w:pPr>
    </w:p>
    <w:p>
      <w:pPr>
        <w:ind w:left="760" w:hanging="576"/>
        <w:spacing w:after="0"/>
        <w:tabs>
          <w:tab w:leader="none" w:pos="7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in the case of any leased real property, any interest or title of the lessor thereof;</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460" w:firstLine="644"/>
        <w:spacing w:after="0" w:line="250" w:lineRule="auto"/>
        <w:tabs>
          <w:tab w:leader="none" w:pos="802" w:val="left"/>
        </w:tabs>
        <w:numPr>
          <w:ilvl w:val="0"/>
          <w:numId w:val="242"/>
        </w:numPr>
        <w:rPr>
          <w:rFonts w:ascii="Arial" w:cs="Arial" w:eastAsia="Arial" w:hAnsi="Arial"/>
          <w:sz w:val="22"/>
          <w:szCs w:val="22"/>
          <w:color w:val="auto"/>
        </w:rPr>
      </w:pPr>
      <w:r>
        <w:rPr>
          <w:rFonts w:ascii="Arial" w:cs="Arial" w:eastAsia="Arial" w:hAnsi="Arial"/>
          <w:sz w:val="22"/>
          <w:szCs w:val="22"/>
          <w:color w:val="auto"/>
        </w:rPr>
        <w:t>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Agent on such Collateral;</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460" w:firstLine="644"/>
        <w:spacing w:after="0" w:line="263" w:lineRule="auto"/>
        <w:tabs>
          <w:tab w:leader="none" w:pos="843" w:val="left"/>
        </w:tabs>
        <w:numPr>
          <w:ilvl w:val="0"/>
          <w:numId w:val="242"/>
        </w:numPr>
        <w:rPr>
          <w:rFonts w:ascii="Arial" w:cs="Arial" w:eastAsia="Arial" w:hAnsi="Arial"/>
          <w:sz w:val="22"/>
          <w:szCs w:val="22"/>
          <w:color w:val="auto"/>
        </w:rPr>
      </w:pPr>
      <w:r>
        <w:rPr>
          <w:rFonts w:ascii="Arial" w:cs="Arial" w:eastAsia="Arial" w:hAnsi="Arial"/>
          <w:sz w:val="22"/>
          <w:szCs w:val="22"/>
          <w:color w:val="auto"/>
        </w:rPr>
        <w:t>Liens arising from precautionary UCC and similar financing statements relating to Operating Leases not otherwise prohibited under any Loan Document;</w:t>
      </w:r>
    </w:p>
    <w:p>
      <w:pPr>
        <w:spacing w:after="0" w:line="390" w:lineRule="exact"/>
        <w:rPr>
          <w:rFonts w:ascii="Arial" w:cs="Arial" w:eastAsia="Arial" w:hAnsi="Arial"/>
          <w:sz w:val="22"/>
          <w:szCs w:val="22"/>
          <w:color w:val="auto"/>
        </w:rPr>
      </w:pPr>
    </w:p>
    <w:p>
      <w:pPr>
        <w:jc w:val="both"/>
        <w:ind w:left="-460" w:firstLine="644"/>
        <w:spacing w:after="0" w:line="271" w:lineRule="auto"/>
        <w:tabs>
          <w:tab w:leader="none" w:pos="983" w:val="left"/>
        </w:tabs>
        <w:numPr>
          <w:ilvl w:val="0"/>
          <w:numId w:val="242"/>
        </w:numPr>
        <w:rPr>
          <w:rFonts w:ascii="Arial" w:cs="Arial" w:eastAsia="Arial" w:hAnsi="Arial"/>
          <w:sz w:val="21"/>
          <w:szCs w:val="21"/>
          <w:color w:val="auto"/>
        </w:rPr>
      </w:pPr>
      <w:r>
        <w:rPr>
          <w:rFonts w:ascii="Arial" w:cs="Arial" w:eastAsia="Arial" w:hAnsi="Arial"/>
          <w:sz w:val="21"/>
          <w:szCs w:val="21"/>
          <w:color w:val="auto"/>
        </w:rPr>
        <w:t>Liens on Ground Service Equipment constituting Collateral solely to the extent attributable to the possession or use of such Ground Service Equipment constituting Collateral by Parent or any Subsidiary of Parent, so long as such Liens are subject and subordinate to the Lien of the Collateral Agent on such Collateral;</w:t>
      </w:r>
    </w:p>
    <w:p>
      <w:pPr>
        <w:spacing w:after="0" w:line="383" w:lineRule="exact"/>
        <w:rPr>
          <w:rFonts w:ascii="Arial" w:cs="Arial" w:eastAsia="Arial" w:hAnsi="Arial"/>
          <w:sz w:val="21"/>
          <w:szCs w:val="21"/>
          <w:color w:val="auto"/>
        </w:rPr>
      </w:pPr>
    </w:p>
    <w:p>
      <w:pPr>
        <w:jc w:val="both"/>
        <w:ind w:left="-460" w:firstLine="644"/>
        <w:spacing w:after="0" w:line="248" w:lineRule="auto"/>
        <w:tabs>
          <w:tab w:leader="none" w:pos="1004" w:val="left"/>
        </w:tabs>
        <w:numPr>
          <w:ilvl w:val="0"/>
          <w:numId w:val="242"/>
        </w:numPr>
        <w:rPr>
          <w:rFonts w:ascii="Arial" w:cs="Arial" w:eastAsia="Arial" w:hAnsi="Arial"/>
          <w:sz w:val="22"/>
          <w:szCs w:val="22"/>
          <w:color w:val="auto"/>
        </w:rPr>
      </w:pPr>
      <w:r>
        <w:rPr>
          <w:rFonts w:ascii="Arial" w:cs="Arial" w:eastAsia="Arial" w:hAnsi="Arial"/>
          <w:sz w:val="22"/>
          <w:szCs w:val="22"/>
          <w:color w:val="auto"/>
        </w:rPr>
        <w:t xml:space="preserve">Liens securing Indebtedness incurred under that certain Amended and Restated Credit and Guaranty Agreement, dated as of April 20, 2015 (as amended, amended and restated, supplemented or otherwise modified from time to time, the “ </w:t>
      </w:r>
      <w:r>
        <w:rPr>
          <w:rFonts w:ascii="Arial" w:cs="Arial" w:eastAsia="Arial" w:hAnsi="Arial"/>
          <w:sz w:val="22"/>
          <w:szCs w:val="22"/>
          <w:i w:val="1"/>
          <w:iCs w:val="1"/>
          <w:color w:val="auto"/>
        </w:rPr>
        <w:t>First Lien LHR Agreement</w:t>
      </w:r>
      <w:r>
        <w:rPr>
          <w:rFonts w:ascii="Arial" w:cs="Arial" w:eastAsia="Arial" w:hAnsi="Arial"/>
          <w:sz w:val="22"/>
          <w:szCs w:val="22"/>
          <w:color w:val="auto"/>
        </w:rPr>
        <w:t xml:space="preserve"> ”), by and among the Borrower, the Parent, Citibank N.A., as administrative agent and collateral agent, and the other parties party thereto, including any related Designated Banking Product Obligations and Designated Hedging Obligations; and</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460" w:firstLine="644"/>
        <w:spacing w:after="0" w:line="287" w:lineRule="auto"/>
        <w:tabs>
          <w:tab w:leader="none" w:pos="865" w:val="left"/>
        </w:tabs>
        <w:numPr>
          <w:ilvl w:val="0"/>
          <w:numId w:val="242"/>
        </w:numPr>
        <w:rPr>
          <w:rFonts w:ascii="Arial" w:cs="Arial" w:eastAsia="Arial" w:hAnsi="Arial"/>
          <w:sz w:val="21"/>
          <w:szCs w:val="21"/>
          <w:color w:val="auto"/>
        </w:rPr>
      </w:pPr>
      <w:r>
        <w:rPr>
          <w:rFonts w:ascii="Arial" w:cs="Arial" w:eastAsia="Arial" w:hAnsi="Arial"/>
          <w:sz w:val="21"/>
          <w:szCs w:val="21"/>
          <w:color w:val="auto"/>
        </w:rPr>
        <w:t>Liens in favor of any governmental authority junior to the Liens incurred under the Collateral Documents in connection with the receipt of any governmental assistance in respect of the coronavirus pandemic.</w:t>
      </w:r>
    </w:p>
    <w:p>
      <w:pPr>
        <w:spacing w:after="0" w:line="200" w:lineRule="exact"/>
        <w:rPr>
          <w:sz w:val="20"/>
          <w:szCs w:val="20"/>
          <w:color w:val="auto"/>
        </w:rPr>
      </w:pPr>
    </w:p>
    <w:p>
      <w:pPr>
        <w:spacing w:after="0" w:line="38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80" w:right="339" w:bottom="1440" w:gutter="0" w:footer="0" w:header="0"/>
        </w:sectPr>
      </w:pPr>
    </w:p>
    <w:bookmarkStart w:id="239" w:name="page240"/>
    <w:bookmarkEnd w:id="239"/>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Person</w:t>
      </w:r>
      <w:r>
        <w:rPr>
          <w:rFonts w:ascii="Arial" w:cs="Arial" w:eastAsia="Arial" w:hAnsi="Arial"/>
          <w:sz w:val="22"/>
          <w:szCs w:val="22"/>
          <w:color w:val="auto"/>
        </w:rPr>
        <w:t xml:space="preserve"> ” shall have the meaning set forth in the definition of “ </w:t>
      </w:r>
      <w:r>
        <w:rPr>
          <w:rFonts w:ascii="Arial" w:cs="Arial" w:eastAsia="Arial" w:hAnsi="Arial"/>
          <w:sz w:val="22"/>
          <w:szCs w:val="22"/>
          <w:i w:val="1"/>
          <w:iCs w:val="1"/>
          <w:color w:val="auto"/>
        </w:rPr>
        <w:t>Change of Control.</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Refinancing Indebtedness</w:t>
      </w:r>
      <w:r>
        <w:rPr>
          <w:rFonts w:ascii="Arial" w:cs="Arial" w:eastAsia="Arial" w:hAnsi="Arial"/>
          <w:sz w:val="22"/>
          <w:szCs w:val="22"/>
          <w:color w:val="auto"/>
        </w:rPr>
        <w:t xml:space="preserve"> ”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04" w:lineRule="exact"/>
        <w:rPr>
          <w:sz w:val="20"/>
          <w:szCs w:val="20"/>
          <w:color w:val="auto"/>
        </w:rPr>
      </w:pPr>
    </w:p>
    <w:p>
      <w:pPr>
        <w:jc w:val="both"/>
        <w:ind w:left="660" w:firstLine="644"/>
        <w:spacing w:after="0" w:line="287" w:lineRule="auto"/>
        <w:tabs>
          <w:tab w:leader="none" w:pos="181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 </w:t>
      </w:r>
      <w:r>
        <w:rPr>
          <w:rFonts w:ascii="Arial" w:cs="Arial" w:eastAsia="Arial" w:hAnsi="Arial"/>
          <w:sz w:val="19"/>
          <w:szCs w:val="19"/>
          <w:i w:val="1"/>
          <w:iCs w:val="1"/>
          <w:color w:val="auto"/>
        </w:rPr>
        <w:t>preceding amount</w:t>
      </w:r>
      <w:r>
        <w:rPr>
          <w:rFonts w:ascii="Arial" w:cs="Arial" w:eastAsia="Arial" w:hAnsi="Arial"/>
          <w:sz w:val="19"/>
          <w:szCs w:val="19"/>
          <w:color w:val="auto"/>
        </w:rPr>
        <w:t xml:space="preserv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Permitted Refinancing Indebtedness that is refinancing secured Indebtedness and is secured by 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w:t>
      </w:r>
    </w:p>
    <w:p>
      <w:pPr>
        <w:spacing w:after="0" w:line="374" w:lineRule="exact"/>
        <w:rPr>
          <w:rFonts w:ascii="Arial" w:cs="Arial" w:eastAsia="Arial" w:hAnsi="Arial"/>
          <w:sz w:val="19"/>
          <w:szCs w:val="19"/>
          <w:color w:val="auto"/>
        </w:rPr>
      </w:pPr>
    </w:p>
    <w:p>
      <w:pPr>
        <w:jc w:val="both"/>
        <w:ind w:left="660" w:firstLine="644"/>
        <w:spacing w:after="0" w:line="297" w:lineRule="auto"/>
        <w:tabs>
          <w:tab w:leader="none" w:pos="1851"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w:t>
      </w:r>
    </w:p>
    <w:p>
      <w:pPr>
        <w:spacing w:after="0" w:line="362" w:lineRule="exact"/>
        <w:rPr>
          <w:rFonts w:ascii="Arial" w:cs="Arial" w:eastAsia="Arial" w:hAnsi="Arial"/>
          <w:sz w:val="19"/>
          <w:szCs w:val="19"/>
          <w:color w:val="auto"/>
        </w:rPr>
      </w:pPr>
    </w:p>
    <w:p>
      <w:pPr>
        <w:jc w:val="both"/>
        <w:ind w:left="660" w:firstLine="644"/>
        <w:spacing w:after="0" w:line="302" w:lineRule="auto"/>
        <w:tabs>
          <w:tab w:leader="none" w:pos="1928" w:val="left"/>
        </w:tabs>
        <w:numPr>
          <w:ilvl w:val="0"/>
          <w:numId w:val="244"/>
        </w:numPr>
        <w:rPr>
          <w:rFonts w:ascii="Arial" w:cs="Arial" w:eastAsia="Arial" w:hAnsi="Arial"/>
          <w:sz w:val="19"/>
          <w:szCs w:val="19"/>
          <w:color w:val="auto"/>
        </w:rPr>
      </w:pPr>
      <w:r>
        <w:rPr>
          <w:rFonts w:ascii="Arial" w:cs="Arial" w:eastAsia="Arial" w:hAnsi="Arial"/>
          <w:sz w:val="19"/>
          <w:szCs w:val="19"/>
          <w:color w:val="auto"/>
        </w:rPr>
        <w:t>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w:t>
      </w:r>
    </w:p>
    <w:p>
      <w:pPr>
        <w:spacing w:after="0" w:line="358" w:lineRule="exact"/>
        <w:rPr>
          <w:rFonts w:ascii="Arial" w:cs="Arial" w:eastAsia="Arial" w:hAnsi="Arial"/>
          <w:sz w:val="19"/>
          <w:szCs w:val="19"/>
          <w:color w:val="auto"/>
        </w:rPr>
      </w:pPr>
    </w:p>
    <w:p>
      <w:pPr>
        <w:jc w:val="both"/>
        <w:ind w:left="660" w:firstLine="644"/>
        <w:spacing w:after="0" w:line="265" w:lineRule="auto"/>
        <w:tabs>
          <w:tab w:leader="none" w:pos="1815" w:val="left"/>
        </w:tabs>
        <w:numPr>
          <w:ilvl w:val="0"/>
          <w:numId w:val="244"/>
        </w:numPr>
        <w:rPr>
          <w:rFonts w:ascii="Arial" w:cs="Arial" w:eastAsia="Arial" w:hAnsi="Arial"/>
          <w:sz w:val="21"/>
          <w:szCs w:val="21"/>
          <w:color w:val="auto"/>
        </w:rPr>
      </w:pPr>
      <w:r>
        <w:rPr>
          <w:rFonts w:ascii="Arial" w:cs="Arial" w:eastAsia="Arial" w:hAnsi="Arial"/>
          <w:sz w:val="21"/>
          <w:szCs w:val="21"/>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40" w:name="page241"/>
    <w:bookmarkEnd w:id="240"/>
    <w:p>
      <w:pPr>
        <w:ind w:left="660" w:right="20"/>
        <w:spacing w:after="0" w:line="263" w:lineRule="auto"/>
        <w:rPr>
          <w:sz w:val="20"/>
          <w:szCs w:val="20"/>
          <w:color w:val="auto"/>
        </w:rPr>
      </w:pPr>
      <w:r>
        <w:rPr>
          <w:rFonts w:ascii="Arial" w:cs="Arial" w:eastAsia="Arial" w:hAnsi="Arial"/>
          <w:sz w:val="22"/>
          <w:szCs w:val="22"/>
          <w:color w:val="auto"/>
        </w:rPr>
        <w:t>refinancing, extension, replacement, defeasance or discharge occurred not more than 36 months prior to the date of such incurrence of Permitted Refinancing Indebtedness.</w:t>
      </w:r>
    </w:p>
    <w:p>
      <w:pPr>
        <w:spacing w:after="0" w:line="39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Permitted Warrant Transaction</w:t>
      </w:r>
      <w:r>
        <w:rPr>
          <w:rFonts w:ascii="Arial" w:cs="Arial" w:eastAsia="Arial" w:hAnsi="Arial"/>
          <w:sz w:val="22"/>
          <w:szCs w:val="22"/>
          <w:color w:val="auto"/>
        </w:rPr>
        <w:t xml:space="preserve"> ” shall mean any call option, warrant or right to purchase (or substantively equivalent derivative transaction) on Parent’s common stock sold by Parent substantially concurrently with any purchase of a related Permitted Bond Hedge Transaction.</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Person</w:t>
      </w:r>
      <w:r>
        <w:rPr>
          <w:rFonts w:ascii="Arial" w:cs="Arial" w:eastAsia="Arial" w:hAnsi="Arial"/>
          <w:sz w:val="22"/>
          <w:szCs w:val="22"/>
          <w:color w:val="auto"/>
        </w:rPr>
        <w:t xml:space="preserve"> ”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Plan</w:t>
      </w:r>
      <w:r>
        <w:rPr>
          <w:rFonts w:ascii="Arial" w:cs="Arial" w:eastAsia="Arial" w:hAnsi="Arial"/>
          <w:sz w:val="19"/>
          <w:szCs w:val="19"/>
          <w:color w:val="auto"/>
        </w:rPr>
        <w:t xml:space="preserve"> ” shall mean any “employee benefit plan” (other than a “multiemployer plan” as defined in Section 4001(a)</w:t>
      </w:r>
    </w:p>
    <w:p>
      <w:pPr>
        <w:spacing w:after="0" w:line="55" w:lineRule="exact"/>
        <w:rPr>
          <w:sz w:val="20"/>
          <w:szCs w:val="20"/>
          <w:color w:val="auto"/>
        </w:rPr>
      </w:pPr>
    </w:p>
    <w:p>
      <w:pPr>
        <w:ind w:firstLine="8"/>
        <w:spacing w:after="0" w:line="246" w:lineRule="auto"/>
        <w:tabs>
          <w:tab w:leader="none" w:pos="306" w:val="left"/>
        </w:tabs>
        <w:numPr>
          <w:ilvl w:val="0"/>
          <w:numId w:val="245"/>
        </w:numPr>
        <w:rPr>
          <w:rFonts w:ascii="Arial" w:cs="Arial" w:eastAsia="Arial" w:hAnsi="Arial"/>
          <w:sz w:val="22"/>
          <w:szCs w:val="22"/>
          <w:color w:val="auto"/>
        </w:rPr>
      </w:pPr>
      <w:r>
        <w:rPr>
          <w:rFonts w:ascii="Arial" w:cs="Arial" w:eastAsia="Arial" w:hAnsi="Arial"/>
          <w:sz w:val="22"/>
          <w:szCs w:val="22"/>
          <w:color w:val="auto"/>
        </w:rPr>
        <w:t>of ERISA), that is maintained or is contributed to by the Borrower or any ERISA Affiliate and that is a pension plan subject to the provisions of Title IV of ERISA, Sections 412 or 430 of the Code or Section 302 of ERISA.</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firstLine="1296"/>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Pledged Foreign Gate Leaseholds</w:t>
      </w:r>
      <w:r>
        <w:rPr>
          <w:rFonts w:ascii="Arial" w:cs="Arial" w:eastAsia="Arial" w:hAnsi="Arial"/>
          <w:sz w:val="22"/>
          <w:szCs w:val="22"/>
          <w:color w:val="auto"/>
        </w:rPr>
        <w:t xml:space="preserve"> ” shall mean, as of any date, the Foreign Gate Leaseholds included in the Collateral as of such date.</w:t>
      </w:r>
    </w:p>
    <w:p>
      <w:pPr>
        <w:spacing w:after="0" w:line="390"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Pledged Route Authorities</w:t>
      </w:r>
      <w:r>
        <w:rPr>
          <w:rFonts w:ascii="Arial" w:cs="Arial" w:eastAsia="Arial" w:hAnsi="Arial"/>
          <w:sz w:val="19"/>
          <w:szCs w:val="19"/>
          <w:color w:val="auto"/>
        </w:rPr>
        <w:t xml:space="preserve"> ” shall mean, as of any date, the Route Authorities included in the Collateral as of</w:t>
      </w:r>
    </w:p>
    <w:p>
      <w:pPr>
        <w:spacing w:after="0" w:line="5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such date.</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Pledged Slots</w:t>
      </w:r>
      <w:r>
        <w:rPr>
          <w:rFonts w:ascii="Arial" w:cs="Arial" w:eastAsia="Arial" w:hAnsi="Arial"/>
          <w:sz w:val="22"/>
          <w:szCs w:val="22"/>
          <w:color w:val="auto"/>
        </w:rPr>
        <w:t xml:space="preserve"> ” shall mean, as of any date, the Slots included in the Collateral as of such date.</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firstLine="1296"/>
        <w:spacing w:after="0" w:line="263" w:lineRule="auto"/>
        <w:rPr>
          <w:rFonts w:ascii="Arial" w:cs="Arial" w:eastAsia="Arial" w:hAnsi="Arial"/>
          <w:sz w:val="22"/>
          <w:szCs w:val="22"/>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Prime Rate</w:t>
      </w:r>
      <w:r>
        <w:rPr>
          <w:rFonts w:ascii="Arial" w:cs="Arial" w:eastAsia="Arial" w:hAnsi="Arial"/>
          <w:sz w:val="21"/>
          <w:szCs w:val="21"/>
          <w:color w:val="auto"/>
        </w:rPr>
        <w:t xml:space="preserve"> ” shall mean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391"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QEC Kits</w:t>
      </w:r>
      <w:r>
        <w:rPr>
          <w:rFonts w:ascii="Arial" w:cs="Arial" w:eastAsia="Arial" w:hAnsi="Arial"/>
          <w:sz w:val="19"/>
          <w:szCs w:val="19"/>
          <w:color w:val="auto"/>
        </w:rPr>
        <w:t xml:space="preserve"> ” shall mean the quick engine change kits owned by Parent or any of its Restricted Subsidiaries.</w:t>
      </w:r>
    </w:p>
    <w:p>
      <w:pPr>
        <w:spacing w:after="0" w:line="200" w:lineRule="exact"/>
        <w:rPr>
          <w:rFonts w:ascii="Arial" w:cs="Arial" w:eastAsia="Arial" w:hAnsi="Arial"/>
          <w:sz w:val="22"/>
          <w:szCs w:val="22"/>
          <w:color w:val="auto"/>
        </w:rPr>
      </w:pPr>
    </w:p>
    <w:p>
      <w:pPr>
        <w:spacing w:after="0" w:line="270" w:lineRule="exact"/>
        <w:rPr>
          <w:rFonts w:ascii="Arial" w:cs="Arial" w:eastAsia="Arial" w:hAnsi="Arial"/>
          <w:sz w:val="22"/>
          <w:szCs w:val="22"/>
          <w:color w:val="auto"/>
        </w:rPr>
      </w:pPr>
    </w:p>
    <w:p>
      <w:pPr>
        <w:jc w:val="both"/>
        <w:ind w:firstLine="1296"/>
        <w:spacing w:after="0" w:line="290"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Qualified Receivables Transaction</w:t>
      </w:r>
      <w:r>
        <w:rPr>
          <w:rFonts w:ascii="Arial" w:cs="Arial" w:eastAsia="Arial" w:hAnsi="Arial"/>
          <w:sz w:val="19"/>
          <w:szCs w:val="19"/>
          <w:color w:val="auto"/>
        </w:rPr>
        <w:t xml:space="preserve"> ”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41" w:name="page242"/>
    <w:bookmarkEnd w:id="241"/>
    <w:p>
      <w:pPr>
        <w:spacing w:after="0" w:line="263" w:lineRule="auto"/>
        <w:rPr>
          <w:sz w:val="20"/>
          <w:szCs w:val="20"/>
          <w:color w:val="auto"/>
        </w:rPr>
      </w:pPr>
      <w:r>
        <w:rPr>
          <w:rFonts w:ascii="Arial" w:cs="Arial" w:eastAsia="Arial" w:hAnsi="Arial"/>
          <w:sz w:val="22"/>
          <w:szCs w:val="22"/>
          <w:color w:val="auto"/>
        </w:rPr>
        <w:t>connection with asset securitization transactions involving Receivables, other than assets that constitute Collateral or proceeds of Collateral.</w:t>
      </w:r>
    </w:p>
    <w:p>
      <w:pPr>
        <w:spacing w:after="0" w:line="39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Qualified Replacement Assets</w:t>
      </w:r>
      <w:r>
        <w:rPr>
          <w:rFonts w:ascii="Arial" w:cs="Arial" w:eastAsia="Arial" w:hAnsi="Arial"/>
          <w:sz w:val="22"/>
          <w:szCs w:val="22"/>
          <w:color w:val="auto"/>
        </w:rPr>
        <w:t xml:space="preserve"> ” shall mean Additional Collateral of the types described in clauses (b), (c), (d) and (e) of the definition of “Additional Collateral.”</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Qualifying Collateral</w:t>
      </w:r>
      <w:r>
        <w:rPr>
          <w:rFonts w:ascii="Arial" w:cs="Arial" w:eastAsia="Arial" w:hAnsi="Arial"/>
          <w:sz w:val="22"/>
          <w:szCs w:val="22"/>
          <w:color w:val="auto"/>
        </w:rPr>
        <w:t xml:space="preserve"> ” shall mean Collateral other than Foreign Gate Leaseholds.</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Qualifying Equity Interests</w:t>
      </w:r>
      <w:r>
        <w:rPr>
          <w:rFonts w:ascii="Arial" w:cs="Arial" w:eastAsia="Arial" w:hAnsi="Arial"/>
          <w:sz w:val="22"/>
          <w:szCs w:val="22"/>
          <w:color w:val="auto"/>
        </w:rPr>
        <w:t xml:space="preserve"> ” shall mean Equity Interests of Parent other than Disqualified Stock.</w:t>
      </w:r>
    </w:p>
    <w:p>
      <w:pPr>
        <w:spacing w:after="0" w:line="200" w:lineRule="exact"/>
        <w:rPr>
          <w:sz w:val="20"/>
          <w:szCs w:val="20"/>
          <w:color w:val="auto"/>
        </w:rPr>
      </w:pPr>
    </w:p>
    <w:p>
      <w:pPr>
        <w:spacing w:after="0" w:line="235"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Real Property Assets</w:t>
      </w:r>
      <w:r>
        <w:rPr>
          <w:rFonts w:ascii="Arial" w:cs="Arial" w:eastAsia="Arial" w:hAnsi="Arial"/>
          <w:sz w:val="22"/>
          <w:szCs w:val="22"/>
          <w:color w:val="auto"/>
        </w:rPr>
        <w:t xml:space="preserve"> ”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Receivables</w:t>
      </w:r>
      <w:r>
        <w:rPr>
          <w:rFonts w:ascii="Arial" w:cs="Arial" w:eastAsia="Arial" w:hAnsi="Arial"/>
          <w:sz w:val="22"/>
          <w:szCs w:val="22"/>
          <w:color w:val="auto"/>
        </w:rPr>
        <w:t xml:space="preserve"> ” shall mean Accounts, and shall also include ticket receivables, sales of frequent flyer miles and other present and future revenues and receivables that may be the subject of a Qualified Receivables Transaction or another financing transaction.</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Receivables Repurchase Obligation</w:t>
      </w:r>
      <w:r>
        <w:rPr>
          <w:rFonts w:ascii="Arial" w:cs="Arial" w:eastAsia="Arial" w:hAnsi="Arial"/>
          <w:sz w:val="22"/>
          <w:szCs w:val="22"/>
          <w:color w:val="auto"/>
        </w:rPr>
        <w:t xml:space="preserve"> ”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200" w:lineRule="exact"/>
        <w:rPr>
          <w:sz w:val="20"/>
          <w:szCs w:val="20"/>
          <w:color w:val="auto"/>
        </w:rPr>
      </w:pPr>
    </w:p>
    <w:p>
      <w:pPr>
        <w:spacing w:after="0" w:line="20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Receivables Subsidiary</w:t>
      </w:r>
      <w:r>
        <w:rPr>
          <w:rFonts w:ascii="Arial" w:cs="Arial" w:eastAsia="Arial" w:hAnsi="Arial"/>
          <w:sz w:val="19"/>
          <w:szCs w:val="19"/>
          <w:color w:val="auto"/>
        </w:rPr>
        <w:t xml:space="preserve"> ”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 </w:t>
      </w:r>
      <w:r>
        <w:rPr>
          <w:rFonts w:ascii="Arial" w:cs="Arial" w:eastAsia="Arial" w:hAnsi="Arial"/>
          <w:sz w:val="19"/>
          <w:szCs w:val="19"/>
          <w:i w:val="1"/>
          <w:iCs w:val="1"/>
          <w:color w:val="auto"/>
        </w:rPr>
        <w:t>incidental pledge</w:t>
      </w:r>
      <w:r>
        <w:rPr>
          <w:rFonts w:ascii="Arial" w:cs="Arial" w:eastAsia="Arial" w:hAnsi="Arial"/>
          <w:sz w:val="19"/>
          <w:szCs w:val="19"/>
          <w:color w:val="auto"/>
        </w:rPr>
        <w:t xml:space="preserve"> ”),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 </w:t>
      </w:r>
      <w:r>
        <w:rPr>
          <w:rFonts w:ascii="Arial" w:cs="Arial" w:eastAsia="Arial" w:hAnsi="Arial"/>
          <w:sz w:val="19"/>
          <w:szCs w:val="19"/>
          <w:i w:val="1"/>
          <w:iCs w:val="1"/>
          <w:color w:val="auto"/>
        </w:rPr>
        <w:t>Qualified Receivables Transaction</w:t>
      </w:r>
      <w:r>
        <w:rPr>
          <w:rFonts w:ascii="Arial" w:cs="Arial" w:eastAsia="Arial" w:hAnsi="Arial"/>
          <w:sz w:val="19"/>
          <w:szCs w:val="19"/>
          <w:color w:val="auto"/>
        </w:rPr>
        <w:t xml:space="preserve"> ”),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42" w:name="page243"/>
    <w:bookmarkEnd w:id="242"/>
    <w:p>
      <w:pPr>
        <w:jc w:val="both"/>
        <w:spacing w:after="0" w:line="289" w:lineRule="auto"/>
        <w:rPr>
          <w:sz w:val="20"/>
          <w:szCs w:val="20"/>
          <w:color w:val="auto"/>
        </w:rPr>
      </w:pPr>
      <w:r>
        <w:rPr>
          <w:rFonts w:ascii="Arial" w:cs="Arial" w:eastAsia="Arial" w:hAnsi="Arial"/>
          <w:sz w:val="19"/>
          <w:szCs w:val="19"/>
          <w:color w:val="auto"/>
        </w:rPr>
        <w:t>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w:t>
      </w:r>
    </w:p>
    <w:p>
      <w:pPr>
        <w:spacing w:after="0" w:line="37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Recovery Event</w:t>
      </w:r>
      <w:r>
        <w:rPr>
          <w:rFonts w:ascii="Arial" w:cs="Arial" w:eastAsia="Arial" w:hAnsi="Arial"/>
          <w:sz w:val="22"/>
          <w:szCs w:val="22"/>
          <w:color w:val="auto"/>
        </w:rPr>
        <w:t xml:space="preserve"> ”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 or trustee (as applicable), if applicable).</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Refinanced Loans</w:t>
      </w:r>
      <w:r>
        <w:rPr>
          <w:rFonts w:ascii="Arial" w:cs="Arial" w:eastAsia="Arial" w:hAnsi="Arial"/>
          <w:sz w:val="22"/>
          <w:szCs w:val="22"/>
          <w:color w:val="auto"/>
        </w:rPr>
        <w:t xml:space="preserve"> ” shall have the meaning set forth in Section 10.08(e).</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Refinanced Term Loans</w:t>
      </w:r>
      <w:r>
        <w:rPr>
          <w:rFonts w:ascii="Arial" w:cs="Arial" w:eastAsia="Arial" w:hAnsi="Arial"/>
          <w:sz w:val="22"/>
          <w:szCs w:val="22"/>
          <w:color w:val="auto"/>
        </w:rPr>
        <w:t xml:space="preserve"> ” shall have the meaning set forth in Section 10.08(e).</w:t>
      </w:r>
    </w:p>
    <w:p>
      <w:pPr>
        <w:spacing w:after="0" w:line="200" w:lineRule="exact"/>
        <w:rPr>
          <w:sz w:val="20"/>
          <w:szCs w:val="20"/>
          <w:color w:val="auto"/>
        </w:rPr>
      </w:pPr>
    </w:p>
    <w:p>
      <w:pPr>
        <w:spacing w:after="0" w:line="23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Regional Airline</w:t>
      </w:r>
      <w:r>
        <w:rPr>
          <w:rFonts w:ascii="Arial" w:cs="Arial" w:eastAsia="Arial" w:hAnsi="Arial"/>
          <w:sz w:val="22"/>
          <w:szCs w:val="22"/>
          <w:color w:val="auto"/>
        </w:rPr>
        <w:t xml:space="preserve"> ” shall mean Envoy Aviation Group Inc., Piedmont Airlines, Inc. and PSA Airlines, Inc. and their respective Subsidiaries.</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Register</w:t>
      </w:r>
      <w:r>
        <w:rPr>
          <w:rFonts w:ascii="Arial" w:cs="Arial" w:eastAsia="Arial" w:hAnsi="Arial"/>
          <w:sz w:val="22"/>
          <w:szCs w:val="22"/>
          <w:color w:val="auto"/>
        </w:rPr>
        <w:t xml:space="preserve"> ” shall have the meaning set forth in Section 10.02(b)(iv).</w:t>
      </w:r>
    </w:p>
    <w:p>
      <w:pPr>
        <w:spacing w:after="0" w:line="200" w:lineRule="exact"/>
        <w:rPr>
          <w:sz w:val="20"/>
          <w:szCs w:val="20"/>
          <w:color w:val="auto"/>
        </w:rPr>
      </w:pPr>
    </w:p>
    <w:p>
      <w:pPr>
        <w:spacing w:after="0" w:line="235"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Related Parties</w:t>
      </w:r>
      <w:r>
        <w:rPr>
          <w:rFonts w:ascii="Arial" w:cs="Arial" w:eastAsia="Arial" w:hAnsi="Arial"/>
          <w:sz w:val="19"/>
          <w:szCs w:val="19"/>
          <w:color w:val="auto"/>
        </w:rPr>
        <w:t xml:space="preserve"> ” shall mean, with respect to any specified Person, such Person’s Affiliates and the respective directors, officers, partners, members, employees, agents and advisors of such Person and such Person’s Affiliates.</w:t>
      </w:r>
    </w:p>
    <w:p>
      <w:pPr>
        <w:spacing w:after="0" w:line="3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Release</w:t>
      </w:r>
      <w:r>
        <w:rPr>
          <w:rFonts w:ascii="Arial" w:cs="Arial" w:eastAsia="Arial" w:hAnsi="Arial"/>
          <w:sz w:val="22"/>
          <w:szCs w:val="22"/>
          <w:color w:val="auto"/>
        </w:rPr>
        <w:t xml:space="preserve"> ” shall have the meaning specified in Section 101(22) of the Comprehensive Environmental Response Compensation and Liability Act.</w:t>
      </w:r>
    </w:p>
    <w:p>
      <w:pPr>
        <w:spacing w:after="0" w:line="390" w:lineRule="exact"/>
        <w:rPr>
          <w:sz w:val="20"/>
          <w:szCs w:val="20"/>
          <w:color w:val="auto"/>
        </w:rPr>
      </w:pPr>
    </w:p>
    <w:p>
      <w:pPr>
        <w:jc w:val="both"/>
        <w:ind w:left="1300" w:right="3380"/>
        <w:spacing w:after="0" w:line="75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Replaceable Lender</w:t>
      </w:r>
      <w:r>
        <w:rPr>
          <w:rFonts w:ascii="Arial" w:cs="Arial" w:eastAsia="Arial" w:hAnsi="Arial"/>
          <w:sz w:val="19"/>
          <w:szCs w:val="19"/>
          <w:color w:val="auto"/>
        </w:rPr>
        <w:t xml:space="preserve"> ” shall have the meaning set forth in Section 10.02(j). “ </w:t>
      </w:r>
      <w:r>
        <w:rPr>
          <w:rFonts w:ascii="Arial" w:cs="Arial" w:eastAsia="Arial" w:hAnsi="Arial"/>
          <w:sz w:val="19"/>
          <w:szCs w:val="19"/>
          <w:i w:val="1"/>
          <w:iCs w:val="1"/>
          <w:color w:val="auto"/>
        </w:rPr>
        <w:t>Replacement Loans</w:t>
      </w:r>
      <w:r>
        <w:rPr>
          <w:rFonts w:ascii="Arial" w:cs="Arial" w:eastAsia="Arial" w:hAnsi="Arial"/>
          <w:sz w:val="19"/>
          <w:szCs w:val="19"/>
          <w:color w:val="auto"/>
        </w:rPr>
        <w:t xml:space="preserve"> ” shall have the meaning set forth in Section 10.08(e).</w:t>
      </w: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Replacement Term Loans</w:t>
      </w:r>
      <w:r>
        <w:rPr>
          <w:rFonts w:ascii="Arial" w:cs="Arial" w:eastAsia="Arial" w:hAnsi="Arial"/>
          <w:sz w:val="22"/>
          <w:szCs w:val="22"/>
          <w:color w:val="auto"/>
        </w:rPr>
        <w:t xml:space="preserve"> ” shall have the meaning set forth in Section 10.08(e).</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Required Class Lenders</w:t>
      </w:r>
      <w:r>
        <w:rPr>
          <w:rFonts w:ascii="Arial" w:cs="Arial" w:eastAsia="Arial" w:hAnsi="Arial"/>
          <w:sz w:val="19"/>
          <w:szCs w:val="19"/>
          <w:color w:val="auto"/>
        </w:rPr>
        <w:t xml:space="preserve"> ” shall mean with respect to any Class of Term Loans, the Term Lenders having more than 50% of all outstanding Term Loans of such Class. The outstanding Term Loans and Term Loan Commitments of any Defaulting Lender should be disregarded for purposes of any determination with respect to a Class of Term Loans.</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43" w:name="page244"/>
    <w:bookmarkEnd w:id="243"/>
    <w:p>
      <w:pPr>
        <w:jc w:val="both"/>
        <w:ind w:firstLine="1296"/>
        <w:spacing w:after="0" w:line="291"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Required Lenders</w:t>
      </w:r>
      <w:r>
        <w:rPr>
          <w:rFonts w:ascii="Arial" w:cs="Arial" w:eastAsia="Arial" w:hAnsi="Arial"/>
          <w:sz w:val="19"/>
          <w:szCs w:val="19"/>
          <w:color w:val="auto"/>
        </w:rPr>
        <w:t xml:space="preserve"> ” shall mean, at any time, Lenders holding more than 50% of (a) until the Closing Date, the Commitments then in effect and (b) thereafter, the sum of (i) the aggregate principal amount of all Term Loans outstanding and</w:t>
      </w:r>
    </w:p>
    <w:p>
      <w:pPr>
        <w:spacing w:after="0" w:line="1" w:lineRule="exact"/>
        <w:rPr>
          <w:sz w:val="20"/>
          <w:szCs w:val="20"/>
          <w:color w:val="auto"/>
        </w:rPr>
      </w:pPr>
    </w:p>
    <w:p>
      <w:pPr>
        <w:ind w:firstLine="8"/>
        <w:spacing w:after="0" w:line="246" w:lineRule="auto"/>
        <w:tabs>
          <w:tab w:leader="none" w:pos="374"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Term Commitments then in effect. The outstanding Loans and Commitments of any Defaulting Lender shall be disregarded in determining the “Required Lenders” at any time.</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firstLine="1296"/>
        <w:spacing w:after="0" w:line="312"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Responsible Officer</w:t>
      </w:r>
      <w:r>
        <w:rPr>
          <w:rFonts w:ascii="Arial" w:cs="Arial" w:eastAsia="Arial" w:hAnsi="Arial"/>
          <w:sz w:val="19"/>
          <w:szCs w:val="19"/>
          <w:color w:val="auto"/>
        </w:rPr>
        <w:t xml:space="preserve"> ”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w:t>
      </w:r>
    </w:p>
    <w:p>
      <w:pPr>
        <w:spacing w:after="0" w:line="349" w:lineRule="exact"/>
        <w:rPr>
          <w:rFonts w:ascii="Arial" w:cs="Arial" w:eastAsia="Arial" w:hAnsi="Arial"/>
          <w:sz w:val="22"/>
          <w:szCs w:val="22"/>
          <w:color w:val="auto"/>
        </w:rPr>
      </w:pPr>
    </w:p>
    <w:p>
      <w:pPr>
        <w:ind w:left="1300" w:right="2480"/>
        <w:spacing w:after="0" w:line="756"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Restricted Investment</w:t>
      </w:r>
      <w:r>
        <w:rPr>
          <w:rFonts w:ascii="Arial" w:cs="Arial" w:eastAsia="Arial" w:hAnsi="Arial"/>
          <w:sz w:val="19"/>
          <w:szCs w:val="19"/>
          <w:color w:val="auto"/>
        </w:rPr>
        <w:t xml:space="preserve"> ” shall mean an Investment other than a Permitted Investment. “ </w:t>
      </w:r>
      <w:r>
        <w:rPr>
          <w:rFonts w:ascii="Arial" w:cs="Arial" w:eastAsia="Arial" w:hAnsi="Arial"/>
          <w:sz w:val="19"/>
          <w:szCs w:val="19"/>
          <w:i w:val="1"/>
          <w:iCs w:val="1"/>
          <w:color w:val="auto"/>
        </w:rPr>
        <w:t>Restricted Payments</w:t>
      </w:r>
      <w:r>
        <w:rPr>
          <w:rFonts w:ascii="Arial" w:cs="Arial" w:eastAsia="Arial" w:hAnsi="Arial"/>
          <w:sz w:val="19"/>
          <w:szCs w:val="19"/>
          <w:color w:val="auto"/>
        </w:rPr>
        <w:t xml:space="preserve"> ” shall have the meaning set forth in Section 6.01(a)(iv).</w:t>
      </w:r>
    </w:p>
    <w:p>
      <w:pPr>
        <w:ind w:left="1300"/>
        <w:spacing w:after="0"/>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Restricted Subsidiary</w:t>
      </w:r>
      <w:r>
        <w:rPr>
          <w:rFonts w:ascii="Arial" w:cs="Arial" w:eastAsia="Arial" w:hAnsi="Arial"/>
          <w:sz w:val="19"/>
          <w:szCs w:val="19"/>
          <w:color w:val="auto"/>
        </w:rPr>
        <w:t xml:space="preserve"> ” of a Person shall mean any Subsidiary of the referent Person that is not an Unrestricted</w:t>
      </w:r>
    </w:p>
    <w:p>
      <w:pPr>
        <w:spacing w:after="0" w:line="55"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Subsidiary.</w:t>
      </w:r>
    </w:p>
    <w:p>
      <w:pPr>
        <w:spacing w:after="0" w:line="201" w:lineRule="exact"/>
        <w:rPr>
          <w:rFonts w:ascii="Arial" w:cs="Arial" w:eastAsia="Arial" w:hAnsi="Arial"/>
          <w:sz w:val="22"/>
          <w:szCs w:val="22"/>
          <w:color w:val="auto"/>
        </w:rPr>
      </w:pPr>
    </w:p>
    <w:p>
      <w:pPr>
        <w:ind w:right="280" w:firstLine="1296"/>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Resolution Authority</w:t>
      </w:r>
      <w:r>
        <w:rPr>
          <w:rFonts w:ascii="Arial" w:cs="Arial" w:eastAsia="Arial" w:hAnsi="Arial"/>
          <w:sz w:val="22"/>
          <w:szCs w:val="22"/>
          <w:color w:val="auto"/>
        </w:rPr>
        <w:t xml:space="preserve"> ” means an EEA Resolution Authority or, with respect to any UK Financial Institution, a UK Resolution Authority.</w:t>
      </w:r>
    </w:p>
    <w:p>
      <w:pPr>
        <w:spacing w:after="0" w:line="390" w:lineRule="exact"/>
        <w:rPr>
          <w:rFonts w:ascii="Arial" w:cs="Arial" w:eastAsia="Arial" w:hAnsi="Arial"/>
          <w:sz w:val="22"/>
          <w:szCs w:val="22"/>
          <w:color w:val="auto"/>
        </w:rPr>
      </w:pPr>
    </w:p>
    <w:p>
      <w:pPr>
        <w:ind w:left="1300" w:right="2320"/>
        <w:spacing w:after="0" w:line="551" w:lineRule="exact"/>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Route Authorities</w:t>
      </w:r>
      <w:r>
        <w:rPr>
          <w:rFonts w:ascii="Arial" w:cs="Arial" w:eastAsia="Arial" w:hAnsi="Arial"/>
          <w:sz w:val="22"/>
          <w:szCs w:val="22"/>
          <w:color w:val="auto"/>
        </w:rPr>
        <w:t xml:space="preserve"> ” shall have the meaning set forth in the SGR Security Agreement. “ </w:t>
      </w:r>
      <w:r>
        <w:rPr>
          <w:rFonts w:ascii="Arial" w:cs="Arial" w:eastAsia="Arial" w:hAnsi="Arial"/>
          <w:sz w:val="22"/>
          <w:szCs w:val="22"/>
          <w:i w:val="1"/>
          <w:iCs w:val="1"/>
          <w:color w:val="auto"/>
        </w:rPr>
        <w:t>S&amp;P</w:t>
      </w:r>
      <w:r>
        <w:rPr>
          <w:rFonts w:ascii="Arial" w:cs="Arial" w:eastAsia="Arial" w:hAnsi="Arial"/>
          <w:sz w:val="22"/>
          <w:szCs w:val="22"/>
          <w:color w:val="auto"/>
        </w:rPr>
        <w:t xml:space="preserve"> ” shall mean Standard &amp; Poor’s, a division of The McGraw</w:t>
      </w:r>
      <w:r>
        <w:rPr>
          <w:rFonts w:ascii="MS PGothic" w:cs="MS PGothic" w:eastAsia="MS PGothic" w:hAnsi="MS PGothic"/>
          <w:sz w:val="22"/>
          <w:szCs w:val="22"/>
          <w:color w:val="auto"/>
        </w:rPr>
        <w:t>‑</w:t>
      </w:r>
      <w:r>
        <w:rPr>
          <w:rFonts w:ascii="Arial" w:cs="Arial" w:eastAsia="Arial" w:hAnsi="Arial"/>
          <w:sz w:val="22"/>
          <w:szCs w:val="22"/>
          <w:color w:val="auto"/>
        </w:rPr>
        <w:t xml:space="preserve">Hill Companies, Inc. “ </w:t>
      </w:r>
      <w:r>
        <w:rPr>
          <w:rFonts w:ascii="Arial" w:cs="Arial" w:eastAsia="Arial" w:hAnsi="Arial"/>
          <w:sz w:val="22"/>
          <w:szCs w:val="22"/>
          <w:i w:val="1"/>
          <w:iCs w:val="1"/>
          <w:color w:val="auto"/>
        </w:rPr>
        <w:t>Sage</w:t>
      </w:r>
      <w:r>
        <w:rPr>
          <w:rFonts w:ascii="Arial" w:cs="Arial" w:eastAsia="Arial" w:hAnsi="Arial"/>
          <w:sz w:val="22"/>
          <w:szCs w:val="22"/>
          <w:color w:val="auto"/>
        </w:rPr>
        <w:t xml:space="preserve"> ” shall mean Sage Popovich, Inc.</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jc w:val="both"/>
        <w:ind w:firstLine="1296"/>
        <w:spacing w:after="0" w:line="312"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Sale of a Grantor</w:t>
      </w:r>
      <w:r>
        <w:rPr>
          <w:rFonts w:ascii="Arial" w:cs="Arial" w:eastAsia="Arial" w:hAnsi="Arial"/>
          <w:sz w:val="19"/>
          <w:szCs w:val="19"/>
          <w:color w:val="auto"/>
        </w:rPr>
        <w:t xml:space="preserve"> ”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spacing w:after="0" w:line="349" w:lineRule="exact"/>
        <w:rPr>
          <w:rFonts w:ascii="Arial" w:cs="Arial" w:eastAsia="Arial" w:hAnsi="Arial"/>
          <w:sz w:val="22"/>
          <w:szCs w:val="22"/>
          <w:color w:val="auto"/>
        </w:rPr>
      </w:pPr>
    </w:p>
    <w:p>
      <w:pPr>
        <w:ind w:left="1300" w:right="2320"/>
        <w:spacing w:after="0" w:line="756"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Scheduled Services</w:t>
      </w:r>
      <w:r>
        <w:rPr>
          <w:rFonts w:ascii="Arial" w:cs="Arial" w:eastAsia="Arial" w:hAnsi="Arial"/>
          <w:sz w:val="19"/>
          <w:szCs w:val="19"/>
          <w:color w:val="auto"/>
        </w:rPr>
        <w:t xml:space="preserve"> ” shall have the meaning set forth in the SGR Security Agreement. “ </w:t>
      </w:r>
      <w:r>
        <w:rPr>
          <w:rFonts w:ascii="Arial" w:cs="Arial" w:eastAsia="Arial" w:hAnsi="Arial"/>
          <w:sz w:val="19"/>
          <w:szCs w:val="19"/>
          <w:i w:val="1"/>
          <w:iCs w:val="1"/>
          <w:color w:val="auto"/>
        </w:rPr>
        <w:t>Screen Rate</w:t>
      </w:r>
      <w:r>
        <w:rPr>
          <w:rFonts w:ascii="Arial" w:cs="Arial" w:eastAsia="Arial" w:hAnsi="Arial"/>
          <w:sz w:val="19"/>
          <w:szCs w:val="19"/>
          <w:color w:val="auto"/>
        </w:rPr>
        <w:t xml:space="preserve"> ” shall have the meaning set forth in the definition of “LIBO Rate”.</w:t>
      </w: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SEC</w:t>
      </w:r>
      <w:r>
        <w:rPr>
          <w:rFonts w:ascii="Arial" w:cs="Arial" w:eastAsia="Arial" w:hAnsi="Arial"/>
          <w:sz w:val="22"/>
          <w:szCs w:val="22"/>
          <w:color w:val="auto"/>
        </w:rPr>
        <w:t xml:space="preserve"> ” shall mean the United States Securities and Exchange Commission.</w:t>
      </w:r>
    </w:p>
    <w:p>
      <w:pPr>
        <w:spacing w:after="0" w:line="200" w:lineRule="exact"/>
        <w:rPr>
          <w:sz w:val="20"/>
          <w:szCs w:val="20"/>
          <w:color w:val="auto"/>
        </w:rPr>
      </w:pPr>
    </w:p>
    <w:p>
      <w:pPr>
        <w:spacing w:after="0" w:line="236"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i w:val="1"/>
          <w:iCs w:val="1"/>
          <w:color w:val="auto"/>
        </w:rPr>
        <w:t xml:space="preserve">“Second Lien Additional Appraisal” </w:t>
      </w:r>
      <w:r>
        <w:rPr>
          <w:rFonts w:ascii="Arial" w:cs="Arial" w:eastAsia="Arial" w:hAnsi="Arial"/>
          <w:sz w:val="22"/>
          <w:szCs w:val="22"/>
          <w:color w:val="auto"/>
        </w:rPr>
        <w:t>shall mean the report of MBA to be delivered to the Administrative Agent by</w:t>
      </w:r>
      <w:r>
        <w:rPr>
          <w:rFonts w:ascii="Arial" w:cs="Arial" w:eastAsia="Arial" w:hAnsi="Arial"/>
          <w:sz w:val="22"/>
          <w:szCs w:val="22"/>
          <w:i w:val="1"/>
          <w:iCs w:val="1"/>
          <w:color w:val="auto"/>
        </w:rPr>
        <w:t xml:space="preserve"> </w:t>
      </w:r>
      <w:r>
        <w:rPr>
          <w:rFonts w:ascii="Arial" w:cs="Arial" w:eastAsia="Arial" w:hAnsi="Arial"/>
          <w:sz w:val="22"/>
          <w:szCs w:val="22"/>
          <w:color w:val="auto"/>
        </w:rPr>
        <w:t>the Borrower pursuant to Section 5.06(2).</w:t>
      </w:r>
    </w:p>
    <w:p>
      <w:pPr>
        <w:spacing w:after="0" w:line="391" w:lineRule="exact"/>
        <w:rPr>
          <w:sz w:val="20"/>
          <w:szCs w:val="20"/>
          <w:color w:val="auto"/>
        </w:rPr>
      </w:pPr>
    </w:p>
    <w:p>
      <w:pPr>
        <w:ind w:firstLine="1296"/>
        <w:spacing w:after="0" w:line="287" w:lineRule="auto"/>
        <w:rPr>
          <w:sz w:val="20"/>
          <w:szCs w:val="20"/>
          <w:color w:val="auto"/>
        </w:rPr>
      </w:pPr>
      <w:r>
        <w:rPr>
          <w:rFonts w:ascii="Arial" w:cs="Arial" w:eastAsia="Arial" w:hAnsi="Arial"/>
          <w:sz w:val="21"/>
          <w:szCs w:val="21"/>
          <w:i w:val="1"/>
          <w:iCs w:val="1"/>
          <w:color w:val="auto"/>
        </w:rPr>
        <w:t xml:space="preserve">“Second Lien Initial Appraisal” </w:t>
      </w:r>
      <w:r>
        <w:rPr>
          <w:rFonts w:ascii="Arial" w:cs="Arial" w:eastAsia="Arial" w:hAnsi="Arial"/>
          <w:sz w:val="21"/>
          <w:szCs w:val="21"/>
          <w:color w:val="auto"/>
        </w:rPr>
        <w:t>shall mean the 2019 reports of MBA with respect to Collateral secured pursuant</w:t>
      </w:r>
      <w:r>
        <w:rPr>
          <w:rFonts w:ascii="Arial" w:cs="Arial" w:eastAsia="Arial" w:hAnsi="Arial"/>
          <w:sz w:val="21"/>
          <w:szCs w:val="21"/>
          <w:i w:val="1"/>
          <w:iCs w:val="1"/>
          <w:color w:val="auto"/>
        </w:rPr>
        <w:t xml:space="preserve"> </w:t>
      </w:r>
      <w:r>
        <w:rPr>
          <w:rFonts w:ascii="Arial" w:cs="Arial" w:eastAsia="Arial" w:hAnsi="Arial"/>
          <w:sz w:val="21"/>
          <w:szCs w:val="21"/>
          <w:color w:val="auto"/>
        </w:rPr>
        <w:t>to the Second Lien SGR Security Agreement delivered to the Administrative Agent prior to the Closing Date.</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44" w:name="page245"/>
    <w:bookmarkEnd w:id="244"/>
    <w:p>
      <w:pPr>
        <w:ind w:firstLine="1296"/>
        <w:spacing w:after="0" w:line="263" w:lineRule="auto"/>
        <w:rPr>
          <w:sz w:val="20"/>
          <w:szCs w:val="20"/>
          <w:color w:val="auto"/>
        </w:rPr>
      </w:pPr>
      <w:r>
        <w:rPr>
          <w:rFonts w:ascii="Arial" w:cs="Arial" w:eastAsia="Arial" w:hAnsi="Arial"/>
          <w:sz w:val="22"/>
          <w:szCs w:val="22"/>
          <w:i w:val="1"/>
          <w:iCs w:val="1"/>
          <w:color w:val="auto"/>
        </w:rPr>
        <w:t xml:space="preserve">“Second Lien Second Appraisal” </w:t>
      </w:r>
      <w:r>
        <w:rPr>
          <w:rFonts w:ascii="Arial" w:cs="Arial" w:eastAsia="Arial" w:hAnsi="Arial"/>
          <w:sz w:val="22"/>
          <w:szCs w:val="22"/>
          <w:color w:val="auto"/>
        </w:rPr>
        <w:t>shall mean the report of MBA to be delivered to the Administrative Agent by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pursuant to Section 5.06(2).</w:t>
      </w:r>
    </w:p>
    <w:p>
      <w:pPr>
        <w:spacing w:after="0" w:line="39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Second Lien SGR Security Agreement</w:t>
      </w:r>
      <w:r>
        <w:rPr>
          <w:rFonts w:ascii="Arial" w:cs="Arial" w:eastAsia="Arial" w:hAnsi="Arial"/>
          <w:sz w:val="21"/>
          <w:szCs w:val="21"/>
          <w:color w:val="auto"/>
        </w:rPr>
        <w:t xml:space="preserve"> ” shall mean that certain Second Lien Security Agreement (Slots, Foreign Gate Leaseholds and Route Authorities), dated as of the Closing Date by and among the Borrower, as grantor, the other grantors thereto from time to time and the Collateral Agent, as the same may be amended from time to time.</w:t>
      </w:r>
    </w:p>
    <w:p>
      <w:pPr>
        <w:spacing w:after="0" w:line="383"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Secured Parties</w:t>
      </w:r>
      <w:r>
        <w:rPr>
          <w:rFonts w:ascii="Arial" w:cs="Arial" w:eastAsia="Arial" w:hAnsi="Arial"/>
          <w:sz w:val="22"/>
          <w:szCs w:val="22"/>
          <w:color w:val="auto"/>
        </w:rPr>
        <w:t xml:space="preserve"> ” shall mean each Agent, any trustee appointed pursuant to Section 8.01(d) with respect to an Aircraft Security Agreement, the Lenders and all other holders of Obligations.</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Securities Act</w:t>
      </w:r>
      <w:r>
        <w:rPr>
          <w:rFonts w:ascii="Arial" w:cs="Arial" w:eastAsia="Arial" w:hAnsi="Arial"/>
          <w:sz w:val="22"/>
          <w:szCs w:val="22"/>
          <w:color w:val="auto"/>
        </w:rPr>
        <w:t xml:space="preserve"> ” shall mean the Securities Act of 1933, as amended.</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SGR Security Agreement</w:t>
      </w:r>
      <w:r>
        <w:rPr>
          <w:rFonts w:ascii="Arial" w:cs="Arial" w:eastAsia="Arial" w:hAnsi="Arial"/>
          <w:sz w:val="22"/>
          <w:szCs w:val="22"/>
          <w:color w:val="auto"/>
        </w:rPr>
        <w:t xml:space="preserve"> ” shall mean the First Lien SGR Security Agreement, the Second Lien SGR Security Agreement or any subsequent security agreement executed and delivered to the Administrative Agent substantially in the form of Exhibit A-1 hereto.</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63"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Significant Subsidiary</w:t>
      </w:r>
      <w:r>
        <w:rPr>
          <w:rFonts w:ascii="Arial" w:cs="Arial" w:eastAsia="Arial" w:hAnsi="Arial"/>
          <w:sz w:val="22"/>
          <w:szCs w:val="22"/>
          <w:color w:val="auto"/>
        </w:rPr>
        <w:t xml:space="preserve"> ” shall mean any Restricted Subsidiary of Parent that would be a “significant subsidiary” as defined in Article 1, Rule 1</w:t>
      </w:r>
      <w:r>
        <w:rPr>
          <w:rFonts w:ascii="MS PGothic" w:cs="MS PGothic" w:eastAsia="MS PGothic" w:hAnsi="MS PGothic"/>
          <w:sz w:val="22"/>
          <w:szCs w:val="22"/>
          <w:color w:val="auto"/>
        </w:rPr>
        <w:t>‑</w:t>
      </w:r>
      <w:r>
        <w:rPr>
          <w:rFonts w:ascii="Arial" w:cs="Arial" w:eastAsia="Arial" w:hAnsi="Arial"/>
          <w:sz w:val="22"/>
          <w:szCs w:val="22"/>
          <w:color w:val="auto"/>
        </w:rPr>
        <w:t>02 of Regulation S</w:t>
      </w:r>
      <w:r>
        <w:rPr>
          <w:rFonts w:ascii="MS PGothic" w:cs="MS PGothic" w:eastAsia="MS PGothic" w:hAnsi="MS PGothic"/>
          <w:sz w:val="22"/>
          <w:szCs w:val="22"/>
          <w:color w:val="auto"/>
        </w:rPr>
        <w:t>‑</w:t>
      </w:r>
      <w:r>
        <w:rPr>
          <w:rFonts w:ascii="Arial" w:cs="Arial" w:eastAsia="Arial" w:hAnsi="Arial"/>
          <w:sz w:val="22"/>
          <w:szCs w:val="22"/>
          <w:color w:val="auto"/>
        </w:rPr>
        <w:t>X, promulgated pursuant to the Securities Act, as such Regulation is in effect on the date of this Agreement.</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Slot</w:t>
      </w:r>
      <w:r>
        <w:rPr>
          <w:rFonts w:ascii="Arial" w:cs="Arial" w:eastAsia="Arial" w:hAnsi="Arial"/>
          <w:sz w:val="22"/>
          <w:szCs w:val="22"/>
          <w:color w:val="auto"/>
        </w:rPr>
        <w:t xml:space="preserve"> ” shall mean each FAA Route Slot and each Foreign Route Slot, or any of them.</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Solvent</w:t>
      </w:r>
      <w:r>
        <w:rPr>
          <w:rFonts w:ascii="Arial" w:cs="Arial" w:eastAsia="Arial" w:hAnsi="Arial"/>
          <w:sz w:val="19"/>
          <w:szCs w:val="19"/>
          <w:color w:val="auto"/>
        </w:rPr>
        <w:t xml:space="preserve"> ”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date of determination; (3) such Person is able to pay its debts and liabilities as they become due (whether at maturity or otherwise) and</w:t>
      </w:r>
    </w:p>
    <w:p>
      <w:pPr>
        <w:spacing w:after="0" w:line="2" w:lineRule="exact"/>
        <w:rPr>
          <w:sz w:val="20"/>
          <w:szCs w:val="20"/>
          <w:color w:val="auto"/>
        </w:rPr>
      </w:pPr>
    </w:p>
    <w:p>
      <w:pPr>
        <w:jc w:val="both"/>
        <w:ind w:firstLine="8"/>
        <w:spacing w:after="0" w:line="290" w:lineRule="auto"/>
        <w:tabs>
          <w:tab w:leader="none" w:pos="336" w:val="left"/>
        </w:tabs>
        <w:numPr>
          <w:ilvl w:val="0"/>
          <w:numId w:val="249"/>
        </w:numPr>
        <w:rPr>
          <w:rFonts w:ascii="Arial" w:cs="Arial" w:eastAsia="Arial" w:hAnsi="Arial"/>
          <w:sz w:val="19"/>
          <w:szCs w:val="19"/>
          <w:color w:val="auto"/>
        </w:rPr>
      </w:pPr>
      <w:r>
        <w:rPr>
          <w:rFonts w:ascii="Arial" w:cs="Arial" w:eastAsia="Arial" w:hAnsi="Arial"/>
          <w:sz w:val="19"/>
          <w:szCs w:val="19"/>
          <w:color w:val="auto"/>
        </w:rPr>
        <w:t>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w:t>
      </w:r>
    </w:p>
    <w:p>
      <w:pPr>
        <w:spacing w:after="0" w:line="369" w:lineRule="exact"/>
        <w:rPr>
          <w:rFonts w:ascii="Arial" w:cs="Arial" w:eastAsia="Arial" w:hAnsi="Arial"/>
          <w:sz w:val="19"/>
          <w:szCs w:val="19"/>
          <w:color w:val="auto"/>
        </w:rPr>
      </w:pPr>
    </w:p>
    <w:p>
      <w:pPr>
        <w:jc w:val="both"/>
        <w:ind w:firstLine="1296"/>
        <w:spacing w:after="0" w:line="271"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Spare Parts</w:t>
      </w:r>
      <w:r>
        <w:rPr>
          <w:rFonts w:ascii="Arial" w:cs="Arial" w:eastAsia="Arial" w:hAnsi="Arial"/>
          <w:sz w:val="21"/>
          <w:szCs w:val="21"/>
          <w:color w:val="auto"/>
        </w:rPr>
        <w:t xml:space="preserve"> ”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w:t>
      </w:r>
    </w:p>
    <w:p>
      <w:pPr>
        <w:spacing w:after="0" w:line="383" w:lineRule="exact"/>
        <w:rPr>
          <w:rFonts w:ascii="Arial" w:cs="Arial" w:eastAsia="Arial" w:hAnsi="Arial"/>
          <w:sz w:val="19"/>
          <w:szCs w:val="19"/>
          <w:color w:val="auto"/>
        </w:rPr>
      </w:pPr>
    </w:p>
    <w:p>
      <w:pPr>
        <w:jc w:val="both"/>
        <w:ind w:firstLine="1296"/>
        <w:spacing w:after="0" w:line="253" w:lineRule="auto"/>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Standard Securitization Undertakings</w:t>
      </w:r>
      <w:r>
        <w:rPr>
          <w:rFonts w:ascii="Arial" w:cs="Arial" w:eastAsia="Arial" w:hAnsi="Arial"/>
          <w:sz w:val="22"/>
          <w:szCs w:val="22"/>
          <w:color w:val="auto"/>
        </w:rPr>
        <w:t xml:space="preserve"> ” shall mean all representations, warranties, covenants, indemnities, performance Guarantees and servicing obligations entered into by Parent or any Subsidiary (other than a Receivables Subsidiary), which are customary in connection with any Qualified Receivables Transaction.</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45" w:name="page246"/>
    <w:bookmarkEnd w:id="245"/>
    <w:p>
      <w:pPr>
        <w:jc w:val="both"/>
        <w:ind w:firstLine="1296"/>
        <w:spacing w:after="0" w:line="26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Stated Maturity</w:t>
      </w:r>
      <w:r>
        <w:rPr>
          <w:rFonts w:ascii="Arial" w:cs="Arial" w:eastAsia="Arial" w:hAnsi="Arial"/>
          <w:sz w:val="21"/>
          <w:szCs w:val="21"/>
          <w:color w:val="auto"/>
        </w:rPr>
        <w:t xml:space="preserve"> ”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39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Statutory Reserve Rate</w:t>
      </w:r>
      <w:r>
        <w:rPr>
          <w:rFonts w:ascii="Arial" w:cs="Arial" w:eastAsia="Arial" w:hAnsi="Arial"/>
          <w:sz w:val="21"/>
          <w:szCs w:val="21"/>
          <w:color w:val="auto"/>
        </w:rPr>
        <w:t xml:space="preserve"> ”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reserve percentage.</w:t>
      </w:r>
    </w:p>
    <w:p>
      <w:pPr>
        <w:spacing w:after="0" w:line="3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Structuring Agent</w:t>
      </w:r>
      <w:r>
        <w:rPr>
          <w:rFonts w:ascii="Arial" w:cs="Arial" w:eastAsia="Arial" w:hAnsi="Arial"/>
          <w:sz w:val="22"/>
          <w:szCs w:val="22"/>
          <w:color w:val="auto"/>
        </w:rPr>
        <w:t xml:space="preserve"> ” shall mean Citigroup Global Markets Inc.</w:t>
      </w:r>
    </w:p>
    <w:p>
      <w:pPr>
        <w:spacing w:after="0" w:line="200" w:lineRule="exact"/>
        <w:rPr>
          <w:sz w:val="20"/>
          <w:szCs w:val="20"/>
          <w:color w:val="auto"/>
        </w:rPr>
      </w:pPr>
    </w:p>
    <w:p>
      <w:pPr>
        <w:spacing w:after="0" w:line="23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Structuring Agent Fee Letter</w:t>
      </w:r>
      <w:r>
        <w:rPr>
          <w:rFonts w:ascii="Arial" w:cs="Arial" w:eastAsia="Arial" w:hAnsi="Arial"/>
          <w:sz w:val="22"/>
          <w:szCs w:val="22"/>
          <w:color w:val="auto"/>
        </w:rPr>
        <w:t xml:space="preserve"> ” shall mean that certain letter dated as of the Closing Date, between the Structuring Agent and the Borrower.</w:t>
      </w:r>
    </w:p>
    <w:p>
      <w:pPr>
        <w:spacing w:after="0" w:line="390" w:lineRule="exact"/>
        <w:rPr>
          <w:sz w:val="20"/>
          <w:szCs w:val="20"/>
          <w:color w:val="auto"/>
        </w:rPr>
      </w:pPr>
    </w:p>
    <w:p>
      <w:pPr>
        <w:ind w:left="1300" w:right="3660"/>
        <w:spacing w:after="0" w:line="6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Subject Company</w:t>
      </w:r>
      <w:r>
        <w:rPr>
          <w:rFonts w:ascii="Arial" w:cs="Arial" w:eastAsia="Arial" w:hAnsi="Arial"/>
          <w:sz w:val="22"/>
          <w:szCs w:val="22"/>
          <w:color w:val="auto"/>
        </w:rPr>
        <w:t xml:space="preserve"> ” shall have the meaning set forth in Section 6.10(a). “ </w:t>
      </w:r>
      <w:r>
        <w:rPr>
          <w:rFonts w:ascii="Arial" w:cs="Arial" w:eastAsia="Arial" w:hAnsi="Arial"/>
          <w:sz w:val="22"/>
          <w:szCs w:val="22"/>
          <w:i w:val="1"/>
          <w:iCs w:val="1"/>
          <w:color w:val="auto"/>
        </w:rPr>
        <w:t>Subsidiary</w:t>
      </w:r>
      <w:r>
        <w:rPr>
          <w:rFonts w:ascii="Arial" w:cs="Arial" w:eastAsia="Arial" w:hAnsi="Arial"/>
          <w:sz w:val="22"/>
          <w:szCs w:val="22"/>
          <w:color w:val="auto"/>
        </w:rPr>
        <w:t xml:space="preserve"> ” shall mean, with respect to any Person:</w:t>
      </w:r>
    </w:p>
    <w:p>
      <w:pPr>
        <w:jc w:val="both"/>
        <w:ind w:left="660" w:firstLine="644"/>
        <w:spacing w:after="0" w:line="294" w:lineRule="auto"/>
        <w:tabs>
          <w:tab w:leader="none" w:pos="1929" w:val="left"/>
        </w:tabs>
        <w:numPr>
          <w:ilvl w:val="1"/>
          <w:numId w:val="251"/>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365" w:lineRule="exact"/>
        <w:rPr>
          <w:rFonts w:ascii="Arial" w:cs="Arial" w:eastAsia="Arial" w:hAnsi="Arial"/>
          <w:sz w:val="19"/>
          <w:szCs w:val="19"/>
          <w:color w:val="auto"/>
        </w:rPr>
      </w:pPr>
    </w:p>
    <w:p>
      <w:pPr>
        <w:jc w:val="both"/>
        <w:ind w:left="660" w:firstLine="644"/>
        <w:spacing w:after="0" w:line="286" w:lineRule="auto"/>
        <w:tabs>
          <w:tab w:leader="none" w:pos="1919" w:val="left"/>
        </w:tabs>
        <w:numPr>
          <w:ilvl w:val="1"/>
          <w:numId w:val="251"/>
        </w:numPr>
        <w:rPr>
          <w:rFonts w:ascii="Arial" w:cs="Arial" w:eastAsia="Arial" w:hAnsi="Arial"/>
          <w:sz w:val="19"/>
          <w:szCs w:val="19"/>
          <w:color w:val="auto"/>
        </w:rPr>
      </w:pPr>
      <w:r>
        <w:rPr>
          <w:rFonts w:ascii="Arial" w:cs="Arial" w:eastAsia="Arial" w:hAnsi="Arial"/>
          <w:sz w:val="19"/>
          <w:szCs w:val="19"/>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w:t>
      </w:r>
    </w:p>
    <w:p>
      <w:pPr>
        <w:spacing w:after="0" w:line="2" w:lineRule="exact"/>
        <w:rPr>
          <w:rFonts w:ascii="Arial" w:cs="Arial" w:eastAsia="Arial" w:hAnsi="Arial"/>
          <w:sz w:val="19"/>
          <w:szCs w:val="19"/>
          <w:color w:val="auto"/>
        </w:rPr>
      </w:pPr>
    </w:p>
    <w:p>
      <w:pPr>
        <w:ind w:left="1000" w:hanging="344"/>
        <w:spacing w:after="0"/>
        <w:tabs>
          <w:tab w:leader="none" w:pos="100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such Person or any Subsidiary of such Person is a controlling general partner or otherwise controls such entity.</w:t>
      </w:r>
    </w:p>
    <w:p>
      <w:pPr>
        <w:spacing w:after="0" w:line="200" w:lineRule="exact"/>
        <w:rPr>
          <w:sz w:val="20"/>
          <w:szCs w:val="20"/>
          <w:color w:val="auto"/>
        </w:rPr>
      </w:pPr>
    </w:p>
    <w:p>
      <w:pPr>
        <w:spacing w:after="0" w:line="25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Swap Obligation</w:t>
      </w:r>
      <w:r>
        <w:rPr>
          <w:rFonts w:ascii="Arial" w:cs="Arial" w:eastAsia="Arial" w:hAnsi="Arial"/>
          <w:sz w:val="22"/>
          <w:szCs w:val="22"/>
          <w:color w:val="auto"/>
        </w:rPr>
        <w:t xml:space="preserve"> ” shall mean, with respect to any Guarantor, any obligation to pay or perform under any agreement, contract or transaction that constitutes a “swap” within the meaning of Section 1a(47)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46" w:name="page247"/>
    <w:bookmarkEnd w:id="246"/>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Syndication Agent</w:t>
      </w:r>
      <w:r>
        <w:rPr>
          <w:rFonts w:ascii="Arial" w:cs="Arial" w:eastAsia="Arial" w:hAnsi="Arial"/>
          <w:sz w:val="22"/>
          <w:szCs w:val="22"/>
          <w:color w:val="auto"/>
        </w:rPr>
        <w:t xml:space="preserve"> ” shall have the meaning set forth in the preamble to this Agreement.</w:t>
      </w:r>
    </w:p>
    <w:p>
      <w:pPr>
        <w:spacing w:after="0" w:line="21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Taxes</w:t>
      </w:r>
      <w:r>
        <w:rPr>
          <w:rFonts w:ascii="Arial" w:cs="Arial" w:eastAsia="Arial" w:hAnsi="Arial"/>
          <w:sz w:val="22"/>
          <w:szCs w:val="22"/>
          <w:color w:val="auto"/>
        </w:rPr>
        <w:t xml:space="preserve"> ” shall mean any and all present or future taxes, levies, imposts, duties, assessments, fees, deductions, charges or withholdings imposed by any Governmental Authority including any interest, additions to tax or penalties applicable thereto.</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Temporary FAA Slot</w:t>
      </w:r>
      <w:r>
        <w:rPr>
          <w:rFonts w:ascii="Arial" w:cs="Arial" w:eastAsia="Arial" w:hAnsi="Arial"/>
          <w:sz w:val="22"/>
          <w:szCs w:val="22"/>
          <w:color w:val="auto"/>
        </w:rPr>
        <w:t xml:space="preserve"> ” shall mean an FAA Slot that was obtained by any Grantor from another air carrier pursuant to an agreement (including but not limited to a loan agreement, lease agreement, slot exchange agreement or slot release agreement) and is held by such Grantor on a temporary basis.</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Temporary Foreign Slot</w:t>
      </w:r>
      <w:r>
        <w:rPr>
          <w:rFonts w:ascii="Arial" w:cs="Arial" w:eastAsia="Arial" w:hAnsi="Arial"/>
          <w:sz w:val="22"/>
          <w:szCs w:val="22"/>
          <w:color w:val="auto"/>
        </w:rPr>
        <w:t xml:space="preserve"> ”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200" w:lineRule="exact"/>
        <w:rPr>
          <w:sz w:val="20"/>
          <w:szCs w:val="20"/>
          <w:color w:val="auto"/>
        </w:rPr>
      </w:pPr>
    </w:p>
    <w:p>
      <w:pPr>
        <w:spacing w:after="0" w:line="201" w:lineRule="exact"/>
        <w:rPr>
          <w:sz w:val="20"/>
          <w:szCs w:val="20"/>
          <w:color w:val="auto"/>
        </w:rPr>
      </w:pPr>
    </w:p>
    <w:p>
      <w:pPr>
        <w:ind w:firstLine="1296"/>
        <w:spacing w:after="0" w:line="28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Temporary Slot</w:t>
      </w:r>
      <w:r>
        <w:rPr>
          <w:rFonts w:ascii="Arial" w:cs="Arial" w:eastAsia="Arial" w:hAnsi="Arial"/>
          <w:sz w:val="21"/>
          <w:szCs w:val="21"/>
          <w:color w:val="auto"/>
        </w:rPr>
        <w:t xml:space="preserve"> ” shall mean any Temporary FAA Slot or any Temporary Foreign Slot and any FAA Slot or Foreign Slot subject to a Transfer Restriction, in each case, for so long as such Transfer Restriction is in effect.</w:t>
      </w:r>
    </w:p>
    <w:p>
      <w:pPr>
        <w:spacing w:after="0" w:line="36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Term Lender</w:t>
      </w:r>
      <w:r>
        <w:rPr>
          <w:rFonts w:ascii="Arial" w:cs="Arial" w:eastAsia="Arial" w:hAnsi="Arial"/>
          <w:sz w:val="19"/>
          <w:szCs w:val="19"/>
          <w:color w:val="auto"/>
        </w:rPr>
        <w:t xml:space="preserve"> ” shall mean each Lender having a Term Loan Commitment or, as the case may be, an outstanding</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Term Loan.</w:t>
      </w:r>
    </w:p>
    <w:p>
      <w:pPr>
        <w:spacing w:after="0" w:line="200" w:lineRule="exact"/>
        <w:rPr>
          <w:sz w:val="20"/>
          <w:szCs w:val="20"/>
          <w:color w:val="auto"/>
        </w:rPr>
      </w:pP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Term Loan</w:t>
      </w:r>
      <w:r>
        <w:rPr>
          <w:rFonts w:ascii="Arial" w:cs="Arial" w:eastAsia="Arial" w:hAnsi="Arial"/>
          <w:sz w:val="19"/>
          <w:szCs w:val="19"/>
          <w:color w:val="auto"/>
        </w:rPr>
        <w:t xml:space="preserve"> ” shall mean the Initial Term Loans, Delayed Draw Term Loans and any other Class of Term Loan</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color w:val="auto"/>
        </w:rPr>
        <w:t>hereunder.</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i w:val="1"/>
          <w:iCs w:val="1"/>
          <w:color w:val="auto"/>
        </w:rPr>
        <w:t xml:space="preserve">“Term Loan Commitment” </w:t>
      </w:r>
      <w:r>
        <w:rPr>
          <w:rFonts w:ascii="Arial" w:cs="Arial" w:eastAsia="Arial" w:hAnsi="Arial"/>
          <w:sz w:val="22"/>
          <w:szCs w:val="22"/>
          <w:color w:val="auto"/>
        </w:rPr>
        <w:t>shall mean the commitment of each Term Lender to make Term Loans hereunder and,</w:t>
      </w:r>
      <w:r>
        <w:rPr>
          <w:rFonts w:ascii="Arial" w:cs="Arial" w:eastAsia="Arial" w:hAnsi="Arial"/>
          <w:sz w:val="22"/>
          <w:szCs w:val="22"/>
          <w:i w:val="1"/>
          <w:iCs w:val="1"/>
          <w:color w:val="auto"/>
        </w:rPr>
        <w:t xml:space="preserve"> </w:t>
      </w:r>
      <w:r>
        <w:rPr>
          <w:rFonts w:ascii="Arial" w:cs="Arial" w:eastAsia="Arial" w:hAnsi="Arial"/>
          <w:sz w:val="22"/>
          <w:szCs w:val="22"/>
          <w:color w:val="auto"/>
        </w:rPr>
        <w:t>in the case of the Initial Term Loans including Delayed Draw Term Loans, in an aggregate principal amount not to exceed the amount set forth under the heading “Term Loan Commitment” opposite its name in the Term Loan Commitment Schedule or in the Assignment and Acceptance pursuant to which such Term Lender became a party hereto, as the same may be changed from time to time pursuant to the terms hereof. The aggregate amount of the Term Loan Commitments as of the Closing Date is $1,000,000,000.00.</w:t>
      </w:r>
    </w:p>
    <w:p>
      <w:pPr>
        <w:spacing w:after="0" w:line="193"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Term Loan Commitment Schedule</w:t>
      </w:r>
      <w:r>
        <w:rPr>
          <w:rFonts w:ascii="Arial" w:cs="Arial" w:eastAsia="Arial" w:hAnsi="Arial"/>
          <w:sz w:val="22"/>
          <w:szCs w:val="22"/>
          <w:color w:val="auto"/>
        </w:rPr>
        <w:t xml:space="preserve"> ” shall mean the schedule of Term Loan Commitments of each Term Lender as of the Closing Date attached hereto as Schedule 1.</w:t>
      </w:r>
    </w:p>
    <w:p>
      <w:pPr>
        <w:spacing w:after="0" w:line="39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Term Loan Maturity Date</w:t>
      </w:r>
      <w:r>
        <w:rPr>
          <w:rFonts w:ascii="Arial" w:cs="Arial" w:eastAsia="Arial" w:hAnsi="Arial"/>
          <w:sz w:val="22"/>
          <w:szCs w:val="22"/>
          <w:color w:val="auto"/>
        </w:rPr>
        <w:t xml:space="preserve"> ” shall mean, with respect to (a) Initial Term Loans, March 17, 2021 and (b) with respect to Extended Term Loans, the final maturity date therefor as specified in the applicable Extension Offer accepted by the respective Term Lenders (as the same may be further extended pursuant to Section 2.28).</w:t>
      </w:r>
    </w:p>
    <w:p>
      <w:pPr>
        <w:spacing w:after="0" w:line="200" w:lineRule="exact"/>
        <w:rPr>
          <w:sz w:val="20"/>
          <w:szCs w:val="20"/>
          <w:color w:val="auto"/>
        </w:rPr>
      </w:pPr>
    </w:p>
    <w:p>
      <w:pPr>
        <w:spacing w:after="0" w:line="201"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Termination Date</w:t>
      </w:r>
      <w:r>
        <w:rPr>
          <w:rFonts w:ascii="Arial" w:cs="Arial" w:eastAsia="Arial" w:hAnsi="Arial"/>
          <w:sz w:val="22"/>
          <w:szCs w:val="22"/>
          <w:color w:val="auto"/>
        </w:rPr>
        <w:t xml:space="preserve"> ” shall mean the earlier to occur of (a) the Term Loan Maturity Date and (b) the acceleration of the Term Loans in accordance with the terms hereof.</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Title 14</w:t>
      </w:r>
      <w:r>
        <w:rPr>
          <w:rFonts w:ascii="Arial" w:cs="Arial" w:eastAsia="Arial" w:hAnsi="Arial"/>
          <w:sz w:val="22"/>
          <w:szCs w:val="22"/>
          <w:color w:val="auto"/>
        </w:rPr>
        <w:t xml:space="preserve"> ” shall have the meaning set forth in the SGR Security Agreement.</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47" w:name="page248"/>
    <w:bookmarkEnd w:id="247"/>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Title 49</w:t>
      </w:r>
      <w:r>
        <w:rPr>
          <w:rFonts w:ascii="Arial" w:cs="Arial" w:eastAsia="Arial" w:hAnsi="Arial"/>
          <w:sz w:val="22"/>
          <w:szCs w:val="22"/>
          <w:color w:val="auto"/>
        </w:rPr>
        <w:t xml:space="preserve"> ” shall have the meaning set forth in the SGR Security Agreement.</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Total Obligations</w:t>
      </w:r>
      <w:r>
        <w:rPr>
          <w:rFonts w:ascii="Arial" w:cs="Arial" w:eastAsia="Arial" w:hAnsi="Arial"/>
          <w:sz w:val="22"/>
          <w:szCs w:val="22"/>
          <w:color w:val="auto"/>
        </w:rPr>
        <w:t xml:space="preserve"> ” shall have the meaning provided in the definition of “ </w:t>
      </w:r>
      <w:r>
        <w:rPr>
          <w:rFonts w:ascii="Arial" w:cs="Arial" w:eastAsia="Arial" w:hAnsi="Arial"/>
          <w:sz w:val="22"/>
          <w:szCs w:val="22"/>
          <w:i w:val="1"/>
          <w:iCs w:val="1"/>
          <w:color w:val="auto"/>
        </w:rPr>
        <w:t>Collateral Coverage Ratio</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Transactions</w:t>
      </w:r>
      <w:r>
        <w:rPr>
          <w:rFonts w:ascii="Arial" w:cs="Arial" w:eastAsia="Arial" w:hAnsi="Arial"/>
          <w:sz w:val="19"/>
          <w:szCs w:val="19"/>
          <w:color w:val="auto"/>
        </w:rPr>
        <w:t xml:space="preserve"> ” shall mean the execution, delivery and performance by the Borrower and Guarantors of this Agreement and the other Loan Documents to which they may be a party, the creation of the Liens in the Collateral in favor of the Collateral Agent for the benefit of the Secured Parties, the borrowing of Loans and the use of the proceeds thereof.</w:t>
      </w:r>
    </w:p>
    <w:p>
      <w:pPr>
        <w:spacing w:after="0" w:line="3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Transfer Restriction</w:t>
      </w:r>
      <w:r>
        <w:rPr>
          <w:rFonts w:ascii="Arial" w:cs="Arial" w:eastAsia="Arial" w:hAnsi="Arial"/>
          <w:sz w:val="22"/>
          <w:szCs w:val="22"/>
          <w:color w:val="auto"/>
        </w:rPr>
        <w:t xml:space="preserve"> ” shall have the meaning set forth in the SGR Security Agreement.</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i w:val="1"/>
          <w:iCs w:val="1"/>
          <w:color w:val="auto"/>
        </w:rPr>
        <w:t>Type</w:t>
      </w:r>
      <w:r>
        <w:rPr>
          <w:rFonts w:ascii="Arial" w:cs="Arial" w:eastAsia="Arial" w:hAnsi="Arial"/>
          <w:sz w:val="21"/>
          <w:szCs w:val="21"/>
          <w:color w:val="auto"/>
        </w:rPr>
        <w:t xml:space="preserve"> ” when used in reference to any Loan or Borrowing, refers to whether the rate of interest on such Loan, or on the Loans comprising such Borrowing, is determined by reference to the LIBO Rate or the Alternate Base Rate and when used in reference to any Commitment, refers to whether such Commitment is a Term Loan Commitment.</w:t>
      </w:r>
    </w:p>
    <w:p>
      <w:pPr>
        <w:spacing w:after="0" w:line="38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UCC</w:t>
      </w:r>
      <w:r>
        <w:rPr>
          <w:rFonts w:ascii="Arial" w:cs="Arial" w:eastAsia="Arial" w:hAnsi="Arial"/>
          <w:sz w:val="19"/>
          <w:szCs w:val="19"/>
          <w:color w:val="auto"/>
        </w:rPr>
        <w:t xml:space="preserve"> ” shall mean the Uniform Commercial Code as in effect from time to time in any applicable jurisdiction.</w:t>
      </w:r>
    </w:p>
    <w:p>
      <w:pPr>
        <w:spacing w:after="0" w:line="200" w:lineRule="exact"/>
        <w:rPr>
          <w:sz w:val="20"/>
          <w:szCs w:val="20"/>
          <w:color w:val="auto"/>
        </w:rPr>
      </w:pPr>
    </w:p>
    <w:p>
      <w:pPr>
        <w:spacing w:after="0" w:line="27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UK Debenture</w:t>
      </w:r>
      <w:r>
        <w:rPr>
          <w:rFonts w:ascii="Arial" w:cs="Arial" w:eastAsia="Arial" w:hAnsi="Arial"/>
          <w:sz w:val="22"/>
          <w:szCs w:val="22"/>
          <w:color w:val="auto"/>
        </w:rPr>
        <w:t xml:space="preserve"> ” shall mean the debenture, dated the Closing Date by and between the Borrower, as chargor, and the Collateral Agent, and any subsequent debenture executed and delivered to the Administrative Agent substantially in the form of Exhibit A-2.</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UK Financial Institution</w:t>
      </w:r>
      <w:r>
        <w:rPr>
          <w:rFonts w:ascii="Arial" w:cs="Arial" w:eastAsia="Arial" w:hAnsi="Arial"/>
          <w:sz w:val="22"/>
          <w:szCs w:val="22"/>
          <w:color w:val="auto"/>
        </w:rPr>
        <w:t xml:space="preserve"> ”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0" w:lineRule="exact"/>
        <w:rPr>
          <w:sz w:val="20"/>
          <w:szCs w:val="20"/>
          <w:color w:val="auto"/>
        </w:rPr>
      </w:pPr>
    </w:p>
    <w:p>
      <w:pPr>
        <w:spacing w:after="0" w:line="207"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UK Resolution Authority</w:t>
      </w:r>
      <w:r>
        <w:rPr>
          <w:rFonts w:ascii="Arial" w:cs="Arial" w:eastAsia="Arial" w:hAnsi="Arial"/>
          <w:sz w:val="22"/>
          <w:szCs w:val="22"/>
          <w:color w:val="auto"/>
        </w:rPr>
        <w:t xml:space="preserve"> ” means the Bank of England or any other public administrative authority having responsibility for the resolution of any UK Financial Institution.</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United States</w:t>
      </w:r>
      <w:r>
        <w:rPr>
          <w:rFonts w:ascii="Arial" w:cs="Arial" w:eastAsia="Arial" w:hAnsi="Arial"/>
          <w:sz w:val="22"/>
          <w:szCs w:val="22"/>
          <w:color w:val="auto"/>
        </w:rPr>
        <w:t xml:space="preserve"> ” or “ </w:t>
      </w:r>
      <w:r>
        <w:rPr>
          <w:rFonts w:ascii="Arial" w:cs="Arial" w:eastAsia="Arial" w:hAnsi="Arial"/>
          <w:sz w:val="22"/>
          <w:szCs w:val="22"/>
          <w:i w:val="1"/>
          <w:iCs w:val="1"/>
          <w:color w:val="auto"/>
        </w:rPr>
        <w:t>U.S.</w:t>
      </w:r>
      <w:r>
        <w:rPr>
          <w:rFonts w:ascii="Arial" w:cs="Arial" w:eastAsia="Arial" w:hAnsi="Arial"/>
          <w:sz w:val="22"/>
          <w:szCs w:val="22"/>
          <w:color w:val="auto"/>
        </w:rPr>
        <w:t xml:space="preserve"> ” shall mean the United States of America.</w:t>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United States Citizen</w:t>
      </w:r>
      <w:r>
        <w:rPr>
          <w:rFonts w:ascii="Arial" w:cs="Arial" w:eastAsia="Arial" w:hAnsi="Arial"/>
          <w:sz w:val="22"/>
          <w:szCs w:val="22"/>
          <w:color w:val="auto"/>
        </w:rPr>
        <w:t xml:space="preserve"> ” shall have the meaning set forth in Section 3.02.</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Unrestricted Subsidiary</w:t>
      </w:r>
      <w:r>
        <w:rPr>
          <w:rFonts w:ascii="Arial" w:cs="Arial" w:eastAsia="Arial" w:hAnsi="Arial"/>
          <w:sz w:val="22"/>
          <w:szCs w:val="22"/>
          <w:color w:val="auto"/>
        </w:rPr>
        <w:t xml:space="preserve"> ” shall mean any Subsidiary of Parent (other than the Borrower) that is designated by Parent as an Unrestricted Subsidiary in compliance with Section 5.05 or any Subsidiary of an Unrestricted Subsidiary, but only if such Subsidiary:</w:t>
      </w:r>
    </w:p>
    <w:p>
      <w:pPr>
        <w:spacing w:after="0" w:line="200" w:lineRule="exact"/>
        <w:rPr>
          <w:sz w:val="20"/>
          <w:szCs w:val="20"/>
          <w:color w:val="auto"/>
        </w:rPr>
      </w:pPr>
    </w:p>
    <w:p>
      <w:pPr>
        <w:spacing w:after="0" w:line="201" w:lineRule="exact"/>
        <w:rPr>
          <w:sz w:val="20"/>
          <w:szCs w:val="20"/>
          <w:color w:val="auto"/>
        </w:rPr>
      </w:pPr>
    </w:p>
    <w:p>
      <w:pPr>
        <w:ind w:left="1780" w:hanging="476"/>
        <w:spacing w:after="0" w:line="253" w:lineRule="exact"/>
        <w:tabs>
          <w:tab w:leader="none" w:pos="178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has no Indebtedness other than Non</w:t>
      </w:r>
      <w:r>
        <w:rPr>
          <w:rFonts w:ascii="MS PGothic" w:cs="MS PGothic" w:eastAsia="MS PGothic" w:hAnsi="MS PGothic"/>
          <w:sz w:val="22"/>
          <w:szCs w:val="22"/>
          <w:color w:val="auto"/>
        </w:rPr>
        <w:t>‑</w:t>
      </w:r>
      <w:r>
        <w:rPr>
          <w:rFonts w:ascii="Arial" w:cs="Arial" w:eastAsia="Arial" w:hAnsi="Arial"/>
          <w:sz w:val="22"/>
          <w:szCs w:val="22"/>
          <w:color w:val="auto"/>
        </w:rPr>
        <w:t>Recourse Debt;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660" w:firstLine="644"/>
        <w:spacing w:after="0" w:line="253" w:lineRule="auto"/>
        <w:tabs>
          <w:tab w:leader="none" w:pos="183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except as permitted by Section 6.05, is not party to any agreement, contract, arrangement or understanding with Parent or any Restricted Subsidiary of Parent unless the terms of any such agreement, contract, arrangement or understanding are no less favorable</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48" w:name="page249"/>
    <w:bookmarkEnd w:id="248"/>
    <w:p>
      <w:pPr>
        <w:ind w:left="660" w:right="20"/>
        <w:spacing w:after="0" w:line="263" w:lineRule="auto"/>
        <w:rPr>
          <w:sz w:val="20"/>
          <w:szCs w:val="20"/>
          <w:color w:val="auto"/>
        </w:rPr>
      </w:pPr>
      <w:r>
        <w:rPr>
          <w:rFonts w:ascii="Arial" w:cs="Arial" w:eastAsia="Arial" w:hAnsi="Arial"/>
          <w:sz w:val="22"/>
          <w:szCs w:val="22"/>
          <w:color w:val="auto"/>
        </w:rPr>
        <w:t>to Parent or such Restricted Subsidiary than those that might be obtained at the time from Persons who are not Affiliates of Parent;</w:t>
      </w:r>
    </w:p>
    <w:p>
      <w:pPr>
        <w:spacing w:after="0" w:line="391" w:lineRule="exact"/>
        <w:rPr>
          <w:sz w:val="20"/>
          <w:szCs w:val="20"/>
          <w:color w:val="auto"/>
        </w:rPr>
      </w:pPr>
    </w:p>
    <w:p>
      <w:pPr>
        <w:jc w:val="both"/>
        <w:ind w:left="660" w:firstLine="644"/>
        <w:spacing w:after="0" w:line="253" w:lineRule="auto"/>
        <w:tabs>
          <w:tab w:leader="none" w:pos="1891" w:val="left"/>
        </w:tabs>
        <w:numPr>
          <w:ilvl w:val="0"/>
          <w:numId w:val="258"/>
        </w:numPr>
        <w:rPr>
          <w:rFonts w:ascii="Arial" w:cs="Arial" w:eastAsia="Arial" w:hAnsi="Arial"/>
          <w:sz w:val="22"/>
          <w:szCs w:val="22"/>
          <w:color w:val="auto"/>
        </w:rPr>
      </w:pPr>
      <w:r>
        <w:rPr>
          <w:rFonts w:ascii="Arial" w:cs="Arial" w:eastAsia="Arial" w:hAnsi="Arial"/>
          <w:sz w:val="22"/>
          <w:szCs w:val="22"/>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660" w:firstLine="644"/>
        <w:spacing w:after="0" w:line="263" w:lineRule="auto"/>
        <w:tabs>
          <w:tab w:leader="none" w:pos="1801" w:val="left"/>
        </w:tabs>
        <w:numPr>
          <w:ilvl w:val="0"/>
          <w:numId w:val="258"/>
        </w:numPr>
        <w:rPr>
          <w:rFonts w:ascii="Arial" w:cs="Arial" w:eastAsia="Arial" w:hAnsi="Arial"/>
          <w:sz w:val="22"/>
          <w:szCs w:val="22"/>
          <w:color w:val="auto"/>
        </w:rPr>
      </w:pPr>
      <w:r>
        <w:rPr>
          <w:rFonts w:ascii="Arial" w:cs="Arial" w:eastAsia="Arial" w:hAnsi="Arial"/>
          <w:sz w:val="22"/>
          <w:szCs w:val="22"/>
          <w:color w:val="auto"/>
        </w:rPr>
        <w:t>has not guaranteed or otherwise directly or indirectly provided credit support for any Indebtedness of Parent or any of its Restricted Subsidiaries; and</w:t>
      </w:r>
    </w:p>
    <w:p>
      <w:pPr>
        <w:spacing w:after="0" w:line="390" w:lineRule="exact"/>
        <w:rPr>
          <w:rFonts w:ascii="Arial" w:cs="Arial" w:eastAsia="Arial" w:hAnsi="Arial"/>
          <w:sz w:val="22"/>
          <w:szCs w:val="22"/>
          <w:color w:val="auto"/>
        </w:rPr>
      </w:pPr>
    </w:p>
    <w:p>
      <w:pPr>
        <w:ind w:left="1780" w:hanging="476"/>
        <w:spacing w:after="0"/>
        <w:tabs>
          <w:tab w:leader="none" w:pos="17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does not own any assets or properties that constitute Collateral.</w:t>
      </w:r>
    </w:p>
    <w:p>
      <w:pPr>
        <w:spacing w:after="0" w:line="200" w:lineRule="exact"/>
        <w:rPr>
          <w:sz w:val="20"/>
          <w:szCs w:val="20"/>
          <w:color w:val="auto"/>
        </w:rPr>
      </w:pPr>
    </w:p>
    <w:p>
      <w:pPr>
        <w:spacing w:after="0" w:line="236"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Unused Total Term Commitment</w:t>
      </w:r>
      <w:r>
        <w:rPr>
          <w:rFonts w:ascii="Arial" w:cs="Arial" w:eastAsia="Arial" w:hAnsi="Arial"/>
          <w:sz w:val="22"/>
          <w:szCs w:val="22"/>
          <w:color w:val="auto"/>
        </w:rPr>
        <w:t xml:space="preserve"> ” shall mean, at any time, (a) the Term Commitment less (b) the aggregate amount of Initial Term Loan (included Delayed Draw Term Loans) funded to the Borrower.</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Upfront Fee</w:t>
      </w:r>
      <w:r>
        <w:rPr>
          <w:rFonts w:ascii="Arial" w:cs="Arial" w:eastAsia="Arial" w:hAnsi="Arial"/>
          <w:sz w:val="22"/>
          <w:szCs w:val="22"/>
          <w:color w:val="auto"/>
        </w:rPr>
        <w:t xml:space="preserve"> ” shall have the meaning given to such term in Section 2.20.</w:t>
      </w:r>
    </w:p>
    <w:p>
      <w:pPr>
        <w:spacing w:after="0" w:line="200" w:lineRule="exact"/>
        <w:rPr>
          <w:sz w:val="20"/>
          <w:szCs w:val="20"/>
          <w:color w:val="auto"/>
        </w:rPr>
      </w:pPr>
    </w:p>
    <w:p>
      <w:pPr>
        <w:spacing w:after="0" w:line="23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US Airways</w:t>
      </w:r>
      <w:r>
        <w:rPr>
          <w:rFonts w:ascii="Arial" w:cs="Arial" w:eastAsia="Arial" w:hAnsi="Arial"/>
          <w:sz w:val="22"/>
          <w:szCs w:val="22"/>
          <w:color w:val="auto"/>
        </w:rPr>
        <w:t xml:space="preserve"> ” shall mean US Airways, Inc., a Delaware corporation, which merged with and into the Borrower with the Borrower as the surviving entity.</w:t>
      </w:r>
    </w:p>
    <w:p>
      <w:pPr>
        <w:spacing w:after="0" w:line="3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US Airways Closing Date</w:t>
      </w:r>
      <w:r>
        <w:rPr>
          <w:rFonts w:ascii="Arial" w:cs="Arial" w:eastAsia="Arial" w:hAnsi="Arial"/>
          <w:sz w:val="22"/>
          <w:szCs w:val="22"/>
          <w:color w:val="auto"/>
        </w:rPr>
        <w:t xml:space="preserve"> ” shall mean May 24, 2013.</w:t>
      </w:r>
    </w:p>
    <w:p>
      <w:pPr>
        <w:spacing w:after="0" w:line="200" w:lineRule="exact"/>
        <w:rPr>
          <w:sz w:val="20"/>
          <w:szCs w:val="20"/>
          <w:color w:val="auto"/>
        </w:rPr>
      </w:pPr>
    </w:p>
    <w:p>
      <w:pPr>
        <w:spacing w:after="0" w:line="235" w:lineRule="exact"/>
        <w:rPr>
          <w:sz w:val="20"/>
          <w:szCs w:val="20"/>
          <w:color w:val="auto"/>
        </w:rPr>
      </w:pPr>
    </w:p>
    <w:p>
      <w:pPr>
        <w:ind w:right="20"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US Airways Indenture</w:t>
      </w:r>
      <w:r>
        <w:rPr>
          <w:rFonts w:ascii="Arial" w:cs="Arial" w:eastAsia="Arial" w:hAnsi="Arial"/>
          <w:sz w:val="22"/>
          <w:szCs w:val="22"/>
          <w:color w:val="auto"/>
        </w:rPr>
        <w:t xml:space="preserve"> ” shall mean the Indenture, dated as of May 24, 2013, between US Airways and Wilmington Trust, National Association, as trustee, as amended or supplemented from time to time.</w:t>
      </w:r>
    </w:p>
    <w:p>
      <w:pPr>
        <w:spacing w:after="0" w:line="39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Use or Lose Rule</w:t>
      </w:r>
      <w:r>
        <w:rPr>
          <w:rFonts w:ascii="Arial" w:cs="Arial" w:eastAsia="Arial" w:hAnsi="Arial"/>
          <w:sz w:val="22"/>
          <w:szCs w:val="22"/>
          <w:color w:val="auto"/>
        </w:rPr>
        <w:t xml:space="preserve"> ” shall mean with respect to Slots, any applicable utilization requirements issued by the FAA, other Governmental Authorities, any Foreign Aviation Authorities or any Airport Authorities.</w:t>
      </w:r>
    </w:p>
    <w:p>
      <w:pPr>
        <w:spacing w:after="0" w:line="39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Voting Stock</w:t>
      </w:r>
      <w:r>
        <w:rPr>
          <w:rFonts w:ascii="Arial" w:cs="Arial" w:eastAsia="Arial" w:hAnsi="Arial"/>
          <w:sz w:val="22"/>
          <w:szCs w:val="22"/>
          <w:color w:val="auto"/>
        </w:rPr>
        <w:t xml:space="preserve"> ” of any specified Person as of any date shall mean the Capital Stock of such Person that is at the time entitled to vote in the election of the Board of Directors of such Person.</w:t>
      </w:r>
    </w:p>
    <w:p>
      <w:pPr>
        <w:spacing w:after="0" w:line="39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Weighted Average Life to Maturity</w:t>
      </w:r>
      <w:r>
        <w:rPr>
          <w:rFonts w:ascii="Arial" w:cs="Arial" w:eastAsia="Arial" w:hAnsi="Arial"/>
          <w:sz w:val="22"/>
          <w:szCs w:val="22"/>
          <w:color w:val="auto"/>
        </w:rPr>
        <w:t xml:space="preserve"> ” shall mean, when applied to any Indebtedness at any date, the number of years obtained by dividing:</w:t>
      </w:r>
    </w:p>
    <w:p>
      <w:pPr>
        <w:spacing w:after="0" w:line="391" w:lineRule="exact"/>
        <w:rPr>
          <w:sz w:val="20"/>
          <w:szCs w:val="20"/>
          <w:color w:val="auto"/>
        </w:rPr>
      </w:pPr>
    </w:p>
    <w:p>
      <w:pPr>
        <w:jc w:val="both"/>
        <w:ind w:left="660" w:firstLine="644"/>
        <w:spacing w:after="0" w:line="261" w:lineRule="exact"/>
        <w:tabs>
          <w:tab w:leader="none" w:pos="1779" w:val="left"/>
        </w:tabs>
        <w:numPr>
          <w:ilvl w:val="0"/>
          <w:numId w:val="260"/>
        </w:numPr>
        <w:rPr>
          <w:rFonts w:ascii="Arial" w:cs="Arial" w:eastAsia="Arial" w:hAnsi="Arial"/>
          <w:sz w:val="21"/>
          <w:szCs w:val="21"/>
          <w:color w:val="auto"/>
        </w:rPr>
      </w:pPr>
      <w:r>
        <w:rPr>
          <w:rFonts w:ascii="Arial" w:cs="Arial" w:eastAsia="Arial" w:hAnsi="Arial"/>
          <w:sz w:val="21"/>
          <w:szCs w:val="21"/>
          <w:color w:val="auto"/>
        </w:rPr>
        <w:t>the sum of the products obtained by multiplying (A) the amount of each then remaining outstanding principal amount of Term Loans, sinking fund, serial maturity or other required payments of principal, including payment at final maturity, in respect of the Indebtedness, by (B) the number of years (calculated to the nearest one</w:t>
      </w:r>
      <w:r>
        <w:rPr>
          <w:rFonts w:ascii="MS PGothic" w:cs="MS PGothic" w:eastAsia="MS PGothic" w:hAnsi="MS PGothic"/>
          <w:sz w:val="21"/>
          <w:szCs w:val="21"/>
          <w:color w:val="auto"/>
        </w:rPr>
        <w:t>‑</w:t>
      </w:r>
      <w:r>
        <w:rPr>
          <w:rFonts w:ascii="Arial" w:cs="Arial" w:eastAsia="Arial" w:hAnsi="Arial"/>
          <w:sz w:val="21"/>
          <w:szCs w:val="21"/>
          <w:color w:val="auto"/>
        </w:rPr>
        <w:t>twelfth) that will elapse between such date and the making of such payment; by</w:t>
      </w:r>
    </w:p>
    <w:p>
      <w:pPr>
        <w:spacing w:after="0" w:line="200" w:lineRule="exact"/>
        <w:rPr>
          <w:rFonts w:ascii="Arial" w:cs="Arial" w:eastAsia="Arial" w:hAnsi="Arial"/>
          <w:sz w:val="21"/>
          <w:szCs w:val="21"/>
          <w:color w:val="auto"/>
        </w:rPr>
      </w:pPr>
    </w:p>
    <w:p>
      <w:pPr>
        <w:spacing w:after="0" w:line="215" w:lineRule="exact"/>
        <w:rPr>
          <w:rFonts w:ascii="Arial" w:cs="Arial" w:eastAsia="Arial" w:hAnsi="Arial"/>
          <w:sz w:val="21"/>
          <w:szCs w:val="21"/>
          <w:color w:val="auto"/>
        </w:rPr>
      </w:pPr>
    </w:p>
    <w:p>
      <w:pPr>
        <w:ind w:left="1780" w:hanging="476"/>
        <w:spacing w:after="0"/>
        <w:tabs>
          <w:tab w:leader="none" w:pos="178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the then outstanding principal amount of such Indebtedness.</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type w:val="continuous"/>
        </w:sectPr>
      </w:pPr>
    </w:p>
    <w:bookmarkStart w:id="249" w:name="page250"/>
    <w:bookmarkEnd w:id="249"/>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Withholding Agent</w:t>
      </w:r>
      <w:r>
        <w:rPr>
          <w:rFonts w:ascii="Arial" w:cs="Arial" w:eastAsia="Arial" w:hAnsi="Arial"/>
          <w:sz w:val="22"/>
          <w:szCs w:val="22"/>
          <w:color w:val="auto"/>
        </w:rPr>
        <w:t xml:space="preserve"> ” shall mean any of the Borrower, a Guarantor and the Administrative Agent.</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Working Capital</w:t>
      </w:r>
      <w:r>
        <w:rPr>
          <w:rFonts w:ascii="Arial" w:cs="Arial" w:eastAsia="Arial" w:hAnsi="Arial"/>
          <w:sz w:val="22"/>
          <w:szCs w:val="22"/>
          <w:color w:val="auto"/>
        </w:rPr>
        <w:t xml:space="preserve"> ”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Write-Down and Conversion Powers</w:t>
      </w:r>
      <w:r>
        <w:rPr>
          <w:rFonts w:ascii="Arial" w:cs="Arial" w:eastAsia="Arial" w:hAnsi="Arial"/>
          <w:sz w:val="22"/>
          <w:szCs w:val="22"/>
          <w:color w:val="auto"/>
        </w:rPr>
        <w:t xml:space="preserve"> ”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i w:val="1"/>
          <w:iCs w:val="1"/>
          <w:color w:val="auto"/>
        </w:rPr>
        <w:t>Yield Differential</w:t>
      </w:r>
      <w:r>
        <w:rPr>
          <w:rFonts w:ascii="Arial" w:cs="Arial" w:eastAsia="Arial" w:hAnsi="Arial"/>
          <w:sz w:val="22"/>
          <w:szCs w:val="22"/>
          <w:color w:val="auto"/>
        </w:rPr>
        <w:t xml:space="preserve"> ” shall have the meaning set forth in Section 2.27(c)(iv).</w:t>
      </w:r>
    </w:p>
    <w:p>
      <w:pPr>
        <w:spacing w:after="0" w:line="220"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Terms Generally</w:t>
      </w:r>
      <w:r>
        <w:rPr>
          <w:rFonts w:ascii="Arial" w:cs="Arial" w:eastAsia="Arial" w:hAnsi="Arial"/>
          <w:sz w:val="19"/>
          <w:szCs w:val="19"/>
          <w:color w:val="auto"/>
        </w:rPr>
        <w:t xml:space="preserve"> .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w:t>
      </w:r>
    </w:p>
    <w:p>
      <w:pPr>
        <w:spacing w:after="0" w:line="2" w:lineRule="exact"/>
        <w:rPr>
          <w:sz w:val="20"/>
          <w:szCs w:val="20"/>
          <w:color w:val="auto"/>
        </w:rPr>
      </w:pPr>
    </w:p>
    <w:p>
      <w:pPr>
        <w:jc w:val="both"/>
        <w:ind w:firstLine="8"/>
        <w:spacing w:after="0" w:line="288" w:lineRule="auto"/>
        <w:tabs>
          <w:tab w:leader="none" w:pos="295" w:val="left"/>
        </w:tabs>
        <w:numPr>
          <w:ilvl w:val="0"/>
          <w:numId w:val="262"/>
        </w:numPr>
        <w:rPr>
          <w:rFonts w:ascii="Arial" w:cs="Arial" w:eastAsia="Arial" w:hAnsi="Arial"/>
          <w:sz w:val="19"/>
          <w:szCs w:val="19"/>
          <w:color w:val="auto"/>
        </w:rPr>
      </w:pPr>
      <w:r>
        <w:rPr>
          <w:rFonts w:ascii="Arial" w:cs="Arial" w:eastAsia="Arial" w:hAnsi="Arial"/>
          <w:sz w:val="19"/>
          <w:szCs w:val="19"/>
          <w:color w:val="auto"/>
        </w:rPr>
        <w:t>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 of the Borrower or such Guarantors, as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50" w:name="page251"/>
    <w:bookmarkEnd w:id="250"/>
    <w:p>
      <w:pPr>
        <w:jc w:val="both"/>
        <w:ind w:firstLine="1296"/>
        <w:spacing w:after="0" w:line="28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 Except as otherwise expressly provided herein, all terms of an accounting or financial nature shall be construed in accordance with GAAP, as in effect from time to time; provided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w:t>
      </w:r>
    </w:p>
    <w:p>
      <w:pPr>
        <w:spacing w:after="0" w:line="159"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Divisions</w:t>
      </w:r>
      <w:r>
        <w:rPr>
          <w:rFonts w:ascii="Arial" w:cs="Arial" w:eastAsia="Arial" w:hAnsi="Arial"/>
          <w:sz w:val="19"/>
          <w:szCs w:val="19"/>
          <w:color w:val="auto"/>
        </w:rPr>
        <w:t xml:space="preserve"> .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7"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II</w:t>
      </w:r>
    </w:p>
    <w:p>
      <w:pPr>
        <w:spacing w:after="0" w:line="22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AMOUNT AND TERMS OF CREDIT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Commitments of the Lenders; Term Loans.</w:t>
      </w:r>
    </w:p>
    <w:p>
      <w:pPr>
        <w:spacing w:after="0" w:line="193" w:lineRule="exact"/>
        <w:rPr>
          <w:sz w:val="20"/>
          <w:szCs w:val="20"/>
          <w:color w:val="auto"/>
        </w:rPr>
      </w:pPr>
    </w:p>
    <w:p>
      <w:pPr>
        <w:ind w:left="2240" w:hanging="936"/>
        <w:spacing w:after="0"/>
        <w:tabs>
          <w:tab w:leader="none" w:pos="2240" w:val="left"/>
        </w:tabs>
        <w:numPr>
          <w:ilvl w:val="0"/>
          <w:numId w:val="263"/>
        </w:numPr>
        <w:rPr>
          <w:rFonts w:ascii="Arial" w:cs="Arial" w:eastAsia="Arial" w:hAnsi="Arial"/>
          <w:sz w:val="22"/>
          <w:szCs w:val="22"/>
          <w:color w:val="auto"/>
        </w:rPr>
      </w:pPr>
      <w:r>
        <w:rPr>
          <w:rFonts w:ascii="Arial" w:cs="Arial" w:eastAsia="Arial" w:hAnsi="Arial"/>
          <w:sz w:val="22"/>
          <w:szCs w:val="22"/>
          <w:i w:val="1"/>
          <w:iCs w:val="1"/>
          <w:color w:val="auto"/>
        </w:rPr>
        <w:t>[Reserved]</w:t>
      </w:r>
    </w:p>
    <w:p>
      <w:pPr>
        <w:spacing w:after="0" w:line="179" w:lineRule="exact"/>
        <w:rPr>
          <w:rFonts w:ascii="Arial" w:cs="Arial" w:eastAsia="Arial" w:hAnsi="Arial"/>
          <w:sz w:val="22"/>
          <w:szCs w:val="22"/>
          <w:color w:val="auto"/>
        </w:rPr>
      </w:pPr>
    </w:p>
    <w:p>
      <w:pPr>
        <w:jc w:val="both"/>
        <w:ind w:firstLine="1304"/>
        <w:spacing w:after="0" w:line="224" w:lineRule="auto"/>
        <w:tabs>
          <w:tab w:leader="none" w:pos="2290" w:val="left"/>
        </w:tabs>
        <w:numPr>
          <w:ilvl w:val="0"/>
          <w:numId w:val="263"/>
        </w:numPr>
        <w:rPr>
          <w:rFonts w:ascii="Arial" w:cs="Arial" w:eastAsia="Arial" w:hAnsi="Arial"/>
          <w:sz w:val="21"/>
          <w:szCs w:val="21"/>
          <w:color w:val="auto"/>
        </w:rPr>
      </w:pPr>
      <w:r>
        <w:rPr>
          <w:rFonts w:ascii="Arial" w:cs="Arial" w:eastAsia="Arial" w:hAnsi="Arial"/>
          <w:sz w:val="21"/>
          <w:szCs w:val="21"/>
          <w:i w:val="1"/>
          <w:iCs w:val="1"/>
          <w:color w:val="auto"/>
        </w:rPr>
        <w:t xml:space="preserve">Term Loan Commitments. </w:t>
      </w:r>
      <w:r>
        <w:rPr>
          <w:rFonts w:ascii="Arial" w:cs="Arial" w:eastAsia="Arial" w:hAnsi="Arial"/>
          <w:sz w:val="21"/>
          <w:szCs w:val="21"/>
          <w:color w:val="auto"/>
        </w:rPr>
        <w:t>From and after the Closing Date until the Delayed Draw Commitment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Termination Date, each Term Lender, severally and not jointly with the other Term Lenders, agrees to make to the Borrower the Initial Term Loans or Delayed Draw Term Loans denominated in Dollars in an aggregate principal amount equal to such Term Lender’s Term Loan Commitment, in accordance with the terms and conditions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there shall be no more than six Borrowings of Term Loans, including any Initial Term Loans funded on the Closing Date and any Delayed Draw Term Loans funded after the Closing Date.</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2238" w:val="left"/>
        </w:tabs>
        <w:numPr>
          <w:ilvl w:val="0"/>
          <w:numId w:val="263"/>
        </w:numPr>
        <w:rPr>
          <w:rFonts w:ascii="Arial" w:cs="Arial" w:eastAsia="Arial" w:hAnsi="Arial"/>
          <w:sz w:val="22"/>
          <w:szCs w:val="22"/>
          <w:color w:val="auto"/>
        </w:rPr>
      </w:pPr>
      <w:r>
        <w:rPr>
          <w:rFonts w:ascii="Arial" w:cs="Arial" w:eastAsia="Arial" w:hAnsi="Arial"/>
          <w:sz w:val="22"/>
          <w:szCs w:val="22"/>
          <w:i w:val="1"/>
          <w:iCs w:val="1"/>
          <w:color w:val="auto"/>
        </w:rPr>
        <w:t xml:space="preserve">Type of Borrowing </w:t>
      </w:r>
      <w:r>
        <w:rPr>
          <w:rFonts w:ascii="Arial" w:cs="Arial" w:eastAsia="Arial" w:hAnsi="Arial"/>
          <w:sz w:val="22"/>
          <w:szCs w:val="22"/>
          <w:color w:val="auto"/>
        </w:rPr>
        <w:t>. Each Borrowing shall be comprised entirely of ABR Loans or Eurodollar Loans as</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Borrower may request in accordance herewith. Each Lender at its option may make any Eurodollar Loan by causing any domestic or foreign branch or Affiliate of such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51" w:name="page252"/>
    <w:bookmarkEnd w:id="251"/>
    <w:p>
      <w:pPr>
        <w:spacing w:after="0" w:line="232" w:lineRule="auto"/>
        <w:rPr>
          <w:sz w:val="20"/>
          <w:szCs w:val="20"/>
          <w:color w:val="auto"/>
        </w:rPr>
      </w:pPr>
      <w:r>
        <w:rPr>
          <w:rFonts w:ascii="Arial" w:cs="Arial" w:eastAsia="Arial" w:hAnsi="Arial"/>
          <w:sz w:val="22"/>
          <w:szCs w:val="22"/>
          <w:color w:val="auto"/>
        </w:rPr>
        <w:t>obligation of the Borrower to repay such Loan in accordance with the terms of this Agreement. There may be multiple Borrowings incurred, converted or continued on the same day.</w:t>
      </w:r>
    </w:p>
    <w:p>
      <w:pPr>
        <w:spacing w:after="0" w:line="159" w:lineRule="exact"/>
        <w:rPr>
          <w:sz w:val="20"/>
          <w:szCs w:val="20"/>
          <w:color w:val="auto"/>
        </w:rPr>
      </w:pPr>
    </w:p>
    <w:p>
      <w:pPr>
        <w:jc w:val="both"/>
        <w:ind w:firstLine="1304"/>
        <w:spacing w:after="0" w:line="252" w:lineRule="auto"/>
        <w:tabs>
          <w:tab w:leader="none" w:pos="2263" w:val="left"/>
        </w:tabs>
        <w:numPr>
          <w:ilvl w:val="0"/>
          <w:numId w:val="264"/>
        </w:numPr>
        <w:rPr>
          <w:rFonts w:ascii="Arial" w:cs="Arial" w:eastAsia="Arial" w:hAnsi="Arial"/>
          <w:sz w:val="19"/>
          <w:szCs w:val="19"/>
          <w:color w:val="auto"/>
        </w:rPr>
      </w:pPr>
      <w:r>
        <w:rPr>
          <w:rFonts w:ascii="Arial" w:cs="Arial" w:eastAsia="Arial" w:hAnsi="Arial"/>
          <w:sz w:val="19"/>
          <w:szCs w:val="19"/>
          <w:i w:val="1"/>
          <w:iCs w:val="1"/>
          <w:color w:val="auto"/>
        </w:rPr>
        <w:t xml:space="preserve">Amount of Borrowing </w:t>
      </w:r>
      <w:r>
        <w:rPr>
          <w:rFonts w:ascii="Arial" w:cs="Arial" w:eastAsia="Arial" w:hAnsi="Arial"/>
          <w:sz w:val="19"/>
          <w:szCs w:val="19"/>
          <w:color w:val="auto"/>
        </w:rPr>
        <w:t>. At the commencement of each Interest Period for any Eurodollar Borrowing,</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Borrowing may be in an aggregate amount that is equal to the entire Unused Total Term Commitment. Borrowings of more than one Type may be outstanding at the same time.</w:t>
      </w:r>
    </w:p>
    <w:p>
      <w:pPr>
        <w:spacing w:after="0" w:line="148" w:lineRule="exact"/>
        <w:rPr>
          <w:rFonts w:ascii="Arial" w:cs="Arial" w:eastAsia="Arial" w:hAnsi="Arial"/>
          <w:sz w:val="19"/>
          <w:szCs w:val="19"/>
          <w:color w:val="auto"/>
        </w:rPr>
      </w:pPr>
    </w:p>
    <w:p>
      <w:pPr>
        <w:jc w:val="both"/>
        <w:ind w:firstLine="1304"/>
        <w:spacing w:after="0" w:line="223" w:lineRule="auto"/>
        <w:tabs>
          <w:tab w:leader="none" w:pos="2251" w:val="left"/>
        </w:tabs>
        <w:numPr>
          <w:ilvl w:val="0"/>
          <w:numId w:val="264"/>
        </w:numPr>
        <w:rPr>
          <w:rFonts w:ascii="Arial" w:cs="Arial" w:eastAsia="Arial" w:hAnsi="Arial"/>
          <w:sz w:val="22"/>
          <w:szCs w:val="22"/>
          <w:color w:val="auto"/>
        </w:rPr>
      </w:pPr>
      <w:r>
        <w:rPr>
          <w:rFonts w:ascii="Arial" w:cs="Arial" w:eastAsia="Arial" w:hAnsi="Arial"/>
          <w:sz w:val="22"/>
          <w:szCs w:val="22"/>
          <w:i w:val="1"/>
          <w:iCs w:val="1"/>
          <w:color w:val="auto"/>
        </w:rPr>
        <w:t xml:space="preserve">Limitation on Interest Period </w:t>
      </w:r>
      <w:r>
        <w:rPr>
          <w:rFonts w:ascii="Arial" w:cs="Arial" w:eastAsia="Arial" w:hAnsi="Arial"/>
          <w:sz w:val="22"/>
          <w:szCs w:val="22"/>
          <w:color w:val="auto"/>
        </w:rPr>
        <w:t>. Notwithstanding any other provision of this Agreement, the Borrower</w:t>
      </w:r>
      <w:r>
        <w:rPr>
          <w:rFonts w:ascii="Arial" w:cs="Arial" w:eastAsia="Arial" w:hAnsi="Arial"/>
          <w:sz w:val="22"/>
          <w:szCs w:val="22"/>
          <w:i w:val="1"/>
          <w:iCs w:val="1"/>
          <w:color w:val="auto"/>
        </w:rPr>
        <w:t xml:space="preserve"> </w:t>
      </w:r>
      <w:r>
        <w:rPr>
          <w:rFonts w:ascii="Arial" w:cs="Arial" w:eastAsia="Arial" w:hAnsi="Arial"/>
          <w:sz w:val="22"/>
          <w:szCs w:val="22"/>
          <w:color w:val="auto"/>
        </w:rPr>
        <w:t>shall not be entitled to request, or to elect to convert or continue, any Borrowing of a Term Loan if the Interest Period requested with respect thereto would end after the applicable Term Loan Maturity Date.</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[Reserve]</w:t>
      </w:r>
      <w:r>
        <w:rPr>
          <w:rFonts w:ascii="Arial" w:cs="Arial" w:eastAsia="Arial" w:hAnsi="Arial"/>
          <w:sz w:val="22"/>
          <w:szCs w:val="22"/>
          <w:color w:val="auto"/>
        </w:rPr>
        <w:t xml:space="preserve"> .</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Requests for Loans.</w:t>
      </w:r>
    </w:p>
    <w:p>
      <w:pPr>
        <w:spacing w:after="0" w:line="233" w:lineRule="exact"/>
        <w:rPr>
          <w:sz w:val="20"/>
          <w:szCs w:val="20"/>
          <w:color w:val="auto"/>
        </w:rPr>
      </w:pPr>
    </w:p>
    <w:p>
      <w:pPr>
        <w:ind w:left="2240" w:hanging="936"/>
        <w:spacing w:after="0"/>
        <w:tabs>
          <w:tab w:leader="none" w:pos="2240" w:val="left"/>
        </w:tabs>
        <w:numPr>
          <w:ilvl w:val="0"/>
          <w:numId w:val="265"/>
        </w:numPr>
        <w:rPr>
          <w:rFonts w:ascii="Arial" w:cs="Arial" w:eastAsia="Arial" w:hAnsi="Arial"/>
          <w:sz w:val="22"/>
          <w:szCs w:val="22"/>
          <w:color w:val="auto"/>
        </w:rPr>
      </w:pPr>
      <w:r>
        <w:rPr>
          <w:rFonts w:ascii="Arial" w:cs="Arial" w:eastAsia="Arial" w:hAnsi="Arial"/>
          <w:sz w:val="22"/>
          <w:szCs w:val="22"/>
          <w:i w:val="1"/>
          <w:iCs w:val="1"/>
          <w:color w:val="auto"/>
        </w:rPr>
        <w:t>[Reserved]</w:t>
      </w:r>
    </w:p>
    <w:p>
      <w:pPr>
        <w:spacing w:after="0" w:line="219" w:lineRule="exact"/>
        <w:rPr>
          <w:rFonts w:ascii="Arial" w:cs="Arial" w:eastAsia="Arial" w:hAnsi="Arial"/>
          <w:sz w:val="22"/>
          <w:szCs w:val="22"/>
          <w:color w:val="auto"/>
        </w:rPr>
      </w:pPr>
    </w:p>
    <w:p>
      <w:pPr>
        <w:jc w:val="both"/>
        <w:ind w:firstLine="1304"/>
        <w:spacing w:after="0" w:line="222" w:lineRule="auto"/>
        <w:tabs>
          <w:tab w:leader="none" w:pos="2250" w:val="left"/>
        </w:tabs>
        <w:numPr>
          <w:ilvl w:val="0"/>
          <w:numId w:val="265"/>
        </w:numPr>
        <w:rPr>
          <w:rFonts w:ascii="Arial" w:cs="Arial" w:eastAsia="Arial" w:hAnsi="Arial"/>
          <w:sz w:val="21"/>
          <w:szCs w:val="21"/>
          <w:color w:val="auto"/>
        </w:rPr>
      </w:pPr>
      <w:r>
        <w:rPr>
          <w:rFonts w:ascii="Arial" w:cs="Arial" w:eastAsia="Arial" w:hAnsi="Arial"/>
          <w:sz w:val="21"/>
          <w:szCs w:val="21"/>
          <w:i w:val="1"/>
          <w:iCs w:val="1"/>
          <w:color w:val="auto"/>
        </w:rPr>
        <w:t xml:space="preserve">Term Loans </w:t>
      </w:r>
      <w:r>
        <w:rPr>
          <w:rFonts w:ascii="Arial" w:cs="Arial" w:eastAsia="Arial" w:hAnsi="Arial"/>
          <w:sz w:val="21"/>
          <w:szCs w:val="21"/>
          <w:color w:val="auto"/>
        </w:rPr>
        <w:t>. Unless otherwise agreed to by the Administrative Agent, to request the Term Loans, the</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 shall notify the Administrative Agent of such request by telephone or electronic mail (i) in the case of a Eurodollar Loan, not later than 2:00 p.m., New York City time, three (3) Business Days before the proposed Borrowing Date and (ii) in the case of an ABR Loan, not later than 1:00 p.m., New York City time one (1) Business Day before the proposed Borrowing Date. Each such Term Loan request shall be irrevocable and shall be confirmed promptly by hand delivery or telecopy to the Administrative Agent of a written Loan Request signed by the Borrower. Each such telephonic and written Loan Request shall specify the following information in compliance with Section 2.01:</w:t>
      </w:r>
    </w:p>
    <w:p>
      <w:pPr>
        <w:spacing w:after="0" w:line="205" w:lineRule="exact"/>
        <w:rPr>
          <w:sz w:val="20"/>
          <w:szCs w:val="20"/>
          <w:color w:val="auto"/>
        </w:rPr>
      </w:pPr>
    </w:p>
    <w:p>
      <w:pPr>
        <w:ind w:left="2200" w:hanging="896"/>
        <w:spacing w:after="0"/>
        <w:tabs>
          <w:tab w:leader="none" w:pos="220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aggregate amount of the requested Term Loan (which shall comply with Section 2.01(d));</w:t>
      </w:r>
    </w:p>
    <w:p>
      <w:pPr>
        <w:spacing w:after="0" w:line="219" w:lineRule="exact"/>
        <w:rPr>
          <w:rFonts w:ascii="Arial" w:cs="Arial" w:eastAsia="Arial" w:hAnsi="Arial"/>
          <w:sz w:val="22"/>
          <w:szCs w:val="22"/>
          <w:color w:val="auto"/>
        </w:rPr>
      </w:pPr>
    </w:p>
    <w:p>
      <w:pPr>
        <w:ind w:left="2260" w:hanging="956"/>
        <w:spacing w:after="0"/>
        <w:tabs>
          <w:tab w:leader="none" w:pos="226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Borrowing Date of such Term Loan, which shall be a Business Day;</w:t>
      </w:r>
    </w:p>
    <w:p>
      <w:pPr>
        <w:spacing w:after="0" w:line="219" w:lineRule="exact"/>
        <w:rPr>
          <w:rFonts w:ascii="Arial" w:cs="Arial" w:eastAsia="Arial" w:hAnsi="Arial"/>
          <w:sz w:val="22"/>
          <w:szCs w:val="22"/>
          <w:color w:val="auto"/>
        </w:rPr>
      </w:pPr>
    </w:p>
    <w:p>
      <w:pPr>
        <w:ind w:left="2320" w:hanging="1016"/>
        <w:spacing w:after="0"/>
        <w:tabs>
          <w:tab w:leader="none" w:pos="232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whether such Term Loan is to be an ABR Loan or a Eurodollar Loan; and</w:t>
      </w:r>
    </w:p>
    <w:p>
      <w:pPr>
        <w:spacing w:after="0" w:line="219" w:lineRule="exact"/>
        <w:rPr>
          <w:rFonts w:ascii="Arial" w:cs="Arial" w:eastAsia="Arial" w:hAnsi="Arial"/>
          <w:sz w:val="22"/>
          <w:szCs w:val="22"/>
          <w:color w:val="auto"/>
        </w:rPr>
      </w:pPr>
    </w:p>
    <w:p>
      <w:pPr>
        <w:ind w:left="660" w:right="20" w:firstLine="644"/>
        <w:spacing w:after="0" w:line="232" w:lineRule="auto"/>
        <w:tabs>
          <w:tab w:leader="none" w:pos="2335" w:val="left"/>
        </w:tabs>
        <w:numPr>
          <w:ilvl w:val="0"/>
          <w:numId w:val="266"/>
        </w:numPr>
        <w:rPr>
          <w:rFonts w:ascii="Arial" w:cs="Arial" w:eastAsia="Arial" w:hAnsi="Arial"/>
          <w:sz w:val="22"/>
          <w:szCs w:val="22"/>
          <w:color w:val="auto"/>
        </w:rPr>
      </w:pPr>
      <w:r>
        <w:rPr>
          <w:rFonts w:ascii="Arial" w:cs="Arial" w:eastAsia="Arial" w:hAnsi="Arial"/>
          <w:sz w:val="22"/>
          <w:szCs w:val="22"/>
          <w:color w:val="auto"/>
        </w:rPr>
        <w:t>in the case of a Eurodollar Loan, the initial Interest Period to be applicable thereto, which shall be a period contemplated by the definition of the term “Interest Period.”</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no election as to the Type of Term Loan is specified, then the requested Term Loan shall be an ABR Loan. If no Interest Period is specified with respect to any requested Eurodollar Loan, then the Borrower shall be deemed to have selected an Interest Period of one month’s duration. Promptly following receipt of a Loan Request in accordance with this Section 2.03(b), the Administrative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2" w:name="page253"/>
    <w:bookmarkEnd w:id="252"/>
    <w:p>
      <w:pPr>
        <w:spacing w:after="0" w:line="263" w:lineRule="auto"/>
        <w:rPr>
          <w:sz w:val="20"/>
          <w:szCs w:val="20"/>
          <w:color w:val="auto"/>
        </w:rPr>
      </w:pPr>
      <w:r>
        <w:rPr>
          <w:rFonts w:ascii="Arial" w:cs="Arial" w:eastAsia="Arial" w:hAnsi="Arial"/>
          <w:sz w:val="22"/>
          <w:szCs w:val="22"/>
          <w:color w:val="auto"/>
        </w:rPr>
        <w:t>Agent shall advise each Term Lender of the details thereof and of the amount of such Term Lender’s Loan to be made as part of the requested Term Loan.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Funding of Loans</w:t>
      </w:r>
      <w:r>
        <w:rPr>
          <w:rFonts w:ascii="Arial" w:cs="Arial" w:eastAsia="Arial" w:hAnsi="Arial"/>
          <w:sz w:val="22"/>
          <w:szCs w:val="22"/>
          <w:color w:val="auto"/>
        </w:rPr>
        <w:t xml:space="preserve"> .</w:t>
      </w:r>
    </w:p>
    <w:p>
      <w:pPr>
        <w:spacing w:after="0" w:line="233" w:lineRule="exact"/>
        <w:rPr>
          <w:sz w:val="20"/>
          <w:szCs w:val="20"/>
          <w:color w:val="auto"/>
        </w:rPr>
      </w:pPr>
    </w:p>
    <w:p>
      <w:pPr>
        <w:ind w:left="2240" w:hanging="936"/>
        <w:spacing w:after="0"/>
        <w:tabs>
          <w:tab w:leader="none" w:pos="224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304"/>
        <w:spacing w:after="0" w:line="214" w:lineRule="auto"/>
        <w:tabs>
          <w:tab w:leader="none" w:pos="2263" w:val="left"/>
        </w:tabs>
        <w:numPr>
          <w:ilvl w:val="0"/>
          <w:numId w:val="267"/>
        </w:numPr>
        <w:rPr>
          <w:rFonts w:ascii="Arial" w:cs="Arial" w:eastAsia="Arial" w:hAnsi="Arial"/>
          <w:sz w:val="22"/>
          <w:szCs w:val="22"/>
          <w:color w:val="auto"/>
        </w:rPr>
      </w:pPr>
      <w:r>
        <w:rPr>
          <w:rFonts w:ascii="Arial" w:cs="Arial" w:eastAsia="Arial" w:hAnsi="Arial"/>
          <w:sz w:val="22"/>
          <w:szCs w:val="22"/>
          <w:color w:val="auto"/>
        </w:rPr>
        <w:t>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w:t>
      </w:r>
    </w:p>
    <w:p>
      <w:pPr>
        <w:spacing w:after="0" w:line="158" w:lineRule="exact"/>
        <w:rPr>
          <w:rFonts w:ascii="Arial" w:cs="Arial" w:eastAsia="Arial" w:hAnsi="Arial"/>
          <w:sz w:val="22"/>
          <w:szCs w:val="22"/>
          <w:color w:val="auto"/>
        </w:rPr>
      </w:pPr>
    </w:p>
    <w:p>
      <w:pPr>
        <w:jc w:val="both"/>
        <w:ind w:firstLine="1304"/>
        <w:spacing w:after="0" w:line="221" w:lineRule="exact"/>
        <w:tabs>
          <w:tab w:leader="none" w:pos="227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Borrowing Date (or, with respect to any ABR Loan made on same</w:t>
      </w:r>
      <w:r>
        <w:rPr>
          <w:rFonts w:ascii="MS PGothic" w:cs="MS PGothic" w:eastAsia="MS PGothic" w:hAnsi="MS PGothic"/>
          <w:sz w:val="19"/>
          <w:szCs w:val="19"/>
          <w:color w:val="auto"/>
        </w:rPr>
        <w:t>‑</w:t>
      </w:r>
      <w:r>
        <w:rPr>
          <w:rFonts w:ascii="Arial" w:cs="Arial" w:eastAsia="Arial" w:hAnsi="Arial"/>
          <w:sz w:val="19"/>
          <w:szCs w:val="19"/>
          <w:color w:val="auto"/>
        </w:rPr>
        <w:t>day notice, prior to 11:00 a.m.,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w:t>
      </w: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Interest Elections</w:t>
      </w:r>
      <w:r>
        <w:rPr>
          <w:rFonts w:ascii="Arial" w:cs="Arial" w:eastAsia="Arial" w:hAnsi="Arial"/>
          <w:sz w:val="22"/>
          <w:szCs w:val="22"/>
          <w:color w:val="auto"/>
        </w:rPr>
        <w:t xml:space="preserve"> .</w:t>
      </w:r>
    </w:p>
    <w:p>
      <w:pPr>
        <w:spacing w:after="0" w:line="233" w:lineRule="exact"/>
        <w:rPr>
          <w:sz w:val="20"/>
          <w:szCs w:val="20"/>
          <w:color w:val="auto"/>
        </w:rPr>
      </w:pPr>
    </w:p>
    <w:p>
      <w:pPr>
        <w:jc w:val="both"/>
        <w:ind w:firstLine="1304"/>
        <w:spacing w:after="0" w:line="218" w:lineRule="auto"/>
        <w:tabs>
          <w:tab w:leader="none" w:pos="2238" w:val="left"/>
        </w:tabs>
        <w:numPr>
          <w:ilvl w:val="0"/>
          <w:numId w:val="268"/>
        </w:numPr>
        <w:rPr>
          <w:rFonts w:ascii="Arial" w:cs="Arial" w:eastAsia="Arial" w:hAnsi="Arial"/>
          <w:sz w:val="22"/>
          <w:szCs w:val="22"/>
          <w:color w:val="auto"/>
        </w:rPr>
      </w:pPr>
      <w:r>
        <w:rPr>
          <w:rFonts w:ascii="Arial" w:cs="Arial" w:eastAsia="Arial" w:hAnsi="Arial"/>
          <w:sz w:val="22"/>
          <w:szCs w:val="22"/>
          <w:color w:val="auto"/>
        </w:rPr>
        <w:t xml:space="preserve">The Borrower may elect from time to time to (i) convert ABR Loans to Eurodollar Loans, (ii) convert Eurodollar Loans to ABR Loans;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conversion of Eurodollar Loans may be made only on the last day of an Interest Period with respect thereto or (iii) continue any Eurodollar Loan as such upon the expiration of the then current Interest Period with respect thereto.</w:t>
      </w:r>
    </w:p>
    <w:p>
      <w:pPr>
        <w:spacing w:after="0" w:line="201" w:lineRule="exact"/>
        <w:rPr>
          <w:rFonts w:ascii="Arial" w:cs="Arial" w:eastAsia="Arial" w:hAnsi="Arial"/>
          <w:sz w:val="22"/>
          <w:szCs w:val="22"/>
          <w:color w:val="auto"/>
        </w:rPr>
      </w:pPr>
    </w:p>
    <w:p>
      <w:pPr>
        <w:jc w:val="both"/>
        <w:ind w:firstLine="1304"/>
        <w:spacing w:after="0" w:line="257" w:lineRule="auto"/>
        <w:tabs>
          <w:tab w:leader="none" w:pos="2277"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To make an Interest Election Request pursuant to this Section 2.05, the Borrower shall notify the Administrative Agent of such election by telephone or by hand or facsimile delivery or by electronic mail of a written Interest Election Request by the time that a Loan Request would be required under Section 2.03(b) if the Borrower were requesting a Loan of the Type resulting from such election to be made on the effective date of such election. Each such Interest Election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53" w:name="page254"/>
    <w:bookmarkEnd w:id="253"/>
    <w:p>
      <w:pPr>
        <w:ind w:right="20"/>
        <w:spacing w:after="0" w:line="298" w:lineRule="auto"/>
        <w:rPr>
          <w:sz w:val="20"/>
          <w:szCs w:val="20"/>
          <w:color w:val="auto"/>
        </w:rPr>
      </w:pPr>
      <w:r>
        <w:rPr>
          <w:rFonts w:ascii="Arial" w:cs="Arial" w:eastAsia="Arial" w:hAnsi="Arial"/>
          <w:sz w:val="19"/>
          <w:szCs w:val="19"/>
          <w:color w:val="auto"/>
        </w:rPr>
        <w:t>Request shall be irrevocable and shall be confirmed promptly by hand delivery, electronic mail or telecopy to the Administrative Agent of a written Interest Election Request in substantially the same form as a Loan Request signed by the Borrower.</w:t>
      </w:r>
    </w:p>
    <w:p>
      <w:pPr>
        <w:spacing w:after="0" w:line="146" w:lineRule="exact"/>
        <w:rPr>
          <w:sz w:val="20"/>
          <w:szCs w:val="20"/>
          <w:color w:val="auto"/>
        </w:rPr>
      </w:pPr>
    </w:p>
    <w:p>
      <w:pPr>
        <w:ind w:firstLine="1304"/>
        <w:spacing w:after="0" w:line="232" w:lineRule="auto"/>
        <w:tabs>
          <w:tab w:leader="none" w:pos="2292"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Each telephonic and written Interest Election Request shall specify the following information in compliance with Section 2.01:</w:t>
      </w:r>
    </w:p>
    <w:p>
      <w:pPr>
        <w:spacing w:after="0" w:line="199" w:lineRule="exact"/>
        <w:rPr>
          <w:sz w:val="20"/>
          <w:szCs w:val="20"/>
          <w:color w:val="auto"/>
        </w:rPr>
      </w:pPr>
    </w:p>
    <w:p>
      <w:pPr>
        <w:jc w:val="both"/>
        <w:ind w:left="660" w:firstLine="644"/>
        <w:spacing w:after="0" w:line="268" w:lineRule="auto"/>
        <w:tabs>
          <w:tab w:leader="none" w:pos="2214"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72" w:lineRule="exact"/>
        <w:rPr>
          <w:rFonts w:ascii="Arial" w:cs="Arial" w:eastAsia="Arial" w:hAnsi="Arial"/>
          <w:sz w:val="19"/>
          <w:szCs w:val="19"/>
          <w:color w:val="auto"/>
        </w:rPr>
      </w:pPr>
    </w:p>
    <w:p>
      <w:pPr>
        <w:ind w:left="2300" w:hanging="996"/>
        <w:spacing w:after="0"/>
        <w:tabs>
          <w:tab w:leader="none" w:pos="2300" w:val="left"/>
        </w:tabs>
        <w:numPr>
          <w:ilvl w:val="0"/>
          <w:numId w:val="270"/>
        </w:numPr>
        <w:rPr>
          <w:rFonts w:ascii="Arial" w:cs="Arial" w:eastAsia="Arial" w:hAnsi="Arial"/>
          <w:sz w:val="19"/>
          <w:szCs w:val="19"/>
          <w:color w:val="auto"/>
        </w:rPr>
      </w:pPr>
      <w:r>
        <w:rPr>
          <w:rFonts w:ascii="Arial" w:cs="Arial" w:eastAsia="Arial" w:hAnsi="Arial"/>
          <w:sz w:val="19"/>
          <w:szCs w:val="19"/>
          <w:color w:val="auto"/>
        </w:rPr>
        <w:t>the effective date of the election made pursuant to such Interest Election Request, which shall be a</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Business Day;</w:t>
      </w:r>
    </w:p>
    <w:p>
      <w:pPr>
        <w:spacing w:after="0" w:line="201" w:lineRule="exact"/>
        <w:rPr>
          <w:rFonts w:ascii="Arial" w:cs="Arial" w:eastAsia="Arial" w:hAnsi="Arial"/>
          <w:sz w:val="19"/>
          <w:szCs w:val="19"/>
          <w:color w:val="auto"/>
        </w:rPr>
      </w:pPr>
    </w:p>
    <w:p>
      <w:pPr>
        <w:ind w:left="2320" w:hanging="1016"/>
        <w:spacing w:after="0"/>
        <w:tabs>
          <w:tab w:leader="none" w:pos="2320" w:val="left"/>
        </w:tabs>
        <w:numPr>
          <w:ilvl w:val="0"/>
          <w:numId w:val="270"/>
        </w:numPr>
        <w:rPr>
          <w:rFonts w:ascii="Arial" w:cs="Arial" w:eastAsia="Arial" w:hAnsi="Arial"/>
          <w:sz w:val="22"/>
          <w:szCs w:val="22"/>
          <w:color w:val="auto"/>
        </w:rPr>
      </w:pPr>
      <w:r>
        <w:rPr>
          <w:rFonts w:ascii="Arial" w:cs="Arial" w:eastAsia="Arial" w:hAnsi="Arial"/>
          <w:sz w:val="22"/>
          <w:szCs w:val="22"/>
          <w:color w:val="auto"/>
        </w:rPr>
        <w:t>whether the resulting Borrowing is to be an ABR Borrowing or a Eurodollar Borrowing; and</w:t>
      </w:r>
    </w:p>
    <w:p>
      <w:pPr>
        <w:spacing w:after="0" w:line="219" w:lineRule="exact"/>
        <w:rPr>
          <w:rFonts w:ascii="Arial" w:cs="Arial" w:eastAsia="Arial" w:hAnsi="Arial"/>
          <w:sz w:val="22"/>
          <w:szCs w:val="22"/>
          <w:color w:val="auto"/>
        </w:rPr>
      </w:pPr>
    </w:p>
    <w:p>
      <w:pPr>
        <w:ind w:left="660" w:firstLine="644"/>
        <w:spacing w:after="0" w:line="298" w:lineRule="auto"/>
        <w:tabs>
          <w:tab w:leader="none" w:pos="2322" w:val="left"/>
        </w:tabs>
        <w:numPr>
          <w:ilvl w:val="0"/>
          <w:numId w:val="270"/>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If any such Interest Election Request requests a Eurodollar Borrowing but does not specify an Interest Period, then the Borrower shall be deemed to have selected an Interest Period of one month’s duration.</w:t>
      </w:r>
    </w:p>
    <w:p>
      <w:pPr>
        <w:spacing w:after="0" w:line="148" w:lineRule="exact"/>
        <w:rPr>
          <w:sz w:val="20"/>
          <w:szCs w:val="20"/>
          <w:color w:val="auto"/>
        </w:rPr>
      </w:pPr>
    </w:p>
    <w:p>
      <w:pPr>
        <w:ind w:firstLine="1304"/>
        <w:spacing w:after="0" w:line="232" w:lineRule="auto"/>
        <w:tabs>
          <w:tab w:leader="none" w:pos="2250" w:val="left"/>
        </w:tabs>
        <w:numPr>
          <w:ilvl w:val="1"/>
          <w:numId w:val="271"/>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99" w:lineRule="exact"/>
        <w:rPr>
          <w:rFonts w:ascii="Arial" w:cs="Arial" w:eastAsia="Arial" w:hAnsi="Arial"/>
          <w:sz w:val="22"/>
          <w:szCs w:val="22"/>
          <w:color w:val="auto"/>
        </w:rPr>
      </w:pPr>
    </w:p>
    <w:p>
      <w:pPr>
        <w:jc w:val="both"/>
        <w:ind w:firstLine="1304"/>
        <w:spacing w:after="0" w:line="242" w:lineRule="auto"/>
        <w:tabs>
          <w:tab w:leader="none" w:pos="2292" w:val="left"/>
        </w:tabs>
        <w:numPr>
          <w:ilvl w:val="1"/>
          <w:numId w:val="271"/>
        </w:numPr>
        <w:rPr>
          <w:rFonts w:ascii="Arial" w:cs="Arial" w:eastAsia="Arial" w:hAnsi="Arial"/>
          <w:sz w:val="19"/>
          <w:szCs w:val="19"/>
          <w:color w:val="auto"/>
        </w:rPr>
      </w:pPr>
      <w:r>
        <w:rPr>
          <w:rFonts w:ascii="Arial" w:cs="Arial" w:eastAsia="Arial" w:hAnsi="Arial"/>
          <w:sz w:val="19"/>
          <w:szCs w:val="19"/>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 one-month Eurodollar Borrowing. Notwithstanding any contrary provision hereof, if an Event of Default has occurred and is continuing, and upon the request of the Required Lenders,</w:t>
      </w:r>
    </w:p>
    <w:p>
      <w:pPr>
        <w:ind w:right="20" w:firstLine="8"/>
        <w:spacing w:after="0" w:line="234" w:lineRule="auto"/>
        <w:tabs>
          <w:tab w:leader="none" w:pos="260" w:val="left"/>
        </w:tabs>
        <w:numPr>
          <w:ilvl w:val="0"/>
          <w:numId w:val="272"/>
        </w:numPr>
        <w:rPr>
          <w:rFonts w:ascii="Arial" w:cs="Arial" w:eastAsia="Arial" w:hAnsi="Arial"/>
          <w:sz w:val="21"/>
          <w:szCs w:val="21"/>
          <w:color w:val="auto"/>
        </w:rPr>
      </w:pPr>
      <w:r>
        <w:rPr>
          <w:rFonts w:ascii="Arial" w:cs="Arial" w:eastAsia="Arial" w:hAnsi="Arial"/>
          <w:sz w:val="21"/>
          <w:szCs w:val="21"/>
          <w:color w:val="auto"/>
        </w:rPr>
        <w:t>no outstanding Borrowing may be converted to or continued as a Eurodollar Borrowing and (ii) unless repaid, each Eurodollar Borrowing shall be converted to an ABR Borrowing at the end of the Interest Period applicable thereto.</w:t>
      </w:r>
    </w:p>
    <w:p>
      <w:pPr>
        <w:spacing w:after="0" w:line="227"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Limitation on Eurodollar Tranches</w:t>
      </w:r>
      <w:r>
        <w:rPr>
          <w:rFonts w:ascii="Arial" w:cs="Arial" w:eastAsia="Arial" w:hAnsi="Arial"/>
          <w:sz w:val="19"/>
          <w:szCs w:val="19"/>
          <w:color w:val="auto"/>
        </w:rPr>
        <w:t xml:space="preserve"> . Notwithstanding any-thing to the contrary in this Agreement, all 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$1,000,000 or a whole multiple of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54" w:name="page255"/>
    <w:bookmarkEnd w:id="254"/>
    <w:p>
      <w:pPr>
        <w:spacing w:after="0"/>
        <w:rPr>
          <w:sz w:val="20"/>
          <w:szCs w:val="20"/>
          <w:color w:val="auto"/>
        </w:rPr>
      </w:pPr>
      <w:r>
        <w:rPr>
          <w:rFonts w:ascii="Arial" w:cs="Arial" w:eastAsia="Arial" w:hAnsi="Arial"/>
          <w:sz w:val="21"/>
          <w:szCs w:val="21"/>
          <w:color w:val="auto"/>
        </w:rPr>
        <w:t>$1,000,000 in excess thereof and (b) no more than twenty Eurodollar Tranches shall be outstanding at any one time.</w:t>
      </w:r>
    </w:p>
    <w:p>
      <w:pPr>
        <w:spacing w:after="0" w:line="27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Interest on Loans</w:t>
      </w:r>
      <w:r>
        <w:rPr>
          <w:rFonts w:ascii="Arial" w:cs="Arial" w:eastAsia="Arial" w:hAnsi="Arial"/>
          <w:sz w:val="22"/>
          <w:szCs w:val="22"/>
          <w:color w:val="auto"/>
        </w:rPr>
        <w:t xml:space="preserve"> .</w:t>
      </w:r>
    </w:p>
    <w:p>
      <w:pPr>
        <w:spacing w:after="0" w:line="233" w:lineRule="exact"/>
        <w:rPr>
          <w:sz w:val="20"/>
          <w:szCs w:val="20"/>
          <w:color w:val="auto"/>
        </w:rPr>
      </w:pPr>
    </w:p>
    <w:p>
      <w:pPr>
        <w:jc w:val="both"/>
        <w:ind w:firstLine="1304"/>
        <w:spacing w:after="0" w:line="223" w:lineRule="auto"/>
        <w:tabs>
          <w:tab w:leader="none" w:pos="2238" w:val="left"/>
        </w:tabs>
        <w:numPr>
          <w:ilvl w:val="0"/>
          <w:numId w:val="273"/>
        </w:numPr>
        <w:rPr>
          <w:rFonts w:ascii="Arial" w:cs="Arial" w:eastAsia="Arial" w:hAnsi="Arial"/>
          <w:sz w:val="22"/>
          <w:szCs w:val="22"/>
          <w:color w:val="auto"/>
        </w:rPr>
      </w:pPr>
      <w:r>
        <w:rPr>
          <w:rFonts w:ascii="Arial" w:cs="Arial" w:eastAsia="Arial" w:hAnsi="Arial"/>
          <w:sz w:val="22"/>
          <w:szCs w:val="22"/>
          <w:color w:val="auto"/>
        </w:rPr>
        <w:t>Subject to the provisions of Section 2.08, each ABR Loan shall bear interest (computed on the basis of the actual number of days elapsed over a year of 365 days or 366 days in a leap year) at a rate per annum equal to the Alternate Base Rate plus the Applicable Margin.</w:t>
      </w:r>
    </w:p>
    <w:p>
      <w:pPr>
        <w:spacing w:after="0" w:line="199" w:lineRule="exact"/>
        <w:rPr>
          <w:rFonts w:ascii="Arial" w:cs="Arial" w:eastAsia="Arial" w:hAnsi="Arial"/>
          <w:sz w:val="22"/>
          <w:szCs w:val="22"/>
          <w:color w:val="auto"/>
        </w:rPr>
      </w:pPr>
    </w:p>
    <w:p>
      <w:pPr>
        <w:jc w:val="both"/>
        <w:ind w:firstLine="1304"/>
        <w:spacing w:after="0" w:line="268" w:lineRule="auto"/>
        <w:tabs>
          <w:tab w:leader="none" w:pos="2263" w:val="left"/>
        </w:tabs>
        <w:numPr>
          <w:ilvl w:val="0"/>
          <w:numId w:val="273"/>
        </w:numPr>
        <w:rPr>
          <w:rFonts w:ascii="Arial" w:cs="Arial" w:eastAsia="Arial" w:hAnsi="Arial"/>
          <w:sz w:val="19"/>
          <w:szCs w:val="19"/>
          <w:color w:val="auto"/>
        </w:rPr>
      </w:pPr>
      <w:r>
        <w:rPr>
          <w:rFonts w:ascii="Arial" w:cs="Arial" w:eastAsia="Arial" w:hAnsi="Arial"/>
          <w:sz w:val="19"/>
          <w:szCs w:val="19"/>
          <w:color w:val="auto"/>
        </w:rPr>
        <w:t>Subject to the provisions of Section 2.08, each Eurodollar Loan shall bear interest (computed on the basis of the actual number of days elapsed over a year of 360 days) at a rate per annum equal, during each Interest Period applicable thereto, to the LIBO Rate for such Interest Period in effect for such Borrowing plus the Applicable Margin.</w:t>
      </w:r>
    </w:p>
    <w:p>
      <w:pPr>
        <w:spacing w:after="0" w:line="132" w:lineRule="exact"/>
        <w:rPr>
          <w:rFonts w:ascii="Arial" w:cs="Arial" w:eastAsia="Arial" w:hAnsi="Arial"/>
          <w:sz w:val="19"/>
          <w:szCs w:val="19"/>
          <w:color w:val="auto"/>
        </w:rPr>
      </w:pPr>
    </w:p>
    <w:p>
      <w:pPr>
        <w:jc w:val="both"/>
        <w:ind w:firstLine="1304"/>
        <w:spacing w:after="0" w:line="257" w:lineRule="auto"/>
        <w:tabs>
          <w:tab w:leader="none" w:pos="2265" w:val="left"/>
        </w:tabs>
        <w:numPr>
          <w:ilvl w:val="0"/>
          <w:numId w:val="273"/>
        </w:numPr>
        <w:rPr>
          <w:rFonts w:ascii="Arial" w:cs="Arial" w:eastAsia="Arial" w:hAnsi="Arial"/>
          <w:sz w:val="19"/>
          <w:szCs w:val="19"/>
          <w:color w:val="auto"/>
        </w:rPr>
      </w:pPr>
      <w:r>
        <w:rPr>
          <w:rFonts w:ascii="Arial" w:cs="Arial" w:eastAsia="Arial" w:hAnsi="Arial"/>
          <w:sz w:val="19"/>
          <w:szCs w:val="19"/>
          <w:color w:val="auto"/>
        </w:rPr>
        <w:t xml:space="preserve">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any conversion of any Eurodollar Loan to an ABR Loan, accrued interest on such Loan shall be payable on the effective date of such conversion.</w:t>
      </w:r>
    </w:p>
    <w:p>
      <w:pPr>
        <w:spacing w:after="0" w:line="171"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 If the Borrower or any Guarantor, as the case may be, shall default in the payment of the principal of or interest on any Loan or in the payment of any other amount becoming due hereunder,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spacing w:after="0" w:line="19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xml:space="preserve"> . In the event, and on each occasion, that on the date that is two (2) Business Days prior to the commencement of any Interest Period for a Eurodollar Loan, the Administrative Agent shall have reasonably determined (which determination shall be conclusive and binding upon the Borrower absent manifest error) that reasonable means do not exist for ascertaining the applicable LIBO Rate, the Administrative Agent shall, as soon as practicable thereafter, give written, facsimile or telegraphic notice of such determination to the Borrower and the Lenders and, until the circumstances giving rise to such notice no longer exist, any request by the Borrower for a Borrowing of Eurodollar Loans hereunder (including pursuant to a refinancing with Eurodollar Loans and including any request to continue, or to convert to, Eurodollar Loans) shall be deemed a request for a Borrowing of ABR Loans. Notwithstanding any provision to the contrary set forth in this Agreement, in the event the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then the Administrative Agent and Borrower may, without the consent of any Lender, amend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55" w:name="page256"/>
    <w:bookmarkEnd w:id="255"/>
    <w:p>
      <w:pPr>
        <w:jc w:val="both"/>
        <w:spacing w:after="0" w:line="253" w:lineRule="auto"/>
        <w:rPr>
          <w:sz w:val="20"/>
          <w:szCs w:val="20"/>
          <w:color w:val="auto"/>
        </w:rPr>
      </w:pPr>
      <w:r>
        <w:rPr>
          <w:rFonts w:ascii="Arial" w:cs="Arial" w:eastAsia="Arial" w:hAnsi="Arial"/>
          <w:sz w:val="22"/>
          <w:szCs w:val="22"/>
          <w:color w:val="auto"/>
        </w:rPr>
        <w:t>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 xml:space="preserve"> .</w:t>
      </w:r>
    </w:p>
    <w:p>
      <w:pPr>
        <w:spacing w:after="0" w:line="193" w:lineRule="exact"/>
        <w:rPr>
          <w:sz w:val="20"/>
          <w:szCs w:val="20"/>
          <w:color w:val="auto"/>
        </w:rPr>
      </w:pPr>
    </w:p>
    <w:p>
      <w:pPr>
        <w:ind w:left="2240" w:hanging="936"/>
        <w:spacing w:after="0"/>
        <w:tabs>
          <w:tab w:leader="none" w:pos="2240" w:val="left"/>
        </w:tabs>
        <w:numPr>
          <w:ilvl w:val="0"/>
          <w:numId w:val="274"/>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260" w:hanging="956"/>
        <w:spacing w:after="0"/>
        <w:tabs>
          <w:tab w:leader="none" w:pos="2260" w:val="left"/>
        </w:tabs>
        <w:numPr>
          <w:ilvl w:val="0"/>
          <w:numId w:val="274"/>
        </w:numPr>
        <w:rPr>
          <w:rFonts w:ascii="Arial" w:cs="Arial" w:eastAsia="Arial" w:hAnsi="Arial"/>
          <w:sz w:val="19"/>
          <w:szCs w:val="19"/>
          <w:color w:val="auto"/>
        </w:rPr>
      </w:pPr>
      <w:r>
        <w:rPr>
          <w:rFonts w:ascii="Arial" w:cs="Arial" w:eastAsia="Arial" w:hAnsi="Arial"/>
          <w:sz w:val="19"/>
          <w:szCs w:val="19"/>
          <w:color w:val="auto"/>
        </w:rPr>
        <w:t>The principal amounts of the Term Loans shall be paid in full no later than the applicable Termination</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61" w:lineRule="exact"/>
        <w:rPr>
          <w:sz w:val="20"/>
          <w:szCs w:val="20"/>
          <w:color w:val="auto"/>
        </w:rPr>
      </w:pPr>
    </w:p>
    <w:p>
      <w:pPr>
        <w:jc w:val="both"/>
        <w:ind w:firstLine="1304"/>
        <w:spacing w:after="0" w:line="223" w:lineRule="auto"/>
        <w:tabs>
          <w:tab w:leader="none" w:pos="2238" w:val="left"/>
        </w:tabs>
        <w:numPr>
          <w:ilvl w:val="0"/>
          <w:numId w:val="275"/>
        </w:numPr>
        <w:rPr>
          <w:rFonts w:ascii="Arial" w:cs="Arial" w:eastAsia="Arial" w:hAnsi="Arial"/>
          <w:sz w:val="22"/>
          <w:szCs w:val="22"/>
          <w:color w:val="auto"/>
        </w:rPr>
      </w:pPr>
      <w:r>
        <w:rPr>
          <w:rFonts w:ascii="Arial" w:cs="Arial" w:eastAsia="Arial" w:hAnsi="Arial"/>
          <w:sz w:val="22"/>
          <w:szCs w:val="22"/>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225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w:t>
      </w:r>
    </w:p>
    <w:p>
      <w:pPr>
        <w:spacing w:after="0" w:line="148" w:lineRule="exact"/>
        <w:rPr>
          <w:rFonts w:ascii="Arial" w:cs="Arial" w:eastAsia="Arial" w:hAnsi="Arial"/>
          <w:sz w:val="19"/>
          <w:szCs w:val="19"/>
          <w:color w:val="auto"/>
        </w:rPr>
      </w:pPr>
    </w:p>
    <w:p>
      <w:pPr>
        <w:jc w:val="both"/>
        <w:ind w:firstLine="1304"/>
        <w:spacing w:after="0" w:line="218" w:lineRule="auto"/>
        <w:tabs>
          <w:tab w:leader="none" w:pos="2238" w:val="left"/>
        </w:tabs>
        <w:numPr>
          <w:ilvl w:val="0"/>
          <w:numId w:val="275"/>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(c) or (d) of this Section 2.10 shall be prima facie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60" w:lineRule="exact"/>
        <w:rPr>
          <w:rFonts w:ascii="Arial" w:cs="Arial" w:eastAsia="Arial" w:hAnsi="Arial"/>
          <w:sz w:val="22"/>
          <w:szCs w:val="22"/>
          <w:color w:val="auto"/>
        </w:rPr>
      </w:pPr>
    </w:p>
    <w:p>
      <w:pPr>
        <w:jc w:val="both"/>
        <w:ind w:firstLine="1304"/>
        <w:spacing w:after="0" w:line="252" w:lineRule="auto"/>
        <w:tabs>
          <w:tab w:leader="none" w:pos="2227"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w:t>
      </w:r>
    </w:p>
    <w:p>
      <w:pPr>
        <w:spacing w:after="0" w:line="17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Optional Termination or Reduction of Term Loan Commitment</w:t>
      </w:r>
      <w:r>
        <w:rPr>
          <w:rFonts w:ascii="Arial" w:cs="Arial" w:eastAsia="Arial" w:hAnsi="Arial"/>
          <w:sz w:val="22"/>
          <w:szCs w:val="22"/>
          <w:color w:val="auto"/>
        </w:rPr>
        <w:t xml:space="preserve"> . Upon at least one (1) Business Day prior written notice to the Administrative Agent, the Borrower may at any time in whole permanently terminate the Unused Term Loan Commitment, or from time to time in part permanently reduce the Unused Term Loan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Term Commitment shall be in the principal amount not less than $1,000,000 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256" w:name="page257"/>
    <w:bookmarkEnd w:id="256"/>
    <w:p>
      <w:pPr>
        <w:jc w:val="both"/>
        <w:spacing w:after="0" w:line="263" w:lineRule="auto"/>
        <w:rPr>
          <w:sz w:val="20"/>
          <w:szCs w:val="20"/>
          <w:color w:val="auto"/>
        </w:rPr>
      </w:pPr>
      <w:r>
        <w:rPr>
          <w:rFonts w:ascii="Arial" w:cs="Arial" w:eastAsia="Arial" w:hAnsi="Arial"/>
          <w:sz w:val="21"/>
          <w:szCs w:val="21"/>
          <w:color w:val="auto"/>
        </w:rPr>
        <w:t>nd in an integral multiple of $1,000,000. Simultaneously with each reduction or termination of the Term Loan Commitment, the Borrower shall pay to the Administrative Agent for the account of each applicable Lender the Commitment Fee accrued and unpaid on the amount of the Unused Term Loan Commitment of such Lender so terminated or reduced through the date thereof. Any reduction of the Unused Term Loan Commitment pursuant to this Section 2.11 shall be applied to reduce the Term Loan Commitment of each applicable Lender on a pro rata basis.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Mandatory Prepayment of Loans; Commitment Termination</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tabs>
          <w:tab w:leader="none" w:pos="2238" w:val="left"/>
        </w:tabs>
        <w:numPr>
          <w:ilvl w:val="1"/>
          <w:numId w:val="276"/>
        </w:numPr>
        <w:rPr>
          <w:rFonts w:ascii="Arial" w:cs="Arial" w:eastAsia="Arial" w:hAnsi="Arial"/>
          <w:sz w:val="19"/>
          <w:szCs w:val="19"/>
          <w:color w:val="auto"/>
        </w:rPr>
      </w:pPr>
      <w:r>
        <w:rPr>
          <w:rFonts w:ascii="Arial" w:cs="Arial" w:eastAsia="Arial" w:hAnsi="Arial"/>
          <w:sz w:val="19"/>
          <w:szCs w:val="19"/>
          <w:color w:val="auto"/>
        </w:rPr>
        <w:t xml:space="preserve">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deposit, on the next Business Day (or, if later, within five (5) Business Days of Parent or any of its Subsidiaries receiving any Net Proceeds as a result of such Disposition of Collateral or Recovery Event), cash in an amount (the “ </w:t>
      </w:r>
      <w:r>
        <w:rPr>
          <w:rFonts w:ascii="Arial" w:cs="Arial" w:eastAsia="Arial" w:hAnsi="Arial"/>
          <w:sz w:val="19"/>
          <w:szCs w:val="19"/>
          <w:i w:val="1"/>
          <w:iCs w:val="1"/>
          <w:color w:val="auto"/>
        </w:rPr>
        <w:t>Net Proceeds Amount</w:t>
      </w:r>
      <w:r>
        <w:rPr>
          <w:rFonts w:ascii="Arial" w:cs="Arial" w:eastAsia="Arial" w:hAnsi="Arial"/>
          <w:sz w:val="19"/>
          <w:szCs w:val="19"/>
          <w:color w:val="auto"/>
        </w:rPr>
        <w:t xml:space="preserve"> ”) equal to the amount of such received Net Proceeds (solely to the extent necessary to maintain compliance with Section 6.04) into the Collateral Proceeds Account that is maintained with the Collateral Agent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w:t>
      </w:r>
    </w:p>
    <w:p>
      <w:pPr>
        <w:spacing w:after="0" w:line="387" w:lineRule="exact"/>
        <w:rPr>
          <w:rFonts w:ascii="Arial" w:cs="Arial" w:eastAsia="Arial" w:hAnsi="Arial"/>
          <w:sz w:val="19"/>
          <w:szCs w:val="19"/>
          <w:color w:val="auto"/>
        </w:rPr>
      </w:pPr>
    </w:p>
    <w:p>
      <w:pPr>
        <w:ind w:left="2260" w:hanging="956"/>
        <w:spacing w:after="0"/>
        <w:tabs>
          <w:tab w:leader="none" w:pos="2260" w:val="left"/>
        </w:tabs>
        <w:numPr>
          <w:ilvl w:val="1"/>
          <w:numId w:val="276"/>
        </w:numPr>
        <w:rPr>
          <w:rFonts w:ascii="Arial" w:cs="Arial" w:eastAsia="Arial" w:hAnsi="Arial"/>
          <w:sz w:val="19"/>
          <w:szCs w:val="19"/>
          <w:color w:val="auto"/>
        </w:rPr>
      </w:pPr>
      <w:r>
        <w:rPr>
          <w:rFonts w:ascii="Arial" w:cs="Arial" w:eastAsia="Arial" w:hAnsi="Arial"/>
          <w:sz w:val="19"/>
          <w:szCs w:val="19"/>
          <w:color w:val="auto"/>
        </w:rPr>
        <w:t>The Borrower shall prepay the Loans when and in an amount necessary to comply with Section 6.09(b)</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(x)(B).</w:t>
      </w:r>
    </w:p>
    <w:p>
      <w:pPr>
        <w:spacing w:after="0" w:line="161" w:lineRule="exact"/>
        <w:rPr>
          <w:rFonts w:ascii="Arial" w:cs="Arial" w:eastAsia="Arial" w:hAnsi="Arial"/>
          <w:sz w:val="19"/>
          <w:szCs w:val="19"/>
          <w:color w:val="auto"/>
        </w:rPr>
      </w:pPr>
    </w:p>
    <w:p>
      <w:pPr>
        <w:ind w:left="2260" w:hanging="956"/>
        <w:spacing w:after="0"/>
        <w:tabs>
          <w:tab w:leader="none" w:pos="2260" w:val="left"/>
        </w:tabs>
        <w:numPr>
          <w:ilvl w:val="1"/>
          <w:numId w:val="276"/>
        </w:numPr>
        <w:rPr>
          <w:rFonts w:ascii="Arial" w:cs="Arial" w:eastAsia="Arial" w:hAnsi="Arial"/>
          <w:sz w:val="19"/>
          <w:szCs w:val="19"/>
          <w:color w:val="auto"/>
        </w:rPr>
      </w:pPr>
      <w:r>
        <w:rPr>
          <w:rFonts w:ascii="Arial" w:cs="Arial" w:eastAsia="Arial" w:hAnsi="Arial"/>
          <w:sz w:val="19"/>
          <w:szCs w:val="19"/>
          <w:color w:val="auto"/>
        </w:rPr>
        <w:t>Amounts required to be applied to the prepayment of Loans pursuant to Sections 2.12(a), (b), (h) and</w:t>
      </w:r>
    </w:p>
    <w:p>
      <w:pPr>
        <w:spacing w:after="0" w:line="15" w:lineRule="exact"/>
        <w:rPr>
          <w:rFonts w:ascii="Arial" w:cs="Arial" w:eastAsia="Arial" w:hAnsi="Arial"/>
          <w:sz w:val="19"/>
          <w:szCs w:val="19"/>
          <w:color w:val="auto"/>
        </w:rPr>
      </w:pPr>
    </w:p>
    <w:p>
      <w:pPr>
        <w:jc w:val="both"/>
        <w:ind w:firstLine="8"/>
        <w:spacing w:after="0" w:line="214" w:lineRule="auto"/>
        <w:tabs>
          <w:tab w:leader="none" w:pos="293" w:val="left"/>
        </w:tabs>
        <w:numPr>
          <w:ilvl w:val="0"/>
          <w:numId w:val="277"/>
        </w:numPr>
        <w:rPr>
          <w:rFonts w:ascii="Arial" w:cs="Arial" w:eastAsia="Arial" w:hAnsi="Arial"/>
          <w:sz w:val="22"/>
          <w:szCs w:val="22"/>
          <w:color w:val="auto"/>
        </w:rPr>
      </w:pPr>
      <w:r>
        <w:rPr>
          <w:rFonts w:ascii="Arial" w:cs="Arial" w:eastAsia="Arial" w:hAnsi="Arial"/>
          <w:sz w:val="22"/>
          <w:szCs w:val="22"/>
          <w:color w:val="auto"/>
        </w:rPr>
        <w:t xml:space="preserve">shall be applied to prepay the outstanding Term Loans in accordance with Section 2.17(e)(i), in an amount necessary to comply with Section 6.04 or 6.09(b), as the case may be, in each case as directed by the Borrower. The application of any prepayment pursuant to this Section 2.12 shall be made, </w:t>
      </w:r>
      <w:r>
        <w:rPr>
          <w:rFonts w:ascii="Arial" w:cs="Arial" w:eastAsia="Arial" w:hAnsi="Arial"/>
          <w:sz w:val="22"/>
          <w:szCs w:val="22"/>
          <w:i w:val="1"/>
          <w:iCs w:val="1"/>
          <w:color w:val="auto"/>
        </w:rPr>
        <w:t>first</w:t>
      </w:r>
      <w:r>
        <w:rPr>
          <w:rFonts w:ascii="Arial" w:cs="Arial" w:eastAsia="Arial" w:hAnsi="Arial"/>
          <w:sz w:val="22"/>
          <w:szCs w:val="22"/>
          <w:color w:val="auto"/>
        </w:rPr>
        <w:t xml:space="preserve"> , to ABR Loans and, </w:t>
      </w:r>
      <w:r>
        <w:rPr>
          <w:rFonts w:ascii="Arial" w:cs="Arial" w:eastAsia="Arial" w:hAnsi="Arial"/>
          <w:sz w:val="22"/>
          <w:szCs w:val="22"/>
          <w:i w:val="1"/>
          <w:iCs w:val="1"/>
          <w:color w:val="auto"/>
        </w:rPr>
        <w:t>second</w:t>
      </w:r>
      <w:r>
        <w:rPr>
          <w:rFonts w:ascii="Arial" w:cs="Arial" w:eastAsia="Arial" w:hAnsi="Arial"/>
          <w:sz w:val="22"/>
          <w:szCs w:val="22"/>
          <w:color w:val="auto"/>
        </w:rPr>
        <w:t xml:space="preserve"> , to Eurodollar Loans. Term Loans prepaid pursuant to this Section 2.12 may not be reborrowed.</w:t>
      </w:r>
    </w:p>
    <w:p>
      <w:pPr>
        <w:spacing w:after="0" w:line="159" w:lineRule="exact"/>
        <w:rPr>
          <w:rFonts w:ascii="Arial" w:cs="Arial" w:eastAsia="Arial" w:hAnsi="Arial"/>
          <w:sz w:val="22"/>
          <w:szCs w:val="22"/>
          <w:color w:val="auto"/>
        </w:rPr>
      </w:pPr>
    </w:p>
    <w:p>
      <w:pPr>
        <w:ind w:left="2260" w:hanging="956"/>
        <w:spacing w:after="0"/>
        <w:tabs>
          <w:tab w:leader="none" w:pos="226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240" w:hanging="936"/>
        <w:spacing w:after="0"/>
        <w:tabs>
          <w:tab w:leader="none" w:pos="224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57" w:name="page258"/>
    <w:bookmarkEnd w:id="257"/>
    <w:p>
      <w:pPr>
        <w:jc w:val="both"/>
        <w:ind w:firstLine="1304"/>
        <w:spacing w:after="0" w:line="223" w:lineRule="auto"/>
        <w:tabs>
          <w:tab w:leader="none" w:pos="2227"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w:t>
      </w:r>
    </w:p>
    <w:p>
      <w:pPr>
        <w:spacing w:after="0" w:line="158" w:lineRule="exact"/>
        <w:rPr>
          <w:rFonts w:ascii="Arial" w:cs="Arial" w:eastAsia="Arial" w:hAnsi="Arial"/>
          <w:sz w:val="22"/>
          <w:szCs w:val="22"/>
          <w:color w:val="auto"/>
        </w:rPr>
      </w:pPr>
    </w:p>
    <w:p>
      <w:pPr>
        <w:jc w:val="both"/>
        <w:ind w:firstLine="1304"/>
        <w:spacing w:after="0" w:line="218" w:lineRule="auto"/>
        <w:tabs>
          <w:tab w:leader="none" w:pos="2277"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If a Change of Control occurs within thirty (30) days following the occurrence of such Change of Control, the Borrower (or Parent (or any third party on behalf of the Borrower)) shall prepay all of the outstanding Loans at a prepayment price equal to 100% of the principal amount thereof, plus accrued and unpaid interest, if any, to the date of prepayment.</w:t>
      </w:r>
    </w:p>
    <w:p>
      <w:pPr>
        <w:spacing w:after="0" w:line="187" w:lineRule="exact"/>
        <w:rPr>
          <w:rFonts w:ascii="Arial" w:cs="Arial" w:eastAsia="Arial" w:hAnsi="Arial"/>
          <w:sz w:val="22"/>
          <w:szCs w:val="22"/>
          <w:color w:val="auto"/>
        </w:rPr>
      </w:pPr>
    </w:p>
    <w:p>
      <w:pPr>
        <w:jc w:val="both"/>
        <w:ind w:firstLine="1304"/>
        <w:spacing w:after="0" w:line="248" w:lineRule="auto"/>
        <w:tabs>
          <w:tab w:leader="none" w:pos="1797" w:val="left"/>
        </w:tabs>
        <w:numPr>
          <w:ilvl w:val="0"/>
          <w:numId w:val="278"/>
        </w:numPr>
        <w:rPr>
          <w:rFonts w:ascii="Arial" w:cs="Arial" w:eastAsia="Arial" w:hAnsi="Arial"/>
          <w:sz w:val="22"/>
          <w:szCs w:val="22"/>
          <w:color w:val="auto"/>
        </w:rPr>
      </w:pPr>
      <w:r>
        <w:rPr>
          <w:rFonts w:ascii="Arial" w:cs="Arial" w:eastAsia="Arial" w:hAnsi="Arial"/>
          <w:sz w:val="22"/>
          <w:szCs w:val="22"/>
          <w:color w:val="auto"/>
        </w:rPr>
        <w:t>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at least one category of Core Collateral, the Borrower shall prepay all of the outstanding Loans at a prepayment price equal to 100% of the principal amount thereof, plus accrued and unpaid interest, if any, to the date of prepayment.</w:t>
      </w:r>
    </w:p>
    <w:p>
      <w:pPr>
        <w:spacing w:after="0" w:line="191" w:lineRule="exact"/>
        <w:rPr>
          <w:rFonts w:ascii="Arial" w:cs="Arial" w:eastAsia="Arial" w:hAnsi="Arial"/>
          <w:sz w:val="22"/>
          <w:szCs w:val="22"/>
          <w:color w:val="auto"/>
        </w:rPr>
      </w:pPr>
    </w:p>
    <w:p>
      <w:pPr>
        <w:jc w:val="both"/>
        <w:ind w:firstLine="1304"/>
        <w:spacing w:after="0" w:line="259" w:lineRule="auto"/>
        <w:tabs>
          <w:tab w:leader="none" w:pos="1830" w:val="left"/>
        </w:tabs>
        <w:numPr>
          <w:ilvl w:val="0"/>
          <w:numId w:val="278"/>
        </w:numPr>
        <w:rPr>
          <w:rFonts w:ascii="Arial" w:cs="Arial" w:eastAsia="Arial" w:hAnsi="Arial"/>
          <w:sz w:val="21"/>
          <w:szCs w:val="21"/>
          <w:color w:val="auto"/>
        </w:rPr>
      </w:pPr>
      <w:r>
        <w:rPr>
          <w:rFonts w:ascii="Arial" w:cs="Arial" w:eastAsia="Arial" w:hAnsi="Arial"/>
          <w:sz w:val="21"/>
          <w:szCs w:val="21"/>
          <w:color w:val="auto"/>
        </w:rPr>
        <w:t>If, immediately 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(i) less than 2.00 to 1.0 with respect to Collateral secured pursuant to the First Lien SGR Security Agreement or (ii) less than 1.33 to 1.0 with respect to Collateral secured pursuant to the Second Lien SGR Security Agreement.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Optional Prepayment of Loans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42" w:lineRule="auto"/>
        <w:tabs>
          <w:tab w:leader="none" w:pos="2238"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at any time and from time to time, to prepay any Loans, in whole or in part, (i) with respect to Eurodollar Loans, upon (A) telephonic notice (followed promptly by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may be prepaid on the same day notice is given if such notice is received by the Administrative Agent by 12:00 noon, New York City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any revocation of such conditional notice occurs within the applicable notice period plus 5 Business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(A) each such partial prepayment shall be in an amount not less than $1,000,000 and in integral multiples of $1,000,000 in the case of Eurodollar Loans and integral multiples of $100,000 in the case of ABR Loans, (B) no prepayment of Eurodollar Loans shall be permitted pursuant to this Section 2.13(a) other than on the last day of an Interest Period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8" w:name="page259"/>
    <w:bookmarkEnd w:id="258"/>
    <w:p>
      <w:pPr>
        <w:jc w:val="both"/>
        <w:spacing w:after="0" w:line="223" w:lineRule="auto"/>
        <w:rPr>
          <w:sz w:val="20"/>
          <w:szCs w:val="20"/>
          <w:color w:val="auto"/>
        </w:rPr>
      </w:pPr>
      <w:r>
        <w:rPr>
          <w:rFonts w:ascii="Arial" w:cs="Arial" w:eastAsia="Arial" w:hAnsi="Arial"/>
          <w:sz w:val="22"/>
          <w:szCs w:val="22"/>
          <w:color w:val="auto"/>
        </w:rPr>
        <w:t>applicable thereto unless such prepayment is accompanied by the payment of the amounts described in Section 2.15, and (C) no partial prepayment of a Eurodollar Tranche shall result in the aggregate principal amount of the Eurodollar Loans remaining outstanding pursuant to such Eurodollar Tranche being less than $1,000,000.</w:t>
      </w:r>
    </w:p>
    <w:p>
      <w:pPr>
        <w:spacing w:after="0" w:line="159" w:lineRule="exact"/>
        <w:rPr>
          <w:sz w:val="20"/>
          <w:szCs w:val="20"/>
          <w:color w:val="auto"/>
        </w:rPr>
      </w:pPr>
    </w:p>
    <w:p>
      <w:pPr>
        <w:jc w:val="both"/>
        <w:ind w:firstLine="1304"/>
        <w:spacing w:after="0" w:line="246" w:lineRule="auto"/>
        <w:tabs>
          <w:tab w:leader="none" w:pos="2263" w:val="left"/>
        </w:tabs>
        <w:numPr>
          <w:ilvl w:val="0"/>
          <w:numId w:val="280"/>
        </w:numPr>
        <w:rPr>
          <w:rFonts w:ascii="Arial" w:cs="Arial" w:eastAsia="Arial" w:hAnsi="Arial"/>
          <w:sz w:val="19"/>
          <w:szCs w:val="19"/>
          <w:color w:val="auto"/>
        </w:rPr>
      </w:pPr>
      <w:r>
        <w:rPr>
          <w:rFonts w:ascii="Arial" w:cs="Arial" w:eastAsia="Arial" w:hAnsi="Arial"/>
          <w:sz w:val="19"/>
          <w:szCs w:val="19"/>
          <w:color w:val="auto"/>
        </w:rPr>
        <w:t xml:space="preserve">Any prepayments under Section 2.13(a) shall be applied, at the option of the Borrower, to prepay the Term Loans, in each case as the Borrower shall specify. All such prepayments of Term Loans shall be applied in the manner directed by the Borrower (or, if no such direction is given, in direct order of maturity) to the remaining scheduled outstanding principal amount of the applicable Class of Term Loans being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prepayments of the Initial Term Loans shall be made ratably among the Initial Term Loans made on the Closing Date and the Delayed Draw Term Loans then outstanding.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w:t>
      </w:r>
    </w:p>
    <w:p>
      <w:pPr>
        <w:spacing w:after="0" w:line="152" w:lineRule="exact"/>
        <w:rPr>
          <w:rFonts w:ascii="Arial" w:cs="Arial" w:eastAsia="Arial" w:hAnsi="Arial"/>
          <w:sz w:val="19"/>
          <w:szCs w:val="19"/>
          <w:color w:val="auto"/>
        </w:rPr>
      </w:pPr>
    </w:p>
    <w:p>
      <w:pPr>
        <w:jc w:val="both"/>
        <w:ind w:firstLine="1304"/>
        <w:spacing w:after="0" w:line="221" w:lineRule="auto"/>
        <w:tabs>
          <w:tab w:leader="none" w:pos="2238" w:val="left"/>
        </w:tabs>
        <w:numPr>
          <w:ilvl w:val="0"/>
          <w:numId w:val="280"/>
        </w:numPr>
        <w:rPr>
          <w:rFonts w:ascii="Arial" w:cs="Arial" w:eastAsia="Arial" w:hAnsi="Arial"/>
          <w:sz w:val="21"/>
          <w:szCs w:val="21"/>
          <w:color w:val="auto"/>
        </w:rPr>
      </w:pPr>
      <w:r>
        <w:rPr>
          <w:rFonts w:ascii="Arial" w:cs="Arial" w:eastAsia="Arial" w:hAnsi="Arial"/>
          <w:sz w:val="21"/>
          <w:szCs w:val="21"/>
          <w:color w:val="auto"/>
        </w:rPr>
        <w:t xml:space="preserve">Each notice of prepayment shall specify the prepayment date, the principal amount of the Loans to be prepaid and, in the case of Eurodollar Loans, the Borrowing or Borrowings to be prepaid and shall commit the Borrower to prepay such Loan by the amount and on the date stated therein;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Increased Costs</w:t>
      </w:r>
      <w:r>
        <w:rPr>
          <w:rFonts w:ascii="Arial" w:cs="Arial" w:eastAsia="Arial" w:hAnsi="Arial"/>
          <w:sz w:val="22"/>
          <w:szCs w:val="22"/>
          <w:color w:val="auto"/>
        </w:rPr>
        <w:t xml:space="preserve"> .</w:t>
      </w:r>
    </w:p>
    <w:p>
      <w:pPr>
        <w:spacing w:after="0" w:line="193" w:lineRule="exact"/>
        <w:rPr>
          <w:sz w:val="20"/>
          <w:szCs w:val="20"/>
          <w:color w:val="auto"/>
        </w:rPr>
      </w:pPr>
    </w:p>
    <w:p>
      <w:pPr>
        <w:ind w:left="2240" w:hanging="936"/>
        <w:spacing w:after="0"/>
        <w:tabs>
          <w:tab w:leader="none" w:pos="2240" w:val="left"/>
        </w:tabs>
        <w:numPr>
          <w:ilvl w:val="0"/>
          <w:numId w:val="281"/>
        </w:numPr>
        <w:rPr>
          <w:rFonts w:ascii="Arial" w:cs="Arial" w:eastAsia="Arial" w:hAnsi="Arial"/>
          <w:sz w:val="22"/>
          <w:szCs w:val="22"/>
          <w:color w:val="auto"/>
        </w:rPr>
      </w:pPr>
      <w:r>
        <w:rPr>
          <w:rFonts w:ascii="Arial" w:cs="Arial" w:eastAsia="Arial" w:hAnsi="Arial"/>
          <w:sz w:val="22"/>
          <w:szCs w:val="22"/>
          <w:color w:val="auto"/>
        </w:rPr>
        <w:t>If any Change in Law shall:</w:t>
      </w:r>
    </w:p>
    <w:p>
      <w:pPr>
        <w:spacing w:after="0" w:line="179" w:lineRule="exact"/>
        <w:rPr>
          <w:sz w:val="20"/>
          <w:szCs w:val="20"/>
          <w:color w:val="auto"/>
        </w:rPr>
      </w:pPr>
    </w:p>
    <w:p>
      <w:pPr>
        <w:jc w:val="both"/>
        <w:ind w:left="660" w:firstLine="644"/>
        <w:spacing w:after="0" w:line="223" w:lineRule="auto"/>
        <w:tabs>
          <w:tab w:leader="none" w:pos="2227"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by, any Lender (except any such reserve requirement subject to Section 2.14(c)); or</w:t>
      </w:r>
    </w:p>
    <w:p>
      <w:pPr>
        <w:spacing w:after="0" w:line="158" w:lineRule="exact"/>
        <w:rPr>
          <w:rFonts w:ascii="Arial" w:cs="Arial" w:eastAsia="Arial" w:hAnsi="Arial"/>
          <w:sz w:val="22"/>
          <w:szCs w:val="22"/>
          <w:color w:val="auto"/>
        </w:rPr>
      </w:pPr>
    </w:p>
    <w:p>
      <w:pPr>
        <w:ind w:left="660" w:firstLine="644"/>
        <w:spacing w:after="0" w:line="232" w:lineRule="auto"/>
        <w:tabs>
          <w:tab w:leader="none" w:pos="2274" w:val="left"/>
        </w:tabs>
        <w:numPr>
          <w:ilvl w:val="0"/>
          <w:numId w:val="282"/>
        </w:numPr>
        <w:rPr>
          <w:rFonts w:ascii="Arial" w:cs="Arial" w:eastAsia="Arial" w:hAnsi="Arial"/>
          <w:sz w:val="22"/>
          <w:szCs w:val="22"/>
          <w:color w:val="auto"/>
        </w:rPr>
      </w:pPr>
      <w:r>
        <w:rPr>
          <w:rFonts w:ascii="Arial" w:cs="Arial" w:eastAsia="Arial" w:hAnsi="Arial"/>
          <w:sz w:val="22"/>
          <w:szCs w:val="22"/>
          <w:color w:val="auto"/>
        </w:rPr>
        <w:t>impose on any Lender or the London interbank market any other condition, cost or expense (other than Taxes) affecting this Agreement or Eurodollar Loans made by such Lender;</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into, continuing or maintaining any Eurodollar Loan (or of maintaining its obligation to make any such Loan) or to reduce the amount of any sum received or receivable by such Lender hereunder with respect to any Eurodollar Loan (whether of principal, interest or otherwise), then, upon the request of such Lender, the Borrower will pay to such Lender, as the case may be, such additional amount or amounts as will compensate such Lender, as the case may be, for such additional costs incurred or reduction suffered.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59" w:name="page260"/>
    <w:bookmarkEnd w:id="259"/>
    <w:p>
      <w:pPr>
        <w:jc w:val="both"/>
        <w:ind w:firstLine="1304"/>
        <w:spacing w:after="0" w:line="221" w:lineRule="auto"/>
        <w:tabs>
          <w:tab w:leader="none" w:pos="2263" w:val="left"/>
        </w:tabs>
        <w:numPr>
          <w:ilvl w:val="0"/>
          <w:numId w:val="283"/>
        </w:numPr>
        <w:rPr>
          <w:rFonts w:ascii="Arial" w:cs="Arial" w:eastAsia="Arial" w:hAnsi="Arial"/>
          <w:sz w:val="21"/>
          <w:szCs w:val="21"/>
          <w:color w:val="auto"/>
        </w:rPr>
      </w:pPr>
      <w:r>
        <w:rPr>
          <w:rFonts w:ascii="Arial" w:cs="Arial" w:eastAsia="Arial" w:hAnsi="Arial"/>
          <w:sz w:val="21"/>
          <w:szCs w:val="21"/>
          <w:color w:val="auto"/>
        </w:rPr>
        <w:t>If any Lender reasonably determines in good faith that any Change in Law affecting such Lender or such Lender’s holding company regarding capital or liquidity requirements has or would have the effect of reducing the rate of return on such Lender’s capital or on the capital of such Lender’s holding company, if any, as a consequence of this Agreement or the Eurodollar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as the case may be, such additional amount or amounts, in each case as documented by such Lender to the Borrower as will compensate such Lender or such Lender’s holding company for any such reduction suffered; it being understood that this Section 2.14(b) shall not apply to Taxes.</w:t>
      </w:r>
    </w:p>
    <w:p>
      <w:pPr>
        <w:spacing w:after="0" w:line="158" w:lineRule="exact"/>
        <w:rPr>
          <w:rFonts w:ascii="Arial" w:cs="Arial" w:eastAsia="Arial" w:hAnsi="Arial"/>
          <w:sz w:val="21"/>
          <w:szCs w:val="21"/>
          <w:color w:val="auto"/>
        </w:rPr>
      </w:pPr>
    </w:p>
    <w:p>
      <w:pPr>
        <w:jc w:val="both"/>
        <w:ind w:firstLine="1304"/>
        <w:spacing w:after="0" w:line="241" w:lineRule="auto"/>
        <w:tabs>
          <w:tab w:leader="none" w:pos="2238"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Solely to the extent arising from a Change in Law, the Borrower shall pay to each Lender (i) as long as such Lender shall be required to maintain reserves with respect to liabilities or assets consisting of or including Eurodollar funds or deposits, additional interest on the unpaid principal amount of each Eurodollar Loan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Eurodollar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have received at least fifteen (15) days’ prior written notice (with a copy to the Administrative Agent, and which notice shall specify the Statutory Reserve Rate, if any, applicable to such Lender) of such additional interest or cost from such Lender. If a Lender fails to give written notice fifteen (15) days prior to the relevant Interest Payment Date, such additional interest or cost shall be due and payable fifteen (15) days from receipt of such notice.</w:t>
      </w:r>
    </w:p>
    <w:p>
      <w:pPr>
        <w:spacing w:after="0" w:line="168" w:lineRule="exact"/>
        <w:rPr>
          <w:rFonts w:ascii="Arial" w:cs="Arial" w:eastAsia="Arial" w:hAnsi="Arial"/>
          <w:sz w:val="19"/>
          <w:szCs w:val="19"/>
          <w:color w:val="auto"/>
        </w:rPr>
      </w:pPr>
    </w:p>
    <w:p>
      <w:pPr>
        <w:jc w:val="both"/>
        <w:ind w:firstLine="1304"/>
        <w:spacing w:after="0" w:line="257" w:lineRule="auto"/>
        <w:tabs>
          <w:tab w:leader="none" w:pos="225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A certificate of a Lender setting forth the amount or amounts necessary to compensate such Lender or its holding company, as the case may be, as specified in paragraph (a) or (b) of this Section 2.14 and the basis for calculating such amount or amounts shall be delivered to the Borrower and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amount due. The Borrower shall pay such Lender, as the case may be, the amount due within fifteen (15) days after receipt of such certificate.</w:t>
      </w:r>
    </w:p>
    <w:p>
      <w:pPr>
        <w:spacing w:after="0" w:line="144" w:lineRule="exact"/>
        <w:rPr>
          <w:rFonts w:ascii="Arial" w:cs="Arial" w:eastAsia="Arial" w:hAnsi="Arial"/>
          <w:sz w:val="19"/>
          <w:szCs w:val="19"/>
          <w:color w:val="auto"/>
        </w:rPr>
      </w:pPr>
    </w:p>
    <w:p>
      <w:pPr>
        <w:jc w:val="both"/>
        <w:ind w:firstLine="1304"/>
        <w:spacing w:after="0" w:line="224" w:lineRule="exact"/>
        <w:tabs>
          <w:tab w:leader="none" w:pos="2238" w:val="left"/>
        </w:tabs>
        <w:numPr>
          <w:ilvl w:val="0"/>
          <w:numId w:val="283"/>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to demand compensation pursuant to this Section 2.14 shall not constitute a waiver of such Lender’s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compensate a Lender pursuant to this Section 2.14 for any increased costs or reductions incurred more than 180 days prior to the date that such Lender, as the case may be, notifies the Borrower of the Change in Law giving rise to such increased costs or reductions and of such Lender’s intention to claim compensation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the Change in Law giving rise to such increased costs or reductions is retroactive, then the 180</w:t>
      </w:r>
      <w:r>
        <w:rPr>
          <w:rFonts w:ascii="MS PGothic" w:cs="MS PGothic" w:eastAsia="MS PGothic" w:hAnsi="MS PGothic"/>
          <w:sz w:val="19"/>
          <w:szCs w:val="19"/>
          <w:color w:val="auto"/>
        </w:rPr>
        <w:t>‑</w:t>
      </w:r>
      <w:r>
        <w:rPr>
          <w:rFonts w:ascii="Arial" w:cs="Arial" w:eastAsia="Arial" w:hAnsi="Arial"/>
          <w:sz w:val="19"/>
          <w:szCs w:val="19"/>
          <w:color w:val="auto"/>
        </w:rPr>
        <w:t>day period referred to above shall be extended to include the period of retroactive effect thereof. The protection of this Section 2.14 shall be available to each Lender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0" w:name="page261"/>
    <w:bookmarkEnd w:id="260"/>
    <w:p>
      <w:pPr>
        <w:spacing w:after="0" w:line="232" w:lineRule="auto"/>
        <w:rPr>
          <w:sz w:val="20"/>
          <w:szCs w:val="20"/>
          <w:color w:val="auto"/>
        </w:rPr>
      </w:pPr>
      <w:r>
        <w:rPr>
          <w:rFonts w:ascii="Arial" w:cs="Arial" w:eastAsia="Arial" w:hAnsi="Arial"/>
          <w:sz w:val="22"/>
          <w:szCs w:val="22"/>
          <w:color w:val="auto"/>
        </w:rPr>
        <w:t>regardless of any possible contention as to the invalidity or inapplicability of the law, rule, regulation, guideline or other change or condition which shall have occurred or been imposed.</w:t>
      </w:r>
    </w:p>
    <w:p>
      <w:pPr>
        <w:spacing w:after="0" w:line="159" w:lineRule="exact"/>
        <w:rPr>
          <w:sz w:val="20"/>
          <w:szCs w:val="20"/>
          <w:color w:val="auto"/>
        </w:rPr>
      </w:pPr>
    </w:p>
    <w:p>
      <w:pPr>
        <w:jc w:val="both"/>
        <w:ind w:firstLine="1304"/>
        <w:spacing w:after="0" w:line="242" w:lineRule="auto"/>
        <w:tabs>
          <w:tab w:leader="none" w:pos="2227" w:val="left"/>
        </w:tabs>
        <w:numPr>
          <w:ilvl w:val="1"/>
          <w:numId w:val="284"/>
        </w:numPr>
        <w:rPr>
          <w:rFonts w:ascii="Arial" w:cs="Arial" w:eastAsia="Arial" w:hAnsi="Arial"/>
          <w:sz w:val="19"/>
          <w:szCs w:val="19"/>
          <w:color w:val="auto"/>
        </w:rPr>
      </w:pPr>
      <w:r>
        <w:rPr>
          <w:rFonts w:ascii="Arial" w:cs="Arial" w:eastAsia="Arial" w:hAnsi="Arial"/>
          <w:sz w:val="19"/>
          <w:szCs w:val="19"/>
          <w:color w:val="auto"/>
        </w:rPr>
        <w:t>The Borrower shall not be required to make payments under this Section 2.14 to any Lender if (A) a claim hereunder arises solely through circumstances peculiar to such Lender and which do not affect commercial banks in the jurisdiction of organization of such Lender generally, (B) the claim arises out of a voluntary relocation by such Lender of its applicable lending office (it being understood that any such relocation effected pursuant to Section 2.18 is not “voluntary”), or</w:t>
      </w:r>
    </w:p>
    <w:p>
      <w:pPr>
        <w:ind w:firstLine="8"/>
        <w:spacing w:after="0" w:line="224" w:lineRule="auto"/>
        <w:tabs>
          <w:tab w:leader="none" w:pos="382" w:val="left"/>
        </w:tabs>
        <w:numPr>
          <w:ilvl w:val="0"/>
          <w:numId w:val="285"/>
        </w:numPr>
        <w:rPr>
          <w:rFonts w:ascii="Arial" w:cs="Arial" w:eastAsia="Arial" w:hAnsi="Arial"/>
          <w:sz w:val="22"/>
          <w:szCs w:val="22"/>
          <w:color w:val="auto"/>
        </w:rPr>
      </w:pPr>
      <w:r>
        <w:rPr>
          <w:rFonts w:ascii="Arial" w:cs="Arial" w:eastAsia="Arial" w:hAnsi="Arial"/>
          <w:sz w:val="22"/>
          <w:szCs w:val="22"/>
          <w:color w:val="auto"/>
        </w:rPr>
        <w:t>such Lender is not seeking similar compensation for such costs to which it is entitled from its borrowers generally in commercial loans of a similar size.</w:t>
      </w:r>
    </w:p>
    <w:p>
      <w:pPr>
        <w:spacing w:after="0" w:line="157" w:lineRule="exact"/>
        <w:rPr>
          <w:rFonts w:ascii="Arial" w:cs="Arial" w:eastAsia="Arial" w:hAnsi="Arial"/>
          <w:sz w:val="22"/>
          <w:szCs w:val="22"/>
          <w:color w:val="auto"/>
        </w:rPr>
      </w:pPr>
    </w:p>
    <w:p>
      <w:pPr>
        <w:jc w:val="both"/>
        <w:ind w:firstLine="1304"/>
        <w:spacing w:after="0" w:line="228" w:lineRule="exact"/>
        <w:tabs>
          <w:tab w:leader="none" w:pos="2263" w:val="left"/>
        </w:tabs>
        <w:numPr>
          <w:ilvl w:val="1"/>
          <w:numId w:val="285"/>
        </w:numPr>
        <w:rPr>
          <w:rFonts w:ascii="Arial" w:cs="Arial" w:eastAsia="Arial" w:hAnsi="Arial"/>
          <w:sz w:val="22"/>
          <w:szCs w:val="22"/>
          <w:color w:val="auto"/>
        </w:rPr>
      </w:pPr>
      <w:r>
        <w:rPr>
          <w:rFonts w:ascii="Arial" w:cs="Arial" w:eastAsia="Arial" w:hAnsi="Arial"/>
          <w:sz w:val="22"/>
          <w:szCs w:val="22"/>
          <w:color w:val="auto"/>
        </w:rPr>
        <w:t>Notwithstanding anything herein to the contrary, regulations, requests, rules, guidelines or directives implemented after the Closing Date pursuant to the Dodd</w:t>
      </w:r>
      <w:r>
        <w:rPr>
          <w:rFonts w:ascii="MS PGothic" w:cs="MS PGothic" w:eastAsia="MS PGothic" w:hAnsi="MS PGothic"/>
          <w:sz w:val="22"/>
          <w:szCs w:val="22"/>
          <w:color w:val="auto"/>
        </w:rPr>
        <w:t>‑</w:t>
      </w:r>
      <w:r>
        <w:rPr>
          <w:rFonts w:ascii="Arial" w:cs="Arial" w:eastAsia="Arial" w:hAnsi="Arial"/>
          <w:sz w:val="22"/>
          <w:szCs w:val="22"/>
          <w:color w:val="auto"/>
        </w:rPr>
        <w:t xml:space="preserve">Frank Wall Street Reform and Consumer Protection Act or Basel III shall be deemed to be a Change in Law;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any determination by a Lender of amounts owed pursuant to this Section 2.14 to such Lender due to any such Change in Law shall be made in good faith in a manner generally consistent with such Lender’s standard practice.</w:t>
      </w:r>
    </w:p>
    <w:p>
      <w:pPr>
        <w:spacing w:after="0" w:line="18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 In the event of (a) the payment of any principal of any Eurodollar Loan other than on the last day of an Interest Period applicable thereto (including as a result of the occurrence and continuance of an Event of Default), (b) the failure to borrow, convert, continue or prepay any Eurodollar Loan on the date specified in any notice delivered pursuant hereto or (c) the assignment of any Eurodollar Loan other than on the last day of the Interest Period applicable thereto as a result of a request by the Borrower pursuant to Section 2.18 or Section 10.08(d), then, in any such event, at the request of such Lender, the Borrower shall compensate such Lender for the loss, cost and expense sustained by such Lender attributable to such event;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case shall this Section 2.15 apply to any payment of outstanding principal amount of Term Loans pursuant to Section 2.10(b). Such loss, cost or expense to any Lender shall be deemed to include an amount reasonably determined in good faith by such Lender to be the excess, if any, of (i) the amount of interest which would have accrued on the principal amount of such Loan had such event not occurred, at the applicable rate of interest for such Loan (excluding, however the Applicable Margin included therein, if any),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(and the basis for requesting such amount or amounts) that such Lender is entitled to receive pursuant to this Section 2.15 shall be delivered to the Borrower and shall be </w:t>
      </w:r>
      <w:r>
        <w:rPr>
          <w:rFonts w:ascii="Arial" w:cs="Arial" w:eastAsia="Arial" w:hAnsi="Arial"/>
          <w:sz w:val="19"/>
          <w:szCs w:val="19"/>
          <w:i w:val="1"/>
          <w:iCs w:val="1"/>
          <w:color w:val="auto"/>
        </w:rPr>
        <w:t>prima facie</w:t>
      </w:r>
      <w:r>
        <w:rPr>
          <w:rFonts w:ascii="Arial" w:cs="Arial" w:eastAsia="Arial" w:hAnsi="Arial"/>
          <w:sz w:val="19"/>
          <w:szCs w:val="19"/>
          <w:color w:val="auto"/>
        </w:rPr>
        <w:t xml:space="preserve"> evidence of the amount due. The Borrower shall pay such Lender the amount due within fifteen (15) days after receipt of such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1" w:name="page262"/>
    <w:bookmarkEnd w:id="261"/>
    <w:p>
      <w:pPr>
        <w:ind w:left="1300"/>
        <w:spacing w:after="0"/>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39" w:lineRule="auto"/>
        <w:tabs>
          <w:tab w:leader="none" w:pos="2238" w:val="left"/>
        </w:tabs>
        <w:numPr>
          <w:ilvl w:val="1"/>
          <w:numId w:val="286"/>
        </w:numPr>
        <w:rPr>
          <w:rFonts w:ascii="Arial" w:cs="Arial" w:eastAsia="Arial" w:hAnsi="Arial"/>
          <w:sz w:val="19"/>
          <w:szCs w:val="19"/>
          <w:color w:val="auto"/>
        </w:rPr>
      </w:pPr>
      <w:r>
        <w:rPr>
          <w:rFonts w:ascii="Arial" w:cs="Arial" w:eastAsia="Arial" w:hAnsi="Arial"/>
          <w:sz w:val="19"/>
          <w:szCs w:val="19"/>
          <w:color w:val="auto"/>
        </w:rPr>
        <w:t xml:space="preserve">Any and all payments by or on account of any Obligation of the Borrower or any Guarantor hereunder or under any other Loan Document shall be made free and clear of and without deduction for any Taxes except as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Taxes are required to be withheld from any amounts payable to the Administrative Agent, any Lender, as determined in good faith by the applicable Withholding Agent, then (i) if such Taxes are Indemnified Taxes or Other Taxes, the sum payable by the Borrower or applicable Guarantor shall be increased as necessary so that after making all required deductions for any Indemnified Taxes or Other Taxes (including deductions for any Indemnified Taxes or Other Taxes applicable to additional sums payable under this Section 2.16), the Administrative Agent, Lender or any other recipient of such payments (as the case may be) receives an amount equal to the sum it would have received had no such deductions been made,</w:t>
      </w:r>
    </w:p>
    <w:p>
      <w:pPr>
        <w:spacing w:after="0" w:line="5" w:lineRule="exact"/>
        <w:rPr>
          <w:rFonts w:ascii="Arial" w:cs="Arial" w:eastAsia="Arial" w:hAnsi="Arial"/>
          <w:sz w:val="19"/>
          <w:szCs w:val="19"/>
          <w:color w:val="auto"/>
        </w:rPr>
      </w:pPr>
    </w:p>
    <w:p>
      <w:pPr>
        <w:ind w:right="20" w:firstLine="8"/>
        <w:spacing w:after="0" w:line="224" w:lineRule="auto"/>
        <w:tabs>
          <w:tab w:leader="none" w:pos="322" w:val="left"/>
        </w:tabs>
        <w:numPr>
          <w:ilvl w:val="0"/>
          <w:numId w:val="287"/>
        </w:numPr>
        <w:rPr>
          <w:rFonts w:ascii="Arial" w:cs="Arial" w:eastAsia="Arial" w:hAnsi="Arial"/>
          <w:sz w:val="22"/>
          <w:szCs w:val="22"/>
          <w:color w:val="auto"/>
        </w:rPr>
      </w:pPr>
      <w:r>
        <w:rPr>
          <w:rFonts w:ascii="Arial" w:cs="Arial" w:eastAsia="Arial" w:hAnsi="Arial"/>
          <w:sz w:val="22"/>
          <w:szCs w:val="22"/>
          <w:color w:val="auto"/>
        </w:rPr>
        <w:t>the applicable Withholding Agent shall make such deductions and (iii) the applicable Withholding Agent shall timely pay the full amount deducted to the relevant Governmental Authority in accordance with applicable law.</w:t>
      </w:r>
    </w:p>
    <w:p>
      <w:pPr>
        <w:spacing w:after="0" w:line="157" w:lineRule="exact"/>
        <w:rPr>
          <w:rFonts w:ascii="Arial" w:cs="Arial" w:eastAsia="Arial" w:hAnsi="Arial"/>
          <w:sz w:val="22"/>
          <w:szCs w:val="22"/>
          <w:color w:val="auto"/>
        </w:rPr>
      </w:pPr>
    </w:p>
    <w:p>
      <w:pPr>
        <w:ind w:firstLine="1304"/>
        <w:spacing w:after="0" w:line="232" w:lineRule="auto"/>
        <w:tabs>
          <w:tab w:leader="none" w:pos="2263" w:val="left"/>
        </w:tabs>
        <w:numPr>
          <w:ilvl w:val="1"/>
          <w:numId w:val="287"/>
        </w:numPr>
        <w:rPr>
          <w:rFonts w:ascii="Arial" w:cs="Arial" w:eastAsia="Arial" w:hAnsi="Arial"/>
          <w:sz w:val="22"/>
          <w:szCs w:val="22"/>
          <w:color w:val="auto"/>
        </w:rPr>
      </w:pPr>
      <w:r>
        <w:rPr>
          <w:rFonts w:ascii="Arial" w:cs="Arial" w:eastAsia="Arial" w:hAnsi="Arial"/>
          <w:sz w:val="22"/>
          <w:szCs w:val="22"/>
          <w:color w:val="auto"/>
        </w:rPr>
        <w:t>In addition, the Borrower or any Guarantor, as applicable, shall pay any Other Taxes to the relevant Governmental Authority in accordance with applicable law.</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2251" w:val="left"/>
        </w:tabs>
        <w:numPr>
          <w:ilvl w:val="1"/>
          <w:numId w:val="287"/>
        </w:numPr>
        <w:rPr>
          <w:rFonts w:ascii="Arial" w:cs="Arial" w:eastAsia="Arial" w:hAnsi="Arial"/>
          <w:sz w:val="21"/>
          <w:szCs w:val="21"/>
          <w:color w:val="auto"/>
        </w:rPr>
      </w:pPr>
      <w:r>
        <w:rPr>
          <w:rFonts w:ascii="Arial" w:cs="Arial" w:eastAsia="Arial" w:hAnsi="Arial"/>
          <w:sz w:val="21"/>
          <w:szCs w:val="21"/>
          <w:color w:val="auto"/>
        </w:rPr>
        <w:t>The Borrower shall indemnify the Administrative Agent and each Lender, within ten (10) days after written demand therefor, for the full amount of any Indemnified Taxes or Other Taxes paid by or on behalf of or withheld or deducted from payments owing to the Administrative Agent, such Lender, on or with respect to any payment by or on account of any obligation of the Borrower or any Guarantor hereunder or under any other Loan Document (including Indemnified Taxes or Other Taxes imposed or asserted on or attributable to amounts payable under this Section 2.16)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by the Administrative Agent on its own behalf or on behalf of a Lender, shall be conclusive absent manifest error.</w:t>
      </w:r>
    </w:p>
    <w:p>
      <w:pPr>
        <w:spacing w:after="0" w:line="158" w:lineRule="exact"/>
        <w:rPr>
          <w:rFonts w:ascii="Arial" w:cs="Arial" w:eastAsia="Arial" w:hAnsi="Arial"/>
          <w:sz w:val="21"/>
          <w:szCs w:val="21"/>
          <w:color w:val="auto"/>
        </w:rPr>
      </w:pPr>
    </w:p>
    <w:p>
      <w:pPr>
        <w:jc w:val="both"/>
        <w:ind w:firstLine="1304"/>
        <w:spacing w:after="0" w:line="229" w:lineRule="auto"/>
        <w:tabs>
          <w:tab w:leader="none" w:pos="2263" w:val="left"/>
        </w:tabs>
        <w:numPr>
          <w:ilvl w:val="1"/>
          <w:numId w:val="287"/>
        </w:numPr>
        <w:rPr>
          <w:rFonts w:ascii="Arial" w:cs="Arial" w:eastAsia="Arial" w:hAnsi="Arial"/>
          <w:sz w:val="21"/>
          <w:szCs w:val="21"/>
          <w:color w:val="auto"/>
        </w:rPr>
      </w:pPr>
      <w:r>
        <w:rPr>
          <w:rFonts w:ascii="Arial" w:cs="Arial" w:eastAsia="Arial" w:hAnsi="Arial"/>
          <w:sz w:val="21"/>
          <w:szCs w:val="21"/>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58" w:lineRule="exact"/>
        <w:rPr>
          <w:rFonts w:ascii="Arial" w:cs="Arial" w:eastAsia="Arial" w:hAnsi="Arial"/>
          <w:sz w:val="21"/>
          <w:szCs w:val="21"/>
          <w:color w:val="auto"/>
        </w:rPr>
      </w:pPr>
    </w:p>
    <w:p>
      <w:pPr>
        <w:jc w:val="both"/>
        <w:ind w:firstLine="1304"/>
        <w:spacing w:after="0" w:line="249" w:lineRule="auto"/>
        <w:tabs>
          <w:tab w:leader="none" w:pos="2251" w:val="left"/>
        </w:tabs>
        <w:numPr>
          <w:ilvl w:val="1"/>
          <w:numId w:val="287"/>
        </w:numPr>
        <w:rPr>
          <w:rFonts w:ascii="Arial" w:cs="Arial" w:eastAsia="Arial" w:hAnsi="Arial"/>
          <w:sz w:val="19"/>
          <w:szCs w:val="19"/>
          <w:color w:val="auto"/>
        </w:rPr>
      </w:pPr>
      <w:r>
        <w:rPr>
          <w:rFonts w:ascii="Arial" w:cs="Arial" w:eastAsia="Arial" w:hAnsi="Arial"/>
          <w:sz w:val="19"/>
          <w:szCs w:val="19"/>
          <w:color w:val="auto"/>
        </w:rPr>
        <w:t>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62" w:name="page263"/>
    <w:bookmarkEnd w:id="262"/>
    <w:p>
      <w:pPr>
        <w:jc w:val="both"/>
        <w:ind w:firstLine="1304"/>
        <w:spacing w:after="0" w:line="222" w:lineRule="auto"/>
        <w:tabs>
          <w:tab w:leader="none" w:pos="2214" w:val="left"/>
        </w:tabs>
        <w:numPr>
          <w:ilvl w:val="0"/>
          <w:numId w:val="288"/>
        </w:numPr>
        <w:rPr>
          <w:rFonts w:ascii="Arial" w:cs="Arial" w:eastAsia="Arial" w:hAnsi="Arial"/>
          <w:sz w:val="21"/>
          <w:szCs w:val="21"/>
          <w:color w:val="auto"/>
        </w:rPr>
      </w:pPr>
      <w:r>
        <w:rPr>
          <w:rFonts w:ascii="Arial" w:cs="Arial" w:eastAsia="Arial" w:hAnsi="Arial"/>
          <w:sz w:val="21"/>
          <w:szCs w:val="21"/>
          <w:color w:val="auto"/>
        </w:rPr>
        <w:t xml:space="preserve">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Foreign Lender shall not be required to deliver any documentation pursuant to this Section 2.16(f) that such Foreign Lender is not legally able to deliver.</w:t>
      </w:r>
    </w:p>
    <w:p>
      <w:pPr>
        <w:spacing w:after="0" w:line="164" w:lineRule="exact"/>
        <w:rPr>
          <w:rFonts w:ascii="Arial" w:cs="Arial" w:eastAsia="Arial" w:hAnsi="Arial"/>
          <w:sz w:val="21"/>
          <w:szCs w:val="21"/>
          <w:color w:val="auto"/>
        </w:rPr>
      </w:pPr>
    </w:p>
    <w:p>
      <w:pPr>
        <w:jc w:val="both"/>
        <w:ind w:firstLine="1304"/>
        <w:spacing w:after="0" w:line="218" w:lineRule="auto"/>
        <w:tabs>
          <w:tab w:leader="none" w:pos="229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w:t>
      </w:r>
    </w:p>
    <w:p>
      <w:pPr>
        <w:spacing w:after="0" w:line="161" w:lineRule="exact"/>
        <w:rPr>
          <w:sz w:val="20"/>
          <w:szCs w:val="20"/>
          <w:color w:val="auto"/>
        </w:rPr>
      </w:pPr>
    </w:p>
    <w:p>
      <w:pPr>
        <w:jc w:val="both"/>
        <w:ind w:left="660" w:right="20" w:firstLine="644"/>
        <w:spacing w:after="0" w:line="236" w:lineRule="exact"/>
        <w:tabs>
          <w:tab w:leader="none" w:pos="2214"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two (2) duly executed copies of Internal Revenue Service Form W</w:t>
      </w:r>
      <w:r>
        <w:rPr>
          <w:rFonts w:ascii="MS PGothic" w:cs="MS PGothic" w:eastAsia="MS PGothic" w:hAnsi="MS PGothic"/>
          <w:sz w:val="22"/>
          <w:szCs w:val="22"/>
          <w:color w:val="auto"/>
        </w:rPr>
        <w:t>‑</w:t>
      </w:r>
      <w:r>
        <w:rPr>
          <w:rFonts w:ascii="Arial" w:cs="Arial" w:eastAsia="Arial" w:hAnsi="Arial"/>
          <w:sz w:val="22"/>
          <w:szCs w:val="22"/>
          <w:color w:val="auto"/>
        </w:rPr>
        <w:t>8BEN or Internal Revenue Service Form W-8BEN-E, as applicable, claiming eligibility for benefits of an income tax treaty to which the United States is a party;</w:t>
      </w:r>
    </w:p>
    <w:p>
      <w:pPr>
        <w:spacing w:after="0" w:line="158" w:lineRule="exact"/>
        <w:rPr>
          <w:rFonts w:ascii="Arial" w:cs="Arial" w:eastAsia="Arial" w:hAnsi="Arial"/>
          <w:sz w:val="22"/>
          <w:szCs w:val="22"/>
          <w:color w:val="auto"/>
        </w:rPr>
      </w:pPr>
    </w:p>
    <w:p>
      <w:pPr>
        <w:ind w:left="2260" w:hanging="956"/>
        <w:spacing w:after="0" w:line="253" w:lineRule="exact"/>
        <w:tabs>
          <w:tab w:leader="none" w:pos="226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two (2) duly executed copies of Internal Revenue Service Form W</w:t>
      </w:r>
      <w:r>
        <w:rPr>
          <w:rFonts w:ascii="MS PGothic" w:cs="MS PGothic" w:eastAsia="MS PGothic" w:hAnsi="MS PGothic"/>
          <w:sz w:val="22"/>
          <w:szCs w:val="22"/>
          <w:color w:val="auto"/>
        </w:rPr>
        <w:t>‑</w:t>
      </w:r>
      <w:r>
        <w:rPr>
          <w:rFonts w:ascii="Arial" w:cs="Arial" w:eastAsia="Arial" w:hAnsi="Arial"/>
          <w:sz w:val="22"/>
          <w:szCs w:val="22"/>
          <w:color w:val="auto"/>
        </w:rPr>
        <w:t>8ECI;</w:t>
      </w:r>
    </w:p>
    <w:p>
      <w:pPr>
        <w:spacing w:after="0" w:line="179" w:lineRule="exact"/>
        <w:rPr>
          <w:rFonts w:ascii="Arial" w:cs="Arial" w:eastAsia="Arial" w:hAnsi="Arial"/>
          <w:sz w:val="22"/>
          <w:szCs w:val="22"/>
          <w:color w:val="auto"/>
        </w:rPr>
      </w:pPr>
    </w:p>
    <w:p>
      <w:pPr>
        <w:jc w:val="both"/>
        <w:ind w:left="660" w:right="20" w:firstLine="644"/>
        <w:spacing w:after="0" w:line="223" w:lineRule="auto"/>
        <w:tabs>
          <w:tab w:leader="none" w:pos="2334" w:val="left"/>
        </w:tabs>
        <w:numPr>
          <w:ilvl w:val="0"/>
          <w:numId w:val="289"/>
        </w:numPr>
        <w:rPr>
          <w:rFonts w:ascii="Arial" w:cs="Arial" w:eastAsia="Arial" w:hAnsi="Arial"/>
          <w:sz w:val="22"/>
          <w:szCs w:val="22"/>
          <w:color w:val="auto"/>
        </w:rPr>
      </w:pPr>
      <w:r>
        <w:rPr>
          <w:rFonts w:ascii="Arial" w:cs="Arial" w:eastAsia="Arial" w:hAnsi="Arial"/>
          <w:sz w:val="22"/>
          <w:szCs w:val="22"/>
          <w:color w:val="auto"/>
        </w:rPr>
        <w:t>two (2) duly executed copies of Internal Revenue Service Form W 8IMY, together with the forms for its beneficiaries, partners or members described in clauses (i), (ii), (iii) or (iv) of this subparagraph (g)(1) or in subparagraph (g)(2) and other applicable attachments;</w:t>
      </w:r>
    </w:p>
    <w:p>
      <w:pPr>
        <w:spacing w:after="0" w:line="158" w:lineRule="exact"/>
        <w:rPr>
          <w:rFonts w:ascii="Arial" w:cs="Arial" w:eastAsia="Arial" w:hAnsi="Arial"/>
          <w:sz w:val="22"/>
          <w:szCs w:val="22"/>
          <w:color w:val="auto"/>
        </w:rPr>
      </w:pPr>
    </w:p>
    <w:p>
      <w:pPr>
        <w:jc w:val="both"/>
        <w:ind w:left="660" w:firstLine="644"/>
        <w:spacing w:after="0" w:line="243" w:lineRule="auto"/>
        <w:tabs>
          <w:tab w:leader="none" w:pos="2362" w:val="left"/>
        </w:tabs>
        <w:numPr>
          <w:ilvl w:val="0"/>
          <w:numId w:val="289"/>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exemption for portfolio interest under Section 881(c) of the Code, (x) a certificate to the effect that such Foreign Lender is not (A) a “bank” within the meaning of Section 881(c)(3)(A) of the Code, (B) a “10 percent shareholder” of the Borrower within the meaning of Section 881(c)</w:t>
      </w:r>
    </w:p>
    <w:p>
      <w:pPr>
        <w:ind w:left="660"/>
        <w:spacing w:after="0"/>
        <w:rPr>
          <w:sz w:val="20"/>
          <w:szCs w:val="20"/>
          <w:color w:val="auto"/>
        </w:rPr>
      </w:pPr>
      <w:r>
        <w:rPr>
          <w:rFonts w:ascii="Arial" w:cs="Arial" w:eastAsia="Arial" w:hAnsi="Arial"/>
          <w:sz w:val="19"/>
          <w:szCs w:val="19"/>
          <w:color w:val="auto"/>
        </w:rPr>
        <w:t>(3)(B)  of  the  Code,  (C)  a  “controlled  foreign  corporation”  described  in  Section  881(c)(3)(C)  of  the  Code  or</w:t>
      </w:r>
    </w:p>
    <w:p>
      <w:pPr>
        <w:jc w:val="both"/>
        <w:ind w:left="660" w:hanging="4"/>
        <w:spacing w:after="0" w:line="229" w:lineRule="exact"/>
        <w:tabs>
          <w:tab w:leader="none" w:pos="1067" w:val="left"/>
        </w:tabs>
        <w:numPr>
          <w:ilvl w:val="0"/>
          <w:numId w:val="290"/>
        </w:numPr>
        <w:rPr>
          <w:rFonts w:ascii="Arial" w:cs="Arial" w:eastAsia="Arial" w:hAnsi="Arial"/>
          <w:sz w:val="22"/>
          <w:szCs w:val="22"/>
          <w:color w:val="auto"/>
        </w:rPr>
      </w:pPr>
      <w:r>
        <w:rPr>
          <w:rFonts w:ascii="Arial" w:cs="Arial" w:eastAsia="Arial" w:hAnsi="Arial"/>
          <w:sz w:val="22"/>
          <w:szCs w:val="22"/>
          <w:color w:val="auto"/>
        </w:rPr>
        <w:t>conducting a trade or business in the United States with which the relevant interest payments are effectively connected and (y) two (2) duly executed copies of the Internal Revenue Service Form W</w:t>
      </w:r>
      <w:r>
        <w:rPr>
          <w:rFonts w:ascii="MS PGothic" w:cs="MS PGothic" w:eastAsia="MS PGothic" w:hAnsi="MS PGothic"/>
          <w:sz w:val="22"/>
          <w:szCs w:val="22"/>
          <w:color w:val="auto"/>
        </w:rPr>
        <w:t>‑</w:t>
      </w:r>
      <w:r>
        <w:rPr>
          <w:rFonts w:ascii="Arial" w:cs="Arial" w:eastAsia="Arial" w:hAnsi="Arial"/>
          <w:sz w:val="22"/>
          <w:szCs w:val="22"/>
          <w:color w:val="auto"/>
        </w:rPr>
        <w:t>8BEN or Internal Revenue Service Form W-8BEN-E, as applicable; or</w:t>
      </w:r>
    </w:p>
    <w:p>
      <w:pPr>
        <w:spacing w:after="0" w:line="159" w:lineRule="exact"/>
        <w:rPr>
          <w:rFonts w:ascii="Arial" w:cs="Arial" w:eastAsia="Arial" w:hAnsi="Arial"/>
          <w:sz w:val="22"/>
          <w:szCs w:val="22"/>
          <w:color w:val="auto"/>
        </w:rPr>
      </w:pPr>
    </w:p>
    <w:p>
      <w:pPr>
        <w:jc w:val="both"/>
        <w:ind w:left="660" w:firstLine="644"/>
        <w:spacing w:after="0" w:line="223" w:lineRule="auto"/>
        <w:tabs>
          <w:tab w:leader="none" w:pos="2275" w:val="left"/>
        </w:tabs>
        <w:numPr>
          <w:ilvl w:val="1"/>
          <w:numId w:val="290"/>
        </w:numPr>
        <w:rPr>
          <w:rFonts w:ascii="Arial" w:cs="Arial" w:eastAsia="Arial" w:hAnsi="Arial"/>
          <w:sz w:val="22"/>
          <w:szCs w:val="22"/>
          <w:color w:val="auto"/>
        </w:rPr>
      </w:pPr>
      <w:r>
        <w:rPr>
          <w:rFonts w:ascii="Arial" w:cs="Arial" w:eastAsia="Arial" w:hAnsi="Arial"/>
          <w:sz w:val="22"/>
          <w:szCs w:val="22"/>
          <w:color w:val="auto"/>
        </w:rPr>
        <w:t>any other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 Foreign Lender shall not be required to deliver any form or statement pursuant to this Section 2.16(g) that such Foreign Lender is not legally able to deliver.</w:t>
      </w:r>
    </w:p>
    <w:p>
      <w:pPr>
        <w:spacing w:after="0" w:line="364" w:lineRule="exact"/>
        <w:rPr>
          <w:sz w:val="20"/>
          <w:szCs w:val="20"/>
          <w:color w:val="auto"/>
        </w:rPr>
      </w:pPr>
    </w:p>
    <w:p>
      <w:pPr>
        <w:jc w:val="both"/>
        <w:ind w:firstLine="1304"/>
        <w:spacing w:after="0" w:line="223" w:lineRule="auto"/>
        <w:tabs>
          <w:tab w:leader="none" w:pos="2277" w:val="left"/>
        </w:tabs>
        <w:numPr>
          <w:ilvl w:val="0"/>
          <w:numId w:val="291"/>
        </w:numPr>
        <w:rPr>
          <w:rFonts w:ascii="Arial" w:cs="Arial" w:eastAsia="Arial" w:hAnsi="Arial"/>
          <w:sz w:val="22"/>
          <w:szCs w:val="22"/>
          <w:color w:val="auto"/>
        </w:rPr>
      </w:pPr>
      <w:r>
        <w:rPr>
          <w:rFonts w:ascii="Arial" w:cs="Arial" w:eastAsia="Arial" w:hAnsi="Arial"/>
          <w:sz w:val="22"/>
          <w:szCs w:val="22"/>
          <w:color w:val="auto"/>
        </w:rPr>
        <w:t>Any Lender that is a “United States Person” (as such term is defined in Section 7701(a)(30) of the Code) shall deliver to the Administrative Agent and the Borrower, on or prior to the date on which such Lender becomes a party to this Agreement (and from time to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3" w:name="page264"/>
    <w:bookmarkEnd w:id="263"/>
    <w:p>
      <w:pPr>
        <w:jc w:val="both"/>
        <w:spacing w:after="0" w:line="235" w:lineRule="exact"/>
        <w:rPr>
          <w:sz w:val="20"/>
          <w:szCs w:val="20"/>
          <w:color w:val="auto"/>
        </w:rPr>
      </w:pPr>
      <w:r>
        <w:rPr>
          <w:rFonts w:ascii="Arial" w:cs="Arial" w:eastAsia="Arial" w:hAnsi="Arial"/>
          <w:sz w:val="19"/>
          <w:szCs w:val="19"/>
          <w:color w:val="auto"/>
        </w:rPr>
        <w:t>thereafter when the previously delivered certificates and/or forms expire, or upon request of the Borrower or the Administrative Agent), two (2) copies of Internal Revenue Service Form W</w:t>
      </w:r>
      <w:r>
        <w:rPr>
          <w:rFonts w:ascii="MS PGothic" w:cs="MS PGothic" w:eastAsia="MS PGothic" w:hAnsi="MS PGothic"/>
          <w:sz w:val="19"/>
          <w:szCs w:val="19"/>
          <w:color w:val="auto"/>
        </w:rPr>
        <w:t>‑</w:t>
      </w:r>
      <w:r>
        <w:rPr>
          <w:rFonts w:ascii="Arial" w:cs="Arial" w:eastAsia="Arial" w:hAnsi="Arial"/>
          <w:sz w:val="19"/>
          <w:szCs w:val="19"/>
          <w:color w:val="auto"/>
        </w:rPr>
        <w:t>9 (or any successor form), properly completed and duly executed by such Lender, certifying that such Lender is entitled to an exemption from United States backup withholding tax.</w:t>
      </w:r>
    </w:p>
    <w:p>
      <w:pPr>
        <w:spacing w:after="0" w:line="159" w:lineRule="exact"/>
        <w:rPr>
          <w:sz w:val="20"/>
          <w:szCs w:val="20"/>
          <w:color w:val="auto"/>
        </w:rPr>
      </w:pPr>
    </w:p>
    <w:p>
      <w:pPr>
        <w:jc w:val="both"/>
        <w:ind w:firstLine="1304"/>
        <w:spacing w:after="0" w:line="257" w:lineRule="auto"/>
        <w:tabs>
          <w:tab w:leader="none" w:pos="225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w:t>
      </w:r>
    </w:p>
    <w:p>
      <w:pPr>
        <w:spacing w:after="0" w:line="144" w:lineRule="exact"/>
        <w:rPr>
          <w:rFonts w:ascii="Arial" w:cs="Arial" w:eastAsia="Arial" w:hAnsi="Arial"/>
          <w:sz w:val="19"/>
          <w:szCs w:val="19"/>
          <w:color w:val="auto"/>
        </w:rPr>
      </w:pPr>
    </w:p>
    <w:p>
      <w:pPr>
        <w:jc w:val="both"/>
        <w:ind w:firstLine="1304"/>
        <w:spacing w:after="0" w:line="221" w:lineRule="auto"/>
        <w:tabs>
          <w:tab w:leader="none" w:pos="225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w:t>
      </w:r>
    </w:p>
    <w:p>
      <w:pPr>
        <w:spacing w:after="0" w:line="159" w:lineRule="exact"/>
        <w:rPr>
          <w:sz w:val="20"/>
          <w:szCs w:val="20"/>
          <w:color w:val="auto"/>
        </w:rPr>
      </w:pPr>
    </w:p>
    <w:p>
      <w:pPr>
        <w:jc w:val="both"/>
        <w:ind w:firstLine="1304"/>
        <w:spacing w:after="0" w:line="219" w:lineRule="exact"/>
        <w:tabs>
          <w:tab w:leader="none" w:pos="225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after</w:t>
      </w:r>
      <w:r>
        <w:rPr>
          <w:rFonts w:ascii="MS PGothic" w:cs="MS PGothic" w:eastAsia="MS PGothic" w:hAnsi="MS PGothic"/>
          <w:sz w:val="19"/>
          <w:szCs w:val="19"/>
          <w:color w:val="auto"/>
        </w:rPr>
        <w:t>‑</w:t>
      </w:r>
      <w:r>
        <w:rPr>
          <w:rFonts w:ascii="Arial" w:cs="Arial" w:eastAsia="Arial" w:hAnsi="Arial"/>
          <w:sz w:val="19"/>
          <w:szCs w:val="19"/>
          <w:color w:val="auto"/>
        </w:rPr>
        <w:t>Tax position than the Administrative Agent or such Lender would have been in if the indemnification payments or additional amounts giving rise to such refund had never been paid. This Section 2.16 shall not be construed to require the Administrative Agent or any Lender to make available its tax returns (or any other information relating to its taxes which it deems confidential) to the Borrower or any other Person.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4" w:name="page265"/>
    <w:bookmarkEnd w:id="264"/>
    <w:p>
      <w:pPr>
        <w:ind w:left="130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Payments Generally; Pro Rata Treatment</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21" w:lineRule="exact"/>
        <w:tabs>
          <w:tab w:leader="none" w:pos="2238"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Borrower shall make each payment or prepayment required to be made by it hereunder (whether of principal, interest, fees, or of amounts payable under Section 2.14 or 2.15, or otherwise) prior to 1:00 p.m., New York City time, on the date when due, in immediately available funds, without set</w:t>
      </w:r>
      <w:r>
        <w:rPr>
          <w:rFonts w:ascii="MS PGothic" w:cs="MS PGothic" w:eastAsia="MS PGothic" w:hAnsi="MS PGothic"/>
          <w:sz w:val="19"/>
          <w:szCs w:val="19"/>
          <w:color w:val="auto"/>
        </w:rPr>
        <w:t>‑</w:t>
      </w:r>
      <w:r>
        <w:rPr>
          <w:rFonts w:ascii="Arial" w:cs="Arial" w:eastAsia="Arial" w:hAnsi="Arial"/>
          <w:sz w:val="19"/>
          <w:szCs w:val="19"/>
          <w:color w:val="auto"/>
        </w:rPr>
        <w: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1615 Brett Road, Ops III, New Castle, DE 19720, pursuant to wire instructions to be provided by the Administrative Agent, except that payments pursuant to Sections 2.14, 2.15 and 10.04 shall be made directly to the Persons entitled thereto. The Administrative Agent shall distribute any such payments received by it (including, subject to the terms of any Intercreditor Agreement or any Other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160" w:lineRule="exact"/>
        <w:rPr>
          <w:rFonts w:ascii="Arial" w:cs="Arial" w:eastAsia="Arial" w:hAnsi="Arial"/>
          <w:sz w:val="19"/>
          <w:szCs w:val="19"/>
          <w:color w:val="auto"/>
        </w:rPr>
      </w:pPr>
    </w:p>
    <w:p>
      <w:pPr>
        <w:jc w:val="both"/>
        <w:ind w:firstLine="1304"/>
        <w:spacing w:after="0" w:line="241" w:lineRule="auto"/>
        <w:tabs>
          <w:tab w:leader="none" w:pos="225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 xml:space="preserve">If at any time insufficient funds are received by and available to the Administrative Agent to pay fully all Obligations then due hereunder, such funds shall be applied, subject to the terms of any Intercreditor Agreement or any Other Intercreditor Agreement, as applicable, (i) </w:t>
      </w:r>
      <w:r>
        <w:rPr>
          <w:rFonts w:ascii="Arial" w:cs="Arial" w:eastAsia="Arial" w:hAnsi="Arial"/>
          <w:sz w:val="19"/>
          <w:szCs w:val="19"/>
          <w:i w:val="1"/>
          <w:iCs w:val="1"/>
          <w:color w:val="auto"/>
        </w:rPr>
        <w:t>first</w:t>
      </w:r>
      <w:r>
        <w:rPr>
          <w:rFonts w:ascii="Arial" w:cs="Arial" w:eastAsia="Arial" w:hAnsi="Arial"/>
          <w:sz w:val="19"/>
          <w:szCs w:val="19"/>
          <w:color w:val="auto"/>
        </w:rPr>
        <w:t xml:space="preserve"> , towards payment of Fees and expenses then due under Sections 2.20 and 10.04 payable to each Agent and any trustee appointed pursuant to Section 8.01(d), to the extent applicable, (ii) </w:t>
      </w:r>
      <w:r>
        <w:rPr>
          <w:rFonts w:ascii="Arial" w:cs="Arial" w:eastAsia="Arial" w:hAnsi="Arial"/>
          <w:sz w:val="19"/>
          <w:szCs w:val="19"/>
          <w:i w:val="1"/>
          <w:iCs w:val="1"/>
          <w:color w:val="auto"/>
        </w:rPr>
        <w:t>second</w:t>
      </w:r>
      <w:r>
        <w:rPr>
          <w:rFonts w:ascii="Arial" w:cs="Arial" w:eastAsia="Arial" w:hAnsi="Arial"/>
          <w:sz w:val="19"/>
          <w:szCs w:val="19"/>
          <w:color w:val="auto"/>
        </w:rPr>
        <w:t xml:space="preserve"> , towards payment of Fees and expenses then due under Sections 2.20 and 10.04 payable to the Lenders and towards payment of interest then due on account of the Term Loans, ratably among the parties entitled thereto in accordance with the amounts of such Fees and expenses and interest then due to such parties and (iii) </w:t>
      </w:r>
      <w:r>
        <w:rPr>
          <w:rFonts w:ascii="Arial" w:cs="Arial" w:eastAsia="Arial" w:hAnsi="Arial"/>
          <w:sz w:val="19"/>
          <w:szCs w:val="19"/>
          <w:i w:val="1"/>
          <w:iCs w:val="1"/>
          <w:color w:val="auto"/>
        </w:rPr>
        <w:t>third</w:t>
      </w:r>
      <w:r>
        <w:rPr>
          <w:rFonts w:ascii="Arial" w:cs="Arial" w:eastAsia="Arial" w:hAnsi="Arial"/>
          <w:sz w:val="19"/>
          <w:szCs w:val="19"/>
          <w:color w:val="auto"/>
        </w:rPr>
        <w:t xml:space="preserve"> , towards payment of (A) any Designated Banking Product Obligations then due, to the extent such Designated Banking Product Obligations constitute “Obligations” hereunder, and (B) any Designated Hedging Obligations then due, to the extent such Designated Hedging Obligations constitute “Obligations” hereunder, ratably among the parties entitled thereto in accordance with the amounts of principal,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w:t>
      </w:r>
    </w:p>
    <w:p>
      <w:pPr>
        <w:spacing w:after="0" w:line="168" w:lineRule="exact"/>
        <w:rPr>
          <w:rFonts w:ascii="Arial" w:cs="Arial" w:eastAsia="Arial" w:hAnsi="Arial"/>
          <w:sz w:val="19"/>
          <w:szCs w:val="19"/>
          <w:color w:val="auto"/>
        </w:rPr>
      </w:pPr>
    </w:p>
    <w:p>
      <w:pPr>
        <w:jc w:val="both"/>
        <w:ind w:firstLine="1304"/>
        <w:spacing w:after="0" w:line="222" w:lineRule="auto"/>
        <w:tabs>
          <w:tab w:leader="none" w:pos="2265" w:val="left"/>
        </w:tabs>
        <w:numPr>
          <w:ilvl w:val="0"/>
          <w:numId w:val="294"/>
        </w:numPr>
        <w:rPr>
          <w:rFonts w:ascii="Arial" w:cs="Arial" w:eastAsia="Arial" w:hAnsi="Arial"/>
          <w:sz w:val="21"/>
          <w:szCs w:val="21"/>
          <w:color w:val="auto"/>
        </w:rPr>
      </w:pPr>
      <w:r>
        <w:rPr>
          <w:rFonts w:ascii="Arial" w:cs="Arial" w:eastAsia="Arial" w:hAnsi="Arial"/>
          <w:sz w:val="21"/>
          <w:szCs w:val="21"/>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as the case may be, severally agrees to repay to the Administrative Agent forthwith on demand the amount so distributed to such Lender with interest thereon, for each day from and including the date such amount is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65" w:name="page266"/>
    <w:bookmarkEnd w:id="265"/>
    <w:p>
      <w:pPr>
        <w:spacing w:after="0" w:line="298" w:lineRule="auto"/>
        <w:rPr>
          <w:sz w:val="20"/>
          <w:szCs w:val="20"/>
          <w:color w:val="auto"/>
        </w:rPr>
      </w:pPr>
      <w:r>
        <w:rPr>
          <w:rFonts w:ascii="Arial" w:cs="Arial" w:eastAsia="Arial" w:hAnsi="Arial"/>
          <w:sz w:val="19"/>
          <w:szCs w:val="19"/>
          <w:color w:val="auto"/>
        </w:rPr>
        <w:t>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05" w:lineRule="exact"/>
        <w:rPr>
          <w:sz w:val="20"/>
          <w:szCs w:val="20"/>
          <w:color w:val="auto"/>
        </w:rPr>
      </w:pPr>
    </w:p>
    <w:p>
      <w:pPr>
        <w:jc w:val="both"/>
        <w:ind w:firstLine="1304"/>
        <w:spacing w:after="0" w:line="257" w:lineRule="auto"/>
        <w:tabs>
          <w:tab w:leader="none" w:pos="225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If any Lender shall fail to make any payment or Extension of Credit required to be made by it pursuant to Section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44" w:lineRule="exact"/>
        <w:rPr>
          <w:rFonts w:ascii="Arial" w:cs="Arial" w:eastAsia="Arial" w:hAnsi="Arial"/>
          <w:sz w:val="19"/>
          <w:szCs w:val="19"/>
          <w:color w:val="auto"/>
        </w:rPr>
      </w:pPr>
    </w:p>
    <w:p>
      <w:pPr>
        <w:ind w:left="2240" w:hanging="936"/>
        <w:spacing w:after="0"/>
        <w:tabs>
          <w:tab w:leader="none" w:pos="2240" w:val="left"/>
        </w:tabs>
        <w:numPr>
          <w:ilvl w:val="0"/>
          <w:numId w:val="295"/>
        </w:numPr>
        <w:rPr>
          <w:rFonts w:ascii="Arial" w:cs="Arial" w:eastAsia="Arial" w:hAnsi="Arial"/>
          <w:sz w:val="22"/>
          <w:szCs w:val="22"/>
          <w:color w:val="auto"/>
        </w:rPr>
      </w:pPr>
      <w:r>
        <w:rPr>
          <w:rFonts w:ascii="Arial" w:cs="Arial" w:eastAsia="Arial" w:hAnsi="Arial"/>
          <w:sz w:val="22"/>
          <w:szCs w:val="22"/>
          <w:i w:val="1"/>
          <w:iCs w:val="1"/>
          <w:color w:val="auto"/>
        </w:rPr>
        <w:t xml:space="preserve">Pro Rata Treatment </w:t>
      </w:r>
      <w:r>
        <w:rPr>
          <w:rFonts w:ascii="Arial" w:cs="Arial" w:eastAsia="Arial" w:hAnsi="Arial"/>
          <w:sz w:val="22"/>
          <w:szCs w:val="22"/>
          <w:color w:val="auto"/>
        </w:rPr>
        <w:t>.</w:t>
      </w:r>
    </w:p>
    <w:p>
      <w:pPr>
        <w:spacing w:after="0" w:line="20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outstanding principal amount of the applicable Class of Term Loans being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the  provisions  of  this  Section  2.17  shall  not  be  constructed  to  apply  to</w:t>
      </w:r>
    </w:p>
    <w:p>
      <w:pPr>
        <w:spacing w:after="0" w:line="56" w:lineRule="exact"/>
        <w:rPr>
          <w:sz w:val="20"/>
          <w:szCs w:val="20"/>
          <w:color w:val="auto"/>
        </w:rPr>
      </w:pPr>
    </w:p>
    <w:p>
      <w:pPr>
        <w:jc w:val="both"/>
        <w:ind w:firstLine="8"/>
        <w:spacing w:after="0" w:line="257" w:lineRule="exact"/>
        <w:tabs>
          <w:tab w:leader="none" w:pos="565" w:val="left"/>
        </w:tabs>
        <w:numPr>
          <w:ilvl w:val="0"/>
          <w:numId w:val="296"/>
        </w:numPr>
        <w:rPr>
          <w:rFonts w:ascii="Arial" w:cs="Arial" w:eastAsia="Arial" w:hAnsi="Arial"/>
          <w:sz w:val="22"/>
          <w:szCs w:val="22"/>
          <w:color w:val="auto"/>
        </w:rPr>
      </w:pPr>
      <w:r>
        <w:rPr>
          <w:rFonts w:ascii="Arial" w:cs="Arial" w:eastAsia="Arial" w:hAnsi="Arial"/>
          <w:sz w:val="22"/>
          <w:szCs w:val="22"/>
          <w:color w:val="auto"/>
        </w:rPr>
        <w:t>assignments and participations (including by means of a Dutch Auction or open</w:t>
      </w:r>
      <w:r>
        <w:rPr>
          <w:rFonts w:ascii="MS PGothic" w:cs="MS PGothic" w:eastAsia="MS PGothic" w:hAnsi="MS PGothic"/>
          <w:sz w:val="22"/>
          <w:szCs w:val="22"/>
          <w:color w:val="auto"/>
        </w:rPr>
        <w:t>‑</w:t>
      </w:r>
      <w:r>
        <w:rPr>
          <w:rFonts w:ascii="Arial" w:cs="Arial" w:eastAsia="Arial" w:hAnsi="Arial"/>
          <w:sz w:val="22"/>
          <w:szCs w:val="22"/>
          <w:color w:val="auto"/>
        </w:rPr>
        <w:t>market purchase) described in Section 10.02, (B) any circumstance contemplated by Section 2.18(b), 2.26, 2.27, 2.28, 10.08(d), 10.08(e) or 10.08(f), (C) the application of funds resulting from the existence of a Defaulting Lender, or (D) any other circumstance expressly provided for herein.</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tabs>
          <w:tab w:leader="none" w:pos="2251" w:val="left"/>
        </w:tabs>
        <w:numPr>
          <w:ilvl w:val="1"/>
          <w:numId w:val="297"/>
        </w:numPr>
        <w:rPr>
          <w:rFonts w:ascii="Arial" w:cs="Arial" w:eastAsia="Arial" w:hAnsi="Arial"/>
          <w:sz w:val="19"/>
          <w:szCs w:val="19"/>
          <w:color w:val="auto"/>
        </w:rPr>
      </w:pPr>
      <w:r>
        <w:rPr>
          <w:rFonts w:ascii="Arial" w:cs="Arial" w:eastAsia="Arial" w:hAnsi="Arial"/>
          <w:sz w:val="19"/>
          <w:szCs w:val="19"/>
          <w:color w:val="auto"/>
        </w:rPr>
        <w:t>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 (i) would eliminate or reduce amounts payable pursuant to Section 2.14 or 2.16, as the case may be, and</w:t>
      </w:r>
    </w:p>
    <w:p>
      <w:pPr>
        <w:spacing w:after="0" w:line="3" w:lineRule="exact"/>
        <w:rPr>
          <w:rFonts w:ascii="Arial" w:cs="Arial" w:eastAsia="Arial" w:hAnsi="Arial"/>
          <w:sz w:val="19"/>
          <w:szCs w:val="19"/>
          <w:color w:val="auto"/>
        </w:rPr>
      </w:pPr>
    </w:p>
    <w:p>
      <w:pPr>
        <w:jc w:val="both"/>
        <w:ind w:firstLine="8"/>
        <w:spacing w:after="0" w:line="214" w:lineRule="auto"/>
        <w:tabs>
          <w:tab w:leader="none" w:pos="341" w:val="left"/>
        </w:tabs>
        <w:numPr>
          <w:ilvl w:val="0"/>
          <w:numId w:val="298"/>
        </w:numPr>
        <w:rPr>
          <w:rFonts w:ascii="Arial" w:cs="Arial" w:eastAsia="Arial" w:hAnsi="Arial"/>
          <w:sz w:val="22"/>
          <w:szCs w:val="22"/>
          <w:color w:val="auto"/>
        </w:rPr>
      </w:pPr>
      <w:r>
        <w:rPr>
          <w:rFonts w:ascii="Arial" w:cs="Arial" w:eastAsia="Arial" w:hAnsi="Arial"/>
          <w:sz w:val="22"/>
          <w:szCs w:val="22"/>
          <w:color w:val="auto"/>
        </w:rPr>
        <w:t>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6" w:name="page267"/>
    <w:bookmarkEnd w:id="266"/>
    <w:p>
      <w:pPr>
        <w:jc w:val="both"/>
        <w:ind w:firstLine="1304"/>
        <w:spacing w:after="0" w:line="243" w:lineRule="auto"/>
        <w:tabs>
          <w:tab w:leader="none" w:pos="2263" w:val="left"/>
        </w:tabs>
        <w:numPr>
          <w:ilvl w:val="1"/>
          <w:numId w:val="299"/>
        </w:numPr>
        <w:rPr>
          <w:rFonts w:ascii="Arial" w:cs="Arial" w:eastAsia="Arial" w:hAnsi="Arial"/>
          <w:sz w:val="19"/>
          <w:szCs w:val="19"/>
          <w:color w:val="auto"/>
        </w:rPr>
      </w:pPr>
      <w:r>
        <w:rPr>
          <w:rFonts w:ascii="Arial" w:cs="Arial" w:eastAsia="Arial" w:hAnsi="Arial"/>
          <w:sz w:val="19"/>
          <w:szCs w:val="19"/>
          <w:color w:val="auto"/>
        </w:rPr>
        <w:t>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w:t>
      </w:r>
    </w:p>
    <w:p>
      <w:pPr>
        <w:spacing w:after="0" w:line="2" w:lineRule="exact"/>
        <w:rPr>
          <w:rFonts w:ascii="Arial" w:cs="Arial" w:eastAsia="Arial" w:hAnsi="Arial"/>
          <w:sz w:val="19"/>
          <w:szCs w:val="19"/>
          <w:color w:val="auto"/>
        </w:rPr>
      </w:pPr>
    </w:p>
    <w:p>
      <w:pPr>
        <w:jc w:val="both"/>
        <w:ind w:firstLine="8"/>
        <w:spacing w:after="0" w:line="237" w:lineRule="auto"/>
        <w:tabs>
          <w:tab w:leader="none" w:pos="272" w:val="left"/>
        </w:tabs>
        <w:numPr>
          <w:ilvl w:val="0"/>
          <w:numId w:val="300"/>
        </w:numPr>
        <w:rPr>
          <w:rFonts w:ascii="Arial" w:cs="Arial" w:eastAsia="Arial" w:hAnsi="Arial"/>
          <w:sz w:val="19"/>
          <w:szCs w:val="19"/>
          <w:color w:val="auto"/>
        </w:rPr>
      </w:pPr>
      <w:r>
        <w:rPr>
          <w:rFonts w:ascii="Arial" w:cs="Arial" w:eastAsia="Arial" w:hAnsi="Arial"/>
          <w:sz w:val="19"/>
          <w:szCs w:val="19"/>
          <w:color w:val="auto"/>
        </w:rPr>
        <w:t xml:space="preserve">terminate such Lender’s Commitment, prepay such Lender’s outstanding Loans,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jc w:val="both"/>
        <w:ind w:firstLine="8"/>
        <w:spacing w:after="0" w:line="247" w:lineRule="auto"/>
        <w:tabs>
          <w:tab w:leader="none" w:pos="261" w:val="left"/>
        </w:tabs>
        <w:numPr>
          <w:ilvl w:val="0"/>
          <w:numId w:val="301"/>
        </w:numPr>
        <w:rPr>
          <w:rFonts w:ascii="Arial" w:cs="Arial" w:eastAsia="Arial" w:hAnsi="Arial"/>
          <w:sz w:val="19"/>
          <w:szCs w:val="19"/>
          <w:color w:val="auto"/>
        </w:rPr>
      </w:pPr>
      <w:r>
        <w:rPr>
          <w:rFonts w:ascii="Arial" w:cs="Arial" w:eastAsia="Arial" w:hAnsi="Arial"/>
          <w:sz w:val="19"/>
          <w:szCs w:val="19"/>
          <w:color w:val="auto"/>
        </w:rPr>
        <w:t>such terminated or assigning Lender shall have received payment of an amount equal to the outstanding principal of its Loans,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[Reserved].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2.20. </w:t>
      </w: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49" w:lineRule="auto"/>
        <w:tabs>
          <w:tab w:leader="none" w:pos="2305" w:val="left"/>
        </w:tabs>
        <w:numPr>
          <w:ilvl w:val="0"/>
          <w:numId w:val="302"/>
        </w:numPr>
        <w:rPr>
          <w:rFonts w:ascii="Arial" w:cs="Arial" w:eastAsia="Arial" w:hAnsi="Arial"/>
          <w:sz w:val="19"/>
          <w:szCs w:val="19"/>
          <w:color w:val="auto"/>
        </w:rPr>
      </w:pPr>
      <w:r>
        <w:rPr>
          <w:rFonts w:ascii="Arial" w:cs="Arial" w:eastAsia="Arial" w:hAnsi="Arial"/>
          <w:sz w:val="19"/>
          <w:szCs w:val="19"/>
          <w:color w:val="auto"/>
        </w:rPr>
        <w:t xml:space="preserve">The Borrower shall pay to the Administrative Agent for the accounts of the Term Lenders a commitment fee (the “ </w:t>
      </w:r>
      <w:r>
        <w:rPr>
          <w:rFonts w:ascii="Arial" w:cs="Arial" w:eastAsia="Arial" w:hAnsi="Arial"/>
          <w:sz w:val="19"/>
          <w:szCs w:val="19"/>
          <w:i w:val="1"/>
          <w:iCs w:val="1"/>
          <w:color w:val="auto"/>
        </w:rPr>
        <w:t>Commitment Fee</w:t>
      </w:r>
      <w:r>
        <w:rPr>
          <w:rFonts w:ascii="Arial" w:cs="Arial" w:eastAsia="Arial" w:hAnsi="Arial"/>
          <w:sz w:val="19"/>
          <w:szCs w:val="19"/>
          <w:color w:val="auto"/>
        </w:rPr>
        <w:t xml:space="preserve"> ”) for the period commencing on the Closing Date and ending on the Termination Date with respect to the applicable Term Commitments or the earlier Delayed Draw Commitment Termination Date, computed (on the basis of the actual number of days elapsed over a year of 360 days) at the Commitment Fee Rate on the average daily Unused Total Term Commitment. Such Commitment Fee, to the extent then accrued, shall be payable quarterly in arrears (a) on the last Business Day of each March, June, September and December and (b) on the Delayed Draw Commitment Termination Date.</w:t>
      </w:r>
    </w:p>
    <w:p>
      <w:pPr>
        <w:spacing w:after="0" w:line="151" w:lineRule="exact"/>
        <w:rPr>
          <w:rFonts w:ascii="Arial" w:cs="Arial" w:eastAsia="Arial" w:hAnsi="Arial"/>
          <w:sz w:val="19"/>
          <w:szCs w:val="19"/>
          <w:color w:val="auto"/>
        </w:rPr>
      </w:pPr>
    </w:p>
    <w:p>
      <w:pPr>
        <w:ind w:right="20" w:firstLine="1304"/>
        <w:spacing w:after="0" w:line="232" w:lineRule="auto"/>
        <w:tabs>
          <w:tab w:leader="none" w:pos="2277" w:val="left"/>
        </w:tabs>
        <w:numPr>
          <w:ilvl w:val="0"/>
          <w:numId w:val="302"/>
        </w:numPr>
        <w:rPr>
          <w:rFonts w:ascii="Arial" w:cs="Arial" w:eastAsia="Arial" w:hAnsi="Arial"/>
          <w:sz w:val="22"/>
          <w:szCs w:val="22"/>
          <w:color w:val="auto"/>
        </w:rPr>
      </w:pPr>
      <w:r>
        <w:rPr>
          <w:rFonts w:ascii="Arial" w:cs="Arial" w:eastAsia="Arial" w:hAnsi="Arial"/>
          <w:sz w:val="22"/>
          <w:szCs w:val="22"/>
          <w:color w:val="auto"/>
        </w:rPr>
        <w:t xml:space="preserve">The Borrower shall pay on the Closing Date to each Lender as of such date, an upfront fee (the “ </w:t>
      </w:r>
      <w:r>
        <w:rPr>
          <w:rFonts w:ascii="Arial" w:cs="Arial" w:eastAsia="Arial" w:hAnsi="Arial"/>
          <w:sz w:val="22"/>
          <w:szCs w:val="22"/>
          <w:i w:val="1"/>
          <w:iCs w:val="1"/>
          <w:color w:val="auto"/>
        </w:rPr>
        <w:t xml:space="preserve">Upfront Fee </w:t>
      </w:r>
      <w:r>
        <w:rPr>
          <w:rFonts w:ascii="Arial" w:cs="Arial" w:eastAsia="Arial" w:hAnsi="Arial"/>
          <w:sz w:val="22"/>
          <w:szCs w:val="22"/>
          <w:color w:val="auto"/>
        </w:rPr>
        <w:t>”) as set forth in the Arranger Fee Letter.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2.21. </w:t>
      </w:r>
      <w:r>
        <w:rPr>
          <w:rFonts w:ascii="Arial" w:cs="Arial" w:eastAsia="Arial" w:hAnsi="Arial"/>
          <w:sz w:val="22"/>
          <w:szCs w:val="22"/>
          <w:u w:val="single" w:color="auto"/>
          <w:color w:val="auto"/>
        </w:rPr>
        <w:t>[Reserved]</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2.22. </w:t>
      </w:r>
      <w:r>
        <w:rPr>
          <w:rFonts w:ascii="Arial" w:cs="Arial" w:eastAsia="Arial" w:hAnsi="Arial"/>
          <w:sz w:val="22"/>
          <w:szCs w:val="22"/>
          <w:u w:val="single" w:color="auto"/>
          <w:color w:val="auto"/>
        </w:rPr>
        <w:t>Nature of Fees</w:t>
      </w:r>
      <w:r>
        <w:rPr>
          <w:rFonts w:ascii="Arial" w:cs="Arial" w:eastAsia="Arial" w:hAnsi="Arial"/>
          <w:sz w:val="22"/>
          <w:szCs w:val="22"/>
          <w:color w:val="auto"/>
        </w:rPr>
        <w:t xml:space="preserve"> . All Fees shall be paid on the dates due, in immediately available funds, to the Administrative Agent, the Lead Arranger and the Joint Lead Arrangers and Bookrunners, as provided herein and in the Fee Letters. Once paid, none of the Fees shall be refundable or creditable under any circumstances, except as otherwise provided in the Fee Letters.</w:t>
      </w:r>
    </w:p>
    <w:p>
      <w:pPr>
        <w:spacing w:after="0" w:line="188" w:lineRule="exact"/>
        <w:rPr>
          <w:sz w:val="20"/>
          <w:szCs w:val="20"/>
          <w:color w:val="auto"/>
        </w:rPr>
      </w:pPr>
    </w:p>
    <w:p>
      <w:pPr>
        <w:jc w:val="both"/>
        <w:ind w:firstLine="1296"/>
        <w:spacing w:after="0" w:line="260" w:lineRule="exact"/>
        <w:rPr>
          <w:sz w:val="20"/>
          <w:szCs w:val="20"/>
          <w:color w:val="auto"/>
        </w:rPr>
      </w:pPr>
      <w:r>
        <w:rPr>
          <w:rFonts w:ascii="Arial" w:cs="Arial" w:eastAsia="Arial" w:hAnsi="Arial"/>
          <w:sz w:val="22"/>
          <w:szCs w:val="22"/>
          <w:color w:val="auto"/>
        </w:rPr>
        <w:t xml:space="preserve">SECTION 2.23. </w:t>
      </w:r>
      <w:r>
        <w:rPr>
          <w:rFonts w:ascii="Arial" w:cs="Arial" w:eastAsia="Arial" w:hAnsi="Arial"/>
          <w:sz w:val="22"/>
          <w:szCs w:val="22"/>
          <w:u w:val="single" w:color="auto"/>
          <w:color w:val="auto"/>
        </w:rPr>
        <w:t>Right of Set</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Off</w:t>
      </w:r>
      <w:r>
        <w:rPr>
          <w:rFonts w:ascii="Arial" w:cs="Arial" w:eastAsia="Arial" w:hAnsi="Arial"/>
          <w:sz w:val="22"/>
          <w:szCs w:val="22"/>
          <w:color w:val="auto"/>
        </w:rPr>
        <w:t xml:space="preserve"> . Upon the occurrence and during the continuance of any Event of Default pursuant to Section 7.01(b), the Administrative Agent, the Collateral Agent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7" w:name="page268"/>
    <w:bookmarkEnd w:id="267"/>
    <w:p>
      <w:pPr>
        <w:jc w:val="both"/>
        <w:spacing w:after="0" w:line="258" w:lineRule="exact"/>
        <w:rPr>
          <w:sz w:val="20"/>
          <w:szCs w:val="20"/>
          <w:color w:val="auto"/>
        </w:rPr>
      </w:pPr>
      <w:r>
        <w:rPr>
          <w:rFonts w:ascii="Arial" w:cs="Arial" w:eastAsia="Arial" w:hAnsi="Arial"/>
          <w:sz w:val="19"/>
          <w:szCs w:val="19"/>
          <w:color w:val="auto"/>
        </w:rPr>
        <w:t xml:space="preserve">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exercises any such right of setoff, (x) all amounts so set off will be paid over immediately to the Administrative Agent for further application in accordance with the provisions of Section 2.26(f) 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owing to such Defaulting Lender as to which it exercised such right of setoff. Each Lender and the Administrative Agent agree promptly to notify the Borrower and Guarantors after any such set</w:t>
      </w:r>
      <w:r>
        <w:rPr>
          <w:rFonts w:ascii="MS PGothic" w:cs="MS PGothic" w:eastAsia="MS PGothic" w:hAnsi="MS PGothic"/>
          <w:sz w:val="19"/>
          <w:szCs w:val="19"/>
          <w:color w:val="auto"/>
        </w:rPr>
        <w:t>‑</w:t>
      </w:r>
      <w:r>
        <w:rPr>
          <w:rFonts w:ascii="Arial" w:cs="Arial" w:eastAsia="Arial" w:hAnsi="Arial"/>
          <w:sz w:val="19"/>
          <w:szCs w:val="19"/>
          <w:color w:val="auto"/>
        </w:rPr>
        <w:t xml:space="preserve">off and application made by such Lender or the Administrative Agent (or any of such banking Affiliates),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w:t>
      </w:r>
      <w:r>
        <w:rPr>
          <w:rFonts w:ascii="MS PGothic" w:cs="MS PGothic" w:eastAsia="MS PGothic" w:hAnsi="MS PGothic"/>
          <w:sz w:val="19"/>
          <w:szCs w:val="19"/>
          <w:color w:val="auto"/>
        </w:rPr>
        <w:t>‑</w:t>
      </w:r>
      <w:r>
        <w:rPr>
          <w:rFonts w:ascii="Arial" w:cs="Arial" w:eastAsia="Arial" w:hAnsi="Arial"/>
          <w:sz w:val="19"/>
          <w:szCs w:val="19"/>
          <w:color w:val="auto"/>
        </w:rPr>
        <w:t>off and application. The rights of each Lender and the Administrative Agent under this Section 2.23 are in addition to other rights and remedies which such Lender and the Administrative Agent may have upon the occurrence and during the continuance of any Event of Default.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2.24. </w:t>
      </w:r>
      <w:r>
        <w:rPr>
          <w:rFonts w:ascii="Arial" w:cs="Arial" w:eastAsia="Arial" w:hAnsi="Arial"/>
          <w:sz w:val="22"/>
          <w:szCs w:val="22"/>
          <w:u w:val="single" w:color="auto"/>
          <w:color w:val="auto"/>
        </w:rPr>
        <w:t>[Reserved]</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SECTION 2.25. </w:t>
      </w:r>
      <w:r>
        <w:rPr>
          <w:rFonts w:ascii="Arial" w:cs="Arial" w:eastAsia="Arial" w:hAnsi="Arial"/>
          <w:sz w:val="21"/>
          <w:szCs w:val="21"/>
          <w:u w:val="single" w:color="auto"/>
          <w:color w:val="auto"/>
        </w:rPr>
        <w:t>Payment of Obligations</w:t>
      </w:r>
      <w:r>
        <w:rPr>
          <w:rFonts w:ascii="Arial" w:cs="Arial" w:eastAsia="Arial" w:hAnsi="Arial"/>
          <w:sz w:val="21"/>
          <w:szCs w:val="21"/>
          <w:color w:val="auto"/>
        </w:rPr>
        <w:t xml:space="preserve"> .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2.26. </w:t>
      </w:r>
      <w:r>
        <w:rPr>
          <w:rFonts w:ascii="Arial" w:cs="Arial" w:eastAsia="Arial" w:hAnsi="Arial"/>
          <w:sz w:val="22"/>
          <w:szCs w:val="22"/>
          <w:u w:val="single" w:color="auto"/>
          <w:color w:val="auto"/>
        </w:rPr>
        <w:t>Defaulting Lenders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47" w:lineRule="auto"/>
        <w:tabs>
          <w:tab w:leader="none" w:pos="2238" w:val="left"/>
        </w:tabs>
        <w:numPr>
          <w:ilvl w:val="0"/>
          <w:numId w:val="303"/>
        </w:numPr>
        <w:rPr>
          <w:rFonts w:ascii="Arial" w:cs="Arial" w:eastAsia="Arial" w:hAnsi="Arial"/>
          <w:sz w:val="19"/>
          <w:szCs w:val="19"/>
          <w:color w:val="auto"/>
        </w:rPr>
      </w:pPr>
      <w:r>
        <w:rPr>
          <w:rFonts w:ascii="Arial" w:cs="Arial" w:eastAsia="Arial" w:hAnsi="Arial"/>
          <w:sz w:val="19"/>
          <w:szCs w:val="19"/>
          <w:color w:val="auto"/>
        </w:rPr>
        <w:t xml:space="preserve">If at any time any Lender becomes a Defaulting Lender, then the Borrower may, provided no Event of Default shall have occurred and be continuing, on ten (10) Business Days’ prior written notice to the Administrative Agent and such Lender, (i) terminate such Lender’s Commitment, prepay such Lender’s outstanding Loans,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Administrative Agent nor any Lender shall have any obligation to the Borrower to find a replacement Lender or other such Person.</w:t>
      </w:r>
    </w:p>
    <w:p>
      <w:pPr>
        <w:spacing w:after="0" w:line="153" w:lineRule="exact"/>
        <w:rPr>
          <w:rFonts w:ascii="Arial" w:cs="Arial" w:eastAsia="Arial" w:hAnsi="Arial"/>
          <w:sz w:val="19"/>
          <w:szCs w:val="19"/>
          <w:color w:val="auto"/>
        </w:rPr>
      </w:pPr>
    </w:p>
    <w:p>
      <w:pPr>
        <w:jc w:val="both"/>
        <w:ind w:firstLine="1304"/>
        <w:spacing w:after="0" w:line="246" w:lineRule="auto"/>
        <w:tabs>
          <w:tab w:leader="none" w:pos="2250" w:val="left"/>
        </w:tabs>
        <w:numPr>
          <w:ilvl w:val="0"/>
          <w:numId w:val="303"/>
        </w:numPr>
        <w:rPr>
          <w:rFonts w:ascii="Arial" w:cs="Arial" w:eastAsia="Arial" w:hAnsi="Arial"/>
          <w:sz w:val="19"/>
          <w:szCs w:val="19"/>
          <w:color w:val="auto"/>
        </w:rPr>
      </w:pPr>
      <w:r>
        <w:rPr>
          <w:rFonts w:ascii="Arial" w:cs="Arial" w:eastAsia="Arial" w:hAnsi="Arial"/>
          <w:sz w:val="19"/>
          <w:szCs w:val="19"/>
          <w:color w:val="auto"/>
        </w:rPr>
        <w:t>Any Lender being replaced pursuant to Section 2.26(a) shall (h) execute and deliver an Assignment and Acceptance with respect to such Lender’s outstanding Commitments, Loans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Loans,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68" w:name="page269"/>
    <w:bookmarkEnd w:id="268"/>
    <w:p>
      <w:pPr>
        <w:jc w:val="both"/>
        <w:spacing w:after="0" w:line="222" w:lineRule="auto"/>
        <w:rPr>
          <w:sz w:val="20"/>
          <w:szCs w:val="20"/>
          <w:color w:val="auto"/>
        </w:rPr>
      </w:pPr>
      <w:r>
        <w:rPr>
          <w:rFonts w:ascii="Arial" w:cs="Arial" w:eastAsia="Arial" w:hAnsi="Arial"/>
          <w:sz w:val="21"/>
          <w:szCs w:val="21"/>
          <w:color w:val="auto"/>
        </w:rPr>
        <w:t xml:space="preserve">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Loans and participations, except with respect to indemnification provisions under this Agreement, which shall survive as to such assigning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w:t>
      </w:r>
    </w:p>
    <w:p>
      <w:pPr>
        <w:spacing w:after="0" w:line="164" w:lineRule="exact"/>
        <w:rPr>
          <w:sz w:val="20"/>
          <w:szCs w:val="20"/>
          <w:color w:val="auto"/>
        </w:rPr>
      </w:pPr>
    </w:p>
    <w:p>
      <w:pPr>
        <w:ind w:left="2240" w:hanging="936"/>
        <w:spacing w:after="0"/>
        <w:tabs>
          <w:tab w:leader="none" w:pos="224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260" w:hanging="956"/>
        <w:spacing w:after="0"/>
        <w:tabs>
          <w:tab w:leader="none" w:pos="226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240" w:hanging="936"/>
        <w:spacing w:after="0"/>
        <w:tabs>
          <w:tab w:leader="none" w:pos="224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304"/>
        <w:spacing w:after="0" w:line="224" w:lineRule="auto"/>
        <w:tabs>
          <w:tab w:leader="none" w:pos="2214" w:val="left"/>
        </w:tabs>
        <w:numPr>
          <w:ilvl w:val="0"/>
          <w:numId w:val="304"/>
        </w:numPr>
        <w:rPr>
          <w:rFonts w:ascii="Arial" w:cs="Arial" w:eastAsia="Arial" w:hAnsi="Arial"/>
          <w:sz w:val="21"/>
          <w:szCs w:val="21"/>
          <w:color w:val="auto"/>
        </w:rPr>
      </w:pPr>
      <w:r>
        <w:rPr>
          <w:rFonts w:ascii="Arial" w:cs="Arial" w:eastAsia="Arial" w:hAnsi="Arial"/>
          <w:sz w:val="21"/>
          <w:szCs w:val="21"/>
          <w:color w:val="auto"/>
        </w:rPr>
        <w:t>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2.26(h)) the termination of the Commitments and payment in full of all obligations of the Borrower hereunder and will be applied by the Administrative Agent, to the fullest extent permitted by law, to the making of payments from time to time in the following order of priority: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 xml:space="preserve">first </w:t>
      </w:r>
      <w:r>
        <w:rPr>
          <w:rFonts w:ascii="Arial" w:cs="Arial" w:eastAsia="Arial" w:hAnsi="Arial"/>
          <w:sz w:val="22"/>
          <w:szCs w:val="22"/>
          <w:color w:val="auto"/>
        </w:rPr>
        <w:t>, to the payment of any amounts owing by such Defaulting Lender to the Administrative Agent;</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 xml:space="preserve">second </w:t>
      </w:r>
      <w:r>
        <w:rPr>
          <w:rFonts w:ascii="Arial" w:cs="Arial" w:eastAsia="Arial" w:hAnsi="Arial"/>
          <w:sz w:val="22"/>
          <w:szCs w:val="22"/>
          <w:color w:val="auto"/>
        </w:rPr>
        <w:t>, [reserved];</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 xml:space="preserve">third </w:t>
      </w:r>
      <w:r>
        <w:rPr>
          <w:rFonts w:ascii="Arial" w:cs="Arial" w:eastAsia="Arial" w:hAnsi="Arial"/>
          <w:sz w:val="22"/>
          <w:szCs w:val="22"/>
          <w:color w:val="auto"/>
        </w:rPr>
        <w:t>, [reserved];</w:t>
      </w:r>
    </w:p>
    <w:p>
      <w:pPr>
        <w:spacing w:after="0" w:line="200" w:lineRule="exact"/>
        <w:rPr>
          <w:sz w:val="20"/>
          <w:szCs w:val="20"/>
          <w:color w:val="auto"/>
        </w:rPr>
      </w:pPr>
    </w:p>
    <w:p>
      <w:pPr>
        <w:spacing w:after="0" w:line="236" w:lineRule="exact"/>
        <w:rPr>
          <w:sz w:val="20"/>
          <w:szCs w:val="20"/>
          <w:color w:val="auto"/>
        </w:rPr>
      </w:pPr>
    </w:p>
    <w:p>
      <w:pPr>
        <w:ind w:left="660" w:firstLine="648"/>
        <w:spacing w:after="0" w:line="265" w:lineRule="exact"/>
        <w:rPr>
          <w:sz w:val="20"/>
          <w:szCs w:val="20"/>
          <w:color w:val="auto"/>
        </w:rPr>
      </w:pPr>
      <w:r>
        <w:rPr>
          <w:rFonts w:ascii="Arial" w:cs="Arial" w:eastAsia="Arial" w:hAnsi="Arial"/>
          <w:sz w:val="22"/>
          <w:szCs w:val="22"/>
          <w:i w:val="1"/>
          <w:iCs w:val="1"/>
          <w:color w:val="auto"/>
        </w:rPr>
        <w:t xml:space="preserve">fourth </w:t>
      </w:r>
      <w:r>
        <w:rPr>
          <w:rFonts w:ascii="Arial" w:cs="Arial" w:eastAsia="Arial" w:hAnsi="Arial"/>
          <w:sz w:val="22"/>
          <w:szCs w:val="22"/>
          <w:color w:val="auto"/>
        </w:rPr>
        <w:t>, to the payment of fees then due and payable to the Non</w:t>
      </w:r>
      <w:r>
        <w:rPr>
          <w:rFonts w:ascii="MS PGothic" w:cs="MS PGothic" w:eastAsia="MS PGothic" w:hAnsi="MS PGothic"/>
          <w:sz w:val="22"/>
          <w:szCs w:val="22"/>
          <w:color w:val="auto"/>
        </w:rPr>
        <w:t>‑</w:t>
      </w:r>
      <w:r>
        <w:rPr>
          <w:rFonts w:ascii="Arial" w:cs="Arial" w:eastAsia="Arial" w:hAnsi="Arial"/>
          <w:sz w:val="22"/>
          <w:szCs w:val="22"/>
          <w:color w:val="auto"/>
        </w:rPr>
        <w:t>Defaulting Lenders hereunder, ratably among</w:t>
      </w:r>
      <w:r>
        <w:rPr>
          <w:rFonts w:ascii="Arial" w:cs="Arial" w:eastAsia="Arial" w:hAnsi="Arial"/>
          <w:sz w:val="22"/>
          <w:szCs w:val="22"/>
          <w:i w:val="1"/>
          <w:iCs w:val="1"/>
          <w:color w:val="auto"/>
        </w:rPr>
        <w:t xml:space="preserve"> </w:t>
      </w:r>
      <w:r>
        <w:rPr>
          <w:rFonts w:ascii="Arial" w:cs="Arial" w:eastAsia="Arial" w:hAnsi="Arial"/>
          <w:sz w:val="22"/>
          <w:szCs w:val="22"/>
          <w:color w:val="auto"/>
        </w:rPr>
        <w:t>them in accordance with the amounts of such fees then due and payable to them;</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 xml:space="preserve">fifth </w:t>
      </w:r>
      <w:r>
        <w:rPr>
          <w:rFonts w:ascii="Arial" w:cs="Arial" w:eastAsia="Arial" w:hAnsi="Arial"/>
          <w:sz w:val="22"/>
          <w:szCs w:val="22"/>
          <w:color w:val="auto"/>
        </w:rPr>
        <w:t>, [reserved];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line="253" w:lineRule="exact"/>
        <w:rPr>
          <w:sz w:val="20"/>
          <w:szCs w:val="20"/>
          <w:color w:val="auto"/>
        </w:rPr>
      </w:pPr>
      <w:r>
        <w:rPr>
          <w:rFonts w:ascii="Arial" w:cs="Arial" w:eastAsia="Arial" w:hAnsi="Arial"/>
          <w:sz w:val="22"/>
          <w:szCs w:val="22"/>
          <w:i w:val="1"/>
          <w:iCs w:val="1"/>
          <w:color w:val="auto"/>
        </w:rPr>
        <w:t xml:space="preserve">sixth </w:t>
      </w:r>
      <w:r>
        <w:rPr>
          <w:rFonts w:ascii="Arial" w:cs="Arial" w:eastAsia="Arial" w:hAnsi="Arial"/>
          <w:sz w:val="22"/>
          <w:szCs w:val="22"/>
          <w:color w:val="auto"/>
        </w:rPr>
        <w:t>, to the ratable payment of other amounts then due and payable to the Non</w:t>
      </w:r>
      <w:r>
        <w:rPr>
          <w:rFonts w:ascii="MS PGothic" w:cs="MS PGothic" w:eastAsia="MS PGothic" w:hAnsi="MS PGothic"/>
          <w:sz w:val="22"/>
          <w:szCs w:val="22"/>
          <w:color w:val="auto"/>
        </w:rPr>
        <w:t>‑</w:t>
      </w:r>
      <w:r>
        <w:rPr>
          <w:rFonts w:ascii="Arial" w:cs="Arial" w:eastAsia="Arial" w:hAnsi="Arial"/>
          <w:sz w:val="22"/>
          <w:szCs w:val="22"/>
          <w:color w:val="auto"/>
        </w:rPr>
        <w:t>Defaulting Lenders;</w:t>
      </w:r>
    </w:p>
    <w:p>
      <w:pPr>
        <w:spacing w:after="0" w:line="200" w:lineRule="exact"/>
        <w:rPr>
          <w:sz w:val="20"/>
          <w:szCs w:val="20"/>
          <w:color w:val="auto"/>
        </w:rPr>
      </w:pPr>
    </w:p>
    <w:p>
      <w:pPr>
        <w:spacing w:after="0" w:line="236"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i w:val="1"/>
          <w:iCs w:val="1"/>
          <w:color w:val="auto"/>
        </w:rPr>
        <w:t xml:space="preserve">seventh </w:t>
      </w:r>
      <w:r>
        <w:rPr>
          <w:rFonts w:ascii="Arial" w:cs="Arial" w:eastAsia="Arial" w:hAnsi="Arial"/>
          <w:sz w:val="22"/>
          <w:szCs w:val="22"/>
          <w:color w:val="auto"/>
        </w:rPr>
        <w:t>, to the funding of any Loan in respect of which such Defaulting Lender has failed to fund its portion</w:t>
      </w:r>
      <w:r>
        <w:rPr>
          <w:rFonts w:ascii="Arial" w:cs="Arial" w:eastAsia="Arial" w:hAnsi="Arial"/>
          <w:sz w:val="22"/>
          <w:szCs w:val="22"/>
          <w:i w:val="1"/>
          <w:iCs w:val="1"/>
          <w:color w:val="auto"/>
        </w:rPr>
        <w:t xml:space="preserve"> </w:t>
      </w:r>
      <w:r>
        <w:rPr>
          <w:rFonts w:ascii="Arial" w:cs="Arial" w:eastAsia="Arial" w:hAnsi="Arial"/>
          <w:sz w:val="22"/>
          <w:szCs w:val="22"/>
          <w:color w:val="auto"/>
        </w:rPr>
        <w:t>thereof as required by this Agreement, as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9" w:name="page270"/>
    <w:bookmarkEnd w:id="269"/>
    <w:p>
      <w:pPr>
        <w:jc w:val="both"/>
        <w:ind w:left="660" w:firstLine="648"/>
        <w:spacing w:after="0" w:line="263" w:lineRule="auto"/>
        <w:rPr>
          <w:sz w:val="20"/>
          <w:szCs w:val="20"/>
          <w:color w:val="auto"/>
        </w:rPr>
      </w:pPr>
      <w:r>
        <w:rPr>
          <w:rFonts w:ascii="Arial" w:cs="Arial" w:eastAsia="Arial" w:hAnsi="Arial"/>
          <w:sz w:val="22"/>
          <w:szCs w:val="22"/>
          <w:i w:val="1"/>
          <w:iCs w:val="1"/>
          <w:color w:val="auto"/>
        </w:rPr>
        <w:t xml:space="preserve">eighth </w:t>
      </w:r>
      <w:r>
        <w:rPr>
          <w:rFonts w:ascii="Arial" w:cs="Arial" w:eastAsia="Arial" w:hAnsi="Arial"/>
          <w:sz w:val="22"/>
          <w:szCs w:val="22"/>
          <w:color w:val="auto"/>
        </w:rPr>
        <w:t>, if so determined by the Administrative Agent and the Borrower, held in such account as cash collateral for</w:t>
      </w:r>
      <w:r>
        <w:rPr>
          <w:rFonts w:ascii="Arial" w:cs="Arial" w:eastAsia="Arial" w:hAnsi="Arial"/>
          <w:sz w:val="22"/>
          <w:szCs w:val="22"/>
          <w:i w:val="1"/>
          <w:iCs w:val="1"/>
          <w:color w:val="auto"/>
        </w:rPr>
        <w:t xml:space="preserve"> </w:t>
      </w:r>
      <w:r>
        <w:rPr>
          <w:rFonts w:ascii="Arial" w:cs="Arial" w:eastAsia="Arial" w:hAnsi="Arial"/>
          <w:sz w:val="22"/>
          <w:szCs w:val="22"/>
          <w:color w:val="auto"/>
        </w:rPr>
        <w:t>future funding obligations of the Defaulting Lender under this Agreement;</w:t>
      </w:r>
    </w:p>
    <w:p>
      <w:pPr>
        <w:spacing w:after="0" w:line="391"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 xml:space="preserve">ninth </w:t>
      </w:r>
      <w:r>
        <w:rPr>
          <w:rFonts w:ascii="Arial" w:cs="Arial" w:eastAsia="Arial" w:hAnsi="Arial"/>
          <w:sz w:val="22"/>
          <w:szCs w:val="22"/>
          <w:color w:val="auto"/>
        </w:rPr>
        <w:t>, pro rata, to the payment of any amounts owing to the Borrower or the Lenders as a result of any judgment</w:t>
      </w:r>
      <w:r>
        <w:rPr>
          <w:rFonts w:ascii="Arial" w:cs="Arial" w:eastAsia="Arial" w:hAnsi="Arial"/>
          <w:sz w:val="22"/>
          <w:szCs w:val="22"/>
          <w:i w:val="1"/>
          <w:iCs w:val="1"/>
          <w:color w:val="auto"/>
        </w:rPr>
        <w:t xml:space="preserve"> </w:t>
      </w:r>
      <w:r>
        <w:rPr>
          <w:rFonts w:ascii="Arial" w:cs="Arial" w:eastAsia="Arial" w:hAnsi="Arial"/>
          <w:sz w:val="22"/>
          <w:szCs w:val="22"/>
          <w:color w:val="auto"/>
        </w:rPr>
        <w:t>of a court of competent jurisdiction obtained by a Borrower or any Lender against such Defaulting Lender as a result of such Defaulting Lender’s breach of its obligations under this Agreement; and</w:t>
      </w:r>
    </w:p>
    <w:p>
      <w:pPr>
        <w:spacing w:after="0" w:line="200" w:lineRule="exact"/>
        <w:rPr>
          <w:sz w:val="20"/>
          <w:szCs w:val="20"/>
          <w:color w:val="auto"/>
        </w:rPr>
      </w:pPr>
    </w:p>
    <w:p>
      <w:pPr>
        <w:spacing w:after="0" w:line="201"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 xml:space="preserve">tenth </w:t>
      </w:r>
      <w:r>
        <w:rPr>
          <w:rFonts w:ascii="Arial" w:cs="Arial" w:eastAsia="Arial" w:hAnsi="Arial"/>
          <w:sz w:val="22"/>
          <w:szCs w:val="22"/>
          <w:color w:val="auto"/>
        </w:rPr>
        <w:t>, after the termination of the Commitments and payment in full of all obligations of the Borrower 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to pay amounts owing under this Agreement to such Defaulting Lender or as a court of competent jurisdiction may otherwise direct.</w:t>
      </w:r>
    </w:p>
    <w:p>
      <w:pPr>
        <w:spacing w:after="0" w:line="374" w:lineRule="exact"/>
        <w:rPr>
          <w:sz w:val="20"/>
          <w:szCs w:val="20"/>
          <w:color w:val="auto"/>
        </w:rPr>
      </w:pPr>
    </w:p>
    <w:p>
      <w:pPr>
        <w:jc w:val="both"/>
        <w:ind w:firstLine="1304"/>
        <w:spacing w:after="0" w:line="212" w:lineRule="auto"/>
        <w:tabs>
          <w:tab w:leader="none" w:pos="225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 xml:space="preserve">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2.26(f) will apply to all amounts thereafter paid by the Borrower for the account of such Defaulting Lender under this Agreement (whether on account of principal, interest, fees, indemnity or other amounts);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no Event of Default shall have occurred and be continuing and (ii) such termination shall not be deemed to be a waiver or release of any claim the Borrower, the Administrative Agent or any Lender may have against such Defaulting Lender.</w:t>
      </w:r>
    </w:p>
    <w:p>
      <w:pPr>
        <w:spacing w:after="0" w:line="163" w:lineRule="exact"/>
        <w:rPr>
          <w:rFonts w:ascii="Arial" w:cs="Arial" w:eastAsia="Arial" w:hAnsi="Arial"/>
          <w:sz w:val="22"/>
          <w:szCs w:val="22"/>
          <w:color w:val="auto"/>
        </w:rPr>
      </w:pPr>
    </w:p>
    <w:p>
      <w:pPr>
        <w:jc w:val="both"/>
        <w:ind w:firstLine="1304"/>
        <w:spacing w:after="0" w:line="222" w:lineRule="exact"/>
        <w:tabs>
          <w:tab w:leader="none" w:pos="225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If the Borrower and the Administrative Agent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2.26(f)),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w:t>
      </w:r>
      <w:r>
        <w:rPr>
          <w:rFonts w:ascii="MS PGothic" w:cs="MS PGothic" w:eastAsia="MS PGothic" w:hAnsi="MS PGothic"/>
          <w:sz w:val="19"/>
          <w:szCs w:val="19"/>
          <w:color w:val="auto"/>
        </w:rPr>
        <w:t>‑</w:t>
      </w:r>
      <w:r>
        <w:rPr>
          <w:rFonts w:ascii="Arial" w:cs="Arial" w:eastAsia="Arial" w:hAnsi="Arial"/>
          <w:sz w:val="19"/>
          <w:szCs w:val="19"/>
          <w:color w:val="auto"/>
        </w:rPr>
        <w:t xml:space="preserve">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shall be made retroactively with respect to fees accrued while such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except to the extent otherwise expressly agreed by the affected parties, no change hereunder from Defaulting Lender to Non</w:t>
      </w:r>
      <w:r>
        <w:rPr>
          <w:rFonts w:ascii="MS PGothic" w:cs="MS PGothic" w:eastAsia="MS PGothic" w:hAnsi="MS PGothic"/>
          <w:sz w:val="19"/>
          <w:szCs w:val="19"/>
          <w:color w:val="auto"/>
        </w:rPr>
        <w:t>‑</w:t>
      </w:r>
      <w:r>
        <w:rPr>
          <w:rFonts w:ascii="Arial" w:cs="Arial" w:eastAsia="Arial" w:hAnsi="Arial"/>
          <w:sz w:val="19"/>
          <w:szCs w:val="19"/>
          <w:color w:val="auto"/>
        </w:rPr>
        <w:t>Defaulting Lender shall constitute a waiver or release of any claim of any party hereunder arising from such Lender’s having been a Defaulting Lender.</w:t>
      </w:r>
    </w:p>
    <w:p>
      <w:pPr>
        <w:spacing w:after="0" w:line="158" w:lineRule="exact"/>
        <w:rPr>
          <w:rFonts w:ascii="Arial" w:cs="Arial" w:eastAsia="Arial" w:hAnsi="Arial"/>
          <w:sz w:val="19"/>
          <w:szCs w:val="19"/>
          <w:color w:val="auto"/>
        </w:rPr>
      </w:pPr>
    </w:p>
    <w:p>
      <w:pPr>
        <w:ind w:left="2200" w:hanging="896"/>
        <w:spacing w:after="0"/>
        <w:tabs>
          <w:tab w:leader="none" w:pos="220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2.27. </w:t>
      </w:r>
      <w:r>
        <w:rPr>
          <w:rFonts w:ascii="Arial" w:cs="Arial" w:eastAsia="Arial" w:hAnsi="Arial"/>
          <w:sz w:val="22"/>
          <w:szCs w:val="22"/>
          <w:u w:val="single" w:color="auto"/>
          <w:color w:val="auto"/>
        </w:rPr>
        <w:t>Increase in Commitment</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4" w:lineRule="auto"/>
        <w:tabs>
          <w:tab w:leader="none" w:pos="2251" w:val="left"/>
        </w:tabs>
        <w:numPr>
          <w:ilvl w:val="0"/>
          <w:numId w:val="306"/>
        </w:numPr>
        <w:rPr>
          <w:rFonts w:ascii="Arial" w:cs="Arial" w:eastAsia="Arial" w:hAnsi="Arial"/>
          <w:sz w:val="22"/>
          <w:szCs w:val="22"/>
          <w:color w:val="auto"/>
        </w:rPr>
      </w:pPr>
      <w:r>
        <w:rPr>
          <w:rFonts w:ascii="Arial" w:cs="Arial" w:eastAsia="Arial" w:hAnsi="Arial"/>
          <w:sz w:val="22"/>
          <w:szCs w:val="22"/>
          <w:i w:val="1"/>
          <w:iCs w:val="1"/>
          <w:color w:val="auto"/>
        </w:rPr>
        <w:t xml:space="preserve">Borrower Request </w:t>
      </w:r>
      <w:r>
        <w:rPr>
          <w:rFonts w:ascii="Arial" w:cs="Arial" w:eastAsia="Arial" w:hAnsi="Arial"/>
          <w:sz w:val="22"/>
          <w:szCs w:val="22"/>
          <w:color w:val="auto"/>
        </w:rPr>
        <w:t>. The Borrower may by written notice to the Administrative Agent request at any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time the establishment of one or more new Term Loan Commitments (each, an “ </w:t>
      </w:r>
      <w:r>
        <w:rPr>
          <w:rFonts w:ascii="Arial" w:cs="Arial" w:eastAsia="Arial" w:hAnsi="Arial"/>
          <w:sz w:val="22"/>
          <w:szCs w:val="22"/>
          <w:i w:val="1"/>
          <w:iCs w:val="1"/>
          <w:color w:val="auto"/>
        </w:rPr>
        <w:t>Incremental Term Loan Commitment</w:t>
      </w:r>
      <w:r>
        <w:rPr>
          <w:rFonts w:ascii="Arial" w:cs="Arial" w:eastAsia="Arial" w:hAnsi="Arial"/>
          <w:sz w:val="22"/>
          <w:szCs w:val="22"/>
          <w:color w:val="auto"/>
        </w:rPr>
        <w:t xml:space="preserve"> ” or the “ </w:t>
      </w:r>
      <w:r>
        <w:rPr>
          <w:rFonts w:ascii="Arial" w:cs="Arial" w:eastAsia="Arial" w:hAnsi="Arial"/>
          <w:sz w:val="22"/>
          <w:szCs w:val="22"/>
          <w:i w:val="1"/>
          <w:iCs w:val="1"/>
          <w:color w:val="auto"/>
        </w:rPr>
        <w:t xml:space="preserve">Incremental Commitments </w:t>
      </w:r>
      <w:r>
        <w:rPr>
          <w:rFonts w:ascii="Arial" w:cs="Arial" w:eastAsia="Arial" w:hAnsi="Arial"/>
          <w:sz w:val="22"/>
          <w:szCs w:val="22"/>
          <w:color w:val="auto"/>
        </w:rPr>
        <w:t>”) by an amount not less than $50,000,000 individually. Each such notice shall specify (i) the date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(each, an “ </w:t>
      </w:r>
      <w:r>
        <w:rPr>
          <w:rFonts w:ascii="Arial" w:cs="Arial" w:eastAsia="Arial" w:hAnsi="Arial"/>
          <w:sz w:val="22"/>
          <w:szCs w:val="22"/>
          <w:i w:val="1"/>
          <w:iCs w:val="1"/>
          <w:color w:val="auto"/>
        </w:rPr>
        <w:t>Increase Effective Date</w:t>
      </w:r>
      <w:r>
        <w:rPr>
          <w:rFonts w:ascii="Arial" w:cs="Arial" w:eastAsia="Arial" w:hAnsi="Arial"/>
          <w:sz w:val="22"/>
          <w:szCs w:val="22"/>
          <w:color w:val="auto"/>
        </w:rPr>
        <w:t xml:space="preserve"> ”) on which the Borrower proposes that the Incremental Commitments shall be effective, which shall be a date not less than 10 Business Days after the date on which such notice is delivered to the Administrative Agent (or such earlier date agreed by the Administrative Agent)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70" w:name="page271"/>
    <w:bookmarkEnd w:id="270"/>
    <w:p>
      <w:pPr>
        <w:jc w:val="both"/>
        <w:spacing w:after="0" w:line="218" w:lineRule="auto"/>
        <w:rPr>
          <w:sz w:val="20"/>
          <w:szCs w:val="20"/>
          <w:color w:val="auto"/>
        </w:rPr>
      </w:pPr>
      <w:r>
        <w:rPr>
          <w:rFonts w:ascii="Arial" w:cs="Arial" w:eastAsia="Arial" w:hAnsi="Arial"/>
          <w:sz w:val="22"/>
          <w:szCs w:val="22"/>
          <w:color w:val="auto"/>
        </w:rPr>
        <w:t xml:space="preserve">and (ii) the identity of each Eligible Assignee or other lender reasonably acceptable to the Administrative Agent to whom the Borrower proposes any portion of such Incremental Commitments be allocated (each, a “ </w:t>
      </w:r>
      <w:r>
        <w:rPr>
          <w:rFonts w:ascii="Arial" w:cs="Arial" w:eastAsia="Arial" w:hAnsi="Arial"/>
          <w:sz w:val="22"/>
          <w:szCs w:val="22"/>
          <w:i w:val="1"/>
          <w:iCs w:val="1"/>
          <w:color w:val="auto"/>
        </w:rPr>
        <w:t>New Lender</w:t>
      </w:r>
      <w:r>
        <w:rPr>
          <w:rFonts w:ascii="Arial" w:cs="Arial" w:eastAsia="Arial" w:hAnsi="Arial"/>
          <w:sz w:val="22"/>
          <w:szCs w:val="22"/>
          <w:color w:val="auto"/>
        </w:rPr>
        <w:t xml:space="preserve"> ”) and the amounts of such allocations;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existing Lender approached to provide all or a portion of the Incremental Commitments may elect or decline, in its sole discretion, to provide such Incremental Commitment.</w:t>
      </w:r>
    </w:p>
    <w:p>
      <w:pPr>
        <w:spacing w:after="0" w:line="161" w:lineRule="exact"/>
        <w:rPr>
          <w:sz w:val="20"/>
          <w:szCs w:val="20"/>
          <w:color w:val="auto"/>
        </w:rPr>
      </w:pPr>
    </w:p>
    <w:p>
      <w:pPr>
        <w:ind w:left="2260" w:hanging="956"/>
        <w:spacing w:after="0"/>
        <w:tabs>
          <w:tab w:leader="none" w:pos="2260" w:val="left"/>
        </w:tabs>
        <w:numPr>
          <w:ilvl w:val="0"/>
          <w:numId w:val="307"/>
        </w:numPr>
        <w:rPr>
          <w:rFonts w:ascii="Arial" w:cs="Arial" w:eastAsia="Arial" w:hAnsi="Arial"/>
          <w:sz w:val="19"/>
          <w:szCs w:val="19"/>
          <w:color w:val="auto"/>
        </w:rPr>
      </w:pPr>
      <w:r>
        <w:rPr>
          <w:rFonts w:ascii="Arial" w:cs="Arial" w:eastAsia="Arial" w:hAnsi="Arial"/>
          <w:sz w:val="19"/>
          <w:szCs w:val="19"/>
          <w:i w:val="1"/>
          <w:iCs w:val="1"/>
          <w:color w:val="auto"/>
        </w:rPr>
        <w:t xml:space="preserve">Conditions </w:t>
      </w:r>
      <w:r>
        <w:rPr>
          <w:rFonts w:ascii="Arial" w:cs="Arial" w:eastAsia="Arial" w:hAnsi="Arial"/>
          <w:sz w:val="19"/>
          <w:szCs w:val="19"/>
          <w:color w:val="auto"/>
        </w:rPr>
        <w:t>. The Incremental Commitments shall become effective, as of such Increase Effective Date;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61" w:lineRule="exact"/>
        <w:rPr>
          <w:sz w:val="20"/>
          <w:szCs w:val="20"/>
          <w:color w:val="auto"/>
        </w:rPr>
      </w:pPr>
    </w:p>
    <w:p>
      <w:pPr>
        <w:ind w:left="660" w:firstLine="644"/>
        <w:spacing w:after="0" w:line="232" w:lineRule="auto"/>
        <w:tabs>
          <w:tab w:leader="none" w:pos="2214" w:val="left"/>
        </w:tabs>
        <w:numPr>
          <w:ilvl w:val="1"/>
          <w:numId w:val="308"/>
        </w:numPr>
        <w:rPr>
          <w:rFonts w:ascii="Arial" w:cs="Arial" w:eastAsia="Arial" w:hAnsi="Arial"/>
          <w:sz w:val="22"/>
          <w:szCs w:val="22"/>
          <w:color w:val="auto"/>
        </w:rPr>
      </w:pPr>
      <w:r>
        <w:rPr>
          <w:rFonts w:ascii="Arial" w:cs="Arial" w:eastAsia="Arial" w:hAnsi="Arial"/>
          <w:sz w:val="22"/>
          <w:szCs w:val="22"/>
          <w:color w:val="auto"/>
        </w:rPr>
        <w:t>each of the conditions set forth in Section 4.02 shall be satisfied on or prior to such Increase Effective Date before and after giving effect to such Incremental Commitments;</w:t>
      </w:r>
    </w:p>
    <w:p>
      <w:pPr>
        <w:spacing w:after="0" w:line="158" w:lineRule="exact"/>
        <w:rPr>
          <w:rFonts w:ascii="Arial" w:cs="Arial" w:eastAsia="Arial" w:hAnsi="Arial"/>
          <w:sz w:val="22"/>
          <w:szCs w:val="22"/>
          <w:color w:val="auto"/>
        </w:rPr>
      </w:pPr>
    </w:p>
    <w:p>
      <w:pPr>
        <w:ind w:left="660" w:firstLine="644"/>
        <w:spacing w:after="0" w:line="247" w:lineRule="auto"/>
        <w:tabs>
          <w:tab w:leader="none" w:pos="2274" w:val="left"/>
        </w:tabs>
        <w:numPr>
          <w:ilvl w:val="1"/>
          <w:numId w:val="308"/>
        </w:numPr>
        <w:rPr>
          <w:rFonts w:ascii="Arial" w:cs="Arial" w:eastAsia="Arial" w:hAnsi="Arial"/>
          <w:sz w:val="21"/>
          <w:szCs w:val="21"/>
          <w:color w:val="auto"/>
        </w:rPr>
      </w:pPr>
      <w:r>
        <w:rPr>
          <w:rFonts w:ascii="Arial" w:cs="Arial" w:eastAsia="Arial" w:hAnsi="Arial"/>
          <w:sz w:val="21"/>
          <w:szCs w:val="21"/>
          <w:color w:val="auto"/>
        </w:rPr>
        <w:t>no Default or Event of Default shall have occurred and be continuing or would result from giving effect to the Incremental Commitments on, or the making of any new Loans on, such Increase Effective Date;</w:t>
      </w:r>
    </w:p>
    <w:p>
      <w:pPr>
        <w:spacing w:after="0" w:line="150" w:lineRule="exact"/>
        <w:rPr>
          <w:rFonts w:ascii="Arial" w:cs="Arial" w:eastAsia="Arial" w:hAnsi="Arial"/>
          <w:sz w:val="21"/>
          <w:szCs w:val="21"/>
          <w:color w:val="auto"/>
        </w:rPr>
      </w:pPr>
    </w:p>
    <w:p>
      <w:pPr>
        <w:jc w:val="both"/>
        <w:ind w:left="660" w:firstLine="644"/>
        <w:spacing w:after="0" w:line="247" w:lineRule="auto"/>
        <w:tabs>
          <w:tab w:leader="none" w:pos="2334" w:val="left"/>
        </w:tabs>
        <w:numPr>
          <w:ilvl w:val="1"/>
          <w:numId w:val="308"/>
        </w:numPr>
        <w:rPr>
          <w:rFonts w:ascii="Arial" w:cs="Arial" w:eastAsia="Arial" w:hAnsi="Arial"/>
          <w:sz w:val="19"/>
          <w:szCs w:val="19"/>
          <w:color w:val="auto"/>
        </w:rPr>
      </w:pPr>
      <w:r>
        <w:rPr>
          <w:rFonts w:ascii="Arial" w:cs="Arial" w:eastAsia="Arial" w:hAnsi="Arial"/>
          <w:sz w:val="19"/>
          <w:szCs w:val="19"/>
          <w:color w:val="auto"/>
        </w:rPr>
        <w:t>the Borrower shall provide an Officer’s Certificate demonstrating in reasonable detail that, after giving pro forma effect to (1) the Incremental Commitments, (2) any new Loans to be made on such Increase Effective Date and</w:t>
      </w:r>
    </w:p>
    <w:p>
      <w:pPr>
        <w:jc w:val="both"/>
        <w:ind w:left="660" w:hanging="4"/>
        <w:spacing w:after="0" w:line="214" w:lineRule="auto"/>
        <w:tabs>
          <w:tab w:leader="none" w:pos="970" w:val="left"/>
        </w:tabs>
        <w:numPr>
          <w:ilvl w:val="0"/>
          <w:numId w:val="309"/>
        </w:numPr>
        <w:rPr>
          <w:rFonts w:ascii="Arial" w:cs="Arial" w:eastAsia="Arial" w:hAnsi="Arial"/>
          <w:sz w:val="22"/>
          <w:szCs w:val="22"/>
          <w:color w:val="auto"/>
        </w:rPr>
      </w:pPr>
      <w:r>
        <w:rPr>
          <w:rFonts w:ascii="Arial" w:cs="Arial" w:eastAsia="Arial" w:hAnsi="Arial"/>
          <w:sz w:val="22"/>
          <w:szCs w:val="22"/>
          <w:color w:val="auto"/>
        </w:rPr>
        <w:t>the pledge of any Additional Collateral, the Collateral Coverage Ratio shall be no (i) less than 2.00 to 1.0 with respect to Collateral secured pursuant to the First Lien SGR Security Agreement or (ii) less than 1.33 to 1.0 with respect to Collateral secured pursuant to the Second Lien SGR Security Agreement and the aggregate amount of Liquidity shall be no less than $2,000,000,000; and</w:t>
      </w:r>
    </w:p>
    <w:p>
      <w:pPr>
        <w:spacing w:after="0" w:line="159" w:lineRule="exact"/>
        <w:rPr>
          <w:rFonts w:ascii="Arial" w:cs="Arial" w:eastAsia="Arial" w:hAnsi="Arial"/>
          <w:sz w:val="22"/>
          <w:szCs w:val="22"/>
          <w:color w:val="auto"/>
        </w:rPr>
      </w:pPr>
    </w:p>
    <w:p>
      <w:pPr>
        <w:ind w:left="660" w:firstLine="644"/>
        <w:spacing w:after="0" w:line="232" w:lineRule="auto"/>
        <w:tabs>
          <w:tab w:leader="none" w:pos="2322" w:val="left"/>
        </w:tabs>
        <w:numPr>
          <w:ilvl w:val="1"/>
          <w:numId w:val="309"/>
        </w:numPr>
        <w:rPr>
          <w:rFonts w:ascii="Arial" w:cs="Arial" w:eastAsia="Arial" w:hAnsi="Arial"/>
          <w:sz w:val="22"/>
          <w:szCs w:val="22"/>
          <w:color w:val="auto"/>
        </w:rPr>
      </w:pPr>
      <w:r>
        <w:rPr>
          <w:rFonts w:ascii="Arial" w:cs="Arial" w:eastAsia="Arial" w:hAnsi="Arial"/>
          <w:sz w:val="22"/>
          <w:szCs w:val="22"/>
          <w:color w:val="auto"/>
        </w:rPr>
        <w:t>the aggregate principal amount of all Term Loans under this Agreement together with any Pari Passu Senior Secured Debt shall not exceed $1,500,000,000.</w:t>
      </w:r>
    </w:p>
    <w:p>
      <w:pPr>
        <w:spacing w:after="0" w:line="159" w:lineRule="exact"/>
        <w:rPr>
          <w:sz w:val="20"/>
          <w:szCs w:val="20"/>
          <w:color w:val="auto"/>
        </w:rPr>
      </w:pPr>
    </w:p>
    <w:p>
      <w:pPr>
        <w:ind w:firstLine="1304"/>
        <w:spacing w:after="0" w:line="232" w:lineRule="auto"/>
        <w:tabs>
          <w:tab w:leader="none" w:pos="2238" w:val="left"/>
        </w:tabs>
        <w:numPr>
          <w:ilvl w:val="0"/>
          <w:numId w:val="310"/>
        </w:numPr>
        <w:rPr>
          <w:rFonts w:ascii="Arial" w:cs="Arial" w:eastAsia="Arial" w:hAnsi="Arial"/>
          <w:sz w:val="22"/>
          <w:szCs w:val="22"/>
          <w:color w:val="auto"/>
        </w:rPr>
      </w:pPr>
      <w:r>
        <w:rPr>
          <w:rFonts w:ascii="Arial" w:cs="Arial" w:eastAsia="Arial" w:hAnsi="Arial"/>
          <w:sz w:val="22"/>
          <w:szCs w:val="22"/>
          <w:i w:val="1"/>
          <w:iCs w:val="1"/>
          <w:color w:val="auto"/>
        </w:rPr>
        <w:t xml:space="preserve">Terms of New Loans and Commitments </w:t>
      </w:r>
      <w:r>
        <w:rPr>
          <w:rFonts w:ascii="Arial" w:cs="Arial" w:eastAsia="Arial" w:hAnsi="Arial"/>
          <w:sz w:val="22"/>
          <w:szCs w:val="22"/>
          <w:color w:val="auto"/>
        </w:rPr>
        <w:t>. The terms and provisions of Loans made pursuant to the new</w:t>
      </w:r>
      <w:r>
        <w:rPr>
          <w:rFonts w:ascii="Arial" w:cs="Arial" w:eastAsia="Arial" w:hAnsi="Arial"/>
          <w:sz w:val="22"/>
          <w:szCs w:val="22"/>
          <w:i w:val="1"/>
          <w:iCs w:val="1"/>
          <w:color w:val="auto"/>
        </w:rPr>
        <w:t xml:space="preserve"> </w:t>
      </w:r>
      <w:r>
        <w:rPr>
          <w:rFonts w:ascii="Arial" w:cs="Arial" w:eastAsia="Arial" w:hAnsi="Arial"/>
          <w:sz w:val="22"/>
          <w:szCs w:val="22"/>
          <w:color w:val="auto"/>
        </w:rPr>
        <w:t>Commitments shall be as follows:</w:t>
      </w:r>
    </w:p>
    <w:p>
      <w:pPr>
        <w:spacing w:after="0" w:line="159" w:lineRule="exact"/>
        <w:rPr>
          <w:sz w:val="20"/>
          <w:szCs w:val="20"/>
          <w:color w:val="auto"/>
        </w:rPr>
      </w:pPr>
    </w:p>
    <w:p>
      <w:pPr>
        <w:jc w:val="both"/>
        <w:ind w:left="660" w:right="20" w:firstLine="644"/>
        <w:spacing w:after="0" w:line="218" w:lineRule="auto"/>
        <w:tabs>
          <w:tab w:leader="none" w:pos="2227" w:val="left"/>
        </w:tabs>
        <w:numPr>
          <w:ilvl w:val="0"/>
          <w:numId w:val="311"/>
        </w:numPr>
        <w:rPr>
          <w:rFonts w:ascii="Arial" w:cs="Arial" w:eastAsia="Arial" w:hAnsi="Arial"/>
          <w:sz w:val="22"/>
          <w:szCs w:val="22"/>
          <w:color w:val="auto"/>
        </w:rPr>
      </w:pPr>
      <w:r>
        <w:rPr>
          <w:rFonts w:ascii="Arial" w:cs="Arial" w:eastAsia="Arial" w:hAnsi="Arial"/>
          <w:sz w:val="22"/>
          <w:szCs w:val="22"/>
          <w:color w:val="auto"/>
        </w:rPr>
        <w:t xml:space="preserve">terms and provisions with respect to interest rates, maturity date and amortization schedule of Loans made pursuant to any Incremental Term Loan Commitments (“ </w:t>
      </w:r>
      <w:r>
        <w:rPr>
          <w:rFonts w:ascii="Arial" w:cs="Arial" w:eastAsia="Arial" w:hAnsi="Arial"/>
          <w:sz w:val="22"/>
          <w:szCs w:val="22"/>
          <w:i w:val="1"/>
          <w:iCs w:val="1"/>
          <w:color w:val="auto"/>
        </w:rPr>
        <w:t>Incremental Term Loans</w:t>
      </w:r>
      <w:r>
        <w:rPr>
          <w:rFonts w:ascii="Arial" w:cs="Arial" w:eastAsia="Arial" w:hAnsi="Arial"/>
          <w:sz w:val="22"/>
          <w:szCs w:val="22"/>
          <w:color w:val="auto"/>
        </w:rPr>
        <w:t xml:space="preserve"> ”) shall be as agreed upon between the Borrower and the applicable Lenders providing such Loans (it being understood that the Incremental Term Loans may be part of any other Class of Term Loans);</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2287"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maturity date of any Loans made pursuant to Incremental Term Loan Commitments shall be no earlier than the Term Loan Maturity Date applicable to the Term Loans that have not been extended pursuant to Section 2.28;</w:t>
      </w:r>
    </w:p>
    <w:p>
      <w:pPr>
        <w:spacing w:after="0" w:line="158" w:lineRule="exact"/>
        <w:rPr>
          <w:rFonts w:ascii="Arial" w:cs="Arial" w:eastAsia="Arial" w:hAnsi="Arial"/>
          <w:sz w:val="22"/>
          <w:szCs w:val="22"/>
          <w:color w:val="auto"/>
        </w:rPr>
      </w:pPr>
    </w:p>
    <w:p>
      <w:pPr>
        <w:jc w:val="both"/>
        <w:ind w:left="660" w:right="20" w:firstLine="644"/>
        <w:spacing w:after="0" w:line="223" w:lineRule="auto"/>
        <w:tabs>
          <w:tab w:leader="none" w:pos="2374"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Weighted Average Life to Maturity of any Loans made pursuant to Incremental Term Loan Commitments shall be no shorter than the Weighted Average Life to Maturity of the Term Loan Commitments made on the Closing 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1" w:name="page272"/>
    <w:bookmarkEnd w:id="271"/>
    <w:p>
      <w:pPr>
        <w:jc w:val="both"/>
        <w:ind w:left="660" w:firstLine="644"/>
        <w:spacing w:after="0" w:line="243" w:lineRule="auto"/>
        <w:tabs>
          <w:tab w:leader="none" w:pos="2322" w:val="left"/>
        </w:tabs>
        <w:numPr>
          <w:ilvl w:val="0"/>
          <w:numId w:val="312"/>
        </w:numPr>
        <w:rPr>
          <w:rFonts w:ascii="Arial" w:cs="Arial" w:eastAsia="Arial" w:hAnsi="Arial"/>
          <w:sz w:val="19"/>
          <w:szCs w:val="19"/>
          <w:color w:val="auto"/>
        </w:rPr>
      </w:pPr>
      <w:r>
        <w:rPr>
          <w:rFonts w:ascii="Arial" w:cs="Arial" w:eastAsia="Arial" w:hAnsi="Arial"/>
          <w:sz w:val="19"/>
          <w:szCs w:val="19"/>
          <w:color w:val="auto"/>
        </w:rPr>
        <w:t xml:space="preserve">the interest rate margins for the Incremental Term Loans shall be determined by the Borrower and the applicable Lenders providing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with respect to any Class of Incremental Term Loans, if the All-In Initial Yield on such Class of Incremental Term Loans exceeds the All-In Initial Yield on the Term Loans funded hereunder (the “ </w:t>
      </w:r>
      <w:r>
        <w:rPr>
          <w:rFonts w:ascii="Arial" w:cs="Arial" w:eastAsia="Arial" w:hAnsi="Arial"/>
          <w:sz w:val="19"/>
          <w:szCs w:val="19"/>
          <w:i w:val="1"/>
          <w:iCs w:val="1"/>
          <w:color w:val="auto"/>
        </w:rPr>
        <w:t>Original Term Loans</w:t>
      </w:r>
      <w:r>
        <w:rPr>
          <w:rFonts w:ascii="Arial" w:cs="Arial" w:eastAsia="Arial" w:hAnsi="Arial"/>
          <w:sz w:val="19"/>
          <w:szCs w:val="19"/>
          <w:color w:val="auto"/>
        </w:rPr>
        <w:t xml:space="preserve"> ”) by more than 50 basis points (the amount of such excess, if any, above 50 basis points being referred to herein as the “ </w:t>
      </w:r>
      <w:r>
        <w:rPr>
          <w:rFonts w:ascii="Arial" w:cs="Arial" w:eastAsia="Arial" w:hAnsi="Arial"/>
          <w:sz w:val="19"/>
          <w:szCs w:val="19"/>
          <w:i w:val="1"/>
          <w:iCs w:val="1"/>
          <w:color w:val="auto"/>
        </w:rPr>
        <w:t>Yield Differential</w:t>
      </w:r>
      <w:r>
        <w:rPr>
          <w:rFonts w:ascii="Arial" w:cs="Arial" w:eastAsia="Arial" w:hAnsi="Arial"/>
          <w:sz w:val="19"/>
          <w:szCs w:val="19"/>
          <w:color w:val="auto"/>
        </w:rPr>
        <w:t xml:space="preserve"> ”), then the interest rate margin (and, as provided in the following proviso, the LIBO Rate floor) then in effect for the Original Term Loans shall be increased to eliminate such Yield Differential;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any portion of the Yield Differential is attributable to any LIBO Rate floor applicable to such Class of Incremental Term Loans exceeding the LIBO Rate floor applicable to the Original Term Loans, the LIBO Rate floor applicable to the Original Term Loans shall first be increased to eliminate such Yield Differential to an amount not to exceed the LIBO Rate floor applicable to such Class of Incremental Term Loans prior to any increase in the interest rate margin applicable to such Original Term Loans;</w:t>
      </w:r>
    </w:p>
    <w:p>
      <w:pPr>
        <w:spacing w:after="0" w:line="158" w:lineRule="exact"/>
        <w:rPr>
          <w:rFonts w:ascii="Arial" w:cs="Arial" w:eastAsia="Arial" w:hAnsi="Arial"/>
          <w:sz w:val="19"/>
          <w:szCs w:val="19"/>
          <w:color w:val="auto"/>
        </w:rPr>
      </w:pPr>
    </w:p>
    <w:p>
      <w:pPr>
        <w:ind w:left="2260" w:hanging="956"/>
        <w:spacing w:after="0"/>
        <w:tabs>
          <w:tab w:leader="none" w:pos="226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ind w:left="2320" w:hanging="1016"/>
        <w:spacing w:after="0"/>
        <w:tabs>
          <w:tab w:leader="none" w:pos="2320" w:val="left"/>
        </w:tabs>
        <w:numPr>
          <w:ilvl w:val="0"/>
          <w:numId w:val="312"/>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79" w:lineRule="exact"/>
        <w:rPr>
          <w:rFonts w:ascii="Arial" w:cs="Arial" w:eastAsia="Arial" w:hAnsi="Arial"/>
          <w:sz w:val="22"/>
          <w:szCs w:val="22"/>
          <w:color w:val="auto"/>
        </w:rPr>
      </w:pPr>
    </w:p>
    <w:p>
      <w:pPr>
        <w:jc w:val="both"/>
        <w:ind w:left="660" w:firstLine="644"/>
        <w:spacing w:after="0" w:line="234" w:lineRule="auto"/>
        <w:tabs>
          <w:tab w:leader="none" w:pos="2409" w:val="left"/>
        </w:tabs>
        <w:numPr>
          <w:ilvl w:val="0"/>
          <w:numId w:val="312"/>
        </w:numPr>
        <w:rPr>
          <w:rFonts w:ascii="Arial" w:cs="Arial" w:eastAsia="Arial" w:hAnsi="Arial"/>
          <w:sz w:val="21"/>
          <w:szCs w:val="21"/>
          <w:color w:val="auto"/>
        </w:rPr>
      </w:pPr>
      <w:r>
        <w:rPr>
          <w:rFonts w:ascii="Arial" w:cs="Arial" w:eastAsia="Arial" w:hAnsi="Arial"/>
          <w:sz w:val="21"/>
          <w:szCs w:val="21"/>
          <w:color w:val="auto"/>
        </w:rPr>
        <w:t>to the extent that the terms and provisions of Incremental Term Loans are not consistent with an outstanding Class of Term Loans (except to the extent permitted by clauses (i), (ii), (iii), (iv), (v) and (vi) above), such terms and conditions shall be reasonably satisfactory to the Administrative Agent and the Borrower.</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The Incremental Commitments shall be effected by a joinder agreement (the “ </w:t>
      </w:r>
      <w:r>
        <w:rPr>
          <w:rFonts w:ascii="Arial" w:cs="Arial" w:eastAsia="Arial" w:hAnsi="Arial"/>
          <w:sz w:val="21"/>
          <w:szCs w:val="21"/>
          <w:i w:val="1"/>
          <w:iCs w:val="1"/>
          <w:color w:val="auto"/>
        </w:rPr>
        <w:t>Increase Joinder</w:t>
      </w:r>
      <w:r>
        <w:rPr>
          <w:rFonts w:ascii="Arial" w:cs="Arial" w:eastAsia="Arial" w:hAnsi="Arial"/>
          <w:sz w:val="21"/>
          <w:szCs w:val="21"/>
          <w:color w:val="auto"/>
        </w:rPr>
        <w:t xml:space="preserve"> ”)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Term Loans shall be deemed, unless the context otherwise requires, to include references to Incremental Term Loans that are Term Loans, made pursuant to this Agreement.</w:t>
      </w:r>
    </w:p>
    <w:p>
      <w:pPr>
        <w:spacing w:after="0" w:line="372" w:lineRule="exact"/>
        <w:rPr>
          <w:sz w:val="20"/>
          <w:szCs w:val="20"/>
          <w:color w:val="auto"/>
        </w:rPr>
      </w:pPr>
    </w:p>
    <w:p>
      <w:pPr>
        <w:ind w:left="2260" w:hanging="956"/>
        <w:spacing w:after="0"/>
        <w:tabs>
          <w:tab w:leader="none" w:pos="2260" w:val="left"/>
        </w:tabs>
        <w:numPr>
          <w:ilvl w:val="0"/>
          <w:numId w:val="313"/>
        </w:numPr>
        <w:rPr>
          <w:rFonts w:ascii="Arial" w:cs="Arial" w:eastAsia="Arial" w:hAnsi="Arial"/>
          <w:sz w:val="22"/>
          <w:szCs w:val="22"/>
          <w:color w:val="auto"/>
        </w:rPr>
      </w:pPr>
      <w:r>
        <w:rPr>
          <w:rFonts w:ascii="Arial" w:cs="Arial" w:eastAsia="Arial" w:hAnsi="Arial"/>
          <w:sz w:val="22"/>
          <w:szCs w:val="22"/>
          <w:i w:val="1"/>
          <w:iCs w:val="1"/>
          <w:color w:val="auto"/>
        </w:rPr>
        <w:t xml:space="preserve">[reserved] </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2238" w:val="left"/>
        </w:tabs>
        <w:numPr>
          <w:ilvl w:val="0"/>
          <w:numId w:val="313"/>
        </w:numPr>
        <w:rPr>
          <w:rFonts w:ascii="Arial" w:cs="Arial" w:eastAsia="Arial" w:hAnsi="Arial"/>
          <w:sz w:val="22"/>
          <w:szCs w:val="22"/>
          <w:color w:val="auto"/>
        </w:rPr>
      </w:pPr>
      <w:r>
        <w:rPr>
          <w:rFonts w:ascii="Arial" w:cs="Arial" w:eastAsia="Arial" w:hAnsi="Arial"/>
          <w:sz w:val="22"/>
          <w:szCs w:val="22"/>
          <w:i w:val="1"/>
          <w:iCs w:val="1"/>
          <w:color w:val="auto"/>
        </w:rPr>
        <w:t xml:space="preserve">Making of New Term Loans </w:t>
      </w:r>
      <w:r>
        <w:rPr>
          <w:rFonts w:ascii="Arial" w:cs="Arial" w:eastAsia="Arial" w:hAnsi="Arial"/>
          <w:sz w:val="22"/>
          <w:szCs w:val="22"/>
          <w:color w:val="auto"/>
        </w:rPr>
        <w:t>. On any Increase Effective Date on which one or more Incremental Term</w:t>
      </w:r>
      <w:r>
        <w:rPr>
          <w:rFonts w:ascii="Arial" w:cs="Arial" w:eastAsia="Arial" w:hAnsi="Arial"/>
          <w:sz w:val="22"/>
          <w:szCs w:val="22"/>
          <w:i w:val="1"/>
          <w:iCs w:val="1"/>
          <w:color w:val="auto"/>
        </w:rPr>
        <w:t xml:space="preserve"> </w:t>
      </w:r>
      <w:r>
        <w:rPr>
          <w:rFonts w:ascii="Arial" w:cs="Arial" w:eastAsia="Arial" w:hAnsi="Arial"/>
          <w:sz w:val="22"/>
          <w:szCs w:val="22"/>
          <w:color w:val="auto"/>
        </w:rPr>
        <w:t>Loan Commitments becomes effective, subject to the satisfaction of the foregoing terms and conditions, each Lender of such Incremental Term Loan Commitment shall make an Incremental Term Loan to the Borrower in an amount equal to its Incremental Term Loan Commitment.</w:t>
      </w:r>
    </w:p>
    <w:p>
      <w:pPr>
        <w:spacing w:after="0" w:line="160" w:lineRule="exact"/>
        <w:rPr>
          <w:rFonts w:ascii="Arial" w:cs="Arial" w:eastAsia="Arial" w:hAnsi="Arial"/>
          <w:sz w:val="22"/>
          <w:szCs w:val="22"/>
          <w:color w:val="auto"/>
        </w:rPr>
      </w:pPr>
    </w:p>
    <w:p>
      <w:pPr>
        <w:jc w:val="both"/>
        <w:ind w:firstLine="1304"/>
        <w:spacing w:after="0" w:line="218" w:lineRule="auto"/>
        <w:tabs>
          <w:tab w:leader="none" w:pos="2241" w:val="left"/>
        </w:tabs>
        <w:numPr>
          <w:ilvl w:val="0"/>
          <w:numId w:val="313"/>
        </w:numPr>
        <w:rPr>
          <w:rFonts w:ascii="Arial" w:cs="Arial" w:eastAsia="Arial" w:hAnsi="Arial"/>
          <w:sz w:val="22"/>
          <w:szCs w:val="22"/>
          <w:color w:val="auto"/>
        </w:rPr>
      </w:pPr>
      <w:r>
        <w:rPr>
          <w:rFonts w:ascii="Arial" w:cs="Arial" w:eastAsia="Arial" w:hAnsi="Arial"/>
          <w:sz w:val="22"/>
          <w:szCs w:val="22"/>
          <w:i w:val="1"/>
          <w:iCs w:val="1"/>
          <w:color w:val="auto"/>
        </w:rPr>
        <w:t xml:space="preserve">Security and Guaranty </w:t>
      </w:r>
      <w:r>
        <w:rPr>
          <w:rFonts w:ascii="Arial" w:cs="Arial" w:eastAsia="Arial" w:hAnsi="Arial"/>
          <w:sz w:val="22"/>
          <w:szCs w:val="22"/>
          <w:color w:val="auto"/>
        </w:rPr>
        <w:t>. The Incremental Commitments will be secured on a</w:t>
      </w:r>
      <w:r>
        <w:rPr>
          <w:rFonts w:ascii="Arial" w:cs="Arial" w:eastAsia="Arial" w:hAnsi="Arial"/>
          <w:sz w:val="22"/>
          <w:szCs w:val="22"/>
          <w:i w:val="1"/>
          <w:iCs w:val="1"/>
          <w:color w:val="auto"/>
        </w:rPr>
        <w:t xml:space="preserve"> pari passu </w:t>
      </w:r>
      <w:r>
        <w:rPr>
          <w:rFonts w:ascii="Arial" w:cs="Arial" w:eastAsia="Arial" w:hAnsi="Arial"/>
          <w:sz w:val="22"/>
          <w:szCs w:val="22"/>
          <w:color w:val="auto"/>
        </w:rPr>
        <w:t>or (at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Borrower’s option) junior basis by the same Collateral securing the obligations under the Facilities, and the Incremental Commitments and any incremental loans drawn thereunder shall rank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in right of payment with or (at the Borrower’s option) junior to the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2" w:name="page273"/>
    <w:bookmarkEnd w:id="272"/>
    <w:p>
      <w:pPr>
        <w:spacing w:after="0" w:line="232" w:lineRule="auto"/>
        <w:rPr>
          <w:sz w:val="20"/>
          <w:szCs w:val="20"/>
          <w:color w:val="auto"/>
        </w:rPr>
      </w:pPr>
      <w:r>
        <w:rPr>
          <w:rFonts w:ascii="Arial" w:cs="Arial" w:eastAsia="Arial" w:hAnsi="Arial"/>
          <w:sz w:val="22"/>
          <w:szCs w:val="22"/>
          <w:color w:val="auto"/>
        </w:rPr>
        <w:t>under the Facilities (it being understood any such junior liens shall be subject to any Intercreditor Agreement or any Other Intercreditor Agreement). Incremental Commitments shall benefit from the same guarantees as the Facilities.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2.28. </w:t>
      </w:r>
      <w:r>
        <w:rPr>
          <w:rFonts w:ascii="Arial" w:cs="Arial" w:eastAsia="Arial" w:hAnsi="Arial"/>
          <w:sz w:val="22"/>
          <w:szCs w:val="22"/>
          <w:u w:val="single" w:color="auto"/>
          <w:color w:val="auto"/>
        </w:rPr>
        <w:t>Extension of Term Loans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43" w:lineRule="auto"/>
        <w:tabs>
          <w:tab w:leader="none" w:pos="2238" w:val="left"/>
        </w:tabs>
        <w:numPr>
          <w:ilvl w:val="0"/>
          <w:numId w:val="314"/>
        </w:numPr>
        <w:rPr>
          <w:rFonts w:ascii="Arial" w:cs="Arial" w:eastAsia="Arial" w:hAnsi="Arial"/>
          <w:sz w:val="19"/>
          <w:szCs w:val="19"/>
          <w:color w:val="auto"/>
        </w:rPr>
      </w:pPr>
      <w:r>
        <w:rPr>
          <w:rFonts w:ascii="Arial" w:cs="Arial" w:eastAsia="Arial" w:hAnsi="Arial"/>
          <w:sz w:val="19"/>
          <w:szCs w:val="19"/>
          <w:i w:val="1"/>
          <w:iCs w:val="1"/>
          <w:color w:val="auto"/>
        </w:rPr>
        <w:t xml:space="preserve">Extension of Term Loans </w:t>
      </w:r>
      <w:r>
        <w:rPr>
          <w:rFonts w:ascii="Arial" w:cs="Arial" w:eastAsia="Arial" w:hAnsi="Arial"/>
          <w:sz w:val="19"/>
          <w:szCs w:val="19"/>
          <w:color w:val="auto"/>
        </w:rPr>
        <w:t>. Notwithstanding anything to the contrary in this Agreement, pursuant to one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or more offers (each, a “ </w:t>
      </w:r>
      <w:r>
        <w:rPr>
          <w:rFonts w:ascii="Arial" w:cs="Arial" w:eastAsia="Arial" w:hAnsi="Arial"/>
          <w:sz w:val="19"/>
          <w:szCs w:val="19"/>
          <w:i w:val="1"/>
          <w:iCs w:val="1"/>
          <w:color w:val="auto"/>
        </w:rPr>
        <w:t>Extension Offer</w:t>
      </w:r>
      <w:r>
        <w:rPr>
          <w:rFonts w:ascii="Arial" w:cs="Arial" w:eastAsia="Arial" w:hAnsi="Arial"/>
          <w:sz w:val="19"/>
          <w:szCs w:val="19"/>
          <w:color w:val="auto"/>
        </w:rPr>
        <w:t xml:space="preserve"> ”),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Extension Offers to extend the scheduled maturity date with respect to all or a portion of any outstanding principal amount of such Term Lender’s Term Loans and otherwise modify the terms of such Term Loans pursuant to the terms of the relevant Extension Offer (including, without limitation, by changing the interest rate or fees payable in respect of such Term Loan Commitments) (each, a “ </w:t>
      </w:r>
      <w:r>
        <w:rPr>
          <w:rFonts w:ascii="Arial" w:cs="Arial" w:eastAsia="Arial" w:hAnsi="Arial"/>
          <w:sz w:val="19"/>
          <w:szCs w:val="19"/>
          <w:i w:val="1"/>
          <w:iCs w:val="1"/>
          <w:color w:val="auto"/>
        </w:rPr>
        <w:t>Extension</w:t>
      </w:r>
      <w:r>
        <w:rPr>
          <w:rFonts w:ascii="Arial" w:cs="Arial" w:eastAsia="Arial" w:hAnsi="Arial"/>
          <w:sz w:val="19"/>
          <w:szCs w:val="19"/>
          <w:color w:val="auto"/>
        </w:rPr>
        <w:t xml:space="preserve"> ,” and each group of Term Loans, as so extended, as well as the original Term Loans not so extended, being a “ </w:t>
      </w:r>
      <w:r>
        <w:rPr>
          <w:rFonts w:ascii="Arial" w:cs="Arial" w:eastAsia="Arial" w:hAnsi="Arial"/>
          <w:sz w:val="19"/>
          <w:szCs w:val="19"/>
          <w:i w:val="1"/>
          <w:iCs w:val="1"/>
          <w:color w:val="auto"/>
        </w:rPr>
        <w:t>tranche of Term Loans</w:t>
      </w:r>
      <w:r>
        <w:rPr>
          <w:rFonts w:ascii="Arial" w:cs="Arial" w:eastAsia="Arial" w:hAnsi="Arial"/>
          <w:sz w:val="19"/>
          <w:szCs w:val="19"/>
          <w:color w:val="auto"/>
        </w:rPr>
        <w:t xml:space="preserve"> ,” and subject to the last sentence of the definition of “Class,” any Extended Term Loan shall constitute a separate tranche of Term Loans from the tranche of Term Loans from which they were converted), so long as the following terms are satisfied:</w:t>
      </w:r>
    </w:p>
    <w:p>
      <w:pPr>
        <w:spacing w:after="0" w:line="159" w:lineRule="exact"/>
        <w:rPr>
          <w:sz w:val="20"/>
          <w:szCs w:val="20"/>
          <w:color w:val="auto"/>
        </w:rPr>
      </w:pPr>
    </w:p>
    <w:p>
      <w:pPr>
        <w:ind w:left="660" w:firstLine="644"/>
        <w:spacing w:after="0" w:line="298" w:lineRule="auto"/>
        <w:tabs>
          <w:tab w:leader="none" w:pos="2214" w:val="left"/>
        </w:tabs>
        <w:numPr>
          <w:ilvl w:val="0"/>
          <w:numId w:val="315"/>
        </w:numPr>
        <w:rPr>
          <w:rFonts w:ascii="Arial" w:cs="Arial" w:eastAsia="Arial" w:hAnsi="Arial"/>
          <w:sz w:val="19"/>
          <w:szCs w:val="19"/>
          <w:color w:val="auto"/>
        </w:rPr>
      </w:pPr>
      <w:r>
        <w:rPr>
          <w:rFonts w:ascii="Arial" w:cs="Arial" w:eastAsia="Arial" w:hAnsi="Arial"/>
          <w:sz w:val="19"/>
          <w:szCs w:val="19"/>
          <w:color w:val="auto"/>
        </w:rPr>
        <w:t>no Event of Default pursuant to Section 7.01(b), (e)(B), (f) or (g) shall have occurred and be continuing at the time the offering document in respect of a Extension Offer is delivered to the applicable Term Lenders;</w:t>
      </w:r>
    </w:p>
    <w:p>
      <w:pPr>
        <w:spacing w:after="0" w:line="105" w:lineRule="exact"/>
        <w:rPr>
          <w:rFonts w:ascii="Arial" w:cs="Arial" w:eastAsia="Arial" w:hAnsi="Arial"/>
          <w:sz w:val="19"/>
          <w:szCs w:val="19"/>
          <w:color w:val="auto"/>
        </w:rPr>
      </w:pPr>
    </w:p>
    <w:p>
      <w:pPr>
        <w:jc w:val="both"/>
        <w:ind w:left="660" w:firstLine="644"/>
        <w:spacing w:after="0" w:line="241" w:lineRule="auto"/>
        <w:tabs>
          <w:tab w:leader="none" w:pos="2274" w:val="left"/>
        </w:tabs>
        <w:numPr>
          <w:ilvl w:val="0"/>
          <w:numId w:val="315"/>
        </w:numPr>
        <w:rPr>
          <w:rFonts w:ascii="Arial" w:cs="Arial" w:eastAsia="Arial" w:hAnsi="Arial"/>
          <w:sz w:val="19"/>
          <w:szCs w:val="19"/>
          <w:color w:val="auto"/>
        </w:rPr>
      </w:pPr>
      <w:r>
        <w:rPr>
          <w:rFonts w:ascii="Arial" w:cs="Arial" w:eastAsia="Arial" w:hAnsi="Arial"/>
          <w:sz w:val="19"/>
          <w:szCs w:val="19"/>
          <w:color w:val="auto"/>
        </w:rPr>
        <w:t xml:space="preserve">except as to interest rates, fees, scheduled amortization payments of principal and final maturity (which shall be as set forth in the relevant Extension Offer), the Term Loan of any Term Lender that agrees to a Extension with respect to such Term Loan extended pursuant to an Extension Amendment (an “ </w:t>
      </w:r>
      <w:r>
        <w:rPr>
          <w:rFonts w:ascii="Arial" w:cs="Arial" w:eastAsia="Arial" w:hAnsi="Arial"/>
          <w:sz w:val="19"/>
          <w:szCs w:val="19"/>
          <w:i w:val="1"/>
          <w:iCs w:val="1"/>
          <w:color w:val="auto"/>
        </w:rPr>
        <w:t>Extended Term Loan</w:t>
      </w:r>
      <w:r>
        <w:rPr>
          <w:rFonts w:ascii="Arial" w:cs="Arial" w:eastAsia="Arial" w:hAnsi="Arial"/>
          <w:sz w:val="19"/>
          <w:szCs w:val="19"/>
          <w:color w:val="auto"/>
        </w:rPr>
        <w:t xml:space="preserve"> ”), shall be a Term Loan with the same terms as the original Class of Term Loans being extended;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the permanent repayment of Extended Term Loans after the applicable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3" w:name="page274"/>
    <w:bookmarkEnd w:id="273"/>
    <w:p>
      <w:pPr>
        <w:jc w:val="center"/>
        <w:ind w:right="-39"/>
        <w:spacing w:after="0"/>
        <w:rPr>
          <w:sz w:val="20"/>
          <w:szCs w:val="20"/>
          <w:color w:val="auto"/>
        </w:rPr>
      </w:pPr>
      <w:r>
        <w:rPr>
          <w:rFonts w:ascii="Arial" w:cs="Arial" w:eastAsia="Arial" w:hAnsi="Arial"/>
          <w:sz w:val="22"/>
          <w:szCs w:val="22"/>
          <w:color w:val="auto"/>
        </w:rPr>
        <w:t>(including Extended Term Loans and any original Term Loans) which have more than five different maturity dates;</w:t>
      </w:r>
    </w:p>
    <w:p>
      <w:pPr>
        <w:spacing w:after="0" w:line="179" w:lineRule="exact"/>
        <w:rPr>
          <w:sz w:val="20"/>
          <w:szCs w:val="20"/>
          <w:color w:val="auto"/>
        </w:rPr>
      </w:pPr>
    </w:p>
    <w:p>
      <w:pPr>
        <w:ind w:left="2320" w:hanging="1016"/>
        <w:spacing w:after="0"/>
        <w:tabs>
          <w:tab w:leader="none" w:pos="232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all documentation in respect of such Extension shall be consistent with the foregoing;</w:t>
      </w:r>
    </w:p>
    <w:p>
      <w:pPr>
        <w:spacing w:after="0" w:line="179" w:lineRule="exact"/>
        <w:rPr>
          <w:rFonts w:ascii="Arial" w:cs="Arial" w:eastAsia="Arial" w:hAnsi="Arial"/>
          <w:sz w:val="22"/>
          <w:szCs w:val="22"/>
          <w:color w:val="auto"/>
        </w:rPr>
      </w:pPr>
    </w:p>
    <w:p>
      <w:pPr>
        <w:ind w:left="660" w:firstLine="644"/>
        <w:spacing w:after="0" w:line="232" w:lineRule="auto"/>
        <w:tabs>
          <w:tab w:leader="none" w:pos="2322" w:val="left"/>
        </w:tabs>
        <w:numPr>
          <w:ilvl w:val="0"/>
          <w:numId w:val="316"/>
        </w:numPr>
        <w:rPr>
          <w:rFonts w:ascii="Arial" w:cs="Arial" w:eastAsia="Arial" w:hAnsi="Arial"/>
          <w:sz w:val="22"/>
          <w:szCs w:val="22"/>
          <w:color w:val="auto"/>
        </w:rPr>
      </w:pPr>
      <w:r>
        <w:rPr>
          <w:rFonts w:ascii="Arial" w:cs="Arial" w:eastAsia="Arial" w:hAnsi="Arial"/>
          <w:sz w:val="22"/>
          <w:szCs w:val="22"/>
          <w:color w:val="auto"/>
        </w:rPr>
        <w:t>the Borrower may amend, revoke or replace a Extension Offer at any time prior to the date on which Lenders under the tranche of Term Loans are requested to respond to the offer; and</w:t>
      </w:r>
    </w:p>
    <w:p>
      <w:pPr>
        <w:spacing w:after="0" w:line="158" w:lineRule="exact"/>
        <w:rPr>
          <w:rFonts w:ascii="Arial" w:cs="Arial" w:eastAsia="Arial" w:hAnsi="Arial"/>
          <w:sz w:val="22"/>
          <w:szCs w:val="22"/>
          <w:color w:val="auto"/>
        </w:rPr>
      </w:pPr>
    </w:p>
    <w:p>
      <w:pPr>
        <w:ind w:left="660" w:right="20" w:firstLine="644"/>
        <w:spacing w:after="0" w:line="232" w:lineRule="auto"/>
        <w:tabs>
          <w:tab w:leader="none" w:pos="2262" w:val="left"/>
        </w:tabs>
        <w:numPr>
          <w:ilvl w:val="0"/>
          <w:numId w:val="316"/>
        </w:numPr>
        <w:rPr>
          <w:rFonts w:ascii="Arial" w:cs="Arial" w:eastAsia="Arial" w:hAnsi="Arial"/>
          <w:sz w:val="22"/>
          <w:szCs w:val="22"/>
          <w:color w:val="auto"/>
        </w:rPr>
      </w:pPr>
      <w:r>
        <w:rPr>
          <w:rFonts w:ascii="Arial" w:cs="Arial" w:eastAsia="Arial" w:hAnsi="Arial"/>
          <w:sz w:val="22"/>
          <w:szCs w:val="22"/>
          <w:color w:val="auto"/>
        </w:rPr>
        <w:t>any applicable Minimum Extension Condition shall be satisfied unless waived by the Borrower. For the avoidance of doubt, no Term Lender shall be obligated to accept any Extension Offer.</w:t>
      </w:r>
    </w:p>
    <w:p>
      <w:pPr>
        <w:spacing w:after="0" w:line="159" w:lineRule="exact"/>
        <w:rPr>
          <w:sz w:val="20"/>
          <w:szCs w:val="20"/>
          <w:color w:val="auto"/>
        </w:rPr>
      </w:pPr>
    </w:p>
    <w:p>
      <w:pPr>
        <w:ind w:left="2260" w:hanging="956"/>
        <w:spacing w:after="0"/>
        <w:tabs>
          <w:tab w:leader="none" w:pos="2260" w:val="left"/>
        </w:tabs>
        <w:numPr>
          <w:ilvl w:val="0"/>
          <w:numId w:val="317"/>
        </w:numPr>
        <w:rPr>
          <w:rFonts w:ascii="Arial" w:cs="Arial" w:eastAsia="Arial" w:hAnsi="Arial"/>
          <w:sz w:val="22"/>
          <w:szCs w:val="22"/>
          <w:color w:val="auto"/>
        </w:rPr>
      </w:pPr>
      <w:r>
        <w:rPr>
          <w:rFonts w:ascii="Arial" w:cs="Arial" w:eastAsia="Arial" w:hAnsi="Arial"/>
          <w:sz w:val="22"/>
          <w:szCs w:val="22"/>
          <w:i w:val="1"/>
          <w:iCs w:val="1"/>
          <w:color w:val="auto"/>
        </w:rPr>
        <w:t>[Reserved]</w:t>
      </w:r>
    </w:p>
    <w:p>
      <w:pPr>
        <w:spacing w:after="0" w:line="179" w:lineRule="exact"/>
        <w:rPr>
          <w:rFonts w:ascii="Arial" w:cs="Arial" w:eastAsia="Arial" w:hAnsi="Arial"/>
          <w:sz w:val="22"/>
          <w:szCs w:val="22"/>
          <w:color w:val="auto"/>
        </w:rPr>
      </w:pPr>
    </w:p>
    <w:p>
      <w:pPr>
        <w:jc w:val="both"/>
        <w:ind w:firstLine="1304"/>
        <w:spacing w:after="0" w:line="244" w:lineRule="auto"/>
        <w:tabs>
          <w:tab w:leader="none" w:pos="2238" w:val="left"/>
        </w:tabs>
        <w:numPr>
          <w:ilvl w:val="0"/>
          <w:numId w:val="317"/>
        </w:numPr>
        <w:rPr>
          <w:rFonts w:ascii="Arial" w:cs="Arial" w:eastAsia="Arial" w:hAnsi="Arial"/>
          <w:sz w:val="19"/>
          <w:szCs w:val="19"/>
          <w:color w:val="auto"/>
        </w:rPr>
      </w:pPr>
      <w:r>
        <w:rPr>
          <w:rFonts w:ascii="Arial" w:cs="Arial" w:eastAsia="Arial" w:hAnsi="Arial"/>
          <w:sz w:val="19"/>
          <w:szCs w:val="19"/>
          <w:i w:val="1"/>
          <w:iCs w:val="1"/>
          <w:color w:val="auto"/>
        </w:rPr>
        <w:t xml:space="preserve">Minimum Extension Condition </w:t>
      </w:r>
      <w:r>
        <w:rPr>
          <w:rFonts w:ascii="Arial" w:cs="Arial" w:eastAsia="Arial" w:hAnsi="Arial"/>
          <w:sz w:val="19"/>
          <w:szCs w:val="19"/>
          <w:color w:val="auto"/>
        </w:rPr>
        <w:t>. With respect to all Extensions consummated by the Borrower pursuant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to this Section 2.28, (i) such Extensions shall not constitute mandatory or voluntary payments or prepayments for purposes of Section 2.12 or Section 2.13 and (ii) each Extension Offer shall specify the minimum amount of Term Loans or Commitments (if any), as the case may be, to be tendered, which shall be a minimum amount approved by the Administrative Agent (a “ </w:t>
      </w:r>
      <w:r>
        <w:rPr>
          <w:rFonts w:ascii="Arial" w:cs="Arial" w:eastAsia="Arial" w:hAnsi="Arial"/>
          <w:sz w:val="19"/>
          <w:szCs w:val="19"/>
          <w:i w:val="1"/>
          <w:iCs w:val="1"/>
          <w:color w:val="auto"/>
        </w:rPr>
        <w:t>Minimum</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Extension Condition </w:t>
      </w:r>
      <w:r>
        <w:rPr>
          <w:rFonts w:ascii="Arial" w:cs="Arial" w:eastAsia="Arial" w:hAnsi="Arial"/>
          <w:sz w:val="19"/>
          <w:szCs w:val="19"/>
          <w:color w:val="auto"/>
        </w:rPr>
        <w:t>”). The Administrative Agent and the Lenders hereby consent to the transactions contemplated by this</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2.28 (including, for the avoidance of doubt, payment of any interest, fees or premium in respect of any Extended Term Loans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w:t>
      </w:r>
    </w:p>
    <w:p>
      <w:pPr>
        <w:spacing w:after="0" w:line="160" w:lineRule="exact"/>
        <w:rPr>
          <w:rFonts w:ascii="Arial" w:cs="Arial" w:eastAsia="Arial" w:hAnsi="Arial"/>
          <w:sz w:val="19"/>
          <w:szCs w:val="19"/>
          <w:color w:val="auto"/>
        </w:rPr>
      </w:pPr>
    </w:p>
    <w:p>
      <w:pPr>
        <w:jc w:val="both"/>
        <w:ind w:firstLine="1304"/>
        <w:spacing w:after="0" w:line="220" w:lineRule="exact"/>
        <w:tabs>
          <w:tab w:leader="none" w:pos="2263" w:val="left"/>
        </w:tabs>
        <w:numPr>
          <w:ilvl w:val="0"/>
          <w:numId w:val="317"/>
        </w:numPr>
        <w:rPr>
          <w:rFonts w:ascii="Arial" w:cs="Arial" w:eastAsia="Arial" w:hAnsi="Arial"/>
          <w:sz w:val="19"/>
          <w:szCs w:val="19"/>
          <w:color w:val="auto"/>
        </w:rPr>
      </w:pPr>
      <w:r>
        <w:rPr>
          <w:rFonts w:ascii="Arial" w:cs="Arial" w:eastAsia="Arial" w:hAnsi="Arial"/>
          <w:sz w:val="19"/>
          <w:szCs w:val="19"/>
          <w:i w:val="1"/>
          <w:iCs w:val="1"/>
          <w:color w:val="auto"/>
        </w:rPr>
        <w:t xml:space="preserve">Extension Amendment </w:t>
      </w:r>
      <w:r>
        <w:rPr>
          <w:rFonts w:ascii="Arial" w:cs="Arial" w:eastAsia="Arial" w:hAnsi="Arial"/>
          <w:sz w:val="19"/>
          <w:szCs w:val="19"/>
          <w:color w:val="auto"/>
        </w:rPr>
        <w:t>. The consent of the Administrative Agent shall be required to effectuate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Extension, such consent not to be unreasonably withheld. No consent of any Lender shall be required to effectuate any Extension, other than in the case of a Extension, the consent of each Lender agreeing to such Extension with respect to all or a portion of its Term Loans, as applicable. All Extended Term Loans and all obligations in respect thereof shall be Obligations under this Agreement and the other Loan Documents that are secured by the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all other applicable Obligations under this Agreement and the other Loan Documents. Notwithstanding anything else to the contrary set forth in this Agreement or the other Loan Documents, the Lenders hereby irrevocably authorize each Agent to enter into amendments to this Agreement and the other Loan Documents (each, an “ </w:t>
      </w:r>
      <w:r>
        <w:rPr>
          <w:rFonts w:ascii="Arial" w:cs="Arial" w:eastAsia="Arial" w:hAnsi="Arial"/>
          <w:sz w:val="19"/>
          <w:szCs w:val="19"/>
          <w:i w:val="1"/>
          <w:iCs w:val="1"/>
          <w:color w:val="auto"/>
        </w:rPr>
        <w:t>Extension Amendment</w:t>
      </w:r>
      <w:r>
        <w:rPr>
          <w:rFonts w:ascii="Arial" w:cs="Arial" w:eastAsia="Arial" w:hAnsi="Arial"/>
          <w:sz w:val="19"/>
          <w:szCs w:val="19"/>
          <w:color w:val="auto"/>
        </w:rPr>
        <w:t xml:space="preserve"> ”) with the Borrower as may be necessary in order to establish new tranches or sub</w:t>
      </w:r>
      <w:r>
        <w:rPr>
          <w:rFonts w:ascii="MS PGothic" w:cs="MS PGothic" w:eastAsia="MS PGothic" w:hAnsi="MS PGothic"/>
          <w:sz w:val="19"/>
          <w:szCs w:val="19"/>
          <w:color w:val="auto"/>
        </w:rPr>
        <w:t>‑</w:t>
      </w:r>
      <w:r>
        <w:rPr>
          <w:rFonts w:ascii="Arial" w:cs="Arial" w:eastAsia="Arial" w:hAnsi="Arial"/>
          <w:sz w:val="19"/>
          <w:szCs w:val="19"/>
          <w:color w:val="auto"/>
        </w:rPr>
        <w:t>tranches or Classes in respect of Term Loans or Commitments so extended and such technical amendments as may be necessary or appropriate in the reasonable opinion of the Administrative Agent and the Borrower in connection with the establishment of such new tranches or sub</w:t>
      </w:r>
      <w:r>
        <w:rPr>
          <w:rFonts w:ascii="MS PGothic" w:cs="MS PGothic" w:eastAsia="MS PGothic" w:hAnsi="MS PGothic"/>
          <w:sz w:val="19"/>
          <w:szCs w:val="19"/>
          <w:color w:val="auto"/>
        </w:rPr>
        <w:t>‑</w:t>
      </w:r>
      <w:r>
        <w:rPr>
          <w:rFonts w:ascii="Arial" w:cs="Arial" w:eastAsia="Arial" w:hAnsi="Arial"/>
          <w:sz w:val="19"/>
          <w:szCs w:val="19"/>
          <w:color w:val="auto"/>
        </w:rPr>
        <w:t xml:space="preserve">tranches or Classes, in each case on terms consistent with this Section 2.28;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the Borrower shall have the right (without limitation of its rights pursuant to Section 2.28(b)(iv) above) to (i) replace any non-extending Lender with respect to all or a portion of its Loans or Commitments, as applicable, in connection with a Extension by having such Loans or Commitments (or any portion thereof)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4" w:name="page275"/>
    <w:bookmarkEnd w:id="274"/>
    <w:p>
      <w:pPr>
        <w:spacing w:after="0" w:line="247" w:lineRule="auto"/>
        <w:rPr>
          <w:sz w:val="20"/>
          <w:szCs w:val="20"/>
          <w:color w:val="auto"/>
        </w:rPr>
      </w:pPr>
      <w:r>
        <w:rPr>
          <w:rFonts w:ascii="Arial" w:cs="Arial" w:eastAsia="Arial" w:hAnsi="Arial"/>
          <w:sz w:val="21"/>
          <w:szCs w:val="21"/>
          <w:color w:val="auto"/>
        </w:rPr>
        <w:t>assigned, in accordance with Sections 2.28(b)(iv) and Section 10.02, at par, to one or more other Eligible Assignees or (ii) terminate all or a portion of the Commitments of, and repay the Obligations owing to any such non-extending Lender.</w:t>
      </w:r>
    </w:p>
    <w:p>
      <w:pPr>
        <w:spacing w:after="0" w:line="151" w:lineRule="exact"/>
        <w:rPr>
          <w:sz w:val="20"/>
          <w:szCs w:val="20"/>
          <w:color w:val="auto"/>
        </w:rPr>
      </w:pPr>
    </w:p>
    <w:p>
      <w:pPr>
        <w:jc w:val="both"/>
        <w:ind w:firstLine="1304"/>
        <w:spacing w:after="0" w:line="252" w:lineRule="auto"/>
        <w:tabs>
          <w:tab w:leader="none" w:pos="2238" w:val="left"/>
        </w:tabs>
        <w:numPr>
          <w:ilvl w:val="0"/>
          <w:numId w:val="318"/>
        </w:numPr>
        <w:rPr>
          <w:rFonts w:ascii="Arial" w:cs="Arial" w:eastAsia="Arial" w:hAnsi="Arial"/>
          <w:sz w:val="19"/>
          <w:szCs w:val="19"/>
          <w:color w:val="auto"/>
        </w:rPr>
      </w:pPr>
      <w:r>
        <w:rPr>
          <w:rFonts w:ascii="Arial" w:cs="Arial" w:eastAsia="Arial" w:hAnsi="Arial"/>
          <w:sz w:val="19"/>
          <w:szCs w:val="19"/>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2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To induce the Lenders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w:t>
      </w:r>
    </w:p>
    <w:p>
      <w:pPr>
        <w:spacing w:after="0" w:line="200" w:lineRule="exact"/>
        <w:rPr>
          <w:sz w:val="20"/>
          <w:szCs w:val="20"/>
          <w:color w:val="auto"/>
        </w:rPr>
      </w:pPr>
    </w:p>
    <w:p>
      <w:pPr>
        <w:spacing w:after="0" w:line="204"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and Authority</w:t>
      </w:r>
      <w:r>
        <w:rPr>
          <w:rFonts w:ascii="Arial" w:cs="Arial" w:eastAsia="Arial" w:hAnsi="Arial"/>
          <w:sz w:val="21"/>
          <w:szCs w:val="21"/>
          <w:color w:val="auto"/>
        </w:rPr>
        <w:t xml:space="preserve"> .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w:t>
      </w:r>
    </w:p>
    <w:p>
      <w:pPr>
        <w:spacing w:after="0" w:line="179" w:lineRule="exact"/>
        <w:rPr>
          <w:sz w:val="20"/>
          <w:szCs w:val="20"/>
          <w:color w:val="auto"/>
        </w:rPr>
      </w:pPr>
    </w:p>
    <w:p>
      <w:pPr>
        <w:jc w:val="both"/>
        <w:ind w:firstLine="1296"/>
        <w:spacing w:after="0" w:line="259" w:lineRule="exact"/>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Air Carrier Status</w:t>
      </w:r>
      <w:r>
        <w:rPr>
          <w:rFonts w:ascii="Arial" w:cs="Arial" w:eastAsia="Arial" w:hAnsi="Arial"/>
          <w:sz w:val="19"/>
          <w:szCs w:val="19"/>
          <w:color w:val="auto"/>
        </w:rPr>
        <w:t xml:space="preserve"> . As of the date hereof, the Borrower is an “air carrier” within the meaning of Section 40102 of Title 49 and holds a certificate under Section 41102 of Title 49. The Borrower holds or co</w:t>
      </w:r>
      <w:r>
        <w:rPr>
          <w:rFonts w:ascii="MS PGothic" w:cs="MS PGothic" w:eastAsia="MS PGothic" w:hAnsi="MS PGothic"/>
          <w:sz w:val="19"/>
          <w:szCs w:val="19"/>
          <w:color w:val="auto"/>
        </w:rPr>
        <w:t>‑</w:t>
      </w:r>
      <w:r>
        <w:rPr>
          <w:rFonts w:ascii="Arial" w:cs="Arial" w:eastAsia="Arial" w:hAnsi="Arial"/>
          <w:sz w:val="19"/>
          <w:szCs w:val="19"/>
          <w:color w:val="auto"/>
        </w:rPr>
        <w:t xml:space="preserve">holds an air carrier operating certificate issued pursuant to Chapter 447 of Title 49. The Borrower is a “citizen of the United States” as defined in Section 40102(a)(15) of Title 49 and as that statutory provision has been interpreted by the DOT pursuant to its policies (a “ </w:t>
      </w:r>
      <w:r>
        <w:rPr>
          <w:rFonts w:ascii="Arial" w:cs="Arial" w:eastAsia="Arial" w:hAnsi="Arial"/>
          <w:sz w:val="19"/>
          <w:szCs w:val="19"/>
          <w:i w:val="1"/>
          <w:iCs w:val="1"/>
          <w:color w:val="auto"/>
        </w:rPr>
        <w:t xml:space="preserve">United States Citizen </w:t>
      </w:r>
      <w:r>
        <w:rPr>
          <w:rFonts w:ascii="Arial" w:cs="Arial" w:eastAsia="Arial" w:hAnsi="Arial"/>
          <w:sz w:val="19"/>
          <w:szCs w:val="19"/>
          <w:color w:val="auto"/>
        </w:rPr>
        <w:t>”). The Borrower possesses or co</w:t>
      </w:r>
      <w:r>
        <w:rPr>
          <w:rFonts w:ascii="MS PGothic" w:cs="MS PGothic" w:eastAsia="MS PGothic" w:hAnsi="MS PGothic"/>
          <w:sz w:val="19"/>
          <w:szCs w:val="19"/>
          <w:color w:val="auto"/>
        </w:rPr>
        <w:t>‑</w:t>
      </w:r>
      <w:r>
        <w:rPr>
          <w:rFonts w:ascii="Arial" w:cs="Arial" w:eastAsia="Arial" w:hAnsi="Arial"/>
          <w:sz w:val="19"/>
          <w:szCs w:val="19"/>
          <w:color w:val="auto"/>
        </w:rPr>
        <w:t>possesses all necessary certificates, franchises, licenses, permits, rights,</w:t>
      </w:r>
      <w:r>
        <w:rPr>
          <w:rFonts w:ascii="Arial" w:cs="Arial" w:eastAsia="Arial" w:hAnsi="Arial"/>
          <w:sz w:val="19"/>
          <w:szCs w:val="19"/>
          <w:i w:val="1"/>
          <w:iCs w:val="1"/>
          <w:color w:val="auto"/>
        </w:rPr>
        <w:t xml:space="preserve"> </w:t>
      </w:r>
      <w:r>
        <w:rPr>
          <w:rFonts w:ascii="Arial" w:cs="Arial" w:eastAsia="Arial" w:hAnsi="Arial"/>
          <w:sz w:val="19"/>
          <w:szCs w:val="19"/>
          <w:color w:val="auto"/>
        </w:rPr>
        <w:t>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200"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Due Execution</w:t>
      </w:r>
      <w:r>
        <w:rPr>
          <w:rFonts w:ascii="Arial" w:cs="Arial" w:eastAsia="Arial" w:hAnsi="Arial"/>
          <w:sz w:val="19"/>
          <w:szCs w:val="19"/>
          <w:color w:val="auto"/>
        </w:rPr>
        <w:t xml:space="preserve"> .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5" w:name="page276"/>
    <w:bookmarkEnd w:id="275"/>
    <w:p>
      <w:pPr>
        <w:jc w:val="both"/>
        <w:spacing w:after="0" w:line="257" w:lineRule="exact"/>
        <w:rPr>
          <w:sz w:val="20"/>
          <w:szCs w:val="20"/>
          <w:color w:val="auto"/>
        </w:rPr>
      </w:pPr>
      <w:r>
        <w:rPr>
          <w:rFonts w:ascii="Arial" w:cs="Arial" w:eastAsia="Arial" w:hAnsi="Arial"/>
          <w:sz w:val="19"/>
          <w:szCs w:val="19"/>
          <w:color w:val="auto"/>
        </w:rPr>
        <w:t>consent of shareholders or members where required, and do not (i) contravene the charter, by</w:t>
      </w:r>
      <w:r>
        <w:rPr>
          <w:rFonts w:ascii="MS PGothic" w:cs="MS PGothic" w:eastAsia="MS PGothic" w:hAnsi="MS PGothic"/>
          <w:sz w:val="19"/>
          <w:szCs w:val="19"/>
          <w:color w:val="auto"/>
        </w:rPr>
        <w:t>‑</w:t>
      </w:r>
      <w:r>
        <w:rPr>
          <w:rFonts w:ascii="Arial" w:cs="Arial" w:eastAsia="Arial" w:hAnsi="Arial"/>
          <w:sz w:val="19"/>
          <w:szCs w:val="19"/>
          <w:color w:val="auto"/>
        </w:rPr>
        <w:t>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Statements Made</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23" w:lineRule="exact"/>
        <w:tabs>
          <w:tab w:leader="none" w:pos="2305" w:val="left"/>
        </w:tabs>
        <w:numPr>
          <w:ilvl w:val="0"/>
          <w:numId w:val="319"/>
        </w:numPr>
        <w:rPr>
          <w:rFonts w:ascii="Arial" w:cs="Arial" w:eastAsia="Arial" w:hAnsi="Arial"/>
          <w:sz w:val="19"/>
          <w:szCs w:val="19"/>
          <w:color w:val="auto"/>
        </w:rPr>
      </w:pPr>
      <w:r>
        <w:rPr>
          <w:rFonts w:ascii="Arial" w:cs="Arial" w:eastAsia="Arial" w:hAnsi="Arial"/>
          <w:sz w:val="19"/>
          <w:szCs w:val="19"/>
          <w:color w:val="auto"/>
        </w:rPr>
        <w:t>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2019 of Parent filed with the SEC and all Quarterly Reports on Form 10</w:t>
      </w:r>
      <w:r>
        <w:rPr>
          <w:rFonts w:ascii="MS PGothic" w:cs="MS PGothic" w:eastAsia="MS PGothic" w:hAnsi="MS PGothic"/>
          <w:sz w:val="19"/>
          <w:szCs w:val="19"/>
          <w:color w:val="auto"/>
        </w:rPr>
        <w:t>‑</w:t>
      </w:r>
      <w:r>
        <w:rPr>
          <w:rFonts w:ascii="Arial" w:cs="Arial" w:eastAsia="Arial" w:hAnsi="Arial"/>
          <w:sz w:val="19"/>
          <w:szCs w:val="19"/>
          <w:color w:val="auto"/>
        </w:rPr>
        <w:t>Q or Current Reports on Form 8</w:t>
      </w:r>
      <w:r>
        <w:rPr>
          <w:rFonts w:ascii="MS PGothic" w:cs="MS PGothic" w:eastAsia="MS PGothic" w:hAnsi="MS PGothic"/>
          <w:sz w:val="19"/>
          <w:szCs w:val="19"/>
          <w:color w:val="auto"/>
        </w:rPr>
        <w:t>‑</w:t>
      </w:r>
      <w:r>
        <w:rPr>
          <w:rFonts w:ascii="Arial" w:cs="Arial" w:eastAsia="Arial" w:hAnsi="Arial"/>
          <w:sz w:val="19"/>
          <w:szCs w:val="19"/>
          <w:color w:val="auto"/>
        </w:rPr>
        <w:t xml:space="preserve">K that have been filed after December 31, 2019,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projections, estimates or other forward</w:t>
      </w:r>
      <w:r>
        <w:rPr>
          <w:rFonts w:ascii="MS PGothic" w:cs="MS PGothic" w:eastAsia="MS PGothic" w:hAnsi="MS PGothic"/>
          <w:sz w:val="19"/>
          <w:szCs w:val="19"/>
          <w:color w:val="auto"/>
        </w:rPr>
        <w:t>‑</w:t>
      </w:r>
      <w:r>
        <w:rPr>
          <w:rFonts w:ascii="Arial" w:cs="Arial" w:eastAsia="Arial" w:hAnsi="Arial"/>
          <w:sz w:val="19"/>
          <w:szCs w:val="19"/>
          <w:color w:val="auto"/>
        </w:rPr>
        <w:t>looking information the Borrower and the Guarantors represent only that such information was prepared in good faith based upon assumptions believed to be reasonable at the time that such forward-looking information was prepared.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76" w:name="page277"/>
    <w:bookmarkEnd w:id="276"/>
    <w:p>
      <w:pPr>
        <w:jc w:val="both"/>
        <w:ind w:firstLine="1304"/>
        <w:spacing w:after="0" w:line="226" w:lineRule="exact"/>
        <w:tabs>
          <w:tab w:leader="none" w:pos="2277" w:val="left"/>
        </w:tabs>
        <w:numPr>
          <w:ilvl w:val="0"/>
          <w:numId w:val="320"/>
        </w:numPr>
        <w:rPr>
          <w:rFonts w:ascii="Arial" w:cs="Arial" w:eastAsia="Arial" w:hAnsi="Arial"/>
          <w:sz w:val="22"/>
          <w:szCs w:val="22"/>
          <w:color w:val="auto"/>
        </w:rPr>
      </w:pPr>
      <w:r>
        <w:rPr>
          <w:rFonts w:ascii="Arial" w:cs="Arial" w:eastAsia="Arial" w:hAnsi="Arial"/>
          <w:sz w:val="22"/>
          <w:szCs w:val="22"/>
          <w:color w:val="auto"/>
        </w:rPr>
        <w:t>The Annual Report on Form 10</w:t>
      </w:r>
      <w:r>
        <w:rPr>
          <w:rFonts w:ascii="MS PGothic" w:cs="MS PGothic" w:eastAsia="MS PGothic" w:hAnsi="MS PGothic"/>
          <w:sz w:val="22"/>
          <w:szCs w:val="22"/>
          <w:color w:val="auto"/>
        </w:rPr>
        <w:t>‑</w:t>
      </w:r>
      <w:r>
        <w:rPr>
          <w:rFonts w:ascii="Arial" w:cs="Arial" w:eastAsia="Arial" w:hAnsi="Arial"/>
          <w:sz w:val="22"/>
          <w:szCs w:val="22"/>
          <w:color w:val="auto"/>
        </w:rPr>
        <w:t>K of Parent most recently filed with the SEC, and each Quarterly Report on Form 10</w:t>
      </w:r>
      <w:r>
        <w:rPr>
          <w:rFonts w:ascii="MS PGothic" w:cs="MS PGothic" w:eastAsia="MS PGothic" w:hAnsi="MS PGothic"/>
          <w:sz w:val="22"/>
          <w:szCs w:val="22"/>
          <w:color w:val="auto"/>
        </w:rPr>
        <w:t>‑</w:t>
      </w:r>
      <w:r>
        <w:rPr>
          <w:rFonts w:ascii="Arial" w:cs="Arial" w:eastAsia="Arial" w:hAnsi="Arial"/>
          <w:sz w:val="22"/>
          <w:szCs w:val="22"/>
          <w:color w:val="auto"/>
        </w:rPr>
        <w:t>Q and Current Report on Form 8</w:t>
      </w:r>
      <w:r>
        <w:rPr>
          <w:rFonts w:ascii="MS PGothic" w:cs="MS PGothic" w:eastAsia="MS PGothic" w:hAnsi="MS PGothic"/>
          <w:sz w:val="22"/>
          <w:szCs w:val="22"/>
          <w:color w:val="auto"/>
        </w:rPr>
        <w:t>‑</w:t>
      </w:r>
      <w:r>
        <w:rPr>
          <w:rFonts w:ascii="Arial" w:cs="Arial" w:eastAsia="Arial" w:hAnsi="Arial"/>
          <w:sz w:val="22"/>
          <w:szCs w:val="22"/>
          <w:color w:val="auto"/>
        </w:rPr>
        <w:t>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Financial Statements; Material Adverse Change</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25" w:lineRule="exact"/>
        <w:tabs>
          <w:tab w:leader="none" w:pos="2238" w:val="left"/>
        </w:tabs>
        <w:numPr>
          <w:ilvl w:val="0"/>
          <w:numId w:val="321"/>
        </w:numPr>
        <w:rPr>
          <w:rFonts w:ascii="Arial" w:cs="Arial" w:eastAsia="Arial" w:hAnsi="Arial"/>
          <w:sz w:val="19"/>
          <w:szCs w:val="19"/>
          <w:color w:val="auto"/>
        </w:rPr>
      </w:pPr>
      <w:r>
        <w:rPr>
          <w:rFonts w:ascii="Arial" w:cs="Arial" w:eastAsia="Arial" w:hAnsi="Arial"/>
          <w:sz w:val="19"/>
          <w:szCs w:val="19"/>
          <w:color w:val="auto"/>
        </w:rPr>
        <w:t>(i) The audited consolidated financial statements of Parent and its Subsidiaries for the fiscal year ended December 31, 2019, included in Parent’s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2019 filed with the SEC, as amended and (ii) the unaudited consolidated financial statement of Parent and its Subsidiaries for the fiscal quarters ending March 31, 2019 and June 30, 2019,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w:t>
      </w:r>
    </w:p>
    <w:p>
      <w:pPr>
        <w:spacing w:after="0" w:line="162" w:lineRule="exact"/>
        <w:rPr>
          <w:rFonts w:ascii="Arial" w:cs="Arial" w:eastAsia="Arial" w:hAnsi="Arial"/>
          <w:sz w:val="19"/>
          <w:szCs w:val="19"/>
          <w:color w:val="auto"/>
        </w:rPr>
      </w:pPr>
    </w:p>
    <w:p>
      <w:pPr>
        <w:ind w:firstLine="1304"/>
        <w:spacing w:after="0" w:line="245" w:lineRule="exact"/>
        <w:tabs>
          <w:tab w:leader="none" w:pos="225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Except as disclosed in Parent’s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2019 or any subsequent report filed by Parent on Form 10</w:t>
      </w:r>
      <w:r>
        <w:rPr>
          <w:rFonts w:ascii="MS PGothic" w:cs="MS PGothic" w:eastAsia="MS PGothic" w:hAnsi="MS PGothic"/>
          <w:sz w:val="19"/>
          <w:szCs w:val="19"/>
          <w:color w:val="auto"/>
        </w:rPr>
        <w:t>‑</w:t>
      </w:r>
      <w:r>
        <w:rPr>
          <w:rFonts w:ascii="Arial" w:cs="Arial" w:eastAsia="Arial" w:hAnsi="Arial"/>
          <w:sz w:val="19"/>
          <w:szCs w:val="19"/>
          <w:color w:val="auto"/>
        </w:rPr>
        <w:t>Q or Form 8</w:t>
      </w:r>
      <w:r>
        <w:rPr>
          <w:rFonts w:ascii="MS PGothic" w:cs="MS PGothic" w:eastAsia="MS PGothic" w:hAnsi="MS PGothic"/>
          <w:sz w:val="19"/>
          <w:szCs w:val="19"/>
          <w:color w:val="auto"/>
        </w:rPr>
        <w:t>‑</w:t>
      </w:r>
      <w:r>
        <w:rPr>
          <w:rFonts w:ascii="Arial" w:cs="Arial" w:eastAsia="Arial" w:hAnsi="Arial"/>
          <w:sz w:val="19"/>
          <w:szCs w:val="19"/>
          <w:color w:val="auto"/>
        </w:rPr>
        <w:t>K with the SEC, since December 31, 2019, there has been no Material Adverse Change.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Ownership of Subsidiaries.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Liens</w:t>
      </w:r>
      <w:r>
        <w:rPr>
          <w:rFonts w:ascii="Arial" w:cs="Arial" w:eastAsia="Arial" w:hAnsi="Arial"/>
          <w:sz w:val="19"/>
          <w:szCs w:val="19"/>
          <w:color w:val="auto"/>
        </w:rPr>
        <w:t xml:space="preserve"> . There are no Liens of any nature whatsoever on any Collateral, except for Permitted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Liens.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 The proceeds of the Loans shall be used for general corporate purposes.</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Litigation and Compliance with Laws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24" w:lineRule="exact"/>
        <w:tabs>
          <w:tab w:leader="none" w:pos="2238" w:val="left"/>
        </w:tabs>
        <w:numPr>
          <w:ilvl w:val="0"/>
          <w:numId w:val="322"/>
        </w:numPr>
        <w:rPr>
          <w:rFonts w:ascii="Arial" w:cs="Arial" w:eastAsia="Arial" w:hAnsi="Arial"/>
          <w:sz w:val="21"/>
          <w:szCs w:val="21"/>
          <w:color w:val="auto"/>
        </w:rPr>
      </w:pPr>
      <w:r>
        <w:rPr>
          <w:rFonts w:ascii="Arial" w:cs="Arial" w:eastAsia="Arial" w:hAnsi="Arial"/>
          <w:sz w:val="21"/>
          <w:szCs w:val="21"/>
          <w:color w:val="auto"/>
        </w:rPr>
        <w:t>Except as disclosed in Parent’s Annual Report on Form 10</w:t>
      </w:r>
      <w:r>
        <w:rPr>
          <w:rFonts w:ascii="MS PGothic" w:cs="MS PGothic" w:eastAsia="MS PGothic" w:hAnsi="MS PGothic"/>
          <w:sz w:val="21"/>
          <w:szCs w:val="21"/>
          <w:color w:val="auto"/>
        </w:rPr>
        <w:t>‑</w:t>
      </w:r>
      <w:r>
        <w:rPr>
          <w:rFonts w:ascii="Arial" w:cs="Arial" w:eastAsia="Arial" w:hAnsi="Arial"/>
          <w:sz w:val="21"/>
          <w:szCs w:val="21"/>
          <w:color w:val="auto"/>
        </w:rPr>
        <w:t>K for 2019 or any subsequent report filed by Parent on Form 10</w:t>
      </w:r>
      <w:r>
        <w:rPr>
          <w:rFonts w:ascii="MS PGothic" w:cs="MS PGothic" w:eastAsia="MS PGothic" w:hAnsi="MS PGothic"/>
          <w:sz w:val="21"/>
          <w:szCs w:val="21"/>
          <w:color w:val="auto"/>
        </w:rPr>
        <w:t>‑</w:t>
      </w:r>
      <w:r>
        <w:rPr>
          <w:rFonts w:ascii="Arial" w:cs="Arial" w:eastAsia="Arial" w:hAnsi="Arial"/>
          <w:sz w:val="21"/>
          <w:szCs w:val="21"/>
          <w:color w:val="auto"/>
        </w:rPr>
        <w:t>Q or Form 8</w:t>
      </w:r>
      <w:r>
        <w:rPr>
          <w:rFonts w:ascii="MS PGothic" w:cs="MS PGothic" w:eastAsia="MS PGothic" w:hAnsi="MS PGothic"/>
          <w:sz w:val="21"/>
          <w:szCs w:val="21"/>
          <w:color w:val="auto"/>
        </w:rPr>
        <w:t>‑</w:t>
      </w:r>
      <w:r>
        <w:rPr>
          <w:rFonts w:ascii="Arial" w:cs="Arial" w:eastAsia="Arial" w:hAnsi="Arial"/>
          <w:sz w:val="21"/>
          <w:szCs w:val="21"/>
          <w:color w:val="auto"/>
        </w:rPr>
        <w:t>K with the SEC since December 31, 2019,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w:t>
      </w:r>
    </w:p>
    <w:p>
      <w:pPr>
        <w:spacing w:after="0" w:line="164" w:lineRule="exact"/>
        <w:rPr>
          <w:rFonts w:ascii="Arial" w:cs="Arial" w:eastAsia="Arial" w:hAnsi="Arial"/>
          <w:sz w:val="21"/>
          <w:szCs w:val="21"/>
          <w:color w:val="auto"/>
        </w:rPr>
      </w:pPr>
    </w:p>
    <w:p>
      <w:pPr>
        <w:jc w:val="both"/>
        <w:ind w:right="20" w:firstLine="1304"/>
        <w:spacing w:after="0" w:line="223" w:lineRule="auto"/>
        <w:tabs>
          <w:tab w:leader="none" w:pos="2277" w:val="left"/>
        </w:tabs>
        <w:numPr>
          <w:ilvl w:val="0"/>
          <w:numId w:val="322"/>
        </w:numPr>
        <w:rPr>
          <w:rFonts w:ascii="Arial" w:cs="Arial" w:eastAsia="Arial" w:hAnsi="Arial"/>
          <w:sz w:val="22"/>
          <w:szCs w:val="22"/>
          <w:color w:val="auto"/>
        </w:rPr>
      </w:pPr>
      <w:r>
        <w:rPr>
          <w:rFonts w:ascii="Arial" w:cs="Arial" w:eastAsia="Arial" w:hAnsi="Arial"/>
          <w:sz w:val="22"/>
          <w:szCs w:val="22"/>
          <w:color w:val="auto"/>
        </w:rPr>
        <w:t>Except with respect to any matters that, individually or in the aggregate, would not reasonably be expected to result in a Material Adverse Effect, the Borrower and each Guarantor to its knowledge is currently in compliance with all applicable statutes, regulations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7" w:name="page278"/>
    <w:bookmarkEnd w:id="277"/>
    <w:p>
      <w:pPr>
        <w:jc w:val="both"/>
        <w:spacing w:after="0" w:line="232" w:lineRule="auto"/>
        <w:rPr>
          <w:sz w:val="20"/>
          <w:szCs w:val="20"/>
          <w:color w:val="auto"/>
        </w:rPr>
      </w:pPr>
      <w:r>
        <w:rPr>
          <w:rFonts w:ascii="Arial" w:cs="Arial" w:eastAsia="Arial" w:hAnsi="Arial"/>
          <w:sz w:val="22"/>
          <w:szCs w:val="22"/>
          <w:color w:val="auto"/>
        </w:rPr>
        <w:t>orders of, and all applicable restrictions imposed by, all Governmental Authorities, in respect of the conduct of its business and ownership of its property.</w:t>
      </w:r>
    </w:p>
    <w:p>
      <w:pPr>
        <w:spacing w:after="0" w:line="186"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Slots</w:t>
      </w:r>
      <w:r>
        <w:rPr>
          <w:rFonts w:ascii="Arial" w:cs="Arial" w:eastAsia="Arial" w:hAnsi="Arial"/>
          <w:sz w:val="19"/>
          <w:szCs w:val="19"/>
          <w:color w:val="auto"/>
        </w:rPr>
        <w:t xml:space="preserve"> .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w:t>
      </w:r>
    </w:p>
    <w:p>
      <w:pPr>
        <w:spacing w:after="0" w:line="151"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Routes</w:t>
      </w:r>
      <w:r>
        <w:rPr>
          <w:rFonts w:ascii="Arial" w:cs="Arial" w:eastAsia="Arial" w:hAnsi="Arial"/>
          <w:sz w:val="19"/>
          <w:szCs w:val="19"/>
          <w:color w:val="auto"/>
        </w:rPr>
        <w:t xml:space="preserve"> . With respect to the Pledged Route Authorities relating to the Scheduled Services, each applicable Grantor holds or co-holds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Margin Regulations; Investment Company Act</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6" w:lineRule="auto"/>
        <w:tabs>
          <w:tab w:leader="none" w:pos="2238" w:val="left"/>
        </w:tabs>
        <w:numPr>
          <w:ilvl w:val="0"/>
          <w:numId w:val="323"/>
        </w:numPr>
        <w:rPr>
          <w:rFonts w:ascii="Arial" w:cs="Arial" w:eastAsia="Arial" w:hAnsi="Arial"/>
          <w:sz w:val="22"/>
          <w:szCs w:val="22"/>
          <w:color w:val="auto"/>
        </w:rPr>
      </w:pPr>
      <w:r>
        <w:rPr>
          <w:rFonts w:ascii="Arial" w:cs="Arial" w:eastAsia="Arial" w:hAnsi="Arial"/>
          <w:sz w:val="22"/>
          <w:szCs w:val="22"/>
          <w:color w:val="auto"/>
        </w:rPr>
        <w:t xml:space="preserve">Neither the Borrower nor any Guarantor is engaged, principally or as one of its important activities, in the business of purchasing or carrying margin stock (within the meaning of Regulation U issued by the Board, “ </w:t>
      </w:r>
      <w:r>
        <w:rPr>
          <w:rFonts w:ascii="Arial" w:cs="Arial" w:eastAsia="Arial" w:hAnsi="Arial"/>
          <w:sz w:val="22"/>
          <w:szCs w:val="22"/>
          <w:i w:val="1"/>
          <w:iCs w:val="1"/>
          <w:color w:val="auto"/>
        </w:rPr>
        <w:t>Margin Stock</w:t>
      </w:r>
      <w:r>
        <w:rPr>
          <w:rFonts w:ascii="Arial" w:cs="Arial" w:eastAsia="Arial" w:hAnsi="Arial"/>
          <w:sz w:val="22"/>
          <w:szCs w:val="22"/>
          <w:color w:val="auto"/>
        </w:rPr>
        <w:t xml:space="preserve"> ”), or extending credit for the purpose of purchasing or carrying Margin Stock, and no proceeds of any Loans will be used to purchase or carry any Margin Stock or to extend credit to others for the purpose of purchasing or carrying any Margin Stock in violation of Regulation U.</w:t>
      </w:r>
    </w:p>
    <w:p>
      <w:pPr>
        <w:spacing w:after="0" w:line="157" w:lineRule="exact"/>
        <w:rPr>
          <w:rFonts w:ascii="Arial" w:cs="Arial" w:eastAsia="Arial" w:hAnsi="Arial"/>
          <w:sz w:val="22"/>
          <w:szCs w:val="22"/>
          <w:color w:val="auto"/>
        </w:rPr>
      </w:pPr>
    </w:p>
    <w:p>
      <w:pPr>
        <w:ind w:firstLine="1304"/>
        <w:spacing w:after="0" w:line="232" w:lineRule="auto"/>
        <w:tabs>
          <w:tab w:leader="none" w:pos="2263" w:val="left"/>
        </w:tabs>
        <w:numPr>
          <w:ilvl w:val="0"/>
          <w:numId w:val="323"/>
        </w:numPr>
        <w:rPr>
          <w:rFonts w:ascii="Arial" w:cs="Arial" w:eastAsia="Arial" w:hAnsi="Arial"/>
          <w:sz w:val="22"/>
          <w:szCs w:val="22"/>
          <w:color w:val="auto"/>
        </w:rPr>
      </w:pPr>
      <w:r>
        <w:rPr>
          <w:rFonts w:ascii="Arial" w:cs="Arial" w:eastAsia="Arial" w:hAnsi="Arial"/>
          <w:sz w:val="22"/>
          <w:szCs w:val="22"/>
          <w:color w:val="auto"/>
        </w:rPr>
        <w:t>Neither the Borrower nor any Guarantor is, or after the making of the Loans will be, or is required to be, registered as an “investment company” under the Investment Company Act of 1940, as amended.</w:t>
      </w:r>
    </w:p>
    <w:p>
      <w:pPr>
        <w:spacing w:after="0" w:line="18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 xml:space="preserve">SECTION 3.13. </w:t>
      </w:r>
      <w:r>
        <w:rPr>
          <w:rFonts w:ascii="Arial" w:cs="Arial" w:eastAsia="Arial" w:hAnsi="Arial"/>
          <w:sz w:val="21"/>
          <w:szCs w:val="21"/>
          <w:u w:val="single" w:color="auto"/>
          <w:color w:val="auto"/>
        </w:rPr>
        <w:t>Holding of Collateral</w:t>
      </w:r>
      <w:r>
        <w:rPr>
          <w:rFonts w:ascii="Arial" w:cs="Arial" w:eastAsia="Arial" w:hAnsi="Arial"/>
          <w:sz w:val="21"/>
          <w:szCs w:val="21"/>
          <w:color w:val="auto"/>
        </w:rPr>
        <w:t xml:space="preserve"> . Each applicable Grantor is, and as to Collateral acquired by it from time to time after the date hereof such Grantor will be, the holder or a co-holder, of all such Collateral free from any Lien except for (1) the Lien and security interest created by the Collateral Documents and (2) Permitted Liens.</w:t>
      </w:r>
    </w:p>
    <w:p>
      <w:pPr>
        <w:spacing w:after="0" w:line="16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Perfected Security Interests</w:t>
      </w:r>
      <w:r>
        <w:rPr>
          <w:rFonts w:ascii="Arial" w:cs="Arial" w:eastAsia="Arial" w:hAnsi="Arial"/>
          <w:sz w:val="22"/>
          <w:szCs w:val="22"/>
          <w:color w:val="auto"/>
        </w:rPr>
        <w:t xml:space="preserve"> . All UCC filings necessary or reasonably requested by the Collateral Agent to create, preserve, protect and perfect the security interests granted by the Borrower or any Guarantor, as applicable, to the Collateral Agent for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78" w:name="page279"/>
    <w:bookmarkEnd w:id="278"/>
    <w:p>
      <w:pPr>
        <w:jc w:val="both"/>
        <w:spacing w:after="0" w:line="287" w:lineRule="auto"/>
        <w:rPr>
          <w:sz w:val="20"/>
          <w:szCs w:val="20"/>
          <w:color w:val="auto"/>
        </w:rPr>
      </w:pPr>
      <w:r>
        <w:rPr>
          <w:rFonts w:ascii="Arial" w:cs="Arial" w:eastAsia="Arial" w:hAnsi="Arial"/>
          <w:sz w:val="19"/>
          <w:szCs w:val="19"/>
          <w:color w:val="auto"/>
        </w:rPr>
        <w:t>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hereof by execution and delivery of the Account Control Agreement. Subject to any Intercreditor Agreement and any Other Intercreditor Agreement, the security interests granted to the Collateral Agent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w:t>
      </w:r>
    </w:p>
    <w:p>
      <w:pPr>
        <w:spacing w:after="0" w:line="16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Payment of Taxes</w:t>
      </w:r>
      <w:r>
        <w:rPr>
          <w:rFonts w:ascii="Arial" w:cs="Arial" w:eastAsia="Arial" w:hAnsi="Arial"/>
          <w:sz w:val="22"/>
          <w:szCs w:val="22"/>
          <w:color w:val="auto"/>
        </w:rPr>
        <w:t xml:space="preserve"> .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No Unlawful Payments</w:t>
      </w:r>
      <w:r>
        <w:rPr>
          <w:rFonts w:ascii="Arial" w:cs="Arial" w:eastAsia="Arial" w:hAnsi="Arial"/>
          <w:sz w:val="19"/>
          <w:szCs w:val="19"/>
          <w:color w:val="auto"/>
        </w:rPr>
        <w:t xml:space="preserve"> .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hereunder, or lend, contribute or otherwise make available such proceeds to any of its subsidiaries or joint venture partners or any other person or entity, for any purpose in breach of any laws described in clause (1) - (4) above.</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OFAC</w:t>
      </w:r>
      <w:r>
        <w:rPr>
          <w:rFonts w:ascii="Arial" w:cs="Arial" w:eastAsia="Arial" w:hAnsi="Arial"/>
          <w:sz w:val="22"/>
          <w:szCs w:val="22"/>
          <w:color w:val="auto"/>
        </w:rPr>
        <w:t xml:space="preserve"> .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subject of any U.S. sanctions administered by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79" w:name="page280"/>
    <w:bookmarkEnd w:id="279"/>
    <w:p>
      <w:pPr>
        <w:jc w:val="both"/>
        <w:spacing w:after="0" w:line="248" w:lineRule="auto"/>
        <w:rPr>
          <w:sz w:val="20"/>
          <w:szCs w:val="20"/>
          <w:color w:val="auto"/>
        </w:rPr>
      </w:pPr>
      <w:r>
        <w:rPr>
          <w:rFonts w:ascii="Arial" w:cs="Arial" w:eastAsia="Arial" w:hAnsi="Arial"/>
          <w:sz w:val="22"/>
          <w:szCs w:val="22"/>
          <w:color w:val="auto"/>
        </w:rPr>
        <w:t xml:space="preserve">U.S. federal government (including the Office of Foreign Assets Control of the U.S. Treasury Department (“ </w:t>
      </w:r>
      <w:r>
        <w:rPr>
          <w:rFonts w:ascii="Arial" w:cs="Arial" w:eastAsia="Arial" w:hAnsi="Arial"/>
          <w:sz w:val="22"/>
          <w:szCs w:val="22"/>
          <w:i w:val="1"/>
          <w:iCs w:val="1"/>
          <w:color w:val="auto"/>
        </w:rPr>
        <w:t>OFAC</w:t>
      </w:r>
      <w:r>
        <w:rPr>
          <w:rFonts w:ascii="Arial" w:cs="Arial" w:eastAsia="Arial" w:hAnsi="Arial"/>
          <w:sz w:val="22"/>
          <w:szCs w:val="22"/>
          <w:color w:val="auto"/>
        </w:rPr>
        <w:t xml:space="preserve"> ”)); and the Borrower and each Guarantor will not directly or indirectly use the proceeds of the Borrowings hereunder, or lend, contribute or otherwise make available such proceeds to any of its subsidiaries or joint venture partners or any other person or entity, for the purpose of financing the activities of any person, that at the time of such financing is the subject of any U.S. sanctions administered by the U.S. federal government (including OFAC).</w:t>
      </w:r>
    </w:p>
    <w:p>
      <w:pPr>
        <w:spacing w:after="0" w:line="19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3.18. </w:t>
      </w:r>
      <w:r>
        <w:rPr>
          <w:rFonts w:ascii="Arial" w:cs="Arial" w:eastAsia="Arial" w:hAnsi="Arial"/>
          <w:sz w:val="21"/>
          <w:szCs w:val="21"/>
          <w:u w:val="single" w:color="auto"/>
          <w:color w:val="auto"/>
        </w:rPr>
        <w:t>Compliance with Anti-Money Laundering Laws</w:t>
      </w:r>
      <w:r>
        <w:rPr>
          <w:rFonts w:ascii="Arial" w:cs="Arial" w:eastAsia="Arial" w:hAnsi="Arial"/>
          <w:sz w:val="21"/>
          <w:szCs w:val="21"/>
          <w:color w:val="auto"/>
        </w:rPr>
        <w:t xml:space="preserve"> . The operations of the Borrower, the Guarantors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or similar rules, regulations or guidelines, issued, administered or enforced by any governmental agency (collectively, the “ </w:t>
      </w:r>
      <w:r>
        <w:rPr>
          <w:rFonts w:ascii="Arial" w:cs="Arial" w:eastAsia="Arial" w:hAnsi="Arial"/>
          <w:sz w:val="21"/>
          <w:szCs w:val="21"/>
          <w:i w:val="1"/>
          <w:iCs w:val="1"/>
          <w:color w:val="auto"/>
        </w:rPr>
        <w:t>Anti-Money Laundering Laws</w:t>
      </w:r>
      <w:r>
        <w:rPr>
          <w:rFonts w:ascii="Arial" w:cs="Arial" w:eastAsia="Arial" w:hAnsi="Arial"/>
          <w:sz w:val="21"/>
          <w:szCs w:val="21"/>
          <w:color w:val="auto"/>
        </w:rPr>
        <w:t xml:space="preserve"> ”),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Solvency</w:t>
      </w:r>
      <w:r>
        <w:rPr>
          <w:rFonts w:ascii="Arial" w:cs="Arial" w:eastAsia="Arial" w:hAnsi="Arial"/>
          <w:sz w:val="22"/>
          <w:szCs w:val="22"/>
          <w:color w:val="auto"/>
        </w:rPr>
        <w:t xml:space="preserve"> . As of the Closing Date, after giving effect to the Loans made on the Closing Date and the payment of all costs and expenses in connection therewith, that the Borrower and the Guarantors, taken as a whole, are Solvent.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 OF LENDING</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Conditions Precedent to Closing</w:t>
      </w:r>
      <w:r>
        <w:rPr>
          <w:rFonts w:ascii="Arial" w:cs="Arial" w:eastAsia="Arial" w:hAnsi="Arial"/>
          <w:sz w:val="22"/>
          <w:szCs w:val="22"/>
          <w:color w:val="auto"/>
        </w:rPr>
        <w:t xml:space="preserve"> . The Credit Agreement shall become effective on the date on which the following conditions precedent shall have been satisfied (or waived by the Lenders in accordance with Section 10.08 and by the Administrative Agent):</w:t>
      </w:r>
    </w:p>
    <w:p>
      <w:pPr>
        <w:spacing w:after="0" w:line="158" w:lineRule="exact"/>
        <w:rPr>
          <w:sz w:val="20"/>
          <w:szCs w:val="20"/>
          <w:color w:val="auto"/>
        </w:rPr>
      </w:pPr>
    </w:p>
    <w:p>
      <w:pPr>
        <w:ind w:firstLine="1304"/>
        <w:spacing w:after="0" w:line="232" w:lineRule="auto"/>
        <w:tabs>
          <w:tab w:leader="none" w:pos="2265" w:val="left"/>
        </w:tabs>
        <w:numPr>
          <w:ilvl w:val="0"/>
          <w:numId w:val="324"/>
        </w:numPr>
        <w:rPr>
          <w:rFonts w:ascii="Arial" w:cs="Arial" w:eastAsia="Arial" w:hAnsi="Arial"/>
          <w:sz w:val="22"/>
          <w:szCs w:val="22"/>
          <w:color w:val="auto"/>
        </w:rPr>
      </w:pPr>
      <w:r>
        <w:rPr>
          <w:rFonts w:ascii="Arial" w:cs="Arial" w:eastAsia="Arial" w:hAnsi="Arial"/>
          <w:sz w:val="22"/>
          <w:szCs w:val="22"/>
          <w:i w:val="1"/>
          <w:iCs w:val="1"/>
          <w:color w:val="auto"/>
        </w:rPr>
        <w:t xml:space="preserve">Supporting Documents </w:t>
      </w:r>
      <w:r>
        <w:rPr>
          <w:rFonts w:ascii="Arial" w:cs="Arial" w:eastAsia="Arial" w:hAnsi="Arial"/>
          <w:sz w:val="22"/>
          <w:szCs w:val="22"/>
          <w:color w:val="auto"/>
        </w:rPr>
        <w:t>. The Administrative Agent shall have received with respect to each of the</w:t>
      </w:r>
      <w:r>
        <w:rPr>
          <w:rFonts w:ascii="Arial" w:cs="Arial" w:eastAsia="Arial" w:hAnsi="Arial"/>
          <w:sz w:val="22"/>
          <w:szCs w:val="22"/>
          <w:i w:val="1"/>
          <w:iCs w:val="1"/>
          <w:color w:val="auto"/>
        </w:rPr>
        <w:t xml:space="preserve"> </w:t>
      </w:r>
      <w:r>
        <w:rPr>
          <w:rFonts w:ascii="Arial" w:cs="Arial" w:eastAsia="Arial" w:hAnsi="Arial"/>
          <w:sz w:val="22"/>
          <w:szCs w:val="22"/>
          <w:color w:val="auto"/>
        </w:rPr>
        <w:t>Borrower and the Guarantors in form and substance reasonably satisfactory to the Administrative Agent:</w:t>
      </w:r>
    </w:p>
    <w:p>
      <w:pPr>
        <w:spacing w:after="0" w:line="159" w:lineRule="exact"/>
        <w:rPr>
          <w:sz w:val="20"/>
          <w:szCs w:val="20"/>
          <w:color w:val="auto"/>
        </w:rPr>
      </w:pPr>
    </w:p>
    <w:p>
      <w:pPr>
        <w:ind w:left="660" w:firstLine="644"/>
        <w:spacing w:after="0" w:line="298" w:lineRule="auto"/>
        <w:tabs>
          <w:tab w:leader="none" w:pos="2214"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 certificate of the Secretary of State of the state of such entity’s incorporation or formation, dated as of a recent date, as to the good standing of that entity (to the extent available in the applicable jurisdiction);</w:t>
      </w:r>
    </w:p>
    <w:p>
      <w:pPr>
        <w:spacing w:after="0" w:line="105" w:lineRule="exact"/>
        <w:rPr>
          <w:rFonts w:ascii="Arial" w:cs="Arial" w:eastAsia="Arial" w:hAnsi="Arial"/>
          <w:sz w:val="19"/>
          <w:szCs w:val="19"/>
          <w:color w:val="auto"/>
        </w:rPr>
      </w:pPr>
    </w:p>
    <w:p>
      <w:pPr>
        <w:jc w:val="both"/>
        <w:ind w:left="660" w:firstLine="644"/>
        <w:spacing w:after="0" w:line="225" w:lineRule="exact"/>
        <w:tabs>
          <w:tab w:leader="none" w:pos="2301"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 certificate of the Secretary or an Assistant Secretary (or similar officer), of such entity dated the Closing Date and certifying (A) that attached thereto is a true and complete copy of the certificate of incorporation or formation and the by</w:t>
      </w:r>
      <w:r>
        <w:rPr>
          <w:rFonts w:ascii="MS PGothic" w:cs="MS PGothic" w:eastAsia="MS PGothic" w:hAnsi="MS PGothic"/>
          <w:sz w:val="19"/>
          <w:szCs w:val="19"/>
          <w:color w:val="auto"/>
        </w:rPr>
        <w:t>‑</w:t>
      </w:r>
      <w:r>
        <w:rPr>
          <w:rFonts w:ascii="Arial" w:cs="Arial" w:eastAsia="Arial" w:hAnsi="Arial"/>
          <w:sz w:val="19"/>
          <w:szCs w:val="19"/>
          <w:color w:val="auto"/>
        </w:rPr>
        <w:t>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hereunder, the execution, delivery and performance in accordance with their respective terms of the Credit Agreement, the other Loan Documents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80" w:name="page281"/>
    <w:bookmarkEnd w:id="280"/>
    <w:p>
      <w:pPr>
        <w:jc w:val="both"/>
        <w:ind w:left="660"/>
        <w:spacing w:after="0" w:line="247" w:lineRule="auto"/>
        <w:rPr>
          <w:sz w:val="20"/>
          <w:szCs w:val="20"/>
          <w:color w:val="auto"/>
        </w:rPr>
      </w:pPr>
      <w:r>
        <w:rPr>
          <w:rFonts w:ascii="Arial" w:cs="Arial" w:eastAsia="Arial" w:hAnsi="Arial"/>
          <w:sz w:val="19"/>
          <w:szCs w:val="19"/>
          <w:color w:val="auto"/>
        </w:rPr>
        <w:t>and any other documents required or contemplated hereunder or thereunder, and the granting of the security interest and other Liens contemplated hereby or the other Loan Documents (in each case to the extent applicable to such entity),</w:t>
      </w:r>
    </w:p>
    <w:p>
      <w:pPr>
        <w:jc w:val="both"/>
        <w:ind w:left="660" w:hanging="4"/>
        <w:spacing w:after="0" w:line="221" w:lineRule="auto"/>
        <w:tabs>
          <w:tab w:leader="none" w:pos="1043" w:val="left"/>
        </w:tabs>
        <w:numPr>
          <w:ilvl w:val="0"/>
          <w:numId w:val="326"/>
        </w:numPr>
        <w:rPr>
          <w:rFonts w:ascii="Arial" w:cs="Arial" w:eastAsia="Arial" w:hAnsi="Arial"/>
          <w:sz w:val="21"/>
          <w:szCs w:val="21"/>
          <w:color w:val="auto"/>
        </w:rPr>
      </w:pPr>
      <w:r>
        <w:rPr>
          <w:rFonts w:ascii="Arial" w:cs="Arial" w:eastAsia="Arial" w:hAnsi="Arial"/>
          <w:sz w:val="21"/>
          <w:szCs w:val="21"/>
          <w:color w:val="auto"/>
        </w:rPr>
        <w:t>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the Credit Agreement and the Loan Documents or any other document delivered by it in connection herewith or therewith (such certificate to contain a certification by another Responsible Officer of that entity as to the incumbency and signature of the Responsible Officer signing the certificate referred to in this clause (ii)); and</w:t>
      </w:r>
    </w:p>
    <w:p>
      <w:pPr>
        <w:spacing w:after="0" w:line="159" w:lineRule="exact"/>
        <w:rPr>
          <w:rFonts w:ascii="Arial" w:cs="Arial" w:eastAsia="Arial" w:hAnsi="Arial"/>
          <w:sz w:val="21"/>
          <w:szCs w:val="21"/>
          <w:color w:val="auto"/>
        </w:rPr>
      </w:pPr>
    </w:p>
    <w:p>
      <w:pPr>
        <w:jc w:val="both"/>
        <w:ind w:left="660" w:firstLine="644"/>
        <w:spacing w:after="0" w:line="221" w:lineRule="auto"/>
        <w:tabs>
          <w:tab w:leader="none" w:pos="2334" w:val="left"/>
        </w:tabs>
        <w:numPr>
          <w:ilvl w:val="1"/>
          <w:numId w:val="326"/>
        </w:numPr>
        <w:rPr>
          <w:rFonts w:ascii="Arial" w:cs="Arial" w:eastAsia="Arial" w:hAnsi="Arial"/>
          <w:sz w:val="21"/>
          <w:szCs w:val="21"/>
          <w:color w:val="auto"/>
        </w:rPr>
      </w:pPr>
      <w:r>
        <w:rPr>
          <w:rFonts w:ascii="Arial" w:cs="Arial" w:eastAsia="Arial" w:hAnsi="Arial"/>
          <w:sz w:val="21"/>
          <w:szCs w:val="21"/>
          <w:color w:val="auto"/>
        </w:rPr>
        <w:t xml:space="preserve">an Officer’s Certificate certifying (A) as to the truth in all material respects of the representations and warranties set forth in Article III hereunder and in the other Loan Documents and made by it as though made on the Closing Date, except to the extent that any such representation or warranty relates to a specified date, in which case as of such date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the Closing Date Transactions) and (B) as to the absence of any event occurring and continuing, or resulting from the Closing Date Transactions, that constitutes a Default or an Event of Default.</w:t>
      </w:r>
    </w:p>
    <w:p>
      <w:pPr>
        <w:spacing w:after="0" w:line="159" w:lineRule="exact"/>
        <w:rPr>
          <w:sz w:val="20"/>
          <w:szCs w:val="20"/>
          <w:color w:val="auto"/>
        </w:rPr>
      </w:pPr>
    </w:p>
    <w:p>
      <w:pPr>
        <w:ind w:firstLine="1304"/>
        <w:spacing w:after="0" w:line="232" w:lineRule="auto"/>
        <w:tabs>
          <w:tab w:leader="none" w:pos="2277" w:val="left"/>
        </w:tabs>
        <w:numPr>
          <w:ilvl w:val="0"/>
          <w:numId w:val="327"/>
        </w:numPr>
        <w:rPr>
          <w:rFonts w:ascii="Arial" w:cs="Arial" w:eastAsia="Arial" w:hAnsi="Arial"/>
          <w:sz w:val="22"/>
          <w:szCs w:val="22"/>
          <w:color w:val="auto"/>
        </w:rPr>
      </w:pPr>
      <w:r>
        <w:rPr>
          <w:rFonts w:ascii="Arial" w:cs="Arial" w:eastAsia="Arial" w:hAnsi="Arial"/>
          <w:sz w:val="22"/>
          <w:szCs w:val="22"/>
          <w:i w:val="1"/>
          <w:iCs w:val="1"/>
          <w:color w:val="auto"/>
        </w:rPr>
        <w:t xml:space="preserve">Credit Agreement </w:t>
      </w:r>
      <w:r>
        <w:rPr>
          <w:rFonts w:ascii="Arial" w:cs="Arial" w:eastAsia="Arial" w:hAnsi="Arial"/>
          <w:sz w:val="22"/>
          <w:szCs w:val="22"/>
          <w:color w:val="auto"/>
        </w:rPr>
        <w:t>. Each party hereto shall have duly executed and delivered to the Administrative</w:t>
      </w:r>
      <w:r>
        <w:rPr>
          <w:rFonts w:ascii="Arial" w:cs="Arial" w:eastAsia="Arial" w:hAnsi="Arial"/>
          <w:sz w:val="22"/>
          <w:szCs w:val="22"/>
          <w:i w:val="1"/>
          <w:iCs w:val="1"/>
          <w:color w:val="auto"/>
        </w:rPr>
        <w:t xml:space="preserve"> </w:t>
      </w:r>
      <w:r>
        <w:rPr>
          <w:rFonts w:ascii="Arial" w:cs="Arial" w:eastAsia="Arial" w:hAnsi="Arial"/>
          <w:sz w:val="22"/>
          <w:szCs w:val="22"/>
          <w:color w:val="auto"/>
        </w:rPr>
        <w:t>Agent the Credit Agreement.</w:t>
      </w:r>
    </w:p>
    <w:p>
      <w:pPr>
        <w:spacing w:after="0" w:line="158" w:lineRule="exact"/>
        <w:rPr>
          <w:rFonts w:ascii="Arial" w:cs="Arial" w:eastAsia="Arial" w:hAnsi="Arial"/>
          <w:sz w:val="22"/>
          <w:szCs w:val="22"/>
          <w:color w:val="auto"/>
        </w:rPr>
      </w:pPr>
    </w:p>
    <w:p>
      <w:pPr>
        <w:jc w:val="both"/>
        <w:ind w:firstLine="1304"/>
        <w:spacing w:after="0" w:line="212" w:lineRule="auto"/>
        <w:tabs>
          <w:tab w:leader="none" w:pos="2251" w:val="left"/>
        </w:tabs>
        <w:numPr>
          <w:ilvl w:val="0"/>
          <w:numId w:val="327"/>
        </w:numPr>
        <w:rPr>
          <w:rFonts w:ascii="Arial" w:cs="Arial" w:eastAsia="Arial" w:hAnsi="Arial"/>
          <w:sz w:val="22"/>
          <w:szCs w:val="22"/>
          <w:color w:val="auto"/>
        </w:rPr>
      </w:pPr>
      <w:r>
        <w:rPr>
          <w:rFonts w:ascii="Arial" w:cs="Arial" w:eastAsia="Arial" w:hAnsi="Arial"/>
          <w:sz w:val="22"/>
          <w:szCs w:val="22"/>
          <w:i w:val="1"/>
          <w:iCs w:val="1"/>
          <w:color w:val="auto"/>
        </w:rPr>
        <w:t xml:space="preserve">Loan Documents </w:t>
      </w:r>
      <w:r>
        <w:rPr>
          <w:rFonts w:ascii="Arial" w:cs="Arial" w:eastAsia="Arial" w:hAnsi="Arial"/>
          <w:sz w:val="22"/>
          <w:szCs w:val="22"/>
          <w:color w:val="auto"/>
        </w:rPr>
        <w:t>. The Borrower shall have duly executed and delivered to the Administrative Agent</w:t>
      </w:r>
      <w:r>
        <w:rPr>
          <w:rFonts w:ascii="Arial" w:cs="Arial" w:eastAsia="Arial" w:hAnsi="Arial"/>
          <w:sz w:val="22"/>
          <w:szCs w:val="22"/>
          <w:i w:val="1"/>
          <w:iCs w:val="1"/>
          <w:color w:val="auto"/>
        </w:rPr>
        <w:t xml:space="preserve"> </w:t>
      </w:r>
      <w:r>
        <w:rPr>
          <w:rFonts w:ascii="Arial" w:cs="Arial" w:eastAsia="Arial" w:hAnsi="Arial"/>
          <w:sz w:val="22"/>
          <w:szCs w:val="22"/>
          <w:color w:val="auto"/>
        </w:rPr>
        <w:t>the Security Agreements (Slots, Foreign Gate Leaseholds and Route Authorities), dated the Closing Date in substantially the form of Exhibit A-1, the UK Debenture, in substantially the form of Exhibit A-2, dated the Closing Date, the other Collateral Documents and the other Loan Documents, and has delivered all UCC financing statements in form and substance reasonably acceptable to the Collateral Agent, as may be required to grant, continue and maintain an enforceable security interest in the applicable Collateral (subject to the terms hereof and of the other Loan Documents) in accordance with the UCC as enacted in all relevant jurisdictions.</w:t>
      </w:r>
    </w:p>
    <w:p>
      <w:pPr>
        <w:spacing w:after="0" w:line="163" w:lineRule="exact"/>
        <w:rPr>
          <w:rFonts w:ascii="Arial" w:cs="Arial" w:eastAsia="Arial" w:hAnsi="Arial"/>
          <w:sz w:val="22"/>
          <w:szCs w:val="22"/>
          <w:color w:val="auto"/>
        </w:rPr>
      </w:pPr>
    </w:p>
    <w:p>
      <w:pPr>
        <w:ind w:left="2260" w:hanging="956"/>
        <w:spacing w:after="0"/>
        <w:tabs>
          <w:tab w:leader="none" w:pos="2260" w:val="left"/>
        </w:tabs>
        <w:numPr>
          <w:ilvl w:val="0"/>
          <w:numId w:val="327"/>
        </w:numPr>
        <w:rPr>
          <w:rFonts w:ascii="Arial" w:cs="Arial" w:eastAsia="Arial" w:hAnsi="Arial"/>
          <w:sz w:val="22"/>
          <w:szCs w:val="22"/>
          <w:color w:val="auto"/>
        </w:rPr>
      </w:pPr>
      <w:r>
        <w:rPr>
          <w:rFonts w:ascii="Arial" w:cs="Arial" w:eastAsia="Arial" w:hAnsi="Arial"/>
          <w:sz w:val="22"/>
          <w:szCs w:val="22"/>
          <w:i w:val="1"/>
          <w:iCs w:val="1"/>
          <w:color w:val="auto"/>
        </w:rPr>
        <w:t xml:space="preserve">Opinions of Counsel </w:t>
      </w:r>
      <w:r>
        <w:rPr>
          <w:rFonts w:ascii="Arial" w:cs="Arial" w:eastAsia="Arial" w:hAnsi="Arial"/>
          <w:sz w:val="22"/>
          <w:szCs w:val="22"/>
          <w:color w:val="auto"/>
        </w:rPr>
        <w:t>. The Administrative Agent shall have received:</w:t>
      </w:r>
    </w:p>
    <w:p>
      <w:pPr>
        <w:spacing w:after="0" w:line="179" w:lineRule="exact"/>
        <w:rPr>
          <w:sz w:val="20"/>
          <w:szCs w:val="20"/>
          <w:color w:val="auto"/>
        </w:rPr>
      </w:pPr>
    </w:p>
    <w:p>
      <w:pPr>
        <w:ind w:left="660" w:right="20" w:firstLine="644"/>
        <w:spacing w:after="0" w:line="232" w:lineRule="auto"/>
        <w:tabs>
          <w:tab w:leader="none" w:pos="2227" w:val="left"/>
        </w:tabs>
        <w:numPr>
          <w:ilvl w:val="0"/>
          <w:numId w:val="328"/>
        </w:numPr>
        <w:rPr>
          <w:rFonts w:ascii="Arial" w:cs="Arial" w:eastAsia="Arial" w:hAnsi="Arial"/>
          <w:sz w:val="22"/>
          <w:szCs w:val="22"/>
          <w:color w:val="auto"/>
        </w:rPr>
      </w:pPr>
      <w:r>
        <w:rPr>
          <w:rFonts w:ascii="Arial" w:cs="Arial" w:eastAsia="Arial" w:hAnsi="Arial"/>
          <w:sz w:val="22"/>
          <w:szCs w:val="22"/>
          <w:color w:val="auto"/>
        </w:rPr>
        <w:t>a written opinion of Latham &amp; Watkins LLP, counsel for the Borrower and the Guarantors, dated the Closing Date, in a form and substance reasonably satisfactory to the Administrative Agent; and</w:t>
      </w:r>
    </w:p>
    <w:p>
      <w:pPr>
        <w:spacing w:after="0" w:line="158" w:lineRule="exact"/>
        <w:rPr>
          <w:rFonts w:ascii="Arial" w:cs="Arial" w:eastAsia="Arial" w:hAnsi="Arial"/>
          <w:sz w:val="22"/>
          <w:szCs w:val="22"/>
          <w:color w:val="auto"/>
        </w:rPr>
      </w:pPr>
    </w:p>
    <w:p>
      <w:pPr>
        <w:ind w:left="660" w:firstLine="644"/>
        <w:spacing w:after="0" w:line="232" w:lineRule="auto"/>
        <w:tabs>
          <w:tab w:leader="none" w:pos="2301" w:val="left"/>
        </w:tabs>
        <w:numPr>
          <w:ilvl w:val="0"/>
          <w:numId w:val="328"/>
        </w:numPr>
        <w:rPr>
          <w:rFonts w:ascii="Arial" w:cs="Arial" w:eastAsia="Arial" w:hAnsi="Arial"/>
          <w:sz w:val="22"/>
          <w:szCs w:val="22"/>
          <w:color w:val="auto"/>
        </w:rPr>
      </w:pPr>
      <w:r>
        <w:rPr>
          <w:rFonts w:ascii="Arial" w:cs="Arial" w:eastAsia="Arial" w:hAnsi="Arial"/>
          <w:sz w:val="22"/>
          <w:szCs w:val="22"/>
          <w:color w:val="auto"/>
        </w:rPr>
        <w:t>a written opinion of Milbank LLP counsel for the Administrative Agent and the Lenders, dated the Closing Date, in a form and substance reasonably satisfactory to the Administrative Agent.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1" w:name="page282"/>
    <w:bookmarkEnd w:id="281"/>
    <w:p>
      <w:pPr>
        <w:jc w:val="both"/>
        <w:ind w:firstLine="1304"/>
        <w:spacing w:after="0" w:line="228" w:lineRule="exact"/>
        <w:tabs>
          <w:tab w:leader="none" w:pos="2251" w:val="left"/>
        </w:tabs>
        <w:numPr>
          <w:ilvl w:val="0"/>
          <w:numId w:val="329"/>
        </w:numPr>
        <w:rPr>
          <w:rFonts w:ascii="Arial" w:cs="Arial" w:eastAsia="Arial" w:hAnsi="Arial"/>
          <w:sz w:val="21"/>
          <w:szCs w:val="21"/>
          <w:color w:val="auto"/>
        </w:rPr>
      </w:pPr>
      <w:r>
        <w:rPr>
          <w:rFonts w:ascii="Arial" w:cs="Arial" w:eastAsia="Arial" w:hAnsi="Arial"/>
          <w:sz w:val="21"/>
          <w:szCs w:val="21"/>
          <w:i w:val="1"/>
          <w:iCs w:val="1"/>
          <w:color w:val="auto"/>
        </w:rPr>
        <w:t xml:space="preserve">Payment of Fees and Expenses </w:t>
      </w:r>
      <w:r>
        <w:rPr>
          <w:rFonts w:ascii="Arial" w:cs="Arial" w:eastAsia="Arial" w:hAnsi="Arial"/>
          <w:sz w:val="21"/>
          <w:szCs w:val="21"/>
          <w:color w:val="auto"/>
        </w:rPr>
        <w:t>. The Borrower shall have paid to the Administrative Agent, the Lead</w:t>
      </w:r>
      <w:r>
        <w:rPr>
          <w:rFonts w:ascii="Arial" w:cs="Arial" w:eastAsia="Arial" w:hAnsi="Arial"/>
          <w:sz w:val="21"/>
          <w:szCs w:val="21"/>
          <w:i w:val="1"/>
          <w:iCs w:val="1"/>
          <w:color w:val="auto"/>
        </w:rPr>
        <w:t xml:space="preserve"> </w:t>
      </w:r>
      <w:r>
        <w:rPr>
          <w:rFonts w:ascii="Arial" w:cs="Arial" w:eastAsia="Arial" w:hAnsi="Arial"/>
          <w:sz w:val="21"/>
          <w:szCs w:val="21"/>
          <w:color w:val="auto"/>
        </w:rPr>
        <w:t>Arranger, the Joint Lead Arrangers and Bookrunners and the Lenders the then-unpaid balance of all accrued and unpaid Fees due, owing and payable under and pursuant to the Credit Agreement, and the Fee Letters, and all reasonable and documented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 expenses of the Administrative Agent (including reasonable attorneys’ fees of Milbank LLP) for which invoices have been presented at least three Business Days prior to the Closing Date.</w:t>
      </w:r>
    </w:p>
    <w:p>
      <w:pPr>
        <w:spacing w:after="0" w:line="159" w:lineRule="exact"/>
        <w:rPr>
          <w:rFonts w:ascii="Arial" w:cs="Arial" w:eastAsia="Arial" w:hAnsi="Arial"/>
          <w:sz w:val="21"/>
          <w:szCs w:val="21"/>
          <w:color w:val="auto"/>
        </w:rPr>
      </w:pPr>
    </w:p>
    <w:p>
      <w:pPr>
        <w:jc w:val="both"/>
        <w:ind w:firstLine="1304"/>
        <w:spacing w:after="0" w:line="229" w:lineRule="auto"/>
        <w:tabs>
          <w:tab w:leader="none" w:pos="2214" w:val="left"/>
        </w:tabs>
        <w:numPr>
          <w:ilvl w:val="0"/>
          <w:numId w:val="329"/>
        </w:numPr>
        <w:rPr>
          <w:rFonts w:ascii="Arial" w:cs="Arial" w:eastAsia="Arial" w:hAnsi="Arial"/>
          <w:sz w:val="21"/>
          <w:szCs w:val="21"/>
          <w:color w:val="auto"/>
        </w:rPr>
      </w:pPr>
      <w:r>
        <w:rPr>
          <w:rFonts w:ascii="Arial" w:cs="Arial" w:eastAsia="Arial" w:hAnsi="Arial"/>
          <w:sz w:val="21"/>
          <w:szCs w:val="21"/>
          <w:i w:val="1"/>
          <w:iCs w:val="1"/>
          <w:color w:val="auto"/>
        </w:rPr>
        <w:t xml:space="preserve">Lien Searches </w:t>
      </w:r>
      <w:r>
        <w:rPr>
          <w:rFonts w:ascii="Arial" w:cs="Arial" w:eastAsia="Arial" w:hAnsi="Arial"/>
          <w:sz w:val="21"/>
          <w:szCs w:val="21"/>
          <w:color w:val="auto"/>
        </w:rPr>
        <w:t>. As may be requested by the Administrative Agent, the Administrative Agent shall have</w:t>
      </w:r>
      <w:r>
        <w:rPr>
          <w:rFonts w:ascii="Arial" w:cs="Arial" w:eastAsia="Arial" w:hAnsi="Arial"/>
          <w:sz w:val="21"/>
          <w:szCs w:val="21"/>
          <w:i w:val="1"/>
          <w:iCs w:val="1"/>
          <w:color w:val="auto"/>
        </w:rPr>
        <w:t xml:space="preserve"> </w:t>
      </w:r>
      <w:r>
        <w:rPr>
          <w:rFonts w:ascii="Arial" w:cs="Arial" w:eastAsia="Arial" w:hAnsi="Arial"/>
          <w:sz w:val="21"/>
          <w:szCs w:val="21"/>
          <w:color w:val="auto"/>
        </w:rPr>
        <w:t>received UCC searches conducted in the jurisdictions in which the Borrower is incorporated or such other jurisdictions as the Administrative Agent may reasonably require, reflecting the absence of Liens and encumbrances on the assets of the Borrower constituting Collateral on the Closing Date, other than Permitted Liens.</w:t>
      </w:r>
    </w:p>
    <w:p>
      <w:pPr>
        <w:spacing w:after="0" w:line="158" w:lineRule="exact"/>
        <w:rPr>
          <w:rFonts w:ascii="Arial" w:cs="Arial" w:eastAsia="Arial" w:hAnsi="Arial"/>
          <w:sz w:val="21"/>
          <w:szCs w:val="21"/>
          <w:color w:val="auto"/>
        </w:rPr>
      </w:pPr>
    </w:p>
    <w:p>
      <w:pPr>
        <w:jc w:val="both"/>
        <w:ind w:firstLine="1304"/>
        <w:spacing w:after="0" w:line="223" w:lineRule="auto"/>
        <w:tabs>
          <w:tab w:leader="none" w:pos="2263" w:val="left"/>
        </w:tabs>
        <w:numPr>
          <w:ilvl w:val="0"/>
          <w:numId w:val="329"/>
        </w:numPr>
        <w:rPr>
          <w:rFonts w:ascii="Arial" w:cs="Arial" w:eastAsia="Arial" w:hAnsi="Arial"/>
          <w:sz w:val="22"/>
          <w:szCs w:val="22"/>
          <w:color w:val="auto"/>
        </w:rPr>
      </w:pPr>
      <w:r>
        <w:rPr>
          <w:rFonts w:ascii="Arial" w:cs="Arial" w:eastAsia="Arial" w:hAnsi="Arial"/>
          <w:sz w:val="22"/>
          <w:szCs w:val="22"/>
          <w:i w:val="1"/>
          <w:iCs w:val="1"/>
          <w:color w:val="auto"/>
        </w:rPr>
        <w:t xml:space="preserve">Consents </w:t>
      </w:r>
      <w:r>
        <w:rPr>
          <w:rFonts w:ascii="Arial" w:cs="Arial" w:eastAsia="Arial" w:hAnsi="Arial"/>
          <w:sz w:val="22"/>
          <w:szCs w:val="22"/>
          <w:color w:val="auto"/>
        </w:rPr>
        <w:t>. All material governmental and third-party consents and approvals necessary in connection</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financing contemplated hereby shall have been obtained, in form and substance reasonably satisfactory to the Administrative Agent, and be in full force and effect.</w:t>
      </w:r>
    </w:p>
    <w:p>
      <w:pPr>
        <w:spacing w:after="0" w:line="158" w:lineRule="exact"/>
        <w:rPr>
          <w:rFonts w:ascii="Arial" w:cs="Arial" w:eastAsia="Arial" w:hAnsi="Arial"/>
          <w:sz w:val="22"/>
          <w:szCs w:val="22"/>
          <w:color w:val="auto"/>
        </w:rPr>
      </w:pPr>
    </w:p>
    <w:p>
      <w:pPr>
        <w:jc w:val="both"/>
        <w:ind w:firstLine="1304"/>
        <w:spacing w:after="0" w:line="221" w:lineRule="auto"/>
        <w:tabs>
          <w:tab w:leader="none" w:pos="2317" w:val="left"/>
        </w:tabs>
        <w:numPr>
          <w:ilvl w:val="0"/>
          <w:numId w:val="329"/>
        </w:numPr>
        <w:rPr>
          <w:rFonts w:ascii="Arial" w:cs="Arial" w:eastAsia="Arial" w:hAnsi="Arial"/>
          <w:sz w:val="21"/>
          <w:szCs w:val="21"/>
          <w:color w:val="auto"/>
        </w:rPr>
      </w:pPr>
      <w:r>
        <w:rPr>
          <w:rFonts w:ascii="Arial" w:cs="Arial" w:eastAsia="Arial" w:hAnsi="Arial"/>
          <w:sz w:val="21"/>
          <w:szCs w:val="21"/>
          <w:i w:val="1"/>
          <w:iCs w:val="1"/>
          <w:color w:val="auto"/>
        </w:rPr>
        <w:t xml:space="preserve">Representations and Warranties </w:t>
      </w:r>
      <w:r>
        <w:rPr>
          <w:rFonts w:ascii="Arial" w:cs="Arial" w:eastAsia="Arial" w:hAnsi="Arial"/>
          <w:sz w:val="21"/>
          <w:szCs w:val="21"/>
          <w:color w:val="auto"/>
        </w:rPr>
        <w:t>. All representations and warranties of the Borrower and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Guarantors contained in the Credit Agreement and the other Loan Documents executed and delivered on the Closing Date shall be true and correct in all material respects on and as of the Closing Date, before and after giving effect to the Closing Date Transactions, as though made on and as of such date (except to the extent any such representation or warranty by its terms is made as of a different specified date, in which case as of such specified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the Closing Date Transactions.</w:t>
      </w:r>
    </w:p>
    <w:p>
      <w:pPr>
        <w:spacing w:after="0" w:line="158" w:lineRule="exact"/>
        <w:rPr>
          <w:rFonts w:ascii="Arial" w:cs="Arial" w:eastAsia="Arial" w:hAnsi="Arial"/>
          <w:sz w:val="21"/>
          <w:szCs w:val="21"/>
          <w:color w:val="auto"/>
        </w:rPr>
      </w:pPr>
    </w:p>
    <w:p>
      <w:pPr>
        <w:jc w:val="both"/>
        <w:ind w:firstLine="1304"/>
        <w:spacing w:after="0" w:line="230" w:lineRule="exact"/>
        <w:tabs>
          <w:tab w:leader="none" w:pos="2202" w:val="left"/>
        </w:tabs>
        <w:numPr>
          <w:ilvl w:val="0"/>
          <w:numId w:val="329"/>
        </w:numPr>
        <w:rPr>
          <w:rFonts w:ascii="Arial" w:cs="Arial" w:eastAsia="Arial" w:hAnsi="Arial"/>
          <w:sz w:val="22"/>
          <w:szCs w:val="22"/>
          <w:color w:val="auto"/>
        </w:rPr>
      </w:pPr>
      <w:r>
        <w:rPr>
          <w:rFonts w:ascii="Arial" w:cs="Arial" w:eastAsia="Arial" w:hAnsi="Arial"/>
          <w:sz w:val="22"/>
          <w:szCs w:val="22"/>
          <w:i w:val="1"/>
          <w:iCs w:val="1"/>
          <w:color w:val="auto"/>
        </w:rPr>
        <w:t xml:space="preserve">No Event of Default; No Material Adverse Change </w:t>
      </w:r>
      <w:r>
        <w:rPr>
          <w:rFonts w:ascii="Arial" w:cs="Arial" w:eastAsia="Arial" w:hAnsi="Arial"/>
          <w:sz w:val="22"/>
          <w:szCs w:val="22"/>
          <w:color w:val="auto"/>
        </w:rPr>
        <w:t>. No Default or Event of Default shall have occurred</w:t>
      </w:r>
      <w:r>
        <w:rPr>
          <w:rFonts w:ascii="Arial" w:cs="Arial" w:eastAsia="Arial" w:hAnsi="Arial"/>
          <w:sz w:val="22"/>
          <w:szCs w:val="22"/>
          <w:i w:val="1"/>
          <w:iCs w:val="1"/>
          <w:color w:val="auto"/>
        </w:rPr>
        <w:t xml:space="preserve"> </w:t>
      </w:r>
      <w:r>
        <w:rPr>
          <w:rFonts w:ascii="Arial" w:cs="Arial" w:eastAsia="Arial" w:hAnsi="Arial"/>
          <w:sz w:val="22"/>
          <w:szCs w:val="22"/>
          <w:color w:val="auto"/>
        </w:rPr>
        <w:t>and be continuing. Except as disclosed in Parent’s Annual Report on Form 10</w:t>
      </w:r>
      <w:r>
        <w:rPr>
          <w:rFonts w:ascii="MS PGothic" w:cs="MS PGothic" w:eastAsia="MS PGothic" w:hAnsi="MS PGothic"/>
          <w:sz w:val="22"/>
          <w:szCs w:val="22"/>
          <w:color w:val="auto"/>
        </w:rPr>
        <w:t>‑</w:t>
      </w:r>
      <w:r>
        <w:rPr>
          <w:rFonts w:ascii="Arial" w:cs="Arial" w:eastAsia="Arial" w:hAnsi="Arial"/>
          <w:sz w:val="22"/>
          <w:szCs w:val="22"/>
          <w:color w:val="auto"/>
        </w:rPr>
        <w:t>K for 2019 or any subsequent report filed by Parent on Form 10</w:t>
      </w:r>
      <w:r>
        <w:rPr>
          <w:rFonts w:ascii="MS PGothic" w:cs="MS PGothic" w:eastAsia="MS PGothic" w:hAnsi="MS PGothic"/>
          <w:sz w:val="22"/>
          <w:szCs w:val="22"/>
          <w:color w:val="auto"/>
        </w:rPr>
        <w:t>‑</w:t>
      </w:r>
      <w:r>
        <w:rPr>
          <w:rFonts w:ascii="Arial" w:cs="Arial" w:eastAsia="Arial" w:hAnsi="Arial"/>
          <w:sz w:val="22"/>
          <w:szCs w:val="22"/>
          <w:color w:val="auto"/>
        </w:rPr>
        <w:t>Q or Form 8</w:t>
      </w:r>
      <w:r>
        <w:rPr>
          <w:rFonts w:ascii="MS PGothic" w:cs="MS PGothic" w:eastAsia="MS PGothic" w:hAnsi="MS PGothic"/>
          <w:sz w:val="22"/>
          <w:szCs w:val="22"/>
          <w:color w:val="auto"/>
        </w:rPr>
        <w:t>‑</w:t>
      </w:r>
      <w:r>
        <w:rPr>
          <w:rFonts w:ascii="Arial" w:cs="Arial" w:eastAsia="Arial" w:hAnsi="Arial"/>
          <w:sz w:val="22"/>
          <w:szCs w:val="22"/>
          <w:color w:val="auto"/>
        </w:rPr>
        <w:t>K with the SEC, since December 31, 2019, there shall not have occurred a Material Adverse Change.</w:t>
      </w:r>
    </w:p>
    <w:p>
      <w:pPr>
        <w:spacing w:after="0" w:line="160" w:lineRule="exact"/>
        <w:rPr>
          <w:rFonts w:ascii="Arial" w:cs="Arial" w:eastAsia="Arial" w:hAnsi="Arial"/>
          <w:sz w:val="22"/>
          <w:szCs w:val="22"/>
          <w:color w:val="auto"/>
        </w:rPr>
      </w:pPr>
    </w:p>
    <w:p>
      <w:pPr>
        <w:jc w:val="both"/>
        <w:ind w:firstLine="1304"/>
        <w:spacing w:after="0" w:line="230" w:lineRule="exact"/>
        <w:tabs>
          <w:tab w:leader="none" w:pos="2242" w:val="left"/>
        </w:tabs>
        <w:numPr>
          <w:ilvl w:val="0"/>
          <w:numId w:val="329"/>
        </w:numPr>
        <w:rPr>
          <w:rFonts w:ascii="Arial" w:cs="Arial" w:eastAsia="Arial" w:hAnsi="Arial"/>
          <w:sz w:val="22"/>
          <w:szCs w:val="22"/>
          <w:color w:val="auto"/>
        </w:rPr>
      </w:pPr>
      <w:r>
        <w:rPr>
          <w:rFonts w:ascii="Arial" w:cs="Arial" w:eastAsia="Arial" w:hAnsi="Arial"/>
          <w:sz w:val="22"/>
          <w:szCs w:val="22"/>
          <w:i w:val="1"/>
          <w:iCs w:val="1"/>
          <w:color w:val="auto"/>
        </w:rPr>
        <w:t xml:space="preserve">Patriot Act </w:t>
      </w:r>
      <w:r>
        <w:rPr>
          <w:rFonts w:ascii="Arial" w:cs="Arial" w:eastAsia="Arial" w:hAnsi="Arial"/>
          <w:sz w:val="22"/>
          <w:szCs w:val="22"/>
          <w:color w:val="auto"/>
        </w:rPr>
        <w:t>. The Lenders shall have received at least ten (10) days prior to the Closing Date all</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documentation and other information required by bank regulatory authorities under applicable “know</w:t>
      </w:r>
      <w:r>
        <w:rPr>
          <w:rFonts w:ascii="MS PGothic" w:cs="MS PGothic" w:eastAsia="MS PGothic" w:hAnsi="MS PGothic"/>
          <w:sz w:val="22"/>
          <w:szCs w:val="22"/>
          <w:color w:val="auto"/>
        </w:rPr>
        <w:t>‑</w:t>
      </w:r>
      <w:r>
        <w:rPr>
          <w:rFonts w:ascii="Arial" w:cs="Arial" w:eastAsia="Arial" w:hAnsi="Arial"/>
          <w:sz w:val="22"/>
          <w:szCs w:val="22"/>
          <w:color w:val="auto"/>
        </w:rPr>
        <w:t>your</w:t>
      </w:r>
      <w:r>
        <w:rPr>
          <w:rFonts w:ascii="MS PGothic" w:cs="MS PGothic" w:eastAsia="MS PGothic" w:hAnsi="MS PGothic"/>
          <w:sz w:val="22"/>
          <w:szCs w:val="22"/>
          <w:color w:val="auto"/>
        </w:rPr>
        <w:t>‑</w:t>
      </w:r>
      <w:r>
        <w:rPr>
          <w:rFonts w:ascii="Arial" w:cs="Arial" w:eastAsia="Arial" w:hAnsi="Arial"/>
          <w:sz w:val="22"/>
          <w:szCs w:val="22"/>
          <w:color w:val="auto"/>
        </w:rPr>
        <w:t>customer” and anti</w:t>
      </w:r>
      <w:r>
        <w:rPr>
          <w:rFonts w:ascii="MS PGothic" w:cs="MS PGothic" w:eastAsia="MS PGothic" w:hAnsi="MS PGothic"/>
          <w:sz w:val="22"/>
          <w:szCs w:val="22"/>
          <w:color w:val="auto"/>
        </w:rPr>
        <w:t>‑</w:t>
      </w:r>
      <w:r>
        <w:rPr>
          <w:rFonts w:ascii="Arial" w:cs="Arial" w:eastAsia="Arial" w:hAnsi="Arial"/>
          <w:sz w:val="22"/>
          <w:szCs w:val="22"/>
          <w:color w:val="auto"/>
        </w:rPr>
        <w:t>money laundering rules and regulations, including the Patriot Act, that such Lenders shall have requested from the Borrower or Guarantor prior to such date.</w:t>
      </w:r>
    </w:p>
    <w:p>
      <w:pPr>
        <w:spacing w:after="0" w:line="160" w:lineRule="exact"/>
        <w:rPr>
          <w:rFonts w:ascii="Arial" w:cs="Arial" w:eastAsia="Arial" w:hAnsi="Arial"/>
          <w:sz w:val="22"/>
          <w:szCs w:val="22"/>
          <w:color w:val="auto"/>
        </w:rPr>
      </w:pPr>
    </w:p>
    <w:p>
      <w:pPr>
        <w:jc w:val="both"/>
        <w:ind w:firstLine="1304"/>
        <w:spacing w:after="0" w:line="223" w:lineRule="auto"/>
        <w:tabs>
          <w:tab w:leader="none" w:pos="2290" w:val="left"/>
        </w:tabs>
        <w:numPr>
          <w:ilvl w:val="0"/>
          <w:numId w:val="329"/>
        </w:numPr>
        <w:rPr>
          <w:rFonts w:ascii="Arial" w:cs="Arial" w:eastAsia="Arial" w:hAnsi="Arial"/>
          <w:sz w:val="22"/>
          <w:szCs w:val="22"/>
          <w:color w:val="auto"/>
        </w:rPr>
      </w:pPr>
      <w:r>
        <w:rPr>
          <w:rFonts w:ascii="Arial" w:cs="Arial" w:eastAsia="Arial" w:hAnsi="Arial"/>
          <w:sz w:val="22"/>
          <w:szCs w:val="22"/>
          <w:i w:val="1"/>
          <w:iCs w:val="1"/>
          <w:color w:val="auto"/>
        </w:rPr>
        <w:t xml:space="preserve">Financial Deliverables </w:t>
      </w:r>
      <w:r>
        <w:rPr>
          <w:rFonts w:ascii="Arial" w:cs="Arial" w:eastAsia="Arial" w:hAnsi="Arial"/>
          <w:sz w:val="22"/>
          <w:szCs w:val="22"/>
          <w:color w:val="auto"/>
        </w:rPr>
        <w:t>. The Administrative Agent shall have received the most recent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statements required to be delivered pursuant to Sections 5.01(a) and (b) and reports of the Borrower and Parent, which have been filed with the SEC.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2" w:name="page283"/>
    <w:bookmarkEnd w:id="282"/>
    <w:p>
      <w:pPr>
        <w:jc w:val="both"/>
        <w:ind w:firstLine="1304"/>
        <w:spacing w:after="0" w:line="214" w:lineRule="auto"/>
        <w:tabs>
          <w:tab w:leader="none" w:pos="2202" w:val="left"/>
        </w:tabs>
        <w:numPr>
          <w:ilvl w:val="0"/>
          <w:numId w:val="330"/>
        </w:numPr>
        <w:rPr>
          <w:rFonts w:ascii="Arial" w:cs="Arial" w:eastAsia="Arial" w:hAnsi="Arial"/>
          <w:sz w:val="22"/>
          <w:szCs w:val="22"/>
          <w:color w:val="auto"/>
        </w:rPr>
      </w:pPr>
      <w:r>
        <w:rPr>
          <w:rFonts w:ascii="Arial" w:cs="Arial" w:eastAsia="Arial" w:hAnsi="Arial"/>
          <w:sz w:val="22"/>
          <w:szCs w:val="22"/>
          <w:i w:val="1"/>
          <w:iCs w:val="1"/>
          <w:color w:val="auto"/>
        </w:rPr>
        <w:t xml:space="preserve">Perfected Liens </w:t>
      </w:r>
      <w:r>
        <w:rPr>
          <w:rFonts w:ascii="Arial" w:cs="Arial" w:eastAsia="Arial" w:hAnsi="Arial"/>
          <w:sz w:val="22"/>
          <w:szCs w:val="22"/>
          <w:color w:val="auto"/>
        </w:rPr>
        <w:t>. The Collateral Agent, for the benefit of the Secured Parties, shall have obtained a valid</w:t>
      </w:r>
      <w:r>
        <w:rPr>
          <w:rFonts w:ascii="Arial" w:cs="Arial" w:eastAsia="Arial" w:hAnsi="Arial"/>
          <w:sz w:val="22"/>
          <w:szCs w:val="22"/>
          <w:i w:val="1"/>
          <w:iCs w:val="1"/>
          <w:color w:val="auto"/>
        </w:rPr>
        <w:t xml:space="preserve"> </w:t>
      </w:r>
      <w:r>
        <w:rPr>
          <w:rFonts w:ascii="Arial" w:cs="Arial" w:eastAsia="Arial" w:hAnsi="Arial"/>
          <w:sz w:val="22"/>
          <w:szCs w:val="22"/>
          <w:color w:val="auto"/>
        </w:rPr>
        <w:t>and perfected (i) first priority lien on and security interest in the Collateral pursuant to the First Lien SGR Security Agreement and (ii) second priority lien on and security interest in the Collateral pursuant to the Second Lien SGR Security Agreement, to the extent such security interests can be perfected under the UCC, and all UCC financing statements to be filed in the Borrower’s jurisdiction of organization shall have been executed and delivered or made, or shall be delivered or made substantially concurrently with the initial funding.</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2323" w:val="left"/>
        </w:tabs>
        <w:numPr>
          <w:ilvl w:val="0"/>
          <w:numId w:val="330"/>
        </w:numPr>
        <w:rPr>
          <w:rFonts w:ascii="Arial" w:cs="Arial" w:eastAsia="Arial" w:hAnsi="Arial"/>
          <w:sz w:val="22"/>
          <w:szCs w:val="22"/>
          <w:color w:val="auto"/>
        </w:rPr>
      </w:pPr>
      <w:r>
        <w:rPr>
          <w:rFonts w:ascii="Arial" w:cs="Arial" w:eastAsia="Arial" w:hAnsi="Arial"/>
          <w:sz w:val="22"/>
          <w:szCs w:val="22"/>
          <w:i w:val="1"/>
          <w:iCs w:val="1"/>
          <w:color w:val="auto"/>
        </w:rPr>
        <w:t xml:space="preserve">Solvency </w:t>
      </w:r>
      <w:r>
        <w:rPr>
          <w:rFonts w:ascii="Arial" w:cs="Arial" w:eastAsia="Arial" w:hAnsi="Arial"/>
          <w:sz w:val="22"/>
          <w:szCs w:val="22"/>
          <w:color w:val="auto"/>
        </w:rPr>
        <w:t>. The Administrative Agent shall have received an Officer’s Certificate certifying that as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Closing Date, after giving effect to the Loans made on the Closing Date and the payment of all costs and expenses in connection therewith, that the Borrower and the Guarantors, taken as a whole, are Solvent.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execution by each Lender of the Credit Agreement shall be deemed to be confirmation by such Lender that any condition relating to such Lender’s satisfaction or reasonable satisfaction with any documentation set forth in this Section 4.01 has been satisfied as to such Lender.</w:t>
      </w:r>
    </w:p>
    <w:p>
      <w:pPr>
        <w:spacing w:after="0" w:line="200" w:lineRule="exact"/>
        <w:rPr>
          <w:sz w:val="20"/>
          <w:szCs w:val="20"/>
          <w:color w:val="auto"/>
        </w:rPr>
      </w:pPr>
    </w:p>
    <w:p>
      <w:pPr>
        <w:spacing w:after="0" w:line="20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Conditions Precedent to Each Loan and Each Letter of Credit</w:t>
      </w:r>
      <w:r>
        <w:rPr>
          <w:rFonts w:ascii="Arial" w:cs="Arial" w:eastAsia="Arial" w:hAnsi="Arial"/>
          <w:sz w:val="22"/>
          <w:szCs w:val="22"/>
          <w:color w:val="auto"/>
        </w:rPr>
        <w:t xml:space="preserve"> . The obligation of the Lenders to make each Loan, including the initial Loans, is subject to the satisfaction (or in the case of waiver only, consent by each Term Lender as to its own Commitment) of the following conditions precedent:</w:t>
      </w:r>
    </w:p>
    <w:p>
      <w:pPr>
        <w:spacing w:after="0" w:line="158" w:lineRule="exact"/>
        <w:rPr>
          <w:sz w:val="20"/>
          <w:szCs w:val="20"/>
          <w:color w:val="auto"/>
        </w:rPr>
      </w:pPr>
    </w:p>
    <w:p>
      <w:pPr>
        <w:ind w:firstLine="1304"/>
        <w:spacing w:after="0" w:line="232" w:lineRule="auto"/>
        <w:tabs>
          <w:tab w:leader="none" w:pos="2251" w:val="left"/>
        </w:tabs>
        <w:numPr>
          <w:ilvl w:val="0"/>
          <w:numId w:val="331"/>
        </w:numPr>
        <w:rPr>
          <w:rFonts w:ascii="Arial" w:cs="Arial" w:eastAsia="Arial" w:hAnsi="Arial"/>
          <w:sz w:val="22"/>
          <w:szCs w:val="22"/>
          <w:color w:val="auto"/>
        </w:rPr>
      </w:pPr>
      <w:r>
        <w:rPr>
          <w:rFonts w:ascii="Arial" w:cs="Arial" w:eastAsia="Arial" w:hAnsi="Arial"/>
          <w:sz w:val="22"/>
          <w:szCs w:val="22"/>
          <w:i w:val="1"/>
          <w:iCs w:val="1"/>
          <w:color w:val="auto"/>
        </w:rPr>
        <w:t xml:space="preserve">Notice </w:t>
      </w:r>
      <w:r>
        <w:rPr>
          <w:rFonts w:ascii="Arial" w:cs="Arial" w:eastAsia="Arial" w:hAnsi="Arial"/>
          <w:sz w:val="22"/>
          <w:szCs w:val="22"/>
          <w:color w:val="auto"/>
        </w:rPr>
        <w:t>. The Administrative Agent shall have received a Loan Request pursuant to Section 2.03 with</w:t>
      </w:r>
      <w:r>
        <w:rPr>
          <w:rFonts w:ascii="Arial" w:cs="Arial" w:eastAsia="Arial" w:hAnsi="Arial"/>
          <w:sz w:val="22"/>
          <w:szCs w:val="22"/>
          <w:i w:val="1"/>
          <w:iCs w:val="1"/>
          <w:color w:val="auto"/>
        </w:rPr>
        <w:t xml:space="preserve"> </w:t>
      </w:r>
      <w:r>
        <w:rPr>
          <w:rFonts w:ascii="Arial" w:cs="Arial" w:eastAsia="Arial" w:hAnsi="Arial"/>
          <w:sz w:val="22"/>
          <w:szCs w:val="22"/>
          <w:color w:val="auto"/>
        </w:rPr>
        <w:t>respect to such borrowing.</w:t>
      </w:r>
    </w:p>
    <w:p>
      <w:pPr>
        <w:spacing w:after="0" w:line="158" w:lineRule="exact"/>
        <w:rPr>
          <w:rFonts w:ascii="Arial" w:cs="Arial" w:eastAsia="Arial" w:hAnsi="Arial"/>
          <w:sz w:val="22"/>
          <w:szCs w:val="22"/>
          <w:color w:val="auto"/>
        </w:rPr>
      </w:pPr>
    </w:p>
    <w:p>
      <w:pPr>
        <w:jc w:val="both"/>
        <w:ind w:firstLine="1304"/>
        <w:spacing w:after="0" w:line="220" w:lineRule="auto"/>
        <w:tabs>
          <w:tab w:leader="none" w:pos="2263" w:val="left"/>
        </w:tabs>
        <w:numPr>
          <w:ilvl w:val="0"/>
          <w:numId w:val="331"/>
        </w:numPr>
        <w:rPr>
          <w:rFonts w:ascii="Arial" w:cs="Arial" w:eastAsia="Arial" w:hAnsi="Arial"/>
          <w:sz w:val="21"/>
          <w:szCs w:val="21"/>
          <w:color w:val="auto"/>
        </w:rPr>
      </w:pPr>
      <w:r>
        <w:rPr>
          <w:rFonts w:ascii="Arial" w:cs="Arial" w:eastAsia="Arial" w:hAnsi="Arial"/>
          <w:sz w:val="21"/>
          <w:szCs w:val="21"/>
          <w:i w:val="1"/>
          <w:iCs w:val="1"/>
          <w:color w:val="auto"/>
        </w:rPr>
        <w:t xml:space="preserve">Representations and Warranties </w:t>
      </w:r>
      <w:r>
        <w:rPr>
          <w:rFonts w:ascii="Arial" w:cs="Arial" w:eastAsia="Arial" w:hAnsi="Arial"/>
          <w:sz w:val="21"/>
          <w:szCs w:val="21"/>
          <w:color w:val="auto"/>
        </w:rPr>
        <w:t>. All representations and warranties contained in this Agreement and</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the other Loan Documents (other than in the case of each Borrowing Date, after the Closing Date, the representations and warranties set forth in Sections 3.05(b), 3.06, 3.09(a) and 3.19) shall be true and correct in all material respects on and as of the date of such Loan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such Loan.</w:t>
      </w:r>
    </w:p>
    <w:p>
      <w:pPr>
        <w:spacing w:after="0" w:line="162" w:lineRule="exact"/>
        <w:rPr>
          <w:rFonts w:ascii="Arial" w:cs="Arial" w:eastAsia="Arial" w:hAnsi="Arial"/>
          <w:sz w:val="21"/>
          <w:szCs w:val="21"/>
          <w:color w:val="auto"/>
        </w:rPr>
      </w:pPr>
    </w:p>
    <w:p>
      <w:pPr>
        <w:jc w:val="both"/>
        <w:ind w:firstLine="1304"/>
        <w:spacing w:after="0" w:line="268" w:lineRule="auto"/>
        <w:tabs>
          <w:tab w:leader="none" w:pos="2251" w:val="left"/>
        </w:tabs>
        <w:numPr>
          <w:ilvl w:val="0"/>
          <w:numId w:val="331"/>
        </w:numPr>
        <w:rPr>
          <w:rFonts w:ascii="Arial" w:cs="Arial" w:eastAsia="Arial" w:hAnsi="Arial"/>
          <w:sz w:val="19"/>
          <w:szCs w:val="19"/>
          <w:color w:val="auto"/>
        </w:rPr>
      </w:pPr>
      <w:r>
        <w:rPr>
          <w:rFonts w:ascii="Arial" w:cs="Arial" w:eastAsia="Arial" w:hAnsi="Arial"/>
          <w:sz w:val="19"/>
          <w:szCs w:val="19"/>
          <w:i w:val="1"/>
          <w:iCs w:val="1"/>
          <w:color w:val="auto"/>
        </w:rPr>
        <w:t xml:space="preserve">No Default </w:t>
      </w:r>
      <w:r>
        <w:rPr>
          <w:rFonts w:ascii="Arial" w:cs="Arial" w:eastAsia="Arial" w:hAnsi="Arial"/>
          <w:sz w:val="19"/>
          <w:szCs w:val="19"/>
          <w:color w:val="auto"/>
        </w:rPr>
        <w:t>. On the date of such Loan, no (i) Event of Default or (ii) Default with respect to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7.01(b), (e), (f) or (g) shall have occurred and be continuing nor shall any such Default or Event of Default, as the case may be, occur by reason of the making of the requested Borrowing and, in the case of each Loan, the application of proceeds thereof.</w:t>
      </w:r>
    </w:p>
    <w:p>
      <w:pPr>
        <w:spacing w:after="0" w:line="132" w:lineRule="exact"/>
        <w:rPr>
          <w:rFonts w:ascii="Arial" w:cs="Arial" w:eastAsia="Arial" w:hAnsi="Arial"/>
          <w:sz w:val="19"/>
          <w:szCs w:val="19"/>
          <w:color w:val="auto"/>
        </w:rPr>
      </w:pPr>
    </w:p>
    <w:p>
      <w:pPr>
        <w:jc w:val="both"/>
        <w:ind w:firstLine="1304"/>
        <w:spacing w:after="0" w:line="218" w:lineRule="auto"/>
        <w:tabs>
          <w:tab w:leader="none" w:pos="2250" w:val="left"/>
        </w:tabs>
        <w:numPr>
          <w:ilvl w:val="0"/>
          <w:numId w:val="331"/>
        </w:numPr>
        <w:rPr>
          <w:rFonts w:ascii="Arial" w:cs="Arial" w:eastAsia="Arial" w:hAnsi="Arial"/>
          <w:sz w:val="22"/>
          <w:szCs w:val="22"/>
          <w:color w:val="auto"/>
        </w:rPr>
      </w:pPr>
      <w:r>
        <w:rPr>
          <w:rFonts w:ascii="Arial" w:cs="Arial" w:eastAsia="Arial" w:hAnsi="Arial"/>
          <w:sz w:val="22"/>
          <w:szCs w:val="22"/>
          <w:i w:val="1"/>
          <w:iCs w:val="1"/>
          <w:color w:val="auto"/>
        </w:rPr>
        <w:t xml:space="preserve">Initial Appraisal </w:t>
      </w:r>
      <w:r>
        <w:rPr>
          <w:rFonts w:ascii="Arial" w:cs="Arial" w:eastAsia="Arial" w:hAnsi="Arial"/>
          <w:sz w:val="22"/>
          <w:szCs w:val="22"/>
          <w:color w:val="auto"/>
        </w:rPr>
        <w:t>. The Administrative Agent shall have received (x)(A) the First Lien Initial Appraisal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in </w:t>
      </w:r>
      <w:r>
        <w:rPr>
          <w:rFonts w:ascii="Arial" w:cs="Arial" w:eastAsia="Arial" w:hAnsi="Arial"/>
          <w:sz w:val="22"/>
          <w:szCs w:val="22"/>
          <w:i w:val="1"/>
          <w:iCs w:val="1"/>
          <w:color w:val="auto"/>
        </w:rPr>
        <w:t>form</w:t>
      </w:r>
      <w:r>
        <w:rPr>
          <w:rFonts w:ascii="Arial" w:cs="Arial" w:eastAsia="Arial" w:hAnsi="Arial"/>
          <w:sz w:val="22"/>
          <w:szCs w:val="22"/>
          <w:color w:val="auto"/>
        </w:rPr>
        <w:t xml:space="preserve"> substantially similar to draft appraisal previously shared with the Administrative Agent (which need only be provided for the first Borrowing) and (B) the Second Lien Initial Appraisal (which need only be provided for the first Borrowing), and (y) an Officer’s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3" w:name="page284"/>
    <w:bookmarkEnd w:id="283"/>
    <w:p>
      <w:pPr>
        <w:jc w:val="both"/>
        <w:spacing w:after="0" w:line="257" w:lineRule="auto"/>
        <w:rPr>
          <w:sz w:val="20"/>
          <w:szCs w:val="20"/>
          <w:color w:val="auto"/>
        </w:rPr>
      </w:pPr>
      <w:r>
        <w:rPr>
          <w:rFonts w:ascii="Arial" w:cs="Arial" w:eastAsia="Arial" w:hAnsi="Arial"/>
          <w:sz w:val="19"/>
          <w:szCs w:val="19"/>
          <w:color w:val="auto"/>
        </w:rPr>
        <w:t>Certificate from a Responsible Officer of the Borrower demonstrating that, using the Appraised Value listed in the Initial Appraisal, on the Closing Date and after giving effect to the Extensions of Credit to be made on such date, the Collateral Coverage Ratio shall be no (i) less than 2.00 to 1.0 with respect to Collateral secured pursuant to the First Lien SGR Security Agreement or (ii) less than 1.33 to 1.0 with respect to Collateral secured pursuant to the Second Lien SGR Security Agreement.</w:t>
      </w:r>
    </w:p>
    <w:p>
      <w:pPr>
        <w:spacing w:after="0" w:line="144" w:lineRule="exact"/>
        <w:rPr>
          <w:sz w:val="20"/>
          <w:szCs w:val="20"/>
          <w:color w:val="auto"/>
        </w:rPr>
      </w:pPr>
    </w:p>
    <w:p>
      <w:pPr>
        <w:jc w:val="both"/>
        <w:ind w:firstLine="1304"/>
        <w:spacing w:after="0" w:line="216" w:lineRule="auto"/>
        <w:tabs>
          <w:tab w:leader="none" w:pos="2265" w:val="left"/>
        </w:tabs>
        <w:numPr>
          <w:ilvl w:val="0"/>
          <w:numId w:val="332"/>
        </w:numPr>
        <w:rPr>
          <w:rFonts w:ascii="Arial" w:cs="Arial" w:eastAsia="Arial" w:hAnsi="Arial"/>
          <w:sz w:val="22"/>
          <w:szCs w:val="22"/>
          <w:color w:val="auto"/>
        </w:rPr>
      </w:pPr>
      <w:r>
        <w:rPr>
          <w:rFonts w:ascii="Arial" w:cs="Arial" w:eastAsia="Arial" w:hAnsi="Arial"/>
          <w:sz w:val="22"/>
          <w:szCs w:val="22"/>
          <w:i w:val="1"/>
          <w:iCs w:val="1"/>
          <w:color w:val="auto"/>
        </w:rPr>
        <w:t xml:space="preserve">No Going Concern Qualification </w:t>
      </w:r>
      <w:r>
        <w:rPr>
          <w:rFonts w:ascii="Arial" w:cs="Arial" w:eastAsia="Arial" w:hAnsi="Arial"/>
          <w:sz w:val="22"/>
          <w:szCs w:val="22"/>
          <w:color w:val="auto"/>
        </w:rPr>
        <w:t>. On the date of such Loan, the opinion of the independent public</w:t>
      </w:r>
      <w:r>
        <w:rPr>
          <w:rFonts w:ascii="Arial" w:cs="Arial" w:eastAsia="Arial" w:hAnsi="Arial"/>
          <w:sz w:val="22"/>
          <w:szCs w:val="22"/>
          <w:i w:val="1"/>
          <w:iCs w:val="1"/>
          <w:color w:val="auto"/>
        </w:rPr>
        <w:t xml:space="preserve"> </w:t>
      </w:r>
      <w:r>
        <w:rPr>
          <w:rFonts w:ascii="Arial" w:cs="Arial" w:eastAsia="Arial" w:hAnsi="Arial"/>
          <w:sz w:val="22"/>
          <w:szCs w:val="22"/>
          <w:color w:val="auto"/>
        </w:rPr>
        <w:t>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8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391" w:lineRule="exact"/>
        <w:rPr>
          <w:sz w:val="20"/>
          <w:szCs w:val="20"/>
          <w:color w:val="auto"/>
        </w:rPr>
      </w:pPr>
    </w:p>
    <w:p>
      <w:pPr>
        <w:ind w:right="460" w:firstLine="1296"/>
        <w:spacing w:after="0" w:line="265"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u w:val="single" w:color="auto"/>
          <w:color w:val="auto"/>
        </w:rPr>
        <w:t>Conditions Subsequent to Closing</w:t>
      </w:r>
      <w:r>
        <w:rPr>
          <w:rFonts w:ascii="Arial" w:cs="Arial" w:eastAsia="Arial" w:hAnsi="Arial"/>
          <w:sz w:val="21"/>
          <w:szCs w:val="21"/>
          <w:color w:val="auto"/>
        </w:rPr>
        <w:t xml:space="preserve"> . The Administrative Agent shall have received a written opinion of Baker McKenzie LLP, within 45 days after the Closing Date (or such longer time as agreed by the Administrative Agent in its sole discretion), special regulatory counsel to the Borrower and the Guarantors, consistent with similar opinions delivered in connection with credit facilities secured by similar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22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21"/>
          <w:szCs w:val="21"/>
          <w:color w:val="auto"/>
        </w:rPr>
        <w:t>From the date hereof and for so long as the Commitments remain in effect, or the principal of, or interest on, any Loan is owing (or any other amount that is due and unpaid on the first date that none of the foregoing is in effect, outstanding or owing, respectively, is owing) to any Lender or the Administrative Agent hereunder:</w:t>
      </w:r>
    </w:p>
    <w:p>
      <w:pPr>
        <w:spacing w:after="0" w:line="38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Reports, etc</w:t>
      </w:r>
      <w:r>
        <w:rPr>
          <w:rFonts w:ascii="Arial" w:cs="Arial" w:eastAsia="Arial" w:hAnsi="Arial"/>
          <w:sz w:val="22"/>
          <w:szCs w:val="22"/>
          <w:color w:val="auto"/>
        </w:rPr>
        <w:t xml:space="preserve"> . The Borrower shall deliver to the Administrative Agent on behalf of the Lenders:</w:t>
      </w:r>
    </w:p>
    <w:p>
      <w:pPr>
        <w:spacing w:after="0" w:line="148" w:lineRule="exact"/>
        <w:rPr>
          <w:sz w:val="20"/>
          <w:szCs w:val="20"/>
          <w:color w:val="auto"/>
        </w:rPr>
      </w:pPr>
    </w:p>
    <w:p>
      <w:pPr>
        <w:jc w:val="both"/>
        <w:ind w:firstLine="1304"/>
        <w:spacing w:after="0" w:line="249" w:lineRule="auto"/>
        <w:tabs>
          <w:tab w:leader="none" w:pos="2238" w:val="left"/>
        </w:tabs>
        <w:numPr>
          <w:ilvl w:val="0"/>
          <w:numId w:val="333"/>
        </w:numPr>
        <w:rPr>
          <w:rFonts w:ascii="Arial" w:cs="Arial" w:eastAsia="Arial" w:hAnsi="Arial"/>
          <w:sz w:val="19"/>
          <w:szCs w:val="19"/>
          <w:color w:val="auto"/>
        </w:rPr>
      </w:pPr>
      <w:r>
        <w:rPr>
          <w:rFonts w:ascii="Arial" w:cs="Arial" w:eastAsia="Arial" w:hAnsi="Arial"/>
          <w:sz w:val="19"/>
          <w:szCs w:val="19"/>
          <w:color w:val="auto"/>
        </w:rPr>
        <w:t>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4" w:name="page285"/>
    <w:bookmarkEnd w:id="284"/>
    <w:p>
      <w:pPr>
        <w:jc w:val="both"/>
        <w:spacing w:after="0" w:line="235" w:lineRule="exact"/>
        <w:rPr>
          <w:sz w:val="20"/>
          <w:szCs w:val="20"/>
          <w:color w:val="auto"/>
        </w:rPr>
      </w:pPr>
      <w:r>
        <w:rPr>
          <w:rFonts w:ascii="Arial" w:cs="Arial" w:eastAsia="Arial" w:hAnsi="Arial"/>
          <w:sz w:val="19"/>
          <w:szCs w:val="19"/>
          <w:color w:val="auto"/>
        </w:rPr>
        <w:t xml:space="preserve">respects the financial condition and results of operations of Parent and its Subsidiaries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delivery requirement shall be satisfied if Parent shall have filed with the SEC its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for such fiscal year, which is available to the public via EDGAR or any similar successor system;</w:t>
      </w:r>
    </w:p>
    <w:p>
      <w:pPr>
        <w:spacing w:after="0" w:line="159" w:lineRule="exact"/>
        <w:rPr>
          <w:sz w:val="20"/>
          <w:szCs w:val="20"/>
          <w:color w:val="auto"/>
        </w:rPr>
      </w:pPr>
    </w:p>
    <w:p>
      <w:pPr>
        <w:jc w:val="both"/>
        <w:ind w:firstLine="1304"/>
        <w:spacing w:after="0" w:line="224" w:lineRule="exact"/>
        <w:tabs>
          <w:tab w:leader="none" w:pos="2263" w:val="left"/>
        </w:tabs>
        <w:numPr>
          <w:ilvl w:val="0"/>
          <w:numId w:val="334"/>
        </w:numPr>
        <w:rPr>
          <w:rFonts w:ascii="Arial" w:cs="Arial" w:eastAsia="Arial" w:hAnsi="Arial"/>
          <w:sz w:val="19"/>
          <w:szCs w:val="19"/>
          <w:color w:val="auto"/>
        </w:rPr>
      </w:pPr>
      <w:r>
        <w:rPr>
          <w:rFonts w:ascii="Arial" w:cs="Arial" w:eastAsia="Arial" w:hAnsi="Arial"/>
          <w:sz w:val="19"/>
          <w:szCs w:val="19"/>
          <w:color w:val="auto"/>
        </w:rPr>
        <w:t>within forty</w:t>
      </w:r>
      <w:r>
        <w:rPr>
          <w:rFonts w:ascii="MS PGothic" w:cs="MS PGothic" w:eastAsia="MS PGothic" w:hAnsi="MS PGothic"/>
          <w:sz w:val="19"/>
          <w:szCs w:val="19"/>
          <w:color w:val="auto"/>
        </w:rPr>
        <w:t>‑</w:t>
      </w:r>
      <w:r>
        <w:rPr>
          <w:rFonts w:ascii="Arial" w:cs="Arial" w:eastAsia="Arial" w:hAnsi="Arial"/>
          <w:sz w:val="19"/>
          <w:szCs w:val="19"/>
          <w:color w:val="auto"/>
        </w:rPr>
        <w:t xml:space="preserve">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delivery requirement shall be satisfied if Parent shall have filed with the SEC its Quarterly Report on Form 10</w:t>
      </w:r>
      <w:r>
        <w:rPr>
          <w:rFonts w:ascii="MS PGothic" w:cs="MS PGothic" w:eastAsia="MS PGothic" w:hAnsi="MS PGothic"/>
          <w:sz w:val="19"/>
          <w:szCs w:val="19"/>
          <w:color w:val="auto"/>
        </w:rPr>
        <w:t>‑</w:t>
      </w:r>
      <w:r>
        <w:rPr>
          <w:rFonts w:ascii="Arial" w:cs="Arial" w:eastAsia="Arial" w:hAnsi="Arial"/>
          <w:sz w:val="19"/>
          <w:szCs w:val="19"/>
          <w:color w:val="auto"/>
        </w:rPr>
        <w:t>Q for such fiscal quarter, which is available to the public via EDGAR or any similar successor system;</w:t>
      </w:r>
    </w:p>
    <w:p>
      <w:pPr>
        <w:spacing w:after="0" w:line="159" w:lineRule="exact"/>
        <w:rPr>
          <w:rFonts w:ascii="Arial" w:cs="Arial" w:eastAsia="Arial" w:hAnsi="Arial"/>
          <w:sz w:val="19"/>
          <w:szCs w:val="19"/>
          <w:color w:val="auto"/>
        </w:rPr>
      </w:pPr>
    </w:p>
    <w:p>
      <w:pPr>
        <w:jc w:val="both"/>
        <w:ind w:firstLine="1304"/>
        <w:spacing w:after="0" w:line="229" w:lineRule="auto"/>
        <w:tabs>
          <w:tab w:leader="none" w:pos="2265" w:val="left"/>
        </w:tabs>
        <w:numPr>
          <w:ilvl w:val="0"/>
          <w:numId w:val="334"/>
        </w:numPr>
        <w:rPr>
          <w:rFonts w:ascii="Arial" w:cs="Arial" w:eastAsia="Arial" w:hAnsi="Arial"/>
          <w:sz w:val="21"/>
          <w:szCs w:val="21"/>
          <w:color w:val="auto"/>
        </w:rPr>
      </w:pPr>
      <w:r>
        <w:rPr>
          <w:rFonts w:ascii="Arial" w:cs="Arial" w:eastAsia="Arial" w:hAnsi="Arial"/>
          <w:sz w:val="21"/>
          <w:szCs w:val="21"/>
          <w:color w:val="auto"/>
        </w:rPr>
        <w:t>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spacing w:after="0" w:line="158" w:lineRule="exact"/>
        <w:rPr>
          <w:rFonts w:ascii="Arial" w:cs="Arial" w:eastAsia="Arial" w:hAnsi="Arial"/>
          <w:sz w:val="21"/>
          <w:szCs w:val="21"/>
          <w:color w:val="auto"/>
        </w:rPr>
      </w:pPr>
    </w:p>
    <w:p>
      <w:pPr>
        <w:ind w:firstLine="1304"/>
        <w:spacing w:after="0" w:line="232" w:lineRule="auto"/>
        <w:tabs>
          <w:tab w:leader="none" w:pos="225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within the time period under (a) and (b) of this Section 5.01, an Officer’s Certificate demonstrating in reasonable detail compliance with Section 6.08 as of the end of the preceding fiscal quarter;</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2238" w:val="left"/>
        </w:tabs>
        <w:numPr>
          <w:ilvl w:val="0"/>
          <w:numId w:val="334"/>
        </w:numPr>
        <w:rPr>
          <w:rFonts w:ascii="Arial" w:cs="Arial" w:eastAsia="Arial" w:hAnsi="Arial"/>
          <w:sz w:val="22"/>
          <w:szCs w:val="22"/>
          <w:color w:val="auto"/>
        </w:rPr>
      </w:pPr>
      <w:r>
        <w:rPr>
          <w:rFonts w:ascii="Arial" w:cs="Arial" w:eastAsia="Arial" w:hAnsi="Arial"/>
          <w:sz w:val="22"/>
          <w:szCs w:val="22"/>
          <w:color w:val="auto"/>
        </w:rPr>
        <w:t>promptly after the occurrence thereof, written notice of the termination of a Plan of the Borrower or an ERISA Affiliate pursuant to Section 4042 of ERISA, to the extent such termination would constitute an Event of Default under Section 7.01(j);</w:t>
      </w:r>
    </w:p>
    <w:p>
      <w:pPr>
        <w:spacing w:after="0" w:line="158" w:lineRule="exact"/>
        <w:rPr>
          <w:rFonts w:ascii="Arial" w:cs="Arial" w:eastAsia="Arial" w:hAnsi="Arial"/>
          <w:sz w:val="22"/>
          <w:szCs w:val="22"/>
          <w:color w:val="auto"/>
        </w:rPr>
      </w:pPr>
    </w:p>
    <w:p>
      <w:pPr>
        <w:ind w:left="2220" w:hanging="916"/>
        <w:spacing w:after="0"/>
        <w:tabs>
          <w:tab w:leader="none" w:pos="222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a Collateral Coverage Ratio Certificate, as and when required under Section 6.09(a);</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2263" w:val="left"/>
        </w:tabs>
        <w:numPr>
          <w:ilvl w:val="0"/>
          <w:numId w:val="334"/>
        </w:numPr>
        <w:rPr>
          <w:rFonts w:ascii="Arial" w:cs="Arial" w:eastAsia="Arial" w:hAnsi="Arial"/>
          <w:sz w:val="22"/>
          <w:szCs w:val="22"/>
          <w:color w:val="auto"/>
        </w:rPr>
      </w:pPr>
      <w:r>
        <w:rPr>
          <w:rFonts w:ascii="Arial" w:cs="Arial" w:eastAsia="Arial" w:hAnsi="Arial"/>
          <w:sz w:val="22"/>
          <w:szCs w:val="22"/>
          <w:color w:val="auto"/>
        </w:rPr>
        <w:t>so long as any Commitment or Loan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2277" w:val="left"/>
        </w:tabs>
        <w:numPr>
          <w:ilvl w:val="0"/>
          <w:numId w:val="334"/>
        </w:numPr>
        <w:rPr>
          <w:rFonts w:ascii="Arial" w:cs="Arial" w:eastAsia="Arial" w:hAnsi="Arial"/>
          <w:sz w:val="22"/>
          <w:szCs w:val="22"/>
          <w:color w:val="auto"/>
        </w:rPr>
      </w:pPr>
      <w:r>
        <w:rPr>
          <w:rFonts w:ascii="Arial" w:cs="Arial" w:eastAsia="Arial" w:hAnsi="Arial"/>
          <w:sz w:val="22"/>
          <w:szCs w:val="22"/>
          <w:color w:val="auto"/>
        </w:rPr>
        <w:t>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Company or the Parent in a current report on Form 8-k filed with the SEC), (b) or (c) of the definition thereof;</w:t>
      </w:r>
    </w:p>
    <w:p>
      <w:pPr>
        <w:spacing w:after="0" w:line="157" w:lineRule="exact"/>
        <w:rPr>
          <w:rFonts w:ascii="Arial" w:cs="Arial" w:eastAsia="Arial" w:hAnsi="Arial"/>
          <w:sz w:val="22"/>
          <w:szCs w:val="22"/>
          <w:color w:val="auto"/>
        </w:rPr>
      </w:pPr>
    </w:p>
    <w:p>
      <w:pPr>
        <w:ind w:left="2200" w:hanging="896"/>
        <w:spacing w:after="0"/>
        <w:tabs>
          <w:tab w:leader="none" w:pos="220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a Collateral Coverage Ratio Certificate as and when required under Section 6.04(ii)(D);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5" w:name="page286"/>
    <w:bookmarkEnd w:id="285"/>
    <w:p>
      <w:pPr>
        <w:jc w:val="both"/>
        <w:ind w:firstLine="1304"/>
        <w:spacing w:after="0" w:line="223" w:lineRule="auto"/>
        <w:tabs>
          <w:tab w:leader="none" w:pos="2215" w:val="left"/>
        </w:tabs>
        <w:numPr>
          <w:ilvl w:val="0"/>
          <w:numId w:val="335"/>
        </w:numPr>
        <w:rPr>
          <w:rFonts w:ascii="Arial" w:cs="Arial" w:eastAsia="Arial" w:hAnsi="Arial"/>
          <w:sz w:val="22"/>
          <w:szCs w:val="22"/>
          <w:color w:val="auto"/>
        </w:rPr>
      </w:pPr>
      <w:r>
        <w:rPr>
          <w:rFonts w:ascii="Arial" w:cs="Arial" w:eastAsia="Arial" w:hAnsi="Arial"/>
          <w:sz w:val="22"/>
          <w:szCs w:val="22"/>
          <w:color w:val="auto"/>
        </w:rPr>
        <w:t>reasonably promptly following a request, all documentation and information reasonably requested by the Administrative Agent on behalf of a Lender or Agent solely to the extent such Lender or Agent is required to obtain such information pursuant to “know your customer” and similar laws and regulations.</w:t>
      </w:r>
    </w:p>
    <w:p>
      <w:pPr>
        <w:spacing w:after="0" w:line="18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Any certificate to be delivered under this Section 5.01 may, at the Borrower’s option, be combined with any other certificate to be delivered under this Section 5.01 within the same time period.</w:t>
      </w:r>
    </w:p>
    <w:p>
      <w:pPr>
        <w:spacing w:after="0" w:line="39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Subject to the next succeeding sentence, information delivered pursuant to this Section 5.01 to the Administrative Agent may be made available by the Administrative Agent to the Lenders by posting such information on the Intralinks website on the Internet at http://www.intralinks.com and/or on the DebtDomain website on the Internet at http://www.debtdomain.com. Information required to be delivered pursuant to this Section 5.01 by the Borrower (and solely in the case of Section 5.01(a) or</w:t>
      </w:r>
    </w:p>
    <w:p>
      <w:pPr>
        <w:spacing w:after="0" w:line="3" w:lineRule="exact"/>
        <w:rPr>
          <w:sz w:val="20"/>
          <w:szCs w:val="20"/>
          <w:color w:val="auto"/>
        </w:rPr>
      </w:pPr>
    </w:p>
    <w:p>
      <w:pPr>
        <w:jc w:val="both"/>
        <w:ind w:firstLine="8"/>
        <w:spacing w:after="0" w:line="288" w:lineRule="auto"/>
        <w:tabs>
          <w:tab w:leader="none" w:pos="329" w:val="left"/>
        </w:tabs>
        <w:numPr>
          <w:ilvl w:val="0"/>
          <w:numId w:val="336"/>
        </w:numPr>
        <w:rPr>
          <w:rFonts w:ascii="Arial" w:cs="Arial" w:eastAsia="Arial" w:hAnsi="Arial"/>
          <w:sz w:val="19"/>
          <w:szCs w:val="19"/>
          <w:color w:val="auto"/>
        </w:rPr>
      </w:pPr>
      <w:r>
        <w:rPr>
          <w:rFonts w:ascii="Arial" w:cs="Arial" w:eastAsia="Arial" w:hAnsi="Arial"/>
          <w:sz w:val="19"/>
          <w:szCs w:val="19"/>
          <w:color w:val="auto"/>
        </w:rPr>
        <w:t>above to the extent not made available on EDGAR) shall be delivered pursuant to Section 10.01 or as set forth the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374" w:lineRule="exact"/>
        <w:rPr>
          <w:sz w:val="20"/>
          <w:szCs w:val="20"/>
          <w:color w:val="auto"/>
        </w:rPr>
      </w:pPr>
    </w:p>
    <w:p>
      <w:pPr>
        <w:jc w:val="both"/>
        <w:ind w:firstLine="1296"/>
        <w:spacing w:after="0" w:line="263" w:lineRule="exact"/>
        <w:rPr>
          <w:sz w:val="20"/>
          <w:szCs w:val="20"/>
          <w:color w:val="auto"/>
        </w:rPr>
      </w:pPr>
      <w:r>
        <w:rPr>
          <w:rFonts w:ascii="Arial" w:cs="Arial" w:eastAsia="Arial" w:hAnsi="Arial"/>
          <w:sz w:val="19"/>
          <w:szCs w:val="19"/>
          <w:color w:val="auto"/>
        </w:rPr>
        <w:t>Any notice or other communication delivered pursuant to this Section 5.01, or otherwise pursuant to this Agreement, shall be deemed to contain material non</w:t>
      </w:r>
      <w:r>
        <w:rPr>
          <w:rFonts w:ascii="MS PGothic" w:cs="MS PGothic" w:eastAsia="MS PGothic" w:hAnsi="MS PGothic"/>
          <w:sz w:val="19"/>
          <w:szCs w:val="19"/>
          <w:color w:val="auto"/>
        </w:rPr>
        <w:t>‑</w:t>
      </w:r>
      <w:r>
        <w:rPr>
          <w:rFonts w:ascii="Arial" w:cs="Arial" w:eastAsia="Arial" w:hAnsi="Arial"/>
          <w:sz w:val="19"/>
          <w:szCs w:val="19"/>
          <w:color w:val="auto"/>
        </w:rPr>
        <w:t>public information unless (i) expressly marked by the Borrower or a Guarantor as “PUBLIC,” (ii) such notice or communication consists of copies of the Borrower’s public filings with the SEC or</w:t>
      </w:r>
    </w:p>
    <w:p>
      <w:pPr>
        <w:spacing w:after="0" w:line="1" w:lineRule="exact"/>
        <w:rPr>
          <w:sz w:val="20"/>
          <w:szCs w:val="20"/>
          <w:color w:val="auto"/>
        </w:rPr>
      </w:pPr>
    </w:p>
    <w:p>
      <w:pPr>
        <w:ind w:right="20" w:firstLine="8"/>
        <w:spacing w:after="0" w:line="246" w:lineRule="auto"/>
        <w:tabs>
          <w:tab w:leader="none" w:pos="415" w:val="left"/>
        </w:tabs>
        <w:numPr>
          <w:ilvl w:val="0"/>
          <w:numId w:val="337"/>
        </w:numPr>
        <w:rPr>
          <w:rFonts w:ascii="Arial" w:cs="Arial" w:eastAsia="Arial" w:hAnsi="Arial"/>
          <w:sz w:val="22"/>
          <w:szCs w:val="22"/>
          <w:color w:val="auto"/>
        </w:rPr>
      </w:pPr>
      <w:r>
        <w:rPr>
          <w:rFonts w:ascii="Arial" w:cs="Arial" w:eastAsia="Arial" w:hAnsi="Arial"/>
          <w:sz w:val="22"/>
          <w:szCs w:val="22"/>
          <w:color w:val="auto"/>
        </w:rPr>
        <w:t>such notice or communication has been posted on the Borrower’s general commercial website on the Internet, as such website may be specified by the Borrower to the Administrative Agent from time to time.</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 Parent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Corporate Existence</w:t>
      </w:r>
      <w:r>
        <w:rPr>
          <w:rFonts w:ascii="Arial" w:cs="Arial" w:eastAsia="Arial" w:hAnsi="Arial"/>
          <w:sz w:val="22"/>
          <w:szCs w:val="22"/>
          <w:color w:val="auto"/>
        </w:rPr>
        <w:t xml:space="preserve"> . Parent shall do or cause to be done all things reasonably necessary to preserve and keep in full force and effect:</w:t>
      </w:r>
    </w:p>
    <w:p>
      <w:pPr>
        <w:spacing w:after="0" w:line="148" w:lineRule="exact"/>
        <w:rPr>
          <w:sz w:val="20"/>
          <w:szCs w:val="20"/>
          <w:color w:val="auto"/>
        </w:rPr>
      </w:pPr>
    </w:p>
    <w:p>
      <w:pPr>
        <w:jc w:val="both"/>
        <w:ind w:left="660" w:firstLine="644"/>
        <w:spacing w:after="0" w:line="223" w:lineRule="auto"/>
        <w:tabs>
          <w:tab w:leader="none" w:pos="2302" w:val="left"/>
        </w:tabs>
        <w:numPr>
          <w:ilvl w:val="0"/>
          <w:numId w:val="338"/>
        </w:numPr>
        <w:rPr>
          <w:rFonts w:ascii="Arial" w:cs="Arial" w:eastAsia="Arial" w:hAnsi="Arial"/>
          <w:sz w:val="22"/>
          <w:szCs w:val="22"/>
          <w:color w:val="auto"/>
        </w:rPr>
      </w:pPr>
      <w:r>
        <w:rPr>
          <w:rFonts w:ascii="Arial" w:cs="Arial" w:eastAsia="Arial" w:hAnsi="Arial"/>
          <w:sz w:val="22"/>
          <w:szCs w:val="22"/>
          <w:color w:val="auto"/>
        </w:rPr>
        <w:t>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6" w:name="page287"/>
    <w:bookmarkEnd w:id="286"/>
    <w:p>
      <w:pPr>
        <w:jc w:val="both"/>
        <w:ind w:left="660" w:firstLine="644"/>
        <w:spacing w:after="0" w:line="224" w:lineRule="auto"/>
        <w:tabs>
          <w:tab w:leader="none" w:pos="2302" w:val="left"/>
        </w:tabs>
        <w:numPr>
          <w:ilvl w:val="0"/>
          <w:numId w:val="339"/>
        </w:numPr>
        <w:rPr>
          <w:rFonts w:ascii="Arial" w:cs="Arial" w:eastAsia="Arial" w:hAnsi="Arial"/>
          <w:sz w:val="21"/>
          <w:szCs w:val="21"/>
          <w:color w:val="auto"/>
        </w:rPr>
      </w:pPr>
      <w:r>
        <w:rPr>
          <w:rFonts w:ascii="Arial" w:cs="Arial" w:eastAsia="Arial" w:hAnsi="Arial"/>
          <w:sz w:val="21"/>
          <w:szCs w:val="21"/>
          <w:color w:val="auto"/>
        </w:rPr>
        <w:t xml:space="preserve">the rights (charter and statutory) and material franchises of Parent and its Restricted Subsidiaries;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the avoidance of doubt, this Section 5.03 shall not prohibit any actions permitted by Section 6.10 or described in Section 6.10(b).</w:t>
      </w:r>
    </w:p>
    <w:p>
      <w:pPr>
        <w:spacing w:after="0" w:line="391"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5.04.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xml:space="preserve"> .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Designation of Restricted and Unrestricted Subsidiaries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47" w:lineRule="auto"/>
        <w:tabs>
          <w:tab w:leader="none" w:pos="2251" w:val="left"/>
        </w:tabs>
        <w:numPr>
          <w:ilvl w:val="1"/>
          <w:numId w:val="340"/>
        </w:numPr>
        <w:rPr>
          <w:rFonts w:ascii="Arial" w:cs="Arial" w:eastAsia="Arial" w:hAnsi="Arial"/>
          <w:sz w:val="19"/>
          <w:szCs w:val="19"/>
          <w:color w:val="auto"/>
        </w:rPr>
      </w:pPr>
      <w:r>
        <w:rPr>
          <w:rFonts w:ascii="Arial" w:cs="Arial" w:eastAsia="Arial" w:hAnsi="Arial"/>
          <w:sz w:val="19"/>
          <w:szCs w:val="19"/>
          <w:color w:val="auto"/>
        </w:rPr>
        <w:t>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w:t>
      </w:r>
    </w:p>
    <w:p>
      <w:pPr>
        <w:spacing w:after="0" w:line="153" w:lineRule="exact"/>
        <w:rPr>
          <w:rFonts w:ascii="Arial" w:cs="Arial" w:eastAsia="Arial" w:hAnsi="Arial"/>
          <w:sz w:val="19"/>
          <w:szCs w:val="19"/>
          <w:color w:val="auto"/>
        </w:rPr>
      </w:pPr>
    </w:p>
    <w:p>
      <w:pPr>
        <w:jc w:val="both"/>
        <w:ind w:firstLine="1304"/>
        <w:spacing w:after="0" w:line="223" w:lineRule="auto"/>
        <w:tabs>
          <w:tab w:leader="none" w:pos="2263" w:val="left"/>
        </w:tabs>
        <w:numPr>
          <w:ilvl w:val="1"/>
          <w:numId w:val="340"/>
        </w:numPr>
        <w:rPr>
          <w:rFonts w:ascii="Arial" w:cs="Arial" w:eastAsia="Arial" w:hAnsi="Arial"/>
          <w:sz w:val="22"/>
          <w:szCs w:val="22"/>
          <w:color w:val="auto"/>
        </w:rPr>
      </w:pPr>
      <w:r>
        <w:rPr>
          <w:rFonts w:ascii="Arial" w:cs="Arial" w:eastAsia="Arial" w:hAnsi="Arial"/>
          <w:sz w:val="22"/>
          <w:szCs w:val="22"/>
          <w:color w:val="auto"/>
        </w:rPr>
        <w:t xml:space="preserve">Parent may at any time designate any Unrestricted Subsidiary to be a Restricted Subsidiary of Parent;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designation will be permitted only if no Default or Event of Default would be in existence following such designation.</w:t>
      </w:r>
    </w:p>
    <w:p>
      <w:pPr>
        <w:spacing w:after="0" w:line="151" w:lineRule="exact"/>
        <w:rPr>
          <w:rFonts w:ascii="Arial" w:cs="Arial" w:eastAsia="Arial" w:hAnsi="Arial"/>
          <w:sz w:val="22"/>
          <w:szCs w:val="22"/>
          <w:color w:val="auto"/>
        </w:rPr>
      </w:pPr>
    </w:p>
    <w:p>
      <w:pPr>
        <w:ind w:left="2280" w:hanging="976"/>
        <w:spacing w:after="0"/>
        <w:tabs>
          <w:tab w:leader="none" w:pos="2280" w:val="left"/>
        </w:tabs>
        <w:numPr>
          <w:ilvl w:val="1"/>
          <w:numId w:val="340"/>
        </w:numPr>
        <w:rPr>
          <w:rFonts w:ascii="Arial" w:cs="Arial" w:eastAsia="Arial" w:hAnsi="Arial"/>
          <w:sz w:val="21"/>
          <w:szCs w:val="21"/>
          <w:color w:val="auto"/>
        </w:rPr>
      </w:pPr>
      <w:r>
        <w:rPr>
          <w:rFonts w:ascii="Arial" w:cs="Arial" w:eastAsia="Arial" w:hAnsi="Arial"/>
          <w:sz w:val="21"/>
          <w:szCs w:val="21"/>
          <w:color w:val="auto"/>
        </w:rPr>
        <w:t>In connection with the designation of an Unrestricted Subsidiary as provided in Section 5.05(a),</w:t>
      </w:r>
    </w:p>
    <w:p>
      <w:pPr>
        <w:ind w:firstLine="8"/>
        <w:spacing w:after="0" w:line="278" w:lineRule="auto"/>
        <w:tabs>
          <w:tab w:leader="none" w:pos="326" w:val="left"/>
        </w:tabs>
        <w:numPr>
          <w:ilvl w:val="0"/>
          <w:numId w:val="341"/>
        </w:numPr>
        <w:rPr>
          <w:rFonts w:ascii="Arial" w:cs="Arial" w:eastAsia="Arial" w:hAnsi="Arial"/>
          <w:sz w:val="19"/>
          <w:szCs w:val="19"/>
          <w:color w:val="auto"/>
        </w:rPr>
      </w:pPr>
      <w:r>
        <w:rPr>
          <w:rFonts w:ascii="Arial" w:cs="Arial" w:eastAsia="Arial" w:hAnsi="Arial"/>
          <w:sz w:val="19"/>
          <w:szCs w:val="19"/>
          <w:color w:val="auto"/>
        </w:rPr>
        <w:t>such designated Unrestricted Subsidiary shall be released from its Guarantee of the Obligations and (y) any Liens on such designated Unrestricted Subsidiary and any of the Collateral of such designated Unrestricted Subsidiary shall be released.</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Delivery of Appraisals</w:t>
      </w:r>
      <w:r>
        <w:rPr>
          <w:rFonts w:ascii="Arial" w:cs="Arial" w:eastAsia="Arial" w:hAnsi="Arial"/>
          <w:sz w:val="22"/>
          <w:szCs w:val="22"/>
          <w:color w:val="auto"/>
        </w:rPr>
        <w:t xml:space="preserve"> .</w:t>
      </w:r>
    </w:p>
    <w:p>
      <w:pPr>
        <w:spacing w:after="0" w:line="193" w:lineRule="exact"/>
        <w:rPr>
          <w:sz w:val="20"/>
          <w:szCs w:val="20"/>
          <w:color w:val="auto"/>
        </w:rPr>
      </w:pPr>
    </w:p>
    <w:p>
      <w:pPr>
        <w:jc w:val="both"/>
        <w:ind w:left="660" w:firstLine="644"/>
        <w:spacing w:after="0" w:line="223" w:lineRule="auto"/>
        <w:tabs>
          <w:tab w:leader="none" w:pos="2275" w:val="left"/>
        </w:tabs>
        <w:numPr>
          <w:ilvl w:val="0"/>
          <w:numId w:val="342"/>
        </w:numPr>
        <w:rPr>
          <w:rFonts w:ascii="Arial" w:cs="Arial" w:eastAsia="Arial" w:hAnsi="Arial"/>
          <w:sz w:val="22"/>
          <w:szCs w:val="22"/>
          <w:color w:val="auto"/>
        </w:rPr>
      </w:pPr>
      <w:r>
        <w:rPr>
          <w:rFonts w:ascii="Arial" w:cs="Arial" w:eastAsia="Arial" w:hAnsi="Arial"/>
          <w:sz w:val="22"/>
          <w:szCs w:val="22"/>
          <w:color w:val="auto"/>
        </w:rPr>
        <w:t xml:space="preserve">In the case of Collateral secured pursuant to the First Lien SGR Security Agreement, within 30 days after the Closing Date (the “ </w:t>
      </w:r>
      <w:r>
        <w:rPr>
          <w:rFonts w:ascii="Arial" w:cs="Arial" w:eastAsia="Arial" w:hAnsi="Arial"/>
          <w:sz w:val="22"/>
          <w:szCs w:val="22"/>
          <w:i w:val="1"/>
          <w:iCs w:val="1"/>
          <w:color w:val="auto"/>
        </w:rPr>
        <w:t>First Lien Initial Appraisal</w:t>
      </w:r>
      <w:r>
        <w:rPr>
          <w:rFonts w:ascii="Arial" w:cs="Arial" w:eastAsia="Arial" w:hAnsi="Arial"/>
          <w:sz w:val="22"/>
          <w:szCs w:val="22"/>
          <w:color w:val="auto"/>
        </w:rPr>
        <w:t xml:space="preserve"> ”) and upon the incurrence of Indebtedness secured by the same Collateral as secured pursuant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7" w:name="page288"/>
    <w:bookmarkEnd w:id="287"/>
    <w:p>
      <w:pPr>
        <w:ind w:left="660"/>
        <w:spacing w:after="0" w:line="232" w:lineRule="auto"/>
        <w:rPr>
          <w:sz w:val="20"/>
          <w:szCs w:val="20"/>
          <w:color w:val="auto"/>
        </w:rPr>
      </w:pPr>
      <w:r>
        <w:rPr>
          <w:rFonts w:ascii="Arial" w:cs="Arial" w:eastAsia="Arial" w:hAnsi="Arial"/>
          <w:sz w:val="22"/>
          <w:szCs w:val="22"/>
          <w:color w:val="auto"/>
        </w:rPr>
        <w:t xml:space="preserve">the First Lien SGR Security Agreement other than the Initial Term Loans and the Delayed Draw Term Loans (each, a “ </w:t>
      </w:r>
      <w:r>
        <w:rPr>
          <w:rFonts w:ascii="Arial" w:cs="Arial" w:eastAsia="Arial" w:hAnsi="Arial"/>
          <w:sz w:val="22"/>
          <w:szCs w:val="22"/>
          <w:i w:val="1"/>
          <w:iCs w:val="1"/>
          <w:color w:val="auto"/>
        </w:rPr>
        <w:t xml:space="preserve">First Lien Additional Appraisal </w:t>
      </w:r>
      <w:r>
        <w:rPr>
          <w:rFonts w:ascii="Arial" w:cs="Arial" w:eastAsia="Arial" w:hAnsi="Arial"/>
          <w:sz w:val="22"/>
          <w:szCs w:val="22"/>
          <w:color w:val="auto"/>
        </w:rPr>
        <w:t>”);</w:t>
      </w:r>
    </w:p>
    <w:p>
      <w:pPr>
        <w:spacing w:after="0" w:line="159" w:lineRule="exact"/>
        <w:rPr>
          <w:sz w:val="20"/>
          <w:szCs w:val="20"/>
          <w:color w:val="auto"/>
        </w:rPr>
      </w:pPr>
    </w:p>
    <w:p>
      <w:pPr>
        <w:jc w:val="both"/>
        <w:ind w:left="660" w:firstLine="644"/>
        <w:spacing w:after="0" w:line="226" w:lineRule="auto"/>
        <w:tabs>
          <w:tab w:leader="none" w:pos="2275" w:val="left"/>
        </w:tabs>
        <w:numPr>
          <w:ilvl w:val="0"/>
          <w:numId w:val="343"/>
        </w:numPr>
        <w:rPr>
          <w:rFonts w:ascii="Arial" w:cs="Arial" w:eastAsia="Arial" w:hAnsi="Arial"/>
          <w:sz w:val="21"/>
          <w:szCs w:val="21"/>
          <w:color w:val="auto"/>
        </w:rPr>
      </w:pPr>
      <w:r>
        <w:rPr>
          <w:rFonts w:ascii="Arial" w:cs="Arial" w:eastAsia="Arial" w:hAnsi="Arial"/>
          <w:sz w:val="21"/>
          <w:szCs w:val="21"/>
          <w:color w:val="auto"/>
        </w:rPr>
        <w:t xml:space="preserve">In the case of Collateral secured pursuant to the Second Lien SGR Security Agreement, prior to May 31, 2020 (the “ </w:t>
      </w:r>
      <w:r>
        <w:rPr>
          <w:rFonts w:ascii="Arial" w:cs="Arial" w:eastAsia="Arial" w:hAnsi="Arial"/>
          <w:sz w:val="21"/>
          <w:szCs w:val="21"/>
          <w:i w:val="1"/>
          <w:iCs w:val="1"/>
          <w:color w:val="auto"/>
        </w:rPr>
        <w:t>Second Lien Second Appraisal</w:t>
      </w:r>
      <w:r>
        <w:rPr>
          <w:rFonts w:ascii="Arial" w:cs="Arial" w:eastAsia="Arial" w:hAnsi="Arial"/>
          <w:sz w:val="21"/>
          <w:szCs w:val="21"/>
          <w:color w:val="auto"/>
        </w:rPr>
        <w:t xml:space="preserve"> ”) and upon the incurrence of Indebtedness secured by the same Collateral as secured pursuant to the First Lien SGR Security Agreement other than the Initial Term Loans, the Delayed Draw Term Loans, and any term or revolving loans incurred under the First Lien LHR Agreement and any replacement or refinancing thereto (each, a “ </w:t>
      </w:r>
      <w:r>
        <w:rPr>
          <w:rFonts w:ascii="Arial" w:cs="Arial" w:eastAsia="Arial" w:hAnsi="Arial"/>
          <w:sz w:val="21"/>
          <w:szCs w:val="21"/>
          <w:i w:val="1"/>
          <w:iCs w:val="1"/>
          <w:color w:val="auto"/>
        </w:rPr>
        <w:t>Second Lien Additional Appraisal</w:t>
      </w:r>
      <w:r>
        <w:rPr>
          <w:rFonts w:ascii="Arial" w:cs="Arial" w:eastAsia="Arial" w:hAnsi="Arial"/>
          <w:sz w:val="21"/>
          <w:szCs w:val="21"/>
          <w:color w:val="auto"/>
        </w:rPr>
        <w:t xml:space="preserve"> ”); and</w:t>
      </w:r>
    </w:p>
    <w:p>
      <w:pPr>
        <w:spacing w:after="0" w:line="159" w:lineRule="exact"/>
        <w:rPr>
          <w:rFonts w:ascii="Arial" w:cs="Arial" w:eastAsia="Arial" w:hAnsi="Arial"/>
          <w:sz w:val="21"/>
          <w:szCs w:val="21"/>
          <w:color w:val="auto"/>
        </w:rPr>
      </w:pPr>
    </w:p>
    <w:p>
      <w:pPr>
        <w:ind w:left="660" w:firstLine="644"/>
        <w:spacing w:after="0" w:line="232" w:lineRule="auto"/>
        <w:tabs>
          <w:tab w:leader="none" w:pos="2275" w:val="left"/>
        </w:tabs>
        <w:numPr>
          <w:ilvl w:val="0"/>
          <w:numId w:val="343"/>
        </w:numPr>
        <w:rPr>
          <w:rFonts w:ascii="Arial" w:cs="Arial" w:eastAsia="Arial" w:hAnsi="Arial"/>
          <w:sz w:val="22"/>
          <w:szCs w:val="22"/>
          <w:color w:val="auto"/>
        </w:rPr>
      </w:pPr>
      <w:r>
        <w:rPr>
          <w:rFonts w:ascii="Arial" w:cs="Arial" w:eastAsia="Arial" w:hAnsi="Arial"/>
          <w:sz w:val="22"/>
          <w:szCs w:val="22"/>
          <w:color w:val="auto"/>
        </w:rPr>
        <w:t>Within the 45 day period following a request by the Administrative Agent if an Event of Default has occurred and is continuing,</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Borrower will deliver to the Administrative Agent one or more Appraisals establishing the Appraised Value of the Collateral (other than any cash or Cash Equivalents in the Collateral).</w:t>
      </w:r>
    </w:p>
    <w:p>
      <w:pPr>
        <w:spacing w:after="0" w:line="3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w:t>
      </w:r>
    </w:p>
    <w:p>
      <w:pPr>
        <w:spacing w:after="0" w:line="200" w:lineRule="exact"/>
        <w:rPr>
          <w:sz w:val="20"/>
          <w:szCs w:val="20"/>
          <w:color w:val="auto"/>
        </w:rPr>
      </w:pPr>
    </w:p>
    <w:p>
      <w:pPr>
        <w:spacing w:after="0" w:line="20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Subject to the next succeeding sentence, the Borrower shall deliver the Appraisals described above to the Administrative Agent and the Administrative Agent shall make such Appraisals available to the Lenders by posting such information on the confidential, non-public portion of Intralinks website on the Internet at http://www.intralinks.com. Information required to be delivered pursuant to this Section 5.06 by the Borrower shall be delivered pursuant to Section 10.01 and shall be deemed to contain material non-public information.</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Regulatory Matters; Utilization; Reporting</w:t>
      </w:r>
      <w:r>
        <w:rPr>
          <w:rFonts w:ascii="Arial" w:cs="Arial" w:eastAsia="Arial" w:hAnsi="Arial"/>
          <w:sz w:val="22"/>
          <w:szCs w:val="22"/>
          <w:color w:val="auto"/>
        </w:rPr>
        <w:t xml:space="preserve"> .</w:t>
      </w:r>
    </w:p>
    <w:p>
      <w:pPr>
        <w:spacing w:after="0" w:line="193" w:lineRule="exact"/>
        <w:rPr>
          <w:sz w:val="20"/>
          <w:szCs w:val="20"/>
          <w:color w:val="auto"/>
        </w:rPr>
      </w:pPr>
    </w:p>
    <w:p>
      <w:pPr>
        <w:ind w:left="2240" w:hanging="936"/>
        <w:spacing w:after="0"/>
        <w:tabs>
          <w:tab w:leader="none" w:pos="2240" w:val="left"/>
        </w:tabs>
        <w:numPr>
          <w:ilvl w:val="0"/>
          <w:numId w:val="344"/>
        </w:numPr>
        <w:rPr>
          <w:rFonts w:ascii="Arial" w:cs="Arial" w:eastAsia="Arial" w:hAnsi="Arial"/>
          <w:sz w:val="22"/>
          <w:szCs w:val="22"/>
          <w:color w:val="auto"/>
        </w:rPr>
      </w:pPr>
      <w:r>
        <w:rPr>
          <w:rFonts w:ascii="Arial" w:cs="Arial" w:eastAsia="Arial" w:hAnsi="Arial"/>
          <w:sz w:val="22"/>
          <w:szCs w:val="22"/>
          <w:color w:val="auto"/>
        </w:rPr>
        <w:t>The Borrower will:</w:t>
      </w:r>
    </w:p>
    <w:p>
      <w:pPr>
        <w:spacing w:after="0" w:line="179" w:lineRule="exact"/>
        <w:rPr>
          <w:sz w:val="20"/>
          <w:szCs w:val="20"/>
          <w:color w:val="auto"/>
        </w:rPr>
      </w:pPr>
    </w:p>
    <w:p>
      <w:pPr>
        <w:ind w:left="660" w:firstLine="644"/>
        <w:spacing w:after="0" w:line="245" w:lineRule="exact"/>
        <w:tabs>
          <w:tab w:leader="none" w:pos="2262" w:val="left"/>
        </w:tabs>
        <w:numPr>
          <w:ilvl w:val="0"/>
          <w:numId w:val="345"/>
        </w:numPr>
        <w:rPr>
          <w:rFonts w:ascii="Arial" w:cs="Arial" w:eastAsia="Arial" w:hAnsi="Arial"/>
          <w:sz w:val="22"/>
          <w:szCs w:val="22"/>
          <w:color w:val="auto"/>
        </w:rPr>
      </w:pPr>
      <w:r>
        <w:rPr>
          <w:rFonts w:ascii="Arial" w:cs="Arial" w:eastAsia="Arial" w:hAnsi="Arial"/>
          <w:sz w:val="22"/>
          <w:szCs w:val="22"/>
          <w:color w:val="auto"/>
        </w:rPr>
        <w:t>maintain at all times its status as an “air carrier” within the meaning of Section 40102(a)(2) of Title 49 and hold or co</w:t>
      </w:r>
      <w:r>
        <w:rPr>
          <w:rFonts w:ascii="MS PGothic" w:cs="MS PGothic" w:eastAsia="MS PGothic" w:hAnsi="MS PGothic"/>
          <w:sz w:val="22"/>
          <w:szCs w:val="22"/>
          <w:color w:val="auto"/>
        </w:rPr>
        <w:t>‑</w:t>
      </w:r>
      <w:r>
        <w:rPr>
          <w:rFonts w:ascii="Arial" w:cs="Arial" w:eastAsia="Arial" w:hAnsi="Arial"/>
          <w:sz w:val="22"/>
          <w:szCs w:val="22"/>
          <w:color w:val="auto"/>
        </w:rPr>
        <w:t>hold a certificate under Section 41102(a)(1) of Title 49;</w:t>
      </w:r>
    </w:p>
    <w:p>
      <w:pPr>
        <w:spacing w:after="0" w:line="158" w:lineRule="exact"/>
        <w:rPr>
          <w:rFonts w:ascii="Arial" w:cs="Arial" w:eastAsia="Arial" w:hAnsi="Arial"/>
          <w:sz w:val="22"/>
          <w:szCs w:val="22"/>
          <w:color w:val="auto"/>
        </w:rPr>
      </w:pPr>
    </w:p>
    <w:p>
      <w:pPr>
        <w:jc w:val="both"/>
        <w:ind w:left="660" w:firstLine="644"/>
        <w:spacing w:after="0" w:line="236" w:lineRule="exact"/>
        <w:tabs>
          <w:tab w:leader="none" w:pos="2262" w:val="left"/>
        </w:tabs>
        <w:numPr>
          <w:ilvl w:val="0"/>
          <w:numId w:val="345"/>
        </w:numPr>
        <w:rPr>
          <w:rFonts w:ascii="Arial" w:cs="Arial" w:eastAsia="Arial" w:hAnsi="Arial"/>
          <w:sz w:val="22"/>
          <w:szCs w:val="22"/>
          <w:color w:val="auto"/>
        </w:rPr>
      </w:pPr>
      <w:r>
        <w:rPr>
          <w:rFonts w:ascii="Arial" w:cs="Arial" w:eastAsia="Arial" w:hAnsi="Arial"/>
          <w:sz w:val="22"/>
          <w:szCs w:val="22"/>
          <w:color w:val="auto"/>
        </w:rPr>
        <w:t>maintain at all times its status at the FAA as an “air carrier” and hold or co</w:t>
      </w:r>
      <w:r>
        <w:rPr>
          <w:rFonts w:ascii="MS PGothic" w:cs="MS PGothic" w:eastAsia="MS PGothic" w:hAnsi="MS PGothic"/>
          <w:sz w:val="22"/>
          <w:szCs w:val="22"/>
          <w:color w:val="auto"/>
        </w:rPr>
        <w:t>‑</w:t>
      </w:r>
      <w:r>
        <w:rPr>
          <w:rFonts w:ascii="Arial" w:cs="Arial" w:eastAsia="Arial" w:hAnsi="Arial"/>
          <w:sz w:val="22"/>
          <w:szCs w:val="22"/>
          <w:color w:val="auto"/>
        </w:rPr>
        <w:t>hold an air carrier operating certificate under Section 44705 of Title 49 and operations specifications issued by the FAA pursuant to Parts 119 and 121 of Title 14;</w:t>
      </w:r>
    </w:p>
    <w:p>
      <w:pPr>
        <w:spacing w:after="0" w:line="158" w:lineRule="exact"/>
        <w:rPr>
          <w:rFonts w:ascii="Arial" w:cs="Arial" w:eastAsia="Arial" w:hAnsi="Arial"/>
          <w:sz w:val="22"/>
          <w:szCs w:val="22"/>
          <w:color w:val="auto"/>
        </w:rPr>
      </w:pPr>
    </w:p>
    <w:p>
      <w:pPr>
        <w:jc w:val="both"/>
        <w:ind w:left="660" w:firstLine="644"/>
        <w:spacing w:after="0" w:line="252" w:lineRule="auto"/>
        <w:tabs>
          <w:tab w:leader="none" w:pos="2316" w:val="left"/>
        </w:tabs>
        <w:numPr>
          <w:ilvl w:val="0"/>
          <w:numId w:val="345"/>
        </w:numPr>
        <w:rPr>
          <w:rFonts w:ascii="Arial" w:cs="Arial" w:eastAsia="Arial" w:hAnsi="Arial"/>
          <w:sz w:val="19"/>
          <w:szCs w:val="19"/>
          <w:color w:val="auto"/>
        </w:rPr>
      </w:pPr>
      <w:r>
        <w:rPr>
          <w:rFonts w:ascii="Arial" w:cs="Arial" w:eastAsia="Arial" w:hAnsi="Arial"/>
          <w:sz w:val="19"/>
          <w:szCs w:val="19"/>
          <w:color w:val="auto"/>
        </w:rPr>
        <w:t>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8" w:name="page289"/>
    <w:bookmarkEnd w:id="288"/>
    <w:p>
      <w:pPr>
        <w:ind w:left="660"/>
        <w:spacing w:after="0" w:line="232" w:lineRule="auto"/>
        <w:rPr>
          <w:sz w:val="20"/>
          <w:szCs w:val="20"/>
          <w:color w:val="auto"/>
        </w:rPr>
      </w:pPr>
      <w:r>
        <w:rPr>
          <w:rFonts w:ascii="Arial" w:cs="Arial" w:eastAsia="Arial" w:hAnsi="Arial"/>
          <w:sz w:val="22"/>
          <w:szCs w:val="22"/>
          <w:color w:val="auto"/>
        </w:rPr>
        <w:t>except to the extent that any failure to possess or maintain would not reasonably be expected to result in a Material Adverse Effect;</w:t>
      </w:r>
    </w:p>
    <w:p>
      <w:pPr>
        <w:spacing w:after="0" w:line="159" w:lineRule="exact"/>
        <w:rPr>
          <w:sz w:val="20"/>
          <w:szCs w:val="20"/>
          <w:color w:val="auto"/>
        </w:rPr>
      </w:pPr>
    </w:p>
    <w:p>
      <w:pPr>
        <w:jc w:val="both"/>
        <w:ind w:left="660" w:firstLine="644"/>
        <w:spacing w:after="0" w:line="223" w:lineRule="auto"/>
        <w:tabs>
          <w:tab w:leader="none" w:pos="2289" w:val="left"/>
        </w:tabs>
        <w:numPr>
          <w:ilvl w:val="0"/>
          <w:numId w:val="346"/>
        </w:numPr>
        <w:rPr>
          <w:rFonts w:ascii="Arial" w:cs="Arial" w:eastAsia="Arial" w:hAnsi="Arial"/>
          <w:sz w:val="22"/>
          <w:szCs w:val="22"/>
          <w:color w:val="auto"/>
        </w:rPr>
      </w:pPr>
      <w:r>
        <w:rPr>
          <w:rFonts w:ascii="Arial" w:cs="Arial" w:eastAsia="Arial" w:hAnsi="Arial"/>
          <w:sz w:val="22"/>
          <w:szCs w:val="22"/>
          <w:color w:val="auto"/>
        </w:rPr>
        <w:t>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w:t>
      </w:r>
    </w:p>
    <w:p>
      <w:pPr>
        <w:spacing w:after="0" w:line="158" w:lineRule="exact"/>
        <w:rPr>
          <w:rFonts w:ascii="Arial" w:cs="Arial" w:eastAsia="Arial" w:hAnsi="Arial"/>
          <w:sz w:val="22"/>
          <w:szCs w:val="22"/>
          <w:color w:val="auto"/>
        </w:rPr>
      </w:pPr>
    </w:p>
    <w:p>
      <w:pPr>
        <w:jc w:val="both"/>
        <w:ind w:left="660" w:firstLine="644"/>
        <w:spacing w:after="0" w:line="229" w:lineRule="auto"/>
        <w:tabs>
          <w:tab w:leader="none" w:pos="2289" w:val="left"/>
        </w:tabs>
        <w:numPr>
          <w:ilvl w:val="0"/>
          <w:numId w:val="346"/>
        </w:numPr>
        <w:rPr>
          <w:rFonts w:ascii="Arial" w:cs="Arial" w:eastAsia="Arial" w:hAnsi="Arial"/>
          <w:sz w:val="21"/>
          <w:szCs w:val="21"/>
          <w:color w:val="auto"/>
        </w:rPr>
      </w:pPr>
      <w:r>
        <w:rPr>
          <w:rFonts w:ascii="Arial" w:cs="Arial" w:eastAsia="Arial" w:hAnsi="Arial"/>
          <w:sz w:val="21"/>
          <w:szCs w:val="21"/>
          <w:color w:val="auto"/>
        </w:rPr>
        <w:t>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w:t>
      </w:r>
    </w:p>
    <w:p>
      <w:pPr>
        <w:spacing w:after="0" w:line="158" w:lineRule="exact"/>
        <w:rPr>
          <w:rFonts w:ascii="Arial" w:cs="Arial" w:eastAsia="Arial" w:hAnsi="Arial"/>
          <w:sz w:val="21"/>
          <w:szCs w:val="21"/>
          <w:color w:val="auto"/>
        </w:rPr>
      </w:pPr>
    </w:p>
    <w:p>
      <w:pPr>
        <w:jc w:val="both"/>
        <w:ind w:left="660" w:firstLine="644"/>
        <w:spacing w:after="0" w:line="268" w:lineRule="auto"/>
        <w:tabs>
          <w:tab w:leader="none" w:pos="2262" w:val="left"/>
        </w:tabs>
        <w:numPr>
          <w:ilvl w:val="0"/>
          <w:numId w:val="346"/>
        </w:numPr>
        <w:rPr>
          <w:rFonts w:ascii="Arial" w:cs="Arial" w:eastAsia="Arial" w:hAnsi="Arial"/>
          <w:sz w:val="19"/>
          <w:szCs w:val="19"/>
          <w:color w:val="auto"/>
        </w:rPr>
      </w:pPr>
      <w:r>
        <w:rPr>
          <w:rFonts w:ascii="Arial" w:cs="Arial" w:eastAsia="Arial" w:hAnsi="Arial"/>
          <w:sz w:val="19"/>
          <w:szCs w:val="19"/>
          <w:color w:val="auto"/>
        </w:rPr>
        <w:t>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w:t>
      </w:r>
    </w:p>
    <w:p>
      <w:pPr>
        <w:spacing w:after="0" w:line="132" w:lineRule="exact"/>
        <w:rPr>
          <w:rFonts w:ascii="Arial" w:cs="Arial" w:eastAsia="Arial" w:hAnsi="Arial"/>
          <w:sz w:val="19"/>
          <w:szCs w:val="19"/>
          <w:color w:val="auto"/>
        </w:rPr>
      </w:pPr>
    </w:p>
    <w:p>
      <w:pPr>
        <w:jc w:val="both"/>
        <w:ind w:left="660" w:firstLine="644"/>
        <w:spacing w:after="0" w:line="229" w:lineRule="auto"/>
        <w:tabs>
          <w:tab w:leader="none" w:pos="2275" w:val="left"/>
        </w:tabs>
        <w:numPr>
          <w:ilvl w:val="0"/>
          <w:numId w:val="346"/>
        </w:numPr>
        <w:rPr>
          <w:rFonts w:ascii="Arial" w:cs="Arial" w:eastAsia="Arial" w:hAnsi="Arial"/>
          <w:sz w:val="21"/>
          <w:szCs w:val="21"/>
          <w:color w:val="auto"/>
        </w:rPr>
      </w:pPr>
      <w:r>
        <w:rPr>
          <w:rFonts w:ascii="Arial" w:cs="Arial" w:eastAsia="Arial" w:hAnsi="Arial"/>
          <w:sz w:val="21"/>
          <w:szCs w:val="21"/>
          <w:color w:val="auto"/>
        </w:rPr>
        <w:t>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w:t>
      </w:r>
    </w:p>
    <w:p>
      <w:pPr>
        <w:spacing w:after="0" w:line="158" w:lineRule="exact"/>
        <w:rPr>
          <w:rFonts w:ascii="Arial" w:cs="Arial" w:eastAsia="Arial" w:hAnsi="Arial"/>
          <w:sz w:val="21"/>
          <w:szCs w:val="21"/>
          <w:color w:val="auto"/>
        </w:rPr>
      </w:pPr>
    </w:p>
    <w:p>
      <w:pPr>
        <w:jc w:val="both"/>
        <w:ind w:left="660" w:firstLine="644"/>
        <w:spacing w:after="0" w:line="223" w:lineRule="auto"/>
        <w:tabs>
          <w:tab w:leader="none" w:pos="2302" w:val="left"/>
        </w:tabs>
        <w:numPr>
          <w:ilvl w:val="0"/>
          <w:numId w:val="346"/>
        </w:numPr>
        <w:rPr>
          <w:rFonts w:ascii="Arial" w:cs="Arial" w:eastAsia="Arial" w:hAnsi="Arial"/>
          <w:sz w:val="22"/>
          <w:szCs w:val="22"/>
          <w:color w:val="auto"/>
        </w:rPr>
      </w:pPr>
      <w:r>
        <w:rPr>
          <w:rFonts w:ascii="Arial" w:cs="Arial" w:eastAsia="Arial" w:hAnsi="Arial"/>
          <w:sz w:val="22"/>
          <w:szCs w:val="22"/>
          <w:color w:val="auto"/>
        </w:rPr>
        <w:t>cause to be done all things reasonably necessary to preserve and keep in full force and effect its authority to operate the Scheduled Services, except to the extent that any failure to do so would not reasonably be expected to result in a Material Adverse Effect.</w:t>
      </w:r>
    </w:p>
    <w:p>
      <w:pPr>
        <w:spacing w:after="0" w:line="159" w:lineRule="exact"/>
        <w:rPr>
          <w:sz w:val="20"/>
          <w:szCs w:val="20"/>
          <w:color w:val="auto"/>
        </w:rPr>
      </w:pPr>
    </w:p>
    <w:p>
      <w:pPr>
        <w:jc w:val="both"/>
        <w:ind w:firstLine="1304"/>
        <w:spacing w:after="0" w:line="221" w:lineRule="auto"/>
        <w:tabs>
          <w:tab w:leader="none" w:pos="2250" w:val="left"/>
        </w:tabs>
        <w:numPr>
          <w:ilvl w:val="0"/>
          <w:numId w:val="347"/>
        </w:numPr>
        <w:rPr>
          <w:rFonts w:ascii="Arial" w:cs="Arial" w:eastAsia="Arial" w:hAnsi="Arial"/>
          <w:sz w:val="21"/>
          <w:szCs w:val="21"/>
          <w:color w:val="auto"/>
        </w:rPr>
      </w:pPr>
      <w:r>
        <w:rPr>
          <w:rFonts w:ascii="Arial" w:cs="Arial" w:eastAsia="Arial" w:hAnsi="Arial"/>
          <w:sz w:val="21"/>
          <w:szCs w:val="21"/>
          <w:color w:val="auto"/>
        </w:rPr>
        <w:t>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w:t>
      </w:r>
    </w:p>
    <w:p>
      <w:pPr>
        <w:spacing w:after="0" w:line="18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89" w:name="page290"/>
    <w:bookmarkEnd w:id="289"/>
    <w:p>
      <w:pPr>
        <w:jc w:val="both"/>
        <w:spacing w:after="0" w:line="287" w:lineRule="auto"/>
        <w:rPr>
          <w:sz w:val="20"/>
          <w:szCs w:val="20"/>
          <w:color w:val="auto"/>
        </w:rPr>
      </w:pPr>
      <w:r>
        <w:rPr>
          <w:rFonts w:ascii="Arial" w:cs="Arial" w:eastAsia="Arial" w:hAnsi="Arial"/>
          <w:sz w:val="19"/>
          <w:szCs w:val="19"/>
          <w:color w:val="auto"/>
        </w:rPr>
        <w:t xml:space="preserve">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[Reserved]</w:t>
      </w:r>
      <w:r>
        <w:rPr>
          <w:rFonts w:ascii="Arial" w:cs="Arial" w:eastAsia="Arial" w:hAnsi="Arial"/>
          <w:sz w:val="22"/>
          <w:szCs w:val="22"/>
          <w:color w:val="auto"/>
        </w:rPr>
        <w:t xml:space="preserve"> .</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5.09. </w:t>
      </w:r>
      <w:r>
        <w:rPr>
          <w:rFonts w:ascii="Arial" w:cs="Arial" w:eastAsia="Arial" w:hAnsi="Arial"/>
          <w:sz w:val="22"/>
          <w:szCs w:val="22"/>
          <w:u w:val="single" w:color="auto"/>
          <w:color w:val="auto"/>
        </w:rPr>
        <w:t>Additional Guarantors; Additional Collateral.</w:t>
      </w:r>
    </w:p>
    <w:p>
      <w:pPr>
        <w:spacing w:after="0" w:line="193" w:lineRule="exact"/>
        <w:rPr>
          <w:sz w:val="20"/>
          <w:szCs w:val="20"/>
          <w:color w:val="auto"/>
        </w:rPr>
      </w:pPr>
    </w:p>
    <w:p>
      <w:pPr>
        <w:jc w:val="both"/>
        <w:ind w:firstLine="1304"/>
        <w:spacing w:after="0" w:line="221" w:lineRule="auto"/>
        <w:tabs>
          <w:tab w:leader="none" w:pos="2238" w:val="left"/>
        </w:tabs>
        <w:numPr>
          <w:ilvl w:val="0"/>
          <w:numId w:val="348"/>
        </w:numPr>
        <w:rPr>
          <w:rFonts w:ascii="Arial" w:cs="Arial" w:eastAsia="Arial" w:hAnsi="Arial"/>
          <w:sz w:val="21"/>
          <w:szCs w:val="21"/>
          <w:color w:val="auto"/>
        </w:rPr>
      </w:pPr>
      <w:r>
        <w:rPr>
          <w:rFonts w:ascii="Arial" w:cs="Arial" w:eastAsia="Arial" w:hAnsi="Arial"/>
          <w:sz w:val="21"/>
          <w:szCs w:val="21"/>
          <w:color w:val="auto"/>
        </w:rPr>
        <w:t xml:space="preserve">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that any Domestic Subsidiary that constitutes an Immaterial Subsidiary, a Receivables Subsidiary or an Excluded Subsidiary need not become a Guarantor unless and until 30 Business Days after such time as it ceases to be (and is no longer any of) an Immaterial Subsidiary, a Receivables Subsidiary or an Excluded Subsidiary or such time as it guarantees, or pledges any property or assets to secure, any other Obligations.</w:t>
      </w:r>
    </w:p>
    <w:p>
      <w:pPr>
        <w:spacing w:after="0" w:line="165" w:lineRule="exact"/>
        <w:rPr>
          <w:rFonts w:ascii="Arial" w:cs="Arial" w:eastAsia="Arial" w:hAnsi="Arial"/>
          <w:sz w:val="21"/>
          <w:szCs w:val="21"/>
          <w:color w:val="auto"/>
        </w:rPr>
      </w:pPr>
    </w:p>
    <w:p>
      <w:pPr>
        <w:jc w:val="both"/>
        <w:ind w:firstLine="1304"/>
        <w:spacing w:after="0" w:line="247" w:lineRule="auto"/>
        <w:tabs>
          <w:tab w:leader="none" w:pos="2263" w:val="left"/>
        </w:tabs>
        <w:numPr>
          <w:ilvl w:val="0"/>
          <w:numId w:val="348"/>
        </w:numPr>
        <w:rPr>
          <w:rFonts w:ascii="Arial" w:cs="Arial" w:eastAsia="Arial" w:hAnsi="Arial"/>
          <w:sz w:val="19"/>
          <w:szCs w:val="19"/>
          <w:color w:val="auto"/>
        </w:rPr>
      </w:pPr>
      <w:r>
        <w:rPr>
          <w:rFonts w:ascii="Arial" w:cs="Arial" w:eastAsia="Arial" w:hAnsi="Arial"/>
          <w:sz w:val="19"/>
          <w:szCs w:val="19"/>
          <w:color w:val="auto"/>
        </w:rPr>
        <w:t>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30 Business Days after such time as it ceases to be (and is no longer any of ) an Immaterial Subsidiary, a Receivables Subsidiary or an Excluded Subsidiary or such time as it guarantees, or pledges any property or assets to secure, any other Obligations.</w:t>
      </w:r>
    </w:p>
    <w:p>
      <w:pPr>
        <w:spacing w:after="0" w:line="153" w:lineRule="exact"/>
        <w:rPr>
          <w:rFonts w:ascii="Arial" w:cs="Arial" w:eastAsia="Arial" w:hAnsi="Arial"/>
          <w:sz w:val="19"/>
          <w:szCs w:val="19"/>
          <w:color w:val="auto"/>
        </w:rPr>
      </w:pPr>
    </w:p>
    <w:p>
      <w:pPr>
        <w:ind w:firstLine="1304"/>
        <w:spacing w:after="0" w:line="298" w:lineRule="auto"/>
        <w:tabs>
          <w:tab w:leader="none" w:pos="2238" w:val="left"/>
        </w:tabs>
        <w:numPr>
          <w:ilvl w:val="0"/>
          <w:numId w:val="348"/>
        </w:numPr>
        <w:rPr>
          <w:rFonts w:ascii="Arial" w:cs="Arial" w:eastAsia="Arial" w:hAnsi="Arial"/>
          <w:sz w:val="19"/>
          <w:szCs w:val="19"/>
          <w:color w:val="auto"/>
        </w:rPr>
      </w:pPr>
      <w:r>
        <w:rPr>
          <w:rFonts w:ascii="Arial" w:cs="Arial" w:eastAsia="Arial" w:hAnsi="Arial"/>
          <w:sz w:val="19"/>
          <w:szCs w:val="19"/>
          <w:color w:val="auto"/>
        </w:rPr>
        <w:t>Notwithstanding the provisions in Section 5.09(a) and 5.09(b), no Regional Airline shall be required to become a Guarantor hereunder at any time. A Regional Airline may become a Guarantor at the sole discretion of the Borrower.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90" w:name="page291"/>
    <w:bookmarkEnd w:id="290"/>
    <w:p>
      <w:pPr>
        <w:ind w:firstLine="1304"/>
        <w:spacing w:after="0" w:line="298" w:lineRule="auto"/>
        <w:tabs>
          <w:tab w:leader="none" w:pos="2290" w:val="left"/>
        </w:tabs>
        <w:numPr>
          <w:ilvl w:val="0"/>
          <w:numId w:val="349"/>
        </w:numPr>
        <w:rPr>
          <w:rFonts w:ascii="Arial" w:cs="Arial" w:eastAsia="Arial" w:hAnsi="Arial"/>
          <w:sz w:val="19"/>
          <w:szCs w:val="19"/>
          <w:color w:val="auto"/>
        </w:rPr>
      </w:pPr>
      <w:r>
        <w:rPr>
          <w:rFonts w:ascii="Arial" w:cs="Arial" w:eastAsia="Arial" w:hAnsi="Arial"/>
          <w:sz w:val="19"/>
          <w:szCs w:val="19"/>
          <w:color w:val="auto"/>
        </w:rPr>
        <w:t>At any time, with prior written notice to the Administrative Agent and the Collateral Agent, the Borrower may, and may cause any other Guarantor to, at its sole discretion, pledge additional assets as Additional Collateral.</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Access to Books and Records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8" w:lineRule="auto"/>
        <w:tabs>
          <w:tab w:leader="none" w:pos="2251" w:val="left"/>
        </w:tabs>
        <w:numPr>
          <w:ilvl w:val="0"/>
          <w:numId w:val="350"/>
        </w:numPr>
        <w:rPr>
          <w:rFonts w:ascii="Arial" w:cs="Arial" w:eastAsia="Arial" w:hAnsi="Arial"/>
          <w:sz w:val="22"/>
          <w:szCs w:val="22"/>
          <w:color w:val="auto"/>
        </w:rPr>
      </w:pPr>
      <w:r>
        <w:rPr>
          <w:rFonts w:ascii="Arial" w:cs="Arial" w:eastAsia="Arial" w:hAnsi="Arial"/>
          <w:sz w:val="22"/>
          <w:szCs w:val="22"/>
          <w:color w:val="auto"/>
        </w:rPr>
        <w:t>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spacing w:after="0" w:line="160" w:lineRule="exact"/>
        <w:rPr>
          <w:rFonts w:ascii="Arial" w:cs="Arial" w:eastAsia="Arial" w:hAnsi="Arial"/>
          <w:sz w:val="22"/>
          <w:szCs w:val="22"/>
          <w:color w:val="auto"/>
        </w:rPr>
      </w:pPr>
    </w:p>
    <w:p>
      <w:pPr>
        <w:jc w:val="both"/>
        <w:ind w:firstLine="1304"/>
        <w:spacing w:after="0" w:line="219" w:lineRule="exact"/>
        <w:tabs>
          <w:tab w:leader="none" w:pos="229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cost to the Borrower and the 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further that with respect to Collateral and matters relating thereto, the rights of Administrative Agent and the Lenders under this Section 5.10 shall be limited to the following: upon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 (ii) 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w:t>
      </w:r>
    </w:p>
    <w:p>
      <w:pPr>
        <w:spacing w:after="0" w:line="200" w:lineRule="exact"/>
        <w:rPr>
          <w:sz w:val="20"/>
          <w:szCs w:val="20"/>
          <w:color w:val="auto"/>
        </w:rPr>
      </w:pP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5.11. </w:t>
      </w:r>
      <w:r>
        <w:rPr>
          <w:rFonts w:ascii="Arial" w:cs="Arial" w:eastAsia="Arial" w:hAnsi="Arial"/>
          <w:sz w:val="22"/>
          <w:szCs w:val="22"/>
          <w:u w:val="single" w:color="auto"/>
          <w:color w:val="auto"/>
        </w:rPr>
        <w:t>Further Assurances.</w:t>
      </w:r>
    </w:p>
    <w:p>
      <w:pPr>
        <w:spacing w:after="0" w:line="193" w:lineRule="exact"/>
        <w:rPr>
          <w:sz w:val="20"/>
          <w:szCs w:val="20"/>
          <w:color w:val="auto"/>
        </w:rPr>
      </w:pPr>
    </w:p>
    <w:p>
      <w:pPr>
        <w:jc w:val="both"/>
        <w:ind w:firstLine="1304"/>
        <w:spacing w:after="0" w:line="218" w:lineRule="auto"/>
        <w:tabs>
          <w:tab w:leader="none" w:pos="2251" w:val="left"/>
        </w:tabs>
        <w:numPr>
          <w:ilvl w:val="0"/>
          <w:numId w:val="351"/>
        </w:numPr>
        <w:rPr>
          <w:rFonts w:ascii="Arial" w:cs="Arial" w:eastAsia="Arial" w:hAnsi="Arial"/>
          <w:sz w:val="22"/>
          <w:szCs w:val="22"/>
          <w:color w:val="auto"/>
        </w:rPr>
      </w:pPr>
      <w:r>
        <w:rPr>
          <w:rFonts w:ascii="Arial" w:cs="Arial" w:eastAsia="Arial" w:hAnsi="Arial"/>
          <w:sz w:val="22"/>
          <w:szCs w:val="22"/>
          <w:color w:val="auto"/>
        </w:rPr>
        <w:t>With respect to Pledged Route Authorities, Pledged Slots, Pledged Foreign Gate Leaseholds and any Additional Route Authorities or Gate Leaseholds otherwise constituting Collateral, upon the reasonable request of the Collateral Agent, the Borrower or the applicable Grantor shall take, or cause to be taken, such actions with respect to the due and timely recording,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1" w:name="page292"/>
    <w:bookmarkEnd w:id="291"/>
    <w:p>
      <w:pPr>
        <w:jc w:val="both"/>
        <w:spacing w:after="0" w:line="224" w:lineRule="exact"/>
        <w:rPr>
          <w:sz w:val="20"/>
          <w:szCs w:val="20"/>
          <w:color w:val="auto"/>
        </w:rPr>
      </w:pPr>
      <w:r>
        <w:rPr>
          <w:rFonts w:ascii="Arial" w:cs="Arial" w:eastAsia="Arial" w:hAnsi="Arial"/>
          <w:sz w:val="21"/>
          <w:szCs w:val="21"/>
          <w:color w:val="auto"/>
        </w:rPr>
        <w:t>filing, re</w:t>
      </w:r>
      <w:r>
        <w:rPr>
          <w:rFonts w:ascii="MS PGothic" w:cs="MS PGothic" w:eastAsia="MS PGothic" w:hAnsi="MS PGothic"/>
          <w:sz w:val="21"/>
          <w:szCs w:val="21"/>
          <w:color w:val="auto"/>
        </w:rPr>
        <w:t>‑</w:t>
      </w:r>
      <w:r>
        <w:rPr>
          <w:rFonts w:ascii="Arial" w:cs="Arial" w:eastAsia="Arial" w:hAnsi="Arial"/>
          <w:sz w:val="21"/>
          <w:szCs w:val="21"/>
          <w:color w:val="auto"/>
        </w:rPr>
        <w:t>recording and refiling of any financing statements and any continuation statements under the UCC as are necessary to maintain, so long as such SGR Security Agreement or other applicable Collateral Document is in effect, the perfection of the security interests created by such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Collateral Agent will furnish the Collateral Agent, together with such financing statements and continuation statements, as may be required to enable the Collateral Agent to take such action.</w:t>
      </w:r>
    </w:p>
    <w:p>
      <w:pPr>
        <w:spacing w:after="0" w:line="164" w:lineRule="exact"/>
        <w:rPr>
          <w:sz w:val="20"/>
          <w:szCs w:val="20"/>
          <w:color w:val="auto"/>
        </w:rPr>
      </w:pPr>
    </w:p>
    <w:p>
      <w:pPr>
        <w:jc w:val="both"/>
        <w:ind w:firstLine="1304"/>
        <w:spacing w:after="0" w:line="246" w:lineRule="auto"/>
        <w:tabs>
          <w:tab w:leader="none" w:pos="2250" w:val="left"/>
        </w:tabs>
        <w:numPr>
          <w:ilvl w:val="0"/>
          <w:numId w:val="352"/>
        </w:numPr>
        <w:rPr>
          <w:rFonts w:ascii="Arial" w:cs="Arial" w:eastAsia="Arial" w:hAnsi="Arial"/>
          <w:sz w:val="19"/>
          <w:szCs w:val="19"/>
          <w:color w:val="auto"/>
        </w:rPr>
      </w:pPr>
      <w:r>
        <w:rPr>
          <w:rFonts w:ascii="Arial" w:cs="Arial" w:eastAsia="Arial" w:hAnsi="Arial"/>
          <w:sz w:val="19"/>
          <w:szCs w:val="19"/>
          <w:color w:val="auto"/>
        </w:rPr>
        <w:t>With respect to Collateral constituting aircraft or spare engines, each of the applicable Aircraft Security Agreements will provide that the Borrower or the applicable Grantor shall take, or cause to be taken, upon the reasonable request of the Collateral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trustee appointed pursuant to Section 8.01(d) will furnish such trustee with such instruments, in execution form, and such other information, as may be required to enable such trustee to take such action.</w:t>
      </w:r>
    </w:p>
    <w:p>
      <w:pPr>
        <w:spacing w:after="0" w:line="152" w:lineRule="exact"/>
        <w:rPr>
          <w:rFonts w:ascii="Arial" w:cs="Arial" w:eastAsia="Arial" w:hAnsi="Arial"/>
          <w:sz w:val="19"/>
          <w:szCs w:val="19"/>
          <w:color w:val="auto"/>
        </w:rPr>
      </w:pPr>
    </w:p>
    <w:p>
      <w:pPr>
        <w:jc w:val="both"/>
        <w:ind w:firstLine="1304"/>
        <w:spacing w:after="0" w:line="220" w:lineRule="auto"/>
        <w:tabs>
          <w:tab w:leader="none" w:pos="2305" w:val="left"/>
        </w:tabs>
        <w:numPr>
          <w:ilvl w:val="0"/>
          <w:numId w:val="352"/>
        </w:numPr>
        <w:rPr>
          <w:rFonts w:ascii="Arial" w:cs="Arial" w:eastAsia="Arial" w:hAnsi="Arial"/>
          <w:sz w:val="21"/>
          <w:szCs w:val="21"/>
          <w:color w:val="auto"/>
        </w:rPr>
      </w:pPr>
      <w:r>
        <w:rPr>
          <w:rFonts w:ascii="Arial" w:cs="Arial" w:eastAsia="Arial" w:hAnsi="Arial"/>
          <w:sz w:val="21"/>
          <w:szCs w:val="21"/>
          <w:color w:val="auto"/>
        </w:rPr>
        <w:t>With respect to Collateral constituting Real Property Assets, each of the applicable Collateral Documents relating to such Collateral will provide that the Borrower or the 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Administrative Agent for such title insurer to deliver endorsements to such title insurance as reasonably requested by the Administrative Agent), environmental assessments, flood certifications and flood insurance (if applicable) and reports and evidence regarding recording and payment of fees, insurance premium and taxes) that the Administrative Agent may reasonably request, to create, register, perfect, maintain, evidence the existence, substance, form or validity of or enforce a valid lien on such parcel of or leasehold interest in real property subject only to Permitted Liens.</w:t>
      </w:r>
    </w:p>
    <w:p>
      <w:pPr>
        <w:spacing w:after="0" w:line="162" w:lineRule="exact"/>
        <w:rPr>
          <w:rFonts w:ascii="Arial" w:cs="Arial" w:eastAsia="Arial" w:hAnsi="Arial"/>
          <w:sz w:val="21"/>
          <w:szCs w:val="21"/>
          <w:color w:val="auto"/>
        </w:rPr>
      </w:pPr>
    </w:p>
    <w:p>
      <w:pPr>
        <w:jc w:val="both"/>
        <w:ind w:firstLine="1304"/>
        <w:spacing w:after="0" w:line="221" w:lineRule="auto"/>
        <w:tabs>
          <w:tab w:leader="none" w:pos="2263" w:val="left"/>
        </w:tabs>
        <w:numPr>
          <w:ilvl w:val="0"/>
          <w:numId w:val="352"/>
        </w:numPr>
        <w:rPr>
          <w:rFonts w:ascii="Arial" w:cs="Arial" w:eastAsia="Arial" w:hAnsi="Arial"/>
          <w:sz w:val="21"/>
          <w:szCs w:val="21"/>
          <w:color w:val="auto"/>
        </w:rPr>
      </w:pPr>
      <w:r>
        <w:rPr>
          <w:rFonts w:ascii="Arial" w:cs="Arial" w:eastAsia="Arial" w:hAnsi="Arial"/>
          <w:sz w:val="21"/>
          <w:szCs w:val="21"/>
          <w:color w:val="auto"/>
        </w:rPr>
        <w:t>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Collateral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Agent, will furnish the Collateral Agent with such instruments, in execution form, and such other information, as may be required to enable the Collateral Agent to take such 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AND FINANCIAL COVENANTS</w:t>
      </w:r>
    </w:p>
    <w:p>
      <w:pPr>
        <w:spacing w:after="0" w:line="22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From the date hereof and for so long as the Commitments remain in effect or principal of or interest on any Loan is owing (or any other amount that is due and unpaid on the first date that none of the foregoing is in effect, outstanding or owing, respectively, is owing) to any Lender or the Administrative Agent hereunder:</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xml:space="preserve"> .</w:t>
      </w:r>
    </w:p>
    <w:p>
      <w:pPr>
        <w:spacing w:after="0" w:line="193" w:lineRule="exact"/>
        <w:rPr>
          <w:sz w:val="20"/>
          <w:szCs w:val="20"/>
          <w:color w:val="auto"/>
        </w:rPr>
      </w:pPr>
    </w:p>
    <w:p>
      <w:pPr>
        <w:ind w:left="2240" w:hanging="936"/>
        <w:spacing w:after="0"/>
        <w:tabs>
          <w:tab w:leader="none" w:pos="2240" w:val="left"/>
        </w:tabs>
        <w:numPr>
          <w:ilvl w:val="0"/>
          <w:numId w:val="353"/>
        </w:numPr>
        <w:rPr>
          <w:rFonts w:ascii="Arial" w:cs="Arial" w:eastAsia="Arial" w:hAnsi="Arial"/>
          <w:sz w:val="22"/>
          <w:szCs w:val="22"/>
          <w:color w:val="auto"/>
        </w:rPr>
      </w:pPr>
      <w:r>
        <w:rPr>
          <w:rFonts w:ascii="Arial" w:cs="Arial" w:eastAsia="Arial" w:hAnsi="Arial"/>
          <w:sz w:val="22"/>
          <w:szCs w:val="22"/>
          <w:color w:val="auto"/>
        </w:rPr>
        <w:t>Parent will not, and will not permit any of its Restricted Subsidiaries to, directly or indirectly:</w:t>
      </w:r>
    </w:p>
    <w:p>
      <w:pPr>
        <w:spacing w:after="0" w:line="179" w:lineRule="exact"/>
        <w:rPr>
          <w:sz w:val="20"/>
          <w:szCs w:val="20"/>
          <w:color w:val="auto"/>
        </w:rPr>
      </w:pPr>
    </w:p>
    <w:p>
      <w:pPr>
        <w:jc w:val="both"/>
        <w:ind w:left="660" w:firstLine="644"/>
        <w:spacing w:after="0" w:line="249" w:lineRule="auto"/>
        <w:tabs>
          <w:tab w:leader="none" w:pos="2214" w:val="left"/>
        </w:tabs>
        <w:numPr>
          <w:ilvl w:val="1"/>
          <w:numId w:val="354"/>
        </w:numPr>
        <w:rPr>
          <w:rFonts w:ascii="Arial" w:cs="Arial" w:eastAsia="Arial" w:hAnsi="Arial"/>
          <w:sz w:val="19"/>
          <w:szCs w:val="19"/>
          <w:color w:val="auto"/>
        </w:rPr>
      </w:pPr>
      <w:r>
        <w:rPr>
          <w:rFonts w:ascii="Arial" w:cs="Arial" w:eastAsia="Arial" w:hAnsi="Arial"/>
          <w:sz w:val="19"/>
          <w:szCs w:val="19"/>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151" w:lineRule="exact"/>
        <w:rPr>
          <w:rFonts w:ascii="Arial" w:cs="Arial" w:eastAsia="Arial" w:hAnsi="Arial"/>
          <w:sz w:val="19"/>
          <w:szCs w:val="19"/>
          <w:color w:val="auto"/>
        </w:rPr>
      </w:pPr>
    </w:p>
    <w:p>
      <w:pPr>
        <w:ind w:left="2260" w:hanging="956"/>
        <w:spacing w:after="0"/>
        <w:tabs>
          <w:tab w:leader="none" w:pos="2260" w:val="left"/>
        </w:tabs>
        <w:numPr>
          <w:ilvl w:val="1"/>
          <w:numId w:val="354"/>
        </w:numPr>
        <w:rPr>
          <w:rFonts w:ascii="Arial" w:cs="Arial" w:eastAsia="Arial" w:hAnsi="Arial"/>
          <w:sz w:val="22"/>
          <w:szCs w:val="22"/>
          <w:color w:val="auto"/>
        </w:rPr>
      </w:pPr>
      <w:r>
        <w:rPr>
          <w:rFonts w:ascii="Arial" w:cs="Arial" w:eastAsia="Arial" w:hAnsi="Arial"/>
          <w:sz w:val="22"/>
          <w:szCs w:val="22"/>
          <w:color w:val="auto"/>
        </w:rPr>
        <w:t>purchase, redeem or otherwise acquire or retire for value any Equity Interests of Parent;</w:t>
      </w:r>
    </w:p>
    <w:p>
      <w:pPr>
        <w:spacing w:after="0" w:line="179" w:lineRule="exact"/>
        <w:rPr>
          <w:rFonts w:ascii="Arial" w:cs="Arial" w:eastAsia="Arial" w:hAnsi="Arial"/>
          <w:sz w:val="22"/>
          <w:szCs w:val="22"/>
          <w:color w:val="auto"/>
        </w:rPr>
      </w:pPr>
    </w:p>
    <w:p>
      <w:pPr>
        <w:jc w:val="both"/>
        <w:ind w:left="660" w:firstLine="644"/>
        <w:spacing w:after="0" w:line="216" w:lineRule="auto"/>
        <w:tabs>
          <w:tab w:leader="none" w:pos="2347" w:val="left"/>
        </w:tabs>
        <w:numPr>
          <w:ilvl w:val="1"/>
          <w:numId w:val="354"/>
        </w:numPr>
        <w:rPr>
          <w:rFonts w:ascii="Arial" w:cs="Arial" w:eastAsia="Arial" w:hAnsi="Arial"/>
          <w:sz w:val="22"/>
          <w:szCs w:val="22"/>
          <w:color w:val="auto"/>
        </w:rPr>
      </w:pPr>
      <w:r>
        <w:rPr>
          <w:rFonts w:ascii="Arial" w:cs="Arial" w:eastAsia="Arial" w:hAnsi="Arial"/>
          <w:sz w:val="22"/>
          <w:szCs w:val="22"/>
          <w:color w:val="auto"/>
        </w:rPr>
        <w:t xml:space="preserve">make any payment on or with respect to, or purchase, redeem, defease or otherwise acquire or retire for value (collectively for purposes of this clause (iii), a “ </w:t>
      </w:r>
      <w:r>
        <w:rPr>
          <w:rFonts w:ascii="Arial" w:cs="Arial" w:eastAsia="Arial" w:hAnsi="Arial"/>
          <w:sz w:val="22"/>
          <w:szCs w:val="22"/>
          <w:i w:val="1"/>
          <w:iCs w:val="1"/>
          <w:color w:val="auto"/>
        </w:rPr>
        <w:t>purchase</w:t>
      </w:r>
      <w:r>
        <w:rPr>
          <w:rFonts w:ascii="Arial" w:cs="Arial" w:eastAsia="Arial" w:hAnsi="Arial"/>
          <w:sz w:val="22"/>
          <w:szCs w:val="22"/>
          <w:color w:val="auto"/>
        </w:rPr>
        <w:t xml:space="preserve"> ”)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w:t>
      </w:r>
    </w:p>
    <w:p>
      <w:pPr>
        <w:spacing w:after="0" w:line="150" w:lineRule="exact"/>
        <w:rPr>
          <w:rFonts w:ascii="Arial" w:cs="Arial" w:eastAsia="Arial" w:hAnsi="Arial"/>
          <w:sz w:val="22"/>
          <w:szCs w:val="22"/>
          <w:color w:val="auto"/>
        </w:rPr>
      </w:pPr>
    </w:p>
    <w:p>
      <w:pPr>
        <w:ind w:left="2360" w:hanging="1056"/>
        <w:spacing w:after="0"/>
        <w:tabs>
          <w:tab w:leader="none" w:pos="2360" w:val="left"/>
        </w:tabs>
        <w:numPr>
          <w:ilvl w:val="1"/>
          <w:numId w:val="354"/>
        </w:numPr>
        <w:rPr>
          <w:rFonts w:ascii="Arial" w:cs="Arial" w:eastAsia="Arial" w:hAnsi="Arial"/>
          <w:sz w:val="21"/>
          <w:szCs w:val="21"/>
          <w:color w:val="auto"/>
        </w:rPr>
      </w:pPr>
      <w:r>
        <w:rPr>
          <w:rFonts w:ascii="Arial" w:cs="Arial" w:eastAsia="Arial" w:hAnsi="Arial"/>
          <w:sz w:val="21"/>
          <w:szCs w:val="21"/>
          <w:color w:val="auto"/>
        </w:rPr>
        <w:t>make any Restricted Investment (all such payments and other actions set forth in these clauses</w:t>
      </w:r>
    </w:p>
    <w:p>
      <w:pPr>
        <w:ind w:left="920" w:hanging="264"/>
        <w:spacing w:after="0"/>
        <w:tabs>
          <w:tab w:leader="none" w:pos="920" w:val="left"/>
        </w:tabs>
        <w:numPr>
          <w:ilvl w:val="0"/>
          <w:numId w:val="355"/>
        </w:numPr>
        <w:rPr>
          <w:rFonts w:ascii="Arial" w:cs="Arial" w:eastAsia="Arial" w:hAnsi="Arial"/>
          <w:sz w:val="22"/>
          <w:szCs w:val="22"/>
          <w:color w:val="auto"/>
        </w:rPr>
      </w:pPr>
      <w:r>
        <w:rPr>
          <w:rFonts w:ascii="Arial" w:cs="Arial" w:eastAsia="Arial" w:hAnsi="Arial"/>
          <w:sz w:val="22"/>
          <w:szCs w:val="22"/>
          <w:color w:val="auto"/>
        </w:rPr>
        <w:t xml:space="preserve">through (iv) above being collectively referred to as “ </w:t>
      </w:r>
      <w:r>
        <w:rPr>
          <w:rFonts w:ascii="Arial" w:cs="Arial" w:eastAsia="Arial" w:hAnsi="Arial"/>
          <w:sz w:val="22"/>
          <w:szCs w:val="22"/>
          <w:i w:val="1"/>
          <w:iCs w:val="1"/>
          <w:color w:val="auto"/>
        </w:rPr>
        <w:t>Restricted Payments</w:t>
      </w:r>
      <w:r>
        <w:rPr>
          <w:rFonts w:ascii="Arial" w:cs="Arial" w:eastAsia="Arial" w:hAnsi="Arial"/>
          <w:sz w:val="22"/>
          <w:szCs w:val="22"/>
          <w:color w:val="auto"/>
        </w:rPr>
        <w:t xml:space="preserve"> ”),</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unless, at the time of and after giving effect to such Restricted Payment:</w:t>
      </w:r>
    </w:p>
    <w:p>
      <w:pPr>
        <w:spacing w:after="0" w:line="200" w:lineRule="exact"/>
        <w:rPr>
          <w:sz w:val="20"/>
          <w:szCs w:val="20"/>
          <w:color w:val="auto"/>
        </w:rPr>
      </w:pPr>
    </w:p>
    <w:p>
      <w:pPr>
        <w:spacing w:after="0" w:line="236" w:lineRule="exact"/>
        <w:rPr>
          <w:sz w:val="20"/>
          <w:szCs w:val="20"/>
          <w:color w:val="auto"/>
        </w:rPr>
      </w:pPr>
    </w:p>
    <w:p>
      <w:pPr>
        <w:jc w:val="both"/>
        <w:ind w:firstLine="8"/>
        <w:spacing w:after="0" w:line="265" w:lineRule="auto"/>
        <w:tabs>
          <w:tab w:leader="none" w:pos="490" w:val="left"/>
        </w:tabs>
        <w:numPr>
          <w:ilvl w:val="0"/>
          <w:numId w:val="356"/>
        </w:numPr>
        <w:rPr>
          <w:rFonts w:ascii="Arial" w:cs="Arial" w:eastAsia="Arial" w:hAnsi="Arial"/>
          <w:sz w:val="21"/>
          <w:szCs w:val="21"/>
          <w:color w:val="auto"/>
        </w:rPr>
      </w:pPr>
      <w:r>
        <w:rPr>
          <w:rFonts w:ascii="Arial" w:cs="Arial" w:eastAsia="Arial" w:hAnsi="Arial"/>
          <w:sz w:val="21"/>
          <w:szCs w:val="21"/>
          <w:color w:val="auto"/>
        </w:rPr>
        <w:t>(A) no Default or Event of Default is continuing as of such date and (B) Liquidity as at such time (after (1) excluding from the calculation thereof an amount equal to 75% of the aggregate committed principal amount under all revolving credit facilities (whether drawn or undrawn) of the Parent and its Restricted Subsidiaries as of such date and (2) giving pro forma effect to any Restricted Payment to be made on such date) is at least equal to $4,000,000,000, or</w:t>
      </w:r>
    </w:p>
    <w:p>
      <w:pPr>
        <w:spacing w:after="0" w:line="391" w:lineRule="exact"/>
        <w:rPr>
          <w:rFonts w:ascii="Arial" w:cs="Arial" w:eastAsia="Arial" w:hAnsi="Arial"/>
          <w:sz w:val="21"/>
          <w:szCs w:val="21"/>
          <w:color w:val="auto"/>
        </w:rPr>
      </w:pPr>
    </w:p>
    <w:p>
      <w:pPr>
        <w:ind w:right="20" w:firstLine="8"/>
        <w:spacing w:after="0" w:line="263" w:lineRule="auto"/>
        <w:tabs>
          <w:tab w:leader="none" w:pos="492" w:val="left"/>
        </w:tabs>
        <w:numPr>
          <w:ilvl w:val="0"/>
          <w:numId w:val="356"/>
        </w:numPr>
        <w:rPr>
          <w:rFonts w:ascii="Arial" w:cs="Arial" w:eastAsia="Arial" w:hAnsi="Arial"/>
          <w:sz w:val="22"/>
          <w:szCs w:val="22"/>
          <w:color w:val="auto"/>
        </w:rPr>
      </w:pPr>
      <w:r>
        <w:rPr>
          <w:rFonts w:ascii="Arial" w:cs="Arial" w:eastAsia="Arial" w:hAnsi="Arial"/>
          <w:sz w:val="22"/>
          <w:szCs w:val="22"/>
          <w:color w:val="auto"/>
        </w:rPr>
        <w:t>the aggregate amount of all Restricted Payments made by Parent and its Restricted Subsidiaries since the Closing Date and together with such Restricted Investments outstanding at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93" w:name="page294"/>
    <w:bookmarkEnd w:id="293"/>
    <w:p>
      <w:pPr>
        <w:spacing w:after="0"/>
        <w:rPr>
          <w:sz w:val="20"/>
          <w:szCs w:val="20"/>
          <w:color w:val="auto"/>
        </w:rPr>
      </w:pPr>
      <w:r>
        <w:rPr>
          <w:rFonts w:ascii="Arial" w:cs="Arial" w:eastAsia="Arial" w:hAnsi="Arial"/>
          <w:sz w:val="19"/>
          <w:szCs w:val="19"/>
          <w:color w:val="auto"/>
        </w:rPr>
        <w:t>the time of giving effect to such Restricted Payment (excluding, in each case, Restricted Payments permitted by clauses (2)</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through (22) of Section 6.01(b)), is less than the greater of (i) $0 and (ii) the sum, without duplication, of:</w:t>
      </w:r>
    </w:p>
    <w:p>
      <w:pPr>
        <w:spacing w:after="0" w:line="200" w:lineRule="exact"/>
        <w:rPr>
          <w:sz w:val="20"/>
          <w:szCs w:val="20"/>
          <w:color w:val="auto"/>
        </w:rPr>
      </w:pPr>
    </w:p>
    <w:p>
      <w:pPr>
        <w:spacing w:after="0" w:line="218" w:lineRule="exact"/>
        <w:rPr>
          <w:sz w:val="20"/>
          <w:szCs w:val="20"/>
          <w:color w:val="auto"/>
        </w:rPr>
      </w:pPr>
    </w:p>
    <w:p>
      <w:pPr>
        <w:jc w:val="both"/>
        <w:ind w:left="660" w:firstLine="644"/>
        <w:spacing w:after="0" w:line="294" w:lineRule="auto"/>
        <w:tabs>
          <w:tab w:leader="none" w:pos="1826" w:val="left"/>
        </w:tabs>
        <w:numPr>
          <w:ilvl w:val="0"/>
          <w:numId w:val="357"/>
        </w:numPr>
        <w:rPr>
          <w:rFonts w:ascii="Arial" w:cs="Arial" w:eastAsia="Arial" w:hAnsi="Arial"/>
          <w:sz w:val="19"/>
          <w:szCs w:val="19"/>
          <w:color w:val="auto"/>
        </w:rPr>
      </w:pPr>
      <w:r>
        <w:rPr>
          <w:rFonts w:ascii="Arial" w:cs="Arial" w:eastAsia="Arial" w:hAnsi="Arial"/>
          <w:sz w:val="19"/>
          <w:szCs w:val="19"/>
          <w:color w:val="auto"/>
        </w:rPr>
        <w:t>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w:t>
      </w:r>
    </w:p>
    <w:p>
      <w:pPr>
        <w:spacing w:after="0" w:line="365" w:lineRule="exact"/>
        <w:rPr>
          <w:rFonts w:ascii="Arial" w:cs="Arial" w:eastAsia="Arial" w:hAnsi="Arial"/>
          <w:sz w:val="19"/>
          <w:szCs w:val="19"/>
          <w:color w:val="auto"/>
        </w:rPr>
      </w:pPr>
    </w:p>
    <w:p>
      <w:pPr>
        <w:jc w:val="both"/>
        <w:ind w:left="660" w:firstLine="644"/>
        <w:spacing w:after="0" w:line="261" w:lineRule="exact"/>
        <w:tabs>
          <w:tab w:leader="none" w:pos="1861" w:val="left"/>
        </w:tabs>
        <w:numPr>
          <w:ilvl w:val="0"/>
          <w:numId w:val="357"/>
        </w:numPr>
        <w:rPr>
          <w:rFonts w:ascii="Arial" w:cs="Arial" w:eastAsia="Arial" w:hAnsi="Arial"/>
          <w:sz w:val="22"/>
          <w:szCs w:val="22"/>
          <w:color w:val="auto"/>
        </w:rPr>
      </w:pPr>
      <w:r>
        <w:rPr>
          <w:rFonts w:ascii="Arial" w:cs="Arial" w:eastAsia="Arial" w:hAnsi="Arial"/>
          <w:sz w:val="22"/>
          <w:szCs w:val="22"/>
          <w:color w:val="auto"/>
        </w:rPr>
        <w:t>100% of the aggregate net cash proceeds and the Fair Market Value of non</w:t>
      </w:r>
      <w:r>
        <w:rPr>
          <w:rFonts w:ascii="MS PGothic" w:cs="MS PGothic" w:eastAsia="MS PGothic" w:hAnsi="MS PGothic"/>
          <w:sz w:val="22"/>
          <w:szCs w:val="22"/>
          <w:color w:val="auto"/>
        </w:rPr>
        <w:t>‑</w:t>
      </w:r>
      <w:r>
        <w:rPr>
          <w:rFonts w:ascii="Arial" w:cs="Arial" w:eastAsia="Arial" w:hAnsi="Arial"/>
          <w:sz w:val="22"/>
          <w:szCs w:val="22"/>
          <w:color w:val="auto"/>
        </w:rPr>
        <w:t>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left="660" w:firstLine="644"/>
        <w:spacing w:after="0" w:line="260" w:lineRule="exact"/>
        <w:tabs>
          <w:tab w:leader="none" w:pos="1855" w:val="left"/>
        </w:tabs>
        <w:numPr>
          <w:ilvl w:val="0"/>
          <w:numId w:val="357"/>
        </w:numPr>
        <w:rPr>
          <w:rFonts w:ascii="Arial" w:cs="Arial" w:eastAsia="Arial" w:hAnsi="Arial"/>
          <w:sz w:val="19"/>
          <w:szCs w:val="19"/>
          <w:color w:val="auto"/>
        </w:rPr>
      </w:pPr>
      <w:r>
        <w:rPr>
          <w:rFonts w:ascii="Arial" w:cs="Arial" w:eastAsia="Arial" w:hAnsi="Arial"/>
          <w:sz w:val="19"/>
          <w:szCs w:val="19"/>
          <w:color w:val="auto"/>
        </w:rPr>
        <w:t>(x) 100% of the aggregate net cash proceeds and the Fair Market Value of non</w:t>
      </w:r>
      <w:r>
        <w:rPr>
          <w:rFonts w:ascii="MS PGothic" w:cs="MS PGothic" w:eastAsia="MS PGothic" w:hAnsi="MS PGothic"/>
          <w:sz w:val="19"/>
          <w:szCs w:val="19"/>
          <w:color w:val="auto"/>
        </w:rPr>
        <w:t>‑</w:t>
      </w:r>
      <w:r>
        <w:rPr>
          <w:rFonts w:ascii="Arial" w:cs="Arial" w:eastAsia="Arial" w:hAnsi="Arial"/>
          <w:sz w:val="19"/>
          <w:szCs w:val="19"/>
          <w:color w:val="auto"/>
        </w:rPr>
        <w:t>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w:t>
      </w:r>
      <w:r>
        <w:rPr>
          <w:rFonts w:ascii="MS PGothic" w:cs="MS PGothic" w:eastAsia="MS PGothic" w:hAnsi="MS PGothic"/>
          <w:sz w:val="19"/>
          <w:szCs w:val="19"/>
          <w:color w:val="auto"/>
        </w:rPr>
        <w:t>‑</w:t>
      </w:r>
      <w:r>
        <w:rPr>
          <w:rFonts w:ascii="Arial" w:cs="Arial" w:eastAsia="Arial" w:hAnsi="Arial"/>
          <w:sz w:val="19"/>
          <w:szCs w:val="19"/>
          <w:color w:val="auto"/>
        </w:rPr>
        <w:t>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left="660" w:firstLine="644"/>
        <w:spacing w:after="0" w:line="253" w:lineRule="auto"/>
        <w:tabs>
          <w:tab w:leader="none" w:pos="1922" w:val="left"/>
        </w:tabs>
        <w:numPr>
          <w:ilvl w:val="0"/>
          <w:numId w:val="357"/>
        </w:numPr>
        <w:rPr>
          <w:rFonts w:ascii="Arial" w:cs="Arial" w:eastAsia="Arial" w:hAnsi="Arial"/>
          <w:sz w:val="22"/>
          <w:szCs w:val="22"/>
          <w:color w:val="auto"/>
        </w:rPr>
      </w:pPr>
      <w:r>
        <w:rPr>
          <w:rFonts w:ascii="Arial" w:cs="Arial" w:eastAsia="Arial" w:hAnsi="Arial"/>
          <w:sz w:val="22"/>
          <w:szCs w:val="22"/>
          <w:color w:val="auto"/>
        </w:rPr>
        <w:t>to the extent that any Restricted Investment that was made after the Closing Date is (i) sold for cash or otherwise cancelled, liquidated or repaid for cash or (ii) made in an entity that subsequently becomes a Restricted Subsidiary of Parent, the initial amount of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94" w:name="page295"/>
    <w:bookmarkEnd w:id="294"/>
    <w:p>
      <w:pPr>
        <w:spacing w:after="0"/>
        <w:rPr>
          <w:sz w:val="20"/>
          <w:szCs w:val="20"/>
          <w:color w:val="auto"/>
        </w:rPr>
      </w:pPr>
      <w:r>
        <w:rPr>
          <w:rFonts w:ascii="Arial" w:cs="Arial" w:eastAsia="Arial" w:hAnsi="Arial"/>
          <w:sz w:val="22"/>
          <w:szCs w:val="22"/>
          <w:color w:val="auto"/>
        </w:rPr>
        <w:t>such Restricted Investment (or, if less, the amount of cash received upon repayment or sale); plus</w:t>
      </w:r>
    </w:p>
    <w:p>
      <w:pPr>
        <w:spacing w:after="0" w:line="200" w:lineRule="exact"/>
        <w:rPr>
          <w:sz w:val="20"/>
          <w:szCs w:val="20"/>
          <w:color w:val="auto"/>
        </w:rPr>
      </w:pPr>
    </w:p>
    <w:p>
      <w:pPr>
        <w:spacing w:after="0" w:line="236" w:lineRule="exact"/>
        <w:rPr>
          <w:sz w:val="20"/>
          <w:szCs w:val="20"/>
          <w:color w:val="auto"/>
        </w:rPr>
      </w:pPr>
    </w:p>
    <w:p>
      <w:pPr>
        <w:jc w:val="both"/>
        <w:ind w:firstLine="644"/>
        <w:spacing w:after="0" w:line="297" w:lineRule="auto"/>
        <w:tabs>
          <w:tab w:leader="none" w:pos="1271" w:val="left"/>
        </w:tabs>
        <w:numPr>
          <w:ilvl w:val="0"/>
          <w:numId w:val="358"/>
        </w:numPr>
        <w:rPr>
          <w:rFonts w:ascii="Arial" w:cs="Arial" w:eastAsia="Arial" w:hAnsi="Arial"/>
          <w:sz w:val="19"/>
          <w:szCs w:val="19"/>
          <w:color w:val="auto"/>
        </w:rPr>
      </w:pPr>
      <w:r>
        <w:rPr>
          <w:rFonts w:ascii="Arial" w:cs="Arial" w:eastAsia="Arial" w:hAnsi="Arial"/>
          <w:sz w:val="19"/>
          <w:szCs w:val="19"/>
          <w:color w:val="auto"/>
        </w:rPr>
        <w:t>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w:t>
      </w:r>
    </w:p>
    <w:p>
      <w:pPr>
        <w:spacing w:after="0" w:line="362" w:lineRule="exact"/>
        <w:rPr>
          <w:rFonts w:ascii="Arial" w:cs="Arial" w:eastAsia="Arial" w:hAnsi="Arial"/>
          <w:sz w:val="19"/>
          <w:szCs w:val="19"/>
          <w:color w:val="auto"/>
        </w:rPr>
      </w:pPr>
    </w:p>
    <w:p>
      <w:pPr>
        <w:jc w:val="both"/>
        <w:ind w:firstLine="644"/>
        <w:spacing w:after="0" w:line="250" w:lineRule="auto"/>
        <w:tabs>
          <w:tab w:leader="none" w:pos="1135" w:val="left"/>
        </w:tabs>
        <w:numPr>
          <w:ilvl w:val="0"/>
          <w:numId w:val="358"/>
        </w:numPr>
        <w:rPr>
          <w:rFonts w:ascii="Arial" w:cs="Arial" w:eastAsia="Arial" w:hAnsi="Arial"/>
          <w:sz w:val="22"/>
          <w:szCs w:val="22"/>
          <w:color w:val="auto"/>
        </w:rPr>
      </w:pPr>
      <w:r>
        <w:rPr>
          <w:rFonts w:ascii="Arial" w:cs="Arial" w:eastAsia="Arial" w:hAnsi="Arial"/>
          <w:sz w:val="22"/>
          <w:szCs w:val="22"/>
          <w:color w:val="auto"/>
        </w:rPr>
        <w:t>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w:t>
      </w:r>
    </w:p>
    <w:p>
      <w:pPr>
        <w:spacing w:after="0" w:line="377" w:lineRule="exact"/>
        <w:rPr>
          <w:sz w:val="20"/>
          <w:szCs w:val="20"/>
          <w:color w:val="auto"/>
        </w:rPr>
      </w:pPr>
    </w:p>
    <w:p>
      <w:pPr>
        <w:ind w:left="1600" w:hanging="956"/>
        <w:spacing w:after="0"/>
        <w:tabs>
          <w:tab w:leader="none" w:pos="160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The provisions of Section 6.01(a) will not prohibit:</w:t>
      </w:r>
    </w:p>
    <w:p>
      <w:pPr>
        <w:spacing w:after="0" w:line="179" w:lineRule="exact"/>
        <w:rPr>
          <w:sz w:val="20"/>
          <w:szCs w:val="20"/>
          <w:color w:val="auto"/>
        </w:rPr>
      </w:pPr>
    </w:p>
    <w:p>
      <w:pPr>
        <w:jc w:val="both"/>
        <w:ind w:firstLine="644"/>
        <w:spacing w:after="0" w:line="218" w:lineRule="auto"/>
        <w:tabs>
          <w:tab w:leader="none" w:pos="1602" w:val="left"/>
        </w:tabs>
        <w:numPr>
          <w:ilvl w:val="0"/>
          <w:numId w:val="360"/>
        </w:numPr>
        <w:rPr>
          <w:rFonts w:ascii="Arial" w:cs="Arial" w:eastAsia="Arial" w:hAnsi="Arial"/>
          <w:sz w:val="22"/>
          <w:szCs w:val="22"/>
          <w:color w:val="auto"/>
        </w:rPr>
      </w:pPr>
      <w:r>
        <w:rPr>
          <w:rFonts w:ascii="Arial" w:cs="Arial" w:eastAsia="Arial" w:hAnsi="Arial"/>
          <w:sz w:val="22"/>
          <w:szCs w:val="2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w:t>
      </w:r>
    </w:p>
    <w:p>
      <w:pPr>
        <w:spacing w:after="0" w:line="160" w:lineRule="exact"/>
        <w:rPr>
          <w:rFonts w:ascii="Arial" w:cs="Arial" w:eastAsia="Arial" w:hAnsi="Arial"/>
          <w:sz w:val="22"/>
          <w:szCs w:val="22"/>
          <w:color w:val="auto"/>
        </w:rPr>
      </w:pPr>
    </w:p>
    <w:p>
      <w:pPr>
        <w:jc w:val="both"/>
        <w:ind w:firstLine="644"/>
        <w:spacing w:after="0" w:line="252" w:lineRule="auto"/>
        <w:tabs>
          <w:tab w:leader="none" w:pos="1615" w:val="left"/>
        </w:tabs>
        <w:numPr>
          <w:ilvl w:val="0"/>
          <w:numId w:val="360"/>
        </w:numPr>
        <w:rPr>
          <w:rFonts w:ascii="Arial" w:cs="Arial" w:eastAsia="Arial" w:hAnsi="Arial"/>
          <w:sz w:val="19"/>
          <w:szCs w:val="19"/>
          <w:color w:val="auto"/>
        </w:rPr>
      </w:pPr>
      <w:r>
        <w:rPr>
          <w:rFonts w:ascii="Arial" w:cs="Arial" w:eastAsia="Arial" w:hAnsi="Arial"/>
          <w:sz w:val="19"/>
          <w:szCs w:val="19"/>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w:t>
      </w:r>
    </w:p>
    <w:p>
      <w:pPr>
        <w:spacing w:after="0" w:line="148" w:lineRule="exact"/>
        <w:rPr>
          <w:rFonts w:ascii="Arial" w:cs="Arial" w:eastAsia="Arial" w:hAnsi="Arial"/>
          <w:sz w:val="19"/>
          <w:szCs w:val="19"/>
          <w:color w:val="auto"/>
        </w:rPr>
      </w:pPr>
    </w:p>
    <w:p>
      <w:pPr>
        <w:jc w:val="both"/>
        <w:ind w:firstLine="644"/>
        <w:spacing w:after="0" w:line="223" w:lineRule="auto"/>
        <w:tabs>
          <w:tab w:leader="none" w:pos="1602" w:val="left"/>
        </w:tabs>
        <w:numPr>
          <w:ilvl w:val="0"/>
          <w:numId w:val="360"/>
        </w:numPr>
        <w:rPr>
          <w:rFonts w:ascii="Arial" w:cs="Arial" w:eastAsia="Arial" w:hAnsi="Arial"/>
          <w:sz w:val="22"/>
          <w:szCs w:val="22"/>
          <w:color w:val="auto"/>
        </w:rPr>
      </w:pPr>
      <w:r>
        <w:rPr>
          <w:rFonts w:ascii="Arial" w:cs="Arial" w:eastAsia="Arial" w:hAnsi="Arial"/>
          <w:sz w:val="22"/>
          <w:szCs w:val="22"/>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158" w:lineRule="exact"/>
        <w:rPr>
          <w:rFonts w:ascii="Arial" w:cs="Arial" w:eastAsia="Arial" w:hAnsi="Arial"/>
          <w:sz w:val="22"/>
          <w:szCs w:val="22"/>
          <w:color w:val="auto"/>
        </w:rPr>
      </w:pPr>
    </w:p>
    <w:p>
      <w:pPr>
        <w:jc w:val="both"/>
        <w:ind w:firstLine="644"/>
        <w:spacing w:after="0" w:line="223" w:lineRule="auto"/>
        <w:tabs>
          <w:tab w:leader="none" w:pos="1615" w:val="left"/>
        </w:tabs>
        <w:numPr>
          <w:ilvl w:val="0"/>
          <w:numId w:val="360"/>
        </w:numPr>
        <w:rPr>
          <w:rFonts w:ascii="Arial" w:cs="Arial" w:eastAsia="Arial" w:hAnsi="Arial"/>
          <w:sz w:val="22"/>
          <w:szCs w:val="22"/>
          <w:color w:val="auto"/>
        </w:rPr>
      </w:pPr>
      <w:r>
        <w:rPr>
          <w:rFonts w:ascii="Arial" w:cs="Arial" w:eastAsia="Arial" w:hAnsi="Arial"/>
          <w:sz w:val="22"/>
          <w:szCs w:val="22"/>
          <w:color w:val="auto"/>
        </w:rPr>
        <w:t>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w:t>
      </w:r>
    </w:p>
    <w:p>
      <w:pPr>
        <w:spacing w:after="0" w:line="158" w:lineRule="exact"/>
        <w:rPr>
          <w:rFonts w:ascii="Arial" w:cs="Arial" w:eastAsia="Arial" w:hAnsi="Arial"/>
          <w:sz w:val="22"/>
          <w:szCs w:val="22"/>
          <w:color w:val="auto"/>
        </w:rPr>
      </w:pPr>
    </w:p>
    <w:p>
      <w:pPr>
        <w:jc w:val="both"/>
        <w:ind w:firstLine="644"/>
        <w:spacing w:after="0" w:line="257" w:lineRule="auto"/>
        <w:tabs>
          <w:tab w:leader="none" w:pos="1602" w:val="left"/>
        </w:tabs>
        <w:numPr>
          <w:ilvl w:val="0"/>
          <w:numId w:val="360"/>
        </w:numPr>
        <w:rPr>
          <w:rFonts w:ascii="Arial" w:cs="Arial" w:eastAsia="Arial" w:hAnsi="Arial"/>
          <w:sz w:val="19"/>
          <w:szCs w:val="19"/>
          <w:color w:val="auto"/>
        </w:rPr>
      </w:pPr>
      <w:r>
        <w:rPr>
          <w:rFonts w:ascii="Arial" w:cs="Arial" w:eastAsia="Arial" w:hAnsi="Arial"/>
          <w:sz w:val="19"/>
          <w:szCs w:val="19"/>
          <w:color w:val="auto"/>
        </w:rPr>
        <w:t>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w:t>
      </w:r>
    </w:p>
    <w:p>
      <w:pPr>
        <w:spacing w:after="0" w:line="387"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295" w:name="page296"/>
    <w:bookmarkEnd w:id="295"/>
    <w:p>
      <w:pPr>
        <w:jc w:val="both"/>
        <w:spacing w:after="0" w:line="224" w:lineRule="exact"/>
        <w:rPr>
          <w:sz w:val="20"/>
          <w:szCs w:val="20"/>
          <w:color w:val="auto"/>
        </w:rPr>
      </w:pPr>
      <w:r>
        <w:rPr>
          <w:rFonts w:ascii="Arial" w:cs="Arial" w:eastAsia="Arial" w:hAnsi="Arial"/>
          <w:sz w:val="19"/>
          <w:szCs w:val="19"/>
          <w:color w:val="auto"/>
        </w:rPr>
        <w:t xml:space="preserve">agreement or similar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price paid for all such repurchased, redeemed, acquired or retired Equity Interests may not exceed $60,000,000 in any 12</w:t>
      </w:r>
      <w:r>
        <w:rPr>
          <w:rFonts w:ascii="MS PGothic" w:cs="MS PGothic" w:eastAsia="MS PGothic" w:hAnsi="MS PGothic"/>
          <w:sz w:val="19"/>
          <w:szCs w:val="19"/>
          <w:color w:val="auto"/>
        </w:rPr>
        <w:t>‑</w:t>
      </w:r>
      <w:r>
        <w:rPr>
          <w:rFonts w:ascii="Arial" w:cs="Arial" w:eastAsia="Arial" w:hAnsi="Arial"/>
          <w:sz w:val="19"/>
          <w:szCs w:val="19"/>
          <w:color w:val="auto"/>
        </w:rPr>
        <w:t xml:space="preserve">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Parent or any of its Restricted Subsidiaries may carry over and make in subsequent 12</w:t>
      </w:r>
      <w:r>
        <w:rPr>
          <w:rFonts w:ascii="MS PGothic" w:cs="MS PGothic" w:eastAsia="MS PGothic" w:hAnsi="MS PGothic"/>
          <w:sz w:val="19"/>
          <w:szCs w:val="19"/>
          <w:color w:val="auto"/>
        </w:rPr>
        <w:t>‑</w:t>
      </w:r>
      <w:r>
        <w:rPr>
          <w:rFonts w:ascii="Arial" w:cs="Arial" w:eastAsia="Arial" w:hAnsi="Arial"/>
          <w:sz w:val="19"/>
          <w:szCs w:val="19"/>
          <w:color w:val="auto"/>
        </w:rPr>
        <w:t>month periods, in addition to the amounts permitted for such 12</w:t>
      </w:r>
      <w:r>
        <w:rPr>
          <w:rFonts w:ascii="MS PGothic" w:cs="MS PGothic" w:eastAsia="MS PGothic" w:hAnsi="MS PGothic"/>
          <w:sz w:val="19"/>
          <w:szCs w:val="19"/>
          <w:color w:val="auto"/>
        </w:rPr>
        <w:t>‑</w:t>
      </w:r>
      <w:r>
        <w:rPr>
          <w:rFonts w:ascii="Arial" w:cs="Arial" w:eastAsia="Arial" w:hAnsi="Arial"/>
          <w:sz w:val="19"/>
          <w:szCs w:val="19"/>
          <w:color w:val="auto"/>
        </w:rPr>
        <w:t>month period, up to $30,000,000 of unutilized capacity under this clause (5) attributable to the immediately preceding 12</w:t>
      </w:r>
      <w:r>
        <w:rPr>
          <w:rFonts w:ascii="MS PGothic" w:cs="MS PGothic" w:eastAsia="MS PGothic" w:hAnsi="MS PGothic"/>
          <w:sz w:val="19"/>
          <w:szCs w:val="19"/>
          <w:color w:val="auto"/>
        </w:rPr>
        <w:t>‑</w:t>
      </w:r>
      <w:r>
        <w:rPr>
          <w:rFonts w:ascii="Arial" w:cs="Arial" w:eastAsia="Arial" w:hAnsi="Arial"/>
          <w:sz w:val="19"/>
          <w:szCs w:val="19"/>
          <w:color w:val="auto"/>
        </w:rPr>
        <w:t>month period;</w:t>
      </w:r>
    </w:p>
    <w:p>
      <w:pPr>
        <w:spacing w:after="0" w:line="160" w:lineRule="exact"/>
        <w:rPr>
          <w:sz w:val="20"/>
          <w:szCs w:val="20"/>
          <w:color w:val="auto"/>
        </w:rPr>
      </w:pPr>
    </w:p>
    <w:p>
      <w:pPr>
        <w:jc w:val="both"/>
        <w:ind w:firstLine="644"/>
        <w:spacing w:after="0" w:line="249" w:lineRule="auto"/>
        <w:tabs>
          <w:tab w:leader="none" w:pos="1615" w:val="left"/>
        </w:tabs>
        <w:numPr>
          <w:ilvl w:val="0"/>
          <w:numId w:val="361"/>
        </w:numPr>
        <w:rPr>
          <w:rFonts w:ascii="Arial" w:cs="Arial" w:eastAsia="Arial" w:hAnsi="Arial"/>
          <w:sz w:val="19"/>
          <w:szCs w:val="19"/>
          <w:color w:val="auto"/>
        </w:rPr>
      </w:pPr>
      <w:r>
        <w:rPr>
          <w:rFonts w:ascii="Arial" w:cs="Arial" w:eastAsia="Arial" w:hAnsi="Arial"/>
          <w:sz w:val="19"/>
          <w:szCs w:val="19"/>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151" w:lineRule="exact"/>
        <w:rPr>
          <w:rFonts w:ascii="Arial" w:cs="Arial" w:eastAsia="Arial" w:hAnsi="Arial"/>
          <w:sz w:val="19"/>
          <w:szCs w:val="19"/>
          <w:color w:val="auto"/>
        </w:rPr>
      </w:pPr>
    </w:p>
    <w:p>
      <w:pPr>
        <w:jc w:val="both"/>
        <w:ind w:firstLine="644"/>
        <w:spacing w:after="0" w:line="234" w:lineRule="auto"/>
        <w:tabs>
          <w:tab w:leader="none" w:pos="1602" w:val="left"/>
        </w:tabs>
        <w:numPr>
          <w:ilvl w:val="0"/>
          <w:numId w:val="361"/>
        </w:numPr>
        <w:rPr>
          <w:rFonts w:ascii="Arial" w:cs="Arial" w:eastAsia="Arial" w:hAnsi="Arial"/>
          <w:sz w:val="21"/>
          <w:szCs w:val="21"/>
          <w:color w:val="auto"/>
        </w:rPr>
      </w:pPr>
      <w:r>
        <w:rPr>
          <w:rFonts w:ascii="Arial" w:cs="Arial" w:eastAsia="Arial" w:hAnsi="Arial"/>
          <w:sz w:val="21"/>
          <w:szCs w:val="21"/>
          <w:color w:val="auto"/>
        </w:rPr>
        <w:t>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57" w:lineRule="exact"/>
        <w:rPr>
          <w:rFonts w:ascii="Arial" w:cs="Arial" w:eastAsia="Arial" w:hAnsi="Arial"/>
          <w:sz w:val="21"/>
          <w:szCs w:val="21"/>
          <w:color w:val="auto"/>
        </w:rPr>
      </w:pPr>
    </w:p>
    <w:p>
      <w:pPr>
        <w:ind w:firstLine="644"/>
        <w:spacing w:after="0" w:line="298" w:lineRule="auto"/>
        <w:tabs>
          <w:tab w:leader="none" w:pos="1615" w:val="left"/>
        </w:tabs>
        <w:numPr>
          <w:ilvl w:val="0"/>
          <w:numId w:val="361"/>
        </w:numPr>
        <w:rPr>
          <w:rFonts w:ascii="Arial" w:cs="Arial" w:eastAsia="Arial" w:hAnsi="Arial"/>
          <w:sz w:val="19"/>
          <w:szCs w:val="19"/>
          <w:color w:val="auto"/>
        </w:rPr>
      </w:pPr>
      <w:r>
        <w:rPr>
          <w:rFonts w:ascii="Arial" w:cs="Arial" w:eastAsia="Arial" w:hAnsi="Arial"/>
          <w:sz w:val="19"/>
          <w:szCs w:val="19"/>
          <w:color w:val="auto"/>
        </w:rPr>
        <w:t>payments of cash, dividends, distributions, advances, common stock or other Restricted Payments by Parent or any of its Restricted Subsidiaries to allow the payment of cash in lieu of the issuance of fractional shares;</w:t>
      </w:r>
    </w:p>
    <w:p>
      <w:pPr>
        <w:spacing w:after="0" w:line="105" w:lineRule="exact"/>
        <w:rPr>
          <w:rFonts w:ascii="Arial" w:cs="Arial" w:eastAsia="Arial" w:hAnsi="Arial"/>
          <w:sz w:val="19"/>
          <w:szCs w:val="19"/>
          <w:color w:val="auto"/>
        </w:rPr>
      </w:pPr>
    </w:p>
    <w:p>
      <w:pPr>
        <w:jc w:val="both"/>
        <w:ind w:firstLine="644"/>
        <w:spacing w:after="0" w:line="223" w:lineRule="auto"/>
        <w:tabs>
          <w:tab w:leader="none" w:pos="1629" w:val="left"/>
        </w:tabs>
        <w:numPr>
          <w:ilvl w:val="0"/>
          <w:numId w:val="361"/>
        </w:numPr>
        <w:rPr>
          <w:rFonts w:ascii="Arial" w:cs="Arial" w:eastAsia="Arial" w:hAnsi="Arial"/>
          <w:sz w:val="22"/>
          <w:szCs w:val="22"/>
          <w:color w:val="auto"/>
        </w:rPr>
      </w:pPr>
      <w:r>
        <w:rPr>
          <w:rFonts w:ascii="Arial" w:cs="Arial" w:eastAsia="Arial" w:hAnsi="Arial"/>
          <w:sz w:val="22"/>
          <w:szCs w:val="22"/>
          <w:color w:val="auto"/>
        </w:rPr>
        <w:t>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w:t>
      </w:r>
    </w:p>
    <w:p>
      <w:pPr>
        <w:spacing w:after="0" w:line="158" w:lineRule="exact"/>
        <w:rPr>
          <w:rFonts w:ascii="Arial" w:cs="Arial" w:eastAsia="Arial" w:hAnsi="Arial"/>
          <w:sz w:val="22"/>
          <w:szCs w:val="22"/>
          <w:color w:val="auto"/>
        </w:rPr>
      </w:pPr>
    </w:p>
    <w:p>
      <w:pPr>
        <w:ind w:left="1700" w:hanging="1056"/>
        <w:spacing w:after="0"/>
        <w:tabs>
          <w:tab w:leader="none" w:pos="1700" w:val="left"/>
        </w:tabs>
        <w:numPr>
          <w:ilvl w:val="0"/>
          <w:numId w:val="361"/>
        </w:numPr>
        <w:rPr>
          <w:rFonts w:ascii="Arial" w:cs="Arial" w:eastAsia="Arial" w:hAnsi="Arial"/>
          <w:sz w:val="22"/>
          <w:szCs w:val="22"/>
          <w:color w:val="auto"/>
        </w:rPr>
      </w:pPr>
      <w:r>
        <w:rPr>
          <w:rFonts w:ascii="Arial" w:cs="Arial" w:eastAsia="Arial" w:hAnsi="Arial"/>
          <w:sz w:val="22"/>
          <w:szCs w:val="22"/>
          <w:color w:val="auto"/>
        </w:rPr>
        <w:t>Restricted Payments made with Excluded Contributions;</w:t>
      </w:r>
    </w:p>
    <w:p>
      <w:pPr>
        <w:spacing w:after="0" w:line="179" w:lineRule="exact"/>
        <w:rPr>
          <w:rFonts w:ascii="Arial" w:cs="Arial" w:eastAsia="Arial" w:hAnsi="Arial"/>
          <w:sz w:val="22"/>
          <w:szCs w:val="22"/>
          <w:color w:val="auto"/>
        </w:rPr>
      </w:pPr>
    </w:p>
    <w:p>
      <w:pPr>
        <w:ind w:firstLine="644"/>
        <w:spacing w:after="0" w:line="232" w:lineRule="auto"/>
        <w:tabs>
          <w:tab w:leader="none" w:pos="1715" w:val="left"/>
        </w:tabs>
        <w:numPr>
          <w:ilvl w:val="0"/>
          <w:numId w:val="361"/>
        </w:numPr>
        <w:rPr>
          <w:rFonts w:ascii="Arial" w:cs="Arial" w:eastAsia="Arial" w:hAnsi="Arial"/>
          <w:sz w:val="22"/>
          <w:szCs w:val="22"/>
          <w:color w:val="auto"/>
        </w:rPr>
      </w:pPr>
      <w:r>
        <w:rPr>
          <w:rFonts w:ascii="Arial" w:cs="Arial" w:eastAsia="Arial" w:hAnsi="Arial"/>
          <w:sz w:val="22"/>
          <w:szCs w:val="22"/>
          <w:color w:val="auto"/>
        </w:rPr>
        <w:t>the distribution, as a dividend or otherwise, of shares of Capital Stock of, or Indebtedness owed to Parent or any of its Restricted Subsidiaries by, any Unrestricted Subsidiary;</w:t>
      </w:r>
    </w:p>
    <w:p>
      <w:pPr>
        <w:spacing w:after="0" w:line="158" w:lineRule="exact"/>
        <w:rPr>
          <w:rFonts w:ascii="Arial" w:cs="Arial" w:eastAsia="Arial" w:hAnsi="Arial"/>
          <w:sz w:val="22"/>
          <w:szCs w:val="22"/>
          <w:color w:val="auto"/>
        </w:rPr>
      </w:pPr>
    </w:p>
    <w:p>
      <w:pPr>
        <w:jc w:val="both"/>
        <w:ind w:firstLine="644"/>
        <w:spacing w:after="0" w:line="235" w:lineRule="exact"/>
        <w:tabs>
          <w:tab w:leader="none" w:pos="1723" w:val="left"/>
        </w:tabs>
        <w:numPr>
          <w:ilvl w:val="0"/>
          <w:numId w:val="361"/>
        </w:numPr>
        <w:rPr>
          <w:rFonts w:ascii="Arial" w:cs="Arial" w:eastAsia="Arial" w:hAnsi="Arial"/>
          <w:sz w:val="19"/>
          <w:szCs w:val="19"/>
          <w:color w:val="auto"/>
        </w:rPr>
      </w:pPr>
      <w:r>
        <w:rPr>
          <w:rFonts w:ascii="Arial" w:cs="Arial" w:eastAsia="Arial" w:hAnsi="Arial"/>
          <w:sz w:val="19"/>
          <w:szCs w:val="19"/>
          <w:color w:val="auto"/>
        </w:rPr>
        <w:t>any Restricted Payment in connection with any full or partial “spin</w:t>
      </w:r>
      <w:r>
        <w:rPr>
          <w:rFonts w:ascii="MS PGothic" w:cs="MS PGothic" w:eastAsia="MS PGothic" w:hAnsi="MS PGothic"/>
          <w:sz w:val="19"/>
          <w:szCs w:val="19"/>
          <w:color w:val="auto"/>
        </w:rPr>
        <w:t>‑</w:t>
      </w:r>
      <w:r>
        <w:rPr>
          <w:rFonts w:ascii="Arial" w:cs="Arial" w:eastAsia="Arial" w:hAnsi="Arial"/>
          <w:sz w:val="19"/>
          <w:szCs w:val="19"/>
          <w:color w:val="auto"/>
        </w:rPr>
        <w:t xml:space="preserve">off” of a Subsidiary or similar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has occurred and is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the assets distributed or dividended do not include, directly or indirectly, any property or asset that constitutes Collateral;</w:t>
      </w:r>
    </w:p>
    <w:p>
      <w:pPr>
        <w:spacing w:after="0" w:line="200" w:lineRule="exact"/>
        <w:rPr>
          <w:sz w:val="20"/>
          <w:szCs w:val="20"/>
          <w:color w:val="auto"/>
        </w:rPr>
      </w:pPr>
    </w:p>
    <w:p>
      <w:pPr>
        <w:spacing w:after="0" w:line="20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53" w:right="339" w:bottom="1440" w:gutter="0" w:footer="0" w:header="0"/>
        </w:sectPr>
      </w:pPr>
    </w:p>
    <w:bookmarkStart w:id="296" w:name="page297"/>
    <w:bookmarkEnd w:id="296"/>
    <w:p>
      <w:pPr>
        <w:jc w:val="both"/>
        <w:ind w:left="4" w:firstLine="644"/>
        <w:spacing w:after="0" w:line="230" w:lineRule="exact"/>
        <w:tabs>
          <w:tab w:leader="none" w:pos="1727" w:val="left"/>
        </w:tabs>
        <w:numPr>
          <w:ilvl w:val="1"/>
          <w:numId w:val="362"/>
        </w:numPr>
        <w:rPr>
          <w:rFonts w:ascii="Arial" w:cs="Arial" w:eastAsia="Arial" w:hAnsi="Arial"/>
          <w:sz w:val="22"/>
          <w:szCs w:val="22"/>
          <w:color w:val="auto"/>
        </w:rPr>
      </w:pPr>
      <w:r>
        <w:rPr>
          <w:rFonts w:ascii="Arial" w:cs="Arial" w:eastAsia="Arial" w:hAnsi="Arial"/>
          <w:sz w:val="22"/>
          <w:szCs w:val="22"/>
          <w:color w:val="auto"/>
        </w:rPr>
        <w:t>the distribution or dividend of assets or Capital Stock of any Person in connection with any full or partial “spin</w:t>
      </w:r>
      <w:r>
        <w:rPr>
          <w:rFonts w:ascii="MS PGothic" w:cs="MS PGothic" w:eastAsia="MS PGothic" w:hAnsi="MS PGothic"/>
          <w:sz w:val="22"/>
          <w:szCs w:val="22"/>
          <w:color w:val="auto"/>
        </w:rPr>
        <w:t>‑</w:t>
      </w:r>
      <w:r>
        <w:rPr>
          <w:rFonts w:ascii="Arial" w:cs="Arial" w:eastAsia="Arial" w:hAnsi="Arial"/>
          <w:sz w:val="22"/>
          <w:szCs w:val="22"/>
          <w:color w:val="auto"/>
        </w:rPr>
        <w:t xml:space="preserve">off” of a Subsidiary or similar transactions having an aggregate Fair Market Value not to exceed $600,000,000 since the Closing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assets distributed or dividended do not include, directly or indirectly, any property or asset that constitutes Collateral;</w:t>
      </w:r>
    </w:p>
    <w:p>
      <w:pPr>
        <w:spacing w:after="0" w:line="160" w:lineRule="exact"/>
        <w:rPr>
          <w:rFonts w:ascii="Arial" w:cs="Arial" w:eastAsia="Arial" w:hAnsi="Arial"/>
          <w:sz w:val="22"/>
          <w:szCs w:val="22"/>
          <w:color w:val="auto"/>
        </w:rPr>
      </w:pPr>
    </w:p>
    <w:p>
      <w:pPr>
        <w:jc w:val="both"/>
        <w:ind w:left="4" w:firstLine="644"/>
        <w:spacing w:after="0" w:line="218" w:lineRule="auto"/>
        <w:tabs>
          <w:tab w:leader="none" w:pos="1714" w:val="left"/>
        </w:tabs>
        <w:numPr>
          <w:ilvl w:val="1"/>
          <w:numId w:val="362"/>
        </w:numPr>
        <w:rPr>
          <w:rFonts w:ascii="Arial" w:cs="Arial" w:eastAsia="Arial" w:hAnsi="Arial"/>
          <w:sz w:val="22"/>
          <w:szCs w:val="22"/>
          <w:color w:val="auto"/>
        </w:rPr>
      </w:pPr>
      <w:r>
        <w:rPr>
          <w:rFonts w:ascii="Arial" w:cs="Arial" w:eastAsia="Arial" w:hAnsi="Arial"/>
          <w:sz w:val="22"/>
          <w:szCs w:val="22"/>
          <w:color w:val="auto"/>
        </w:rPr>
        <w:t>so long as no Default or Event of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w:t>
      </w:r>
    </w:p>
    <w:p>
      <w:pPr>
        <w:spacing w:after="0" w:line="160" w:lineRule="exact"/>
        <w:rPr>
          <w:rFonts w:ascii="Arial" w:cs="Arial" w:eastAsia="Arial" w:hAnsi="Arial"/>
          <w:sz w:val="22"/>
          <w:szCs w:val="22"/>
          <w:color w:val="auto"/>
        </w:rPr>
      </w:pPr>
    </w:p>
    <w:p>
      <w:pPr>
        <w:jc w:val="both"/>
        <w:ind w:left="4" w:right="20" w:firstLine="644"/>
        <w:spacing w:after="0" w:line="223" w:lineRule="auto"/>
        <w:tabs>
          <w:tab w:leader="none" w:pos="1741" w:val="left"/>
        </w:tabs>
        <w:numPr>
          <w:ilvl w:val="1"/>
          <w:numId w:val="362"/>
        </w:numPr>
        <w:rPr>
          <w:rFonts w:ascii="Arial" w:cs="Arial" w:eastAsia="Arial" w:hAnsi="Arial"/>
          <w:sz w:val="22"/>
          <w:szCs w:val="22"/>
          <w:color w:val="auto"/>
        </w:rPr>
      </w:pPr>
      <w:r>
        <w:rPr>
          <w:rFonts w:ascii="Arial" w:cs="Arial" w:eastAsia="Arial" w:hAnsi="Arial"/>
          <w:sz w:val="22"/>
          <w:szCs w:val="22"/>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158" w:lineRule="exact"/>
        <w:rPr>
          <w:rFonts w:ascii="Arial" w:cs="Arial" w:eastAsia="Arial" w:hAnsi="Arial"/>
          <w:sz w:val="22"/>
          <w:szCs w:val="22"/>
          <w:color w:val="auto"/>
        </w:rPr>
      </w:pPr>
    </w:p>
    <w:p>
      <w:pPr>
        <w:jc w:val="both"/>
        <w:ind w:left="4" w:firstLine="644"/>
        <w:spacing w:after="0" w:line="229" w:lineRule="auto"/>
        <w:tabs>
          <w:tab w:leader="none" w:pos="1727" w:val="left"/>
        </w:tabs>
        <w:numPr>
          <w:ilvl w:val="1"/>
          <w:numId w:val="362"/>
        </w:numPr>
        <w:rPr>
          <w:rFonts w:ascii="Arial" w:cs="Arial" w:eastAsia="Arial" w:hAnsi="Arial"/>
          <w:sz w:val="21"/>
          <w:szCs w:val="21"/>
          <w:color w:val="auto"/>
        </w:rPr>
      </w:pPr>
      <w:r>
        <w:rPr>
          <w:rFonts w:ascii="Arial" w:cs="Arial" w:eastAsia="Arial" w:hAnsi="Arial"/>
          <w:sz w:val="21"/>
          <w:szCs w:val="21"/>
          <w:color w:val="auto"/>
        </w:rPr>
        <w:t>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w:t>
      </w:r>
    </w:p>
    <w:p>
      <w:pPr>
        <w:spacing w:after="0" w:line="158" w:lineRule="exact"/>
        <w:rPr>
          <w:rFonts w:ascii="Arial" w:cs="Arial" w:eastAsia="Arial" w:hAnsi="Arial"/>
          <w:sz w:val="21"/>
          <w:szCs w:val="21"/>
          <w:color w:val="auto"/>
        </w:rPr>
      </w:pPr>
    </w:p>
    <w:p>
      <w:pPr>
        <w:jc w:val="both"/>
        <w:ind w:left="4" w:firstLine="644"/>
        <w:spacing w:after="0" w:line="247" w:lineRule="auto"/>
        <w:tabs>
          <w:tab w:leader="none" w:pos="1727" w:val="left"/>
        </w:tabs>
        <w:numPr>
          <w:ilvl w:val="1"/>
          <w:numId w:val="362"/>
        </w:numPr>
        <w:rPr>
          <w:rFonts w:ascii="Arial" w:cs="Arial" w:eastAsia="Arial" w:hAnsi="Arial"/>
          <w:sz w:val="19"/>
          <w:szCs w:val="19"/>
          <w:color w:val="auto"/>
        </w:rPr>
      </w:pPr>
      <w:r>
        <w:rPr>
          <w:rFonts w:ascii="Arial" w:cs="Arial" w:eastAsia="Arial" w:hAnsi="Arial"/>
          <w:sz w:val="19"/>
          <w:szCs w:val="19"/>
          <w:color w:val="auto"/>
        </w:rPr>
        <w:t>(a) any payments in connection with a Permitted Bond Hedge Transaction and (b) the settlement of any related Permitted Warrant Transaction (i) by delivery of shares of Parent’s common stock upon settlement thereof or</w:t>
      </w:r>
    </w:p>
    <w:p>
      <w:pPr>
        <w:jc w:val="both"/>
        <w:ind w:left="4" w:hanging="4"/>
        <w:spacing w:after="0" w:line="226" w:lineRule="exact"/>
        <w:tabs>
          <w:tab w:leader="none" w:pos="335" w:val="left"/>
        </w:tabs>
        <w:numPr>
          <w:ilvl w:val="0"/>
          <w:numId w:val="363"/>
        </w:numPr>
        <w:rPr>
          <w:rFonts w:ascii="Arial" w:cs="Arial" w:eastAsia="Arial" w:hAnsi="Arial"/>
          <w:sz w:val="19"/>
          <w:szCs w:val="19"/>
          <w:color w:val="auto"/>
        </w:rPr>
      </w:pPr>
      <w:r>
        <w:rPr>
          <w:rFonts w:ascii="Arial" w:cs="Arial" w:eastAsia="Arial" w:hAnsi="Arial"/>
          <w:sz w:val="19"/>
          <w:szCs w:val="19"/>
          <w:color w:val="auto"/>
        </w:rPr>
        <w:t>by (A) set</w:t>
      </w:r>
      <w:r>
        <w:rPr>
          <w:rFonts w:ascii="MS PGothic" w:cs="MS PGothic" w:eastAsia="MS PGothic" w:hAnsi="MS PGothic"/>
          <w:sz w:val="19"/>
          <w:szCs w:val="19"/>
          <w:color w:val="auto"/>
        </w:rPr>
        <w:t>‑</w:t>
      </w:r>
      <w:r>
        <w:rPr>
          <w:rFonts w:ascii="Arial" w:cs="Arial" w:eastAsia="Arial" w:hAnsi="Arial"/>
          <w:sz w:val="19"/>
          <w:szCs w:val="19"/>
          <w:color w:val="auto"/>
        </w:rPr>
        <w: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 or such common stock, cash and/or other property;</w:t>
      </w:r>
    </w:p>
    <w:p>
      <w:pPr>
        <w:spacing w:after="0" w:line="158" w:lineRule="exact"/>
        <w:rPr>
          <w:rFonts w:ascii="Arial" w:cs="Arial" w:eastAsia="Arial" w:hAnsi="Arial"/>
          <w:sz w:val="19"/>
          <w:szCs w:val="19"/>
          <w:color w:val="auto"/>
        </w:rPr>
      </w:pPr>
    </w:p>
    <w:p>
      <w:pPr>
        <w:ind w:left="1704" w:hanging="1056"/>
        <w:spacing w:after="0"/>
        <w:tabs>
          <w:tab w:leader="none" w:pos="1704" w:val="left"/>
        </w:tabs>
        <w:numPr>
          <w:ilvl w:val="1"/>
          <w:numId w:val="363"/>
        </w:numPr>
        <w:rPr>
          <w:rFonts w:ascii="Arial" w:cs="Arial" w:eastAsia="Arial" w:hAnsi="Arial"/>
          <w:sz w:val="22"/>
          <w:szCs w:val="22"/>
          <w:color w:val="auto"/>
        </w:rPr>
      </w:pPr>
      <w:r>
        <w:rPr>
          <w:rFonts w:ascii="Arial" w:cs="Arial" w:eastAsia="Arial" w:hAnsi="Arial"/>
          <w:sz w:val="22"/>
          <w:szCs w:val="22"/>
          <w:color w:val="auto"/>
        </w:rPr>
        <w:t>[Reserved];</w:t>
      </w:r>
    </w:p>
    <w:p>
      <w:pPr>
        <w:spacing w:after="0" w:line="171" w:lineRule="exact"/>
        <w:rPr>
          <w:rFonts w:ascii="Arial" w:cs="Arial" w:eastAsia="Arial" w:hAnsi="Arial"/>
          <w:sz w:val="22"/>
          <w:szCs w:val="22"/>
          <w:color w:val="auto"/>
        </w:rPr>
      </w:pPr>
    </w:p>
    <w:p>
      <w:pPr>
        <w:ind w:left="1744" w:hanging="1096"/>
        <w:spacing w:after="0"/>
        <w:tabs>
          <w:tab w:leader="none" w:pos="1744" w:val="left"/>
        </w:tabs>
        <w:numPr>
          <w:ilvl w:val="1"/>
          <w:numId w:val="363"/>
        </w:numPr>
        <w:rPr>
          <w:rFonts w:ascii="Arial" w:cs="Arial" w:eastAsia="Arial" w:hAnsi="Arial"/>
          <w:sz w:val="21"/>
          <w:szCs w:val="21"/>
          <w:color w:val="auto"/>
        </w:rPr>
      </w:pPr>
      <w:r>
        <w:rPr>
          <w:rFonts w:ascii="Arial" w:cs="Arial" w:eastAsia="Arial" w:hAnsi="Arial"/>
          <w:sz w:val="21"/>
          <w:szCs w:val="21"/>
          <w:color w:val="auto"/>
        </w:rPr>
        <w:t>so long as no Default or Event of Default has occurred and is continuing, Restricted Payments</w:t>
      </w:r>
    </w:p>
    <w:p>
      <w:pPr>
        <w:ind w:left="4" w:hanging="4"/>
        <w:spacing w:after="0" w:line="224" w:lineRule="auto"/>
        <w:tabs>
          <w:tab w:leader="none" w:pos="281" w:val="left"/>
        </w:tabs>
        <w:numPr>
          <w:ilvl w:val="0"/>
          <w:numId w:val="364"/>
        </w:numPr>
        <w:rPr>
          <w:rFonts w:ascii="Arial" w:cs="Arial" w:eastAsia="Arial" w:hAnsi="Arial"/>
          <w:sz w:val="22"/>
          <w:szCs w:val="22"/>
          <w:color w:val="auto"/>
        </w:rPr>
      </w:pPr>
      <w:r>
        <w:rPr>
          <w:rFonts w:ascii="Arial" w:cs="Arial" w:eastAsia="Arial" w:hAnsi="Arial"/>
          <w:sz w:val="22"/>
          <w:szCs w:val="22"/>
          <w:color w:val="auto"/>
        </w:rPr>
        <w:t>made to purchase or redeem Equity Interests of Parent or (ii) consisting of payments in respect of any Indebtedness (whether for purchase or prepayment thereof or otherwise);</w:t>
      </w:r>
    </w:p>
    <w:p>
      <w:pPr>
        <w:spacing w:after="0" w:line="157" w:lineRule="exact"/>
        <w:rPr>
          <w:rFonts w:ascii="Arial" w:cs="Arial" w:eastAsia="Arial" w:hAnsi="Arial"/>
          <w:sz w:val="22"/>
          <w:szCs w:val="22"/>
          <w:color w:val="auto"/>
        </w:rPr>
      </w:pPr>
    </w:p>
    <w:p>
      <w:pPr>
        <w:jc w:val="both"/>
        <w:ind w:left="4" w:firstLine="644"/>
        <w:spacing w:after="0" w:line="216" w:lineRule="auto"/>
        <w:tabs>
          <w:tab w:leader="none" w:pos="1714" w:val="left"/>
        </w:tabs>
        <w:numPr>
          <w:ilvl w:val="1"/>
          <w:numId w:val="364"/>
        </w:numPr>
        <w:rPr>
          <w:rFonts w:ascii="Arial" w:cs="Arial" w:eastAsia="Arial" w:hAnsi="Arial"/>
          <w:sz w:val="22"/>
          <w:szCs w:val="22"/>
          <w:color w:val="auto"/>
        </w:rPr>
      </w:pPr>
      <w:r>
        <w:rPr>
          <w:rFonts w:ascii="Arial" w:cs="Arial" w:eastAsia="Arial" w:hAnsi="Arial"/>
          <w:sz w:val="22"/>
          <w:szCs w:val="22"/>
          <w:color w:val="auto"/>
        </w:rPr>
        <w:t>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w:t>
      </w:r>
    </w:p>
    <w:p>
      <w:pPr>
        <w:spacing w:after="0" w:line="157" w:lineRule="exact"/>
        <w:rPr>
          <w:rFonts w:ascii="Arial" w:cs="Arial" w:eastAsia="Arial" w:hAnsi="Arial"/>
          <w:sz w:val="22"/>
          <w:szCs w:val="22"/>
          <w:color w:val="auto"/>
        </w:rPr>
      </w:pPr>
    </w:p>
    <w:p>
      <w:pPr>
        <w:ind w:left="4" w:firstLine="644"/>
        <w:spacing w:after="0" w:line="232" w:lineRule="auto"/>
        <w:tabs>
          <w:tab w:leader="none" w:pos="1727" w:val="left"/>
        </w:tabs>
        <w:numPr>
          <w:ilvl w:val="1"/>
          <w:numId w:val="364"/>
        </w:numPr>
        <w:rPr>
          <w:rFonts w:ascii="Arial" w:cs="Arial" w:eastAsia="Arial" w:hAnsi="Arial"/>
          <w:sz w:val="22"/>
          <w:szCs w:val="22"/>
          <w:color w:val="auto"/>
        </w:rPr>
      </w:pPr>
      <w:r>
        <w:rPr>
          <w:rFonts w:ascii="Arial" w:cs="Arial" w:eastAsia="Arial" w:hAnsi="Arial"/>
          <w:sz w:val="22"/>
          <w:szCs w:val="22"/>
          <w:color w:val="auto"/>
        </w:rPr>
        <w:t>Restricted Payments with assets or properties that (i) do not consist of Collateral or Capital Stock of Parent or any of its Restricted Subsidiaries and (ii) have an</w:t>
      </w:r>
    </w:p>
    <w:p>
      <w:pPr>
        <w:spacing w:after="0" w:line="200" w:lineRule="exact"/>
        <w:rPr>
          <w:sz w:val="20"/>
          <w:szCs w:val="20"/>
          <w:color w:val="auto"/>
        </w:rPr>
      </w:pPr>
    </w:p>
    <w:p>
      <w:pPr>
        <w:spacing w:after="0" w:line="202"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53" w:right="339" w:bottom="1440" w:gutter="0" w:footer="0" w:header="0"/>
        </w:sectPr>
      </w:pPr>
    </w:p>
    <w:bookmarkStart w:id="297" w:name="page298"/>
    <w:bookmarkEnd w:id="297"/>
    <w:p>
      <w:pPr>
        <w:jc w:val="both"/>
        <w:ind w:left="660"/>
        <w:spacing w:after="0" w:line="229" w:lineRule="auto"/>
        <w:rPr>
          <w:sz w:val="20"/>
          <w:szCs w:val="20"/>
          <w:color w:val="auto"/>
        </w:rPr>
      </w:pPr>
      <w:r>
        <w:rPr>
          <w:rFonts w:ascii="Arial" w:cs="Arial" w:eastAsia="Arial" w:hAnsi="Arial"/>
          <w:sz w:val="21"/>
          <w:szCs w:val="21"/>
          <w:color w:val="auto"/>
        </w:rPr>
        <w:t>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w:t>
      </w:r>
    </w:p>
    <w:p>
      <w:pPr>
        <w:spacing w:after="0" w:line="158" w:lineRule="exact"/>
        <w:rPr>
          <w:sz w:val="20"/>
          <w:szCs w:val="20"/>
          <w:color w:val="auto"/>
        </w:rPr>
      </w:pPr>
    </w:p>
    <w:p>
      <w:pPr>
        <w:ind w:left="2360" w:hanging="1056"/>
        <w:spacing w:after="0"/>
        <w:tabs>
          <w:tab w:leader="none" w:pos="236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any repurchase of Receivables and/or related assets pursuant to a Receivables Repurchase Obligation.</w:t>
      </w:r>
    </w:p>
    <w:p>
      <w:pPr>
        <w:spacing w:after="0" w:line="241" w:lineRule="exact"/>
        <w:rPr>
          <w:sz w:val="20"/>
          <w:szCs w:val="20"/>
          <w:color w:val="auto"/>
        </w:rPr>
      </w:pPr>
    </w:p>
    <w:p>
      <w:pPr>
        <w:jc w:val="both"/>
        <w:ind w:firstLine="1296"/>
        <w:spacing w:after="0" w:line="260" w:lineRule="exact"/>
        <w:rPr>
          <w:sz w:val="20"/>
          <w:szCs w:val="20"/>
          <w:color w:val="auto"/>
        </w:rPr>
      </w:pPr>
      <w:r>
        <w:rPr>
          <w:rFonts w:ascii="Arial" w:cs="Arial" w:eastAsia="Arial" w:hAnsi="Arial"/>
          <w:sz w:val="19"/>
          <w:szCs w:val="19"/>
          <w:color w:val="auto"/>
        </w:rPr>
        <w:t>In the case of any Restricted Payment that is not cash, the amount of such non</w:t>
      </w:r>
      <w:r>
        <w:rPr>
          <w:rFonts w:ascii="MS PGothic" w:cs="MS PGothic" w:eastAsia="MS PGothic" w:hAnsi="MS PGothic"/>
          <w:sz w:val="19"/>
          <w:szCs w:val="19"/>
          <w:color w:val="auto"/>
        </w:rPr>
        <w:t>‑</w:t>
      </w:r>
      <w:r>
        <w:rPr>
          <w:rFonts w:ascii="Arial" w:cs="Arial" w:eastAsia="Arial" w:hAnsi="Arial"/>
          <w:sz w:val="19"/>
          <w:szCs w:val="19"/>
          <w:color w:val="auto"/>
        </w:rPr>
        <w:t>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w:t>
      </w:r>
    </w:p>
    <w:p>
      <w:pPr>
        <w:spacing w:after="0" w:line="200" w:lineRule="exact"/>
        <w:rPr>
          <w:sz w:val="20"/>
          <w:szCs w:val="20"/>
          <w:color w:val="auto"/>
        </w:rPr>
      </w:pPr>
    </w:p>
    <w:p>
      <w:pPr>
        <w:spacing w:after="0" w:line="21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w:t>
      </w:r>
    </w:p>
    <w:p>
      <w:pPr>
        <w:spacing w:after="0" w:line="200" w:lineRule="exact"/>
        <w:rPr>
          <w:sz w:val="20"/>
          <w:szCs w:val="20"/>
          <w:color w:val="auto"/>
        </w:rPr>
      </w:pPr>
    </w:p>
    <w:p>
      <w:pPr>
        <w:spacing w:after="0" w:line="208" w:lineRule="exact"/>
        <w:rPr>
          <w:sz w:val="20"/>
          <w:szCs w:val="20"/>
          <w:color w:val="auto"/>
        </w:rPr>
      </w:pPr>
    </w:p>
    <w:p>
      <w:pPr>
        <w:jc w:val="both"/>
        <w:ind w:firstLine="1296"/>
        <w:spacing w:after="0" w:line="265" w:lineRule="auto"/>
        <w:rPr>
          <w:sz w:val="20"/>
          <w:szCs w:val="20"/>
          <w:color w:val="auto"/>
        </w:rPr>
      </w:pPr>
      <w:r>
        <w:rPr>
          <w:rFonts w:ascii="Arial" w:cs="Arial" w:eastAsia="Arial" w:hAnsi="Arial"/>
          <w:sz w:val="21"/>
          <w:szCs w:val="21"/>
          <w:color w:val="auto"/>
        </w:rPr>
        <w:t>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w:t>
      </w:r>
    </w:p>
    <w:p>
      <w:pPr>
        <w:spacing w:after="0" w:line="39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Restrictions on Ability of Restricted Subsidiaries to Pay Dividends and Make Certain Other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w:t>
      </w:r>
    </w:p>
    <w:p>
      <w:pPr>
        <w:spacing w:after="0" w:line="175" w:lineRule="exact"/>
        <w:rPr>
          <w:sz w:val="20"/>
          <w:szCs w:val="20"/>
          <w:color w:val="auto"/>
        </w:rPr>
      </w:pPr>
    </w:p>
    <w:p>
      <w:pPr>
        <w:jc w:val="both"/>
        <w:ind w:firstLine="1304"/>
        <w:spacing w:after="0" w:line="223" w:lineRule="auto"/>
        <w:tabs>
          <w:tab w:leader="none" w:pos="2265" w:val="left"/>
        </w:tabs>
        <w:numPr>
          <w:ilvl w:val="0"/>
          <w:numId w:val="366"/>
        </w:numPr>
        <w:rPr>
          <w:rFonts w:ascii="Arial" w:cs="Arial" w:eastAsia="Arial" w:hAnsi="Arial"/>
          <w:sz w:val="22"/>
          <w:szCs w:val="22"/>
          <w:color w:val="auto"/>
        </w:rPr>
      </w:pPr>
      <w:r>
        <w:rPr>
          <w:rFonts w:ascii="Arial" w:cs="Arial" w:eastAsia="Arial" w:hAnsi="Arial"/>
          <w:sz w:val="22"/>
          <w:szCs w:val="22"/>
          <w:color w:val="auto"/>
        </w:rPr>
        <w:t>Parent will not, and will not permit any of its Restricted Subsidiaries other than the Borrower to, directly or indirectly, create or permit to exist or become effective any consensual encumbrance or restriction on the ability of any such Restricted Subsidiary to:</w:t>
      </w:r>
    </w:p>
    <w:p>
      <w:pPr>
        <w:spacing w:after="0" w:line="159" w:lineRule="exact"/>
        <w:rPr>
          <w:sz w:val="20"/>
          <w:szCs w:val="20"/>
          <w:color w:val="auto"/>
        </w:rPr>
      </w:pPr>
    </w:p>
    <w:p>
      <w:pPr>
        <w:ind w:left="660" w:firstLine="644"/>
        <w:spacing w:after="0" w:line="232" w:lineRule="auto"/>
        <w:tabs>
          <w:tab w:leader="none" w:pos="2275" w:val="left"/>
        </w:tabs>
        <w:numPr>
          <w:ilvl w:val="0"/>
          <w:numId w:val="367"/>
        </w:numPr>
        <w:rPr>
          <w:rFonts w:ascii="Arial" w:cs="Arial" w:eastAsia="Arial" w:hAnsi="Arial"/>
          <w:sz w:val="22"/>
          <w:szCs w:val="22"/>
          <w:color w:val="auto"/>
        </w:rPr>
      </w:pPr>
      <w:r>
        <w:rPr>
          <w:rFonts w:ascii="Arial" w:cs="Arial" w:eastAsia="Arial" w:hAnsi="Arial"/>
          <w:sz w:val="22"/>
          <w:szCs w:val="22"/>
          <w:color w:val="auto"/>
        </w:rPr>
        <w:t>pay dividends or make any other distributions on its Capital Stock to Parent or any of its Restricted Subsidiaries or with respect to any other interest or participation in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8" w:name="page299"/>
    <w:bookmarkEnd w:id="298"/>
    <w:p>
      <w:pPr>
        <w:ind w:left="660"/>
        <w:spacing w:after="0"/>
        <w:rPr>
          <w:sz w:val="20"/>
          <w:szCs w:val="20"/>
          <w:color w:val="auto"/>
        </w:rPr>
      </w:pPr>
      <w:r>
        <w:rPr>
          <w:rFonts w:ascii="Arial" w:cs="Arial" w:eastAsia="Arial" w:hAnsi="Arial"/>
          <w:sz w:val="22"/>
          <w:szCs w:val="22"/>
          <w:color w:val="auto"/>
        </w:rPr>
        <w:t>the profits of such Restricted Subsidiary, or measured by the profits of such Restricted Subsidiary;</w:t>
      </w:r>
    </w:p>
    <w:p>
      <w:pPr>
        <w:spacing w:after="0" w:line="179" w:lineRule="exact"/>
        <w:rPr>
          <w:sz w:val="20"/>
          <w:szCs w:val="20"/>
          <w:color w:val="auto"/>
        </w:rPr>
      </w:pPr>
    </w:p>
    <w:p>
      <w:pPr>
        <w:ind w:left="2260" w:hanging="956"/>
        <w:spacing w:after="0"/>
        <w:tabs>
          <w:tab w:leader="none" w:pos="226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pay any Indebtedness owed to Parent or any of its Restricted Subsidiaries;</w:t>
      </w:r>
    </w:p>
    <w:p>
      <w:pPr>
        <w:spacing w:after="0" w:line="179" w:lineRule="exact"/>
        <w:rPr>
          <w:rFonts w:ascii="Arial" w:cs="Arial" w:eastAsia="Arial" w:hAnsi="Arial"/>
          <w:sz w:val="22"/>
          <w:szCs w:val="22"/>
          <w:color w:val="auto"/>
        </w:rPr>
      </w:pPr>
    </w:p>
    <w:p>
      <w:pPr>
        <w:ind w:left="2260" w:hanging="956"/>
        <w:spacing w:after="0"/>
        <w:tabs>
          <w:tab w:leader="none" w:pos="226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make loans or advances to Parent or any of its Restricted Subsidiaries; or</w:t>
      </w:r>
    </w:p>
    <w:p>
      <w:pPr>
        <w:spacing w:after="0" w:line="179" w:lineRule="exact"/>
        <w:rPr>
          <w:rFonts w:ascii="Arial" w:cs="Arial" w:eastAsia="Arial" w:hAnsi="Arial"/>
          <w:sz w:val="22"/>
          <w:szCs w:val="22"/>
          <w:color w:val="auto"/>
        </w:rPr>
      </w:pPr>
    </w:p>
    <w:p>
      <w:pPr>
        <w:ind w:left="2260" w:hanging="956"/>
        <w:spacing w:after="0"/>
        <w:tabs>
          <w:tab w:leader="none" w:pos="2260" w:val="left"/>
        </w:tabs>
        <w:numPr>
          <w:ilvl w:val="0"/>
          <w:numId w:val="368"/>
        </w:numPr>
        <w:rPr>
          <w:rFonts w:ascii="Arial" w:cs="Arial" w:eastAsia="Arial" w:hAnsi="Arial"/>
          <w:sz w:val="19"/>
          <w:szCs w:val="19"/>
          <w:color w:val="auto"/>
        </w:rPr>
      </w:pPr>
      <w:r>
        <w:rPr>
          <w:rFonts w:ascii="Arial" w:cs="Arial" w:eastAsia="Arial" w:hAnsi="Arial"/>
          <w:sz w:val="19"/>
          <w:szCs w:val="19"/>
          <w:color w:val="auto"/>
        </w:rPr>
        <w:t>sell, lease or transfer any of its properties or assets to Parent or any of its Restricted Subsidiaries.</w:t>
      </w:r>
    </w:p>
    <w:p>
      <w:pPr>
        <w:spacing w:after="0" w:line="214" w:lineRule="exact"/>
        <w:rPr>
          <w:sz w:val="20"/>
          <w:szCs w:val="20"/>
          <w:color w:val="auto"/>
        </w:rPr>
      </w:pPr>
    </w:p>
    <w:p>
      <w:pPr>
        <w:ind w:left="2280" w:hanging="976"/>
        <w:spacing w:after="0"/>
        <w:tabs>
          <w:tab w:leader="none" w:pos="2280" w:val="left"/>
        </w:tabs>
        <w:numPr>
          <w:ilvl w:val="0"/>
          <w:numId w:val="369"/>
        </w:numPr>
        <w:rPr>
          <w:rFonts w:ascii="Arial" w:cs="Arial" w:eastAsia="Arial" w:hAnsi="Arial"/>
          <w:sz w:val="19"/>
          <w:szCs w:val="19"/>
          <w:color w:val="auto"/>
        </w:rPr>
      </w:pPr>
      <w:r>
        <w:rPr>
          <w:rFonts w:ascii="Arial" w:cs="Arial" w:eastAsia="Arial" w:hAnsi="Arial"/>
          <w:sz w:val="19"/>
          <w:szCs w:val="19"/>
          <w:color w:val="auto"/>
        </w:rPr>
        <w:t>The restrictions in Section 6.02(a) will not apply to encumbrances or restrictions existing under or by</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reason of:</w:t>
      </w:r>
    </w:p>
    <w:p>
      <w:pPr>
        <w:spacing w:after="0" w:line="161" w:lineRule="exact"/>
        <w:rPr>
          <w:sz w:val="20"/>
          <w:szCs w:val="20"/>
          <w:color w:val="auto"/>
        </w:rPr>
      </w:pPr>
    </w:p>
    <w:p>
      <w:pPr>
        <w:ind w:left="660" w:right="20" w:firstLine="644"/>
        <w:spacing w:after="0" w:line="298" w:lineRule="auto"/>
        <w:tabs>
          <w:tab w:leader="none" w:pos="2275" w:val="left"/>
        </w:tabs>
        <w:numPr>
          <w:ilvl w:val="0"/>
          <w:numId w:val="370"/>
        </w:numPr>
        <w:rPr>
          <w:rFonts w:ascii="Arial" w:cs="Arial" w:eastAsia="Arial" w:hAnsi="Arial"/>
          <w:sz w:val="19"/>
          <w:szCs w:val="19"/>
          <w:color w:val="auto"/>
        </w:rPr>
      </w:pPr>
      <w:r>
        <w:rPr>
          <w:rFonts w:ascii="Arial" w:cs="Arial" w:eastAsia="Arial" w:hAnsi="Arial"/>
          <w:sz w:val="19"/>
          <w:szCs w:val="19"/>
          <w:color w:val="auto"/>
        </w:rPr>
        <w:t>agreements (A) governing Existing Indebtedness, Credit Facilities and any other obligations, in each case as in effect on (or required by agreements in effect on) the Closing Date or (B) in effect on the Closing Date;</w:t>
      </w:r>
    </w:p>
    <w:p>
      <w:pPr>
        <w:spacing w:after="0" w:line="105" w:lineRule="exact"/>
        <w:rPr>
          <w:rFonts w:ascii="Arial" w:cs="Arial" w:eastAsia="Arial" w:hAnsi="Arial"/>
          <w:sz w:val="19"/>
          <w:szCs w:val="19"/>
          <w:color w:val="auto"/>
        </w:rPr>
      </w:pPr>
    </w:p>
    <w:p>
      <w:pPr>
        <w:ind w:left="660" w:firstLine="644"/>
        <w:spacing w:after="0" w:line="232" w:lineRule="auto"/>
        <w:tabs>
          <w:tab w:leader="none" w:pos="2275" w:val="left"/>
        </w:tabs>
        <w:numPr>
          <w:ilvl w:val="0"/>
          <w:numId w:val="370"/>
        </w:numPr>
        <w:rPr>
          <w:rFonts w:ascii="Arial" w:cs="Arial" w:eastAsia="Arial" w:hAnsi="Arial"/>
          <w:sz w:val="22"/>
          <w:szCs w:val="22"/>
          <w:color w:val="auto"/>
        </w:rPr>
      </w:pPr>
      <w:r>
        <w:rPr>
          <w:rFonts w:ascii="Arial" w:cs="Arial" w:eastAsia="Arial" w:hAnsi="Arial"/>
          <w:sz w:val="22"/>
          <w:szCs w:val="22"/>
          <w:color w:val="auto"/>
        </w:rPr>
        <w:t>this Agreement and the Collateral Documents, including any Intercreditor Agreement and any Other Intercreditor Agreement;</w:t>
      </w:r>
    </w:p>
    <w:p>
      <w:pPr>
        <w:spacing w:after="0" w:line="158" w:lineRule="exact"/>
        <w:rPr>
          <w:rFonts w:ascii="Arial" w:cs="Arial" w:eastAsia="Arial" w:hAnsi="Arial"/>
          <w:sz w:val="22"/>
          <w:szCs w:val="22"/>
          <w:color w:val="auto"/>
        </w:rPr>
      </w:pPr>
    </w:p>
    <w:p>
      <w:pPr>
        <w:jc w:val="both"/>
        <w:ind w:left="660" w:firstLine="644"/>
        <w:spacing w:after="0" w:line="214" w:lineRule="auto"/>
        <w:tabs>
          <w:tab w:leader="none" w:pos="2262" w:val="left"/>
        </w:tabs>
        <w:numPr>
          <w:ilvl w:val="0"/>
          <w:numId w:val="370"/>
        </w:numPr>
        <w:rPr>
          <w:rFonts w:ascii="Arial" w:cs="Arial" w:eastAsia="Arial" w:hAnsi="Arial"/>
          <w:sz w:val="22"/>
          <w:szCs w:val="22"/>
          <w:color w:val="auto"/>
        </w:rPr>
      </w:pPr>
      <w:r>
        <w:rPr>
          <w:rFonts w:ascii="Arial" w:cs="Arial" w:eastAsia="Arial" w:hAnsi="Arial"/>
          <w:sz w:val="22"/>
          <w:szCs w:val="22"/>
          <w:color w:val="auto"/>
        </w:rPr>
        <w:t xml:space="preserve">agreements governing other Indebtedness or shares of preferred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w:t>
      </w:r>
    </w:p>
    <w:p>
      <w:pPr>
        <w:spacing w:after="0" w:line="158" w:lineRule="exact"/>
        <w:rPr>
          <w:rFonts w:ascii="Arial" w:cs="Arial" w:eastAsia="Arial" w:hAnsi="Arial"/>
          <w:sz w:val="22"/>
          <w:szCs w:val="22"/>
          <w:color w:val="auto"/>
        </w:rPr>
      </w:pPr>
    </w:p>
    <w:p>
      <w:pPr>
        <w:ind w:left="2260" w:hanging="956"/>
        <w:spacing w:after="0"/>
        <w:tabs>
          <w:tab w:leader="none" w:pos="226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applicable law, rule, regulation or order;</w:t>
      </w:r>
    </w:p>
    <w:p>
      <w:pPr>
        <w:spacing w:after="0" w:line="179" w:lineRule="exact"/>
        <w:rPr>
          <w:rFonts w:ascii="Arial" w:cs="Arial" w:eastAsia="Arial" w:hAnsi="Arial"/>
          <w:sz w:val="22"/>
          <w:szCs w:val="22"/>
          <w:color w:val="auto"/>
        </w:rPr>
      </w:pPr>
    </w:p>
    <w:p>
      <w:pPr>
        <w:jc w:val="both"/>
        <w:ind w:left="660" w:firstLine="644"/>
        <w:spacing w:after="0" w:line="212" w:lineRule="auto"/>
        <w:tabs>
          <w:tab w:leader="none" w:pos="2275" w:val="left"/>
        </w:tabs>
        <w:numPr>
          <w:ilvl w:val="0"/>
          <w:numId w:val="370"/>
        </w:numPr>
        <w:rPr>
          <w:rFonts w:ascii="Arial" w:cs="Arial" w:eastAsia="Arial" w:hAnsi="Arial"/>
          <w:sz w:val="22"/>
          <w:szCs w:val="22"/>
          <w:color w:val="auto"/>
        </w:rPr>
      </w:pPr>
      <w:r>
        <w:rPr>
          <w:rFonts w:ascii="Arial" w:cs="Arial" w:eastAsia="Arial" w:hAnsi="Arial"/>
          <w:sz w:val="22"/>
          <w:szCs w:val="22"/>
          <w:color w:val="auto"/>
        </w:rPr>
        <w:t>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customary provisions in contracts, licenses, leases and asset sale agreements entered into in the Ordinary Course of Business;</w:t>
      </w:r>
    </w:p>
    <w:p>
      <w:pPr>
        <w:spacing w:after="0" w:line="163" w:lineRule="exact"/>
        <w:rPr>
          <w:rFonts w:ascii="Arial" w:cs="Arial" w:eastAsia="Arial" w:hAnsi="Arial"/>
          <w:sz w:val="22"/>
          <w:szCs w:val="22"/>
          <w:color w:val="auto"/>
        </w:rPr>
      </w:pPr>
    </w:p>
    <w:p>
      <w:pPr>
        <w:jc w:val="both"/>
        <w:ind w:left="660" w:firstLine="644"/>
        <w:spacing w:after="0" w:line="223" w:lineRule="auto"/>
        <w:tabs>
          <w:tab w:leader="none" w:pos="2289" w:val="left"/>
        </w:tabs>
        <w:numPr>
          <w:ilvl w:val="0"/>
          <w:numId w:val="370"/>
        </w:numPr>
        <w:rPr>
          <w:rFonts w:ascii="Arial" w:cs="Arial" w:eastAsia="Arial" w:hAnsi="Arial"/>
          <w:sz w:val="22"/>
          <w:szCs w:val="22"/>
          <w:color w:val="auto"/>
        </w:rPr>
      </w:pPr>
      <w:r>
        <w:rPr>
          <w:rFonts w:ascii="Arial" w:cs="Arial" w:eastAsia="Arial" w:hAnsi="Arial"/>
          <w:sz w:val="22"/>
          <w:szCs w:val="22"/>
          <w:color w:val="auto"/>
        </w:rPr>
        <w:t>purchase money obligations for property acquired in the Ordinary Course of Business and Capital Lease Obligations that impose restrictions on the property (or proceeds thereof) purchased or leased of the nature described in clause (4) of Section 6.02(a);</w:t>
      </w:r>
    </w:p>
    <w:p>
      <w:pPr>
        <w:spacing w:after="0" w:line="158" w:lineRule="exact"/>
        <w:rPr>
          <w:rFonts w:ascii="Arial" w:cs="Arial" w:eastAsia="Arial" w:hAnsi="Arial"/>
          <w:sz w:val="22"/>
          <w:szCs w:val="22"/>
          <w:color w:val="auto"/>
        </w:rPr>
      </w:pPr>
    </w:p>
    <w:p>
      <w:pPr>
        <w:ind w:left="660" w:right="20" w:firstLine="644"/>
        <w:spacing w:after="0" w:line="232" w:lineRule="auto"/>
        <w:tabs>
          <w:tab w:leader="none" w:pos="2289" w:val="left"/>
        </w:tabs>
        <w:numPr>
          <w:ilvl w:val="0"/>
          <w:numId w:val="370"/>
        </w:numPr>
        <w:rPr>
          <w:rFonts w:ascii="Arial" w:cs="Arial" w:eastAsia="Arial" w:hAnsi="Arial"/>
          <w:sz w:val="22"/>
          <w:szCs w:val="22"/>
          <w:color w:val="auto"/>
        </w:rPr>
      </w:pPr>
      <w:r>
        <w:rPr>
          <w:rFonts w:ascii="Arial" w:cs="Arial" w:eastAsia="Arial" w:hAnsi="Arial"/>
          <w:sz w:val="22"/>
          <w:szCs w:val="22"/>
          <w:color w:val="auto"/>
        </w:rPr>
        <w:t>any contract or agreement for the sale or other disposition of a Restricted Subsidiary that restricts distributions, asset sales or loans by that Restricted Subsidiary pending its sale or other disposition;</w:t>
      </w:r>
    </w:p>
    <w:p>
      <w:pPr>
        <w:spacing w:after="0" w:line="158" w:lineRule="exact"/>
        <w:rPr>
          <w:rFonts w:ascii="Arial" w:cs="Arial" w:eastAsia="Arial" w:hAnsi="Arial"/>
          <w:sz w:val="22"/>
          <w:szCs w:val="22"/>
          <w:color w:val="auto"/>
        </w:rPr>
      </w:pPr>
    </w:p>
    <w:p>
      <w:pPr>
        <w:ind w:left="2260" w:hanging="956"/>
        <w:spacing w:after="0"/>
        <w:tabs>
          <w:tab w:leader="none" w:pos="2260" w:val="left"/>
        </w:tabs>
        <w:numPr>
          <w:ilvl w:val="0"/>
          <w:numId w:val="37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99" w:name="page300"/>
    <w:bookmarkEnd w:id="299"/>
    <w:p>
      <w:pPr>
        <w:ind w:left="2280" w:hanging="976"/>
        <w:spacing w:after="0"/>
        <w:tabs>
          <w:tab w:leader="none" w:pos="2280" w:val="left"/>
        </w:tabs>
        <w:numPr>
          <w:ilvl w:val="0"/>
          <w:numId w:val="371"/>
        </w:numPr>
        <w:rPr>
          <w:rFonts w:ascii="Arial" w:cs="Arial" w:eastAsia="Arial" w:hAnsi="Arial"/>
          <w:sz w:val="19"/>
          <w:szCs w:val="19"/>
          <w:color w:val="auto"/>
        </w:rPr>
      </w:pPr>
      <w:r>
        <w:rPr>
          <w:rFonts w:ascii="Arial" w:cs="Arial" w:eastAsia="Arial" w:hAnsi="Arial"/>
          <w:sz w:val="19"/>
          <w:szCs w:val="19"/>
          <w:color w:val="auto"/>
        </w:rPr>
        <w:t>Permitted Liens and Liens that limit the right of the debtor to dispose of the assets subject to such</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Liens;</w:t>
      </w:r>
    </w:p>
    <w:p>
      <w:pPr>
        <w:spacing w:after="0" w:line="161" w:lineRule="exact"/>
        <w:rPr>
          <w:sz w:val="20"/>
          <w:szCs w:val="20"/>
          <w:color w:val="auto"/>
        </w:rPr>
      </w:pPr>
    </w:p>
    <w:p>
      <w:pPr>
        <w:jc w:val="both"/>
        <w:ind w:left="660" w:firstLine="644"/>
        <w:spacing w:after="0" w:line="228" w:lineRule="exact"/>
        <w:tabs>
          <w:tab w:leader="none" w:pos="2383" w:val="left"/>
        </w:tabs>
        <w:numPr>
          <w:ilvl w:val="0"/>
          <w:numId w:val="372"/>
        </w:numPr>
        <w:rPr>
          <w:rFonts w:ascii="Arial" w:cs="Arial" w:eastAsia="Arial" w:hAnsi="Arial"/>
          <w:sz w:val="22"/>
          <w:szCs w:val="22"/>
          <w:color w:val="auto"/>
        </w:rPr>
      </w:pPr>
      <w:r>
        <w:rPr>
          <w:rFonts w:ascii="Arial" w:cs="Arial" w:eastAsia="Arial" w:hAnsi="Arial"/>
          <w:sz w:val="22"/>
          <w:szCs w:val="22"/>
          <w:color w:val="auto"/>
        </w:rPr>
        <w:t>provisions limiting the disposition or distribution of assets or property or loans or advances in joint venture agreements, asset sale agreements, sale</w:t>
      </w:r>
      <w:r>
        <w:rPr>
          <w:rFonts w:ascii="MS PGothic" w:cs="MS PGothic" w:eastAsia="MS PGothic" w:hAnsi="MS PGothic"/>
          <w:sz w:val="22"/>
          <w:szCs w:val="22"/>
          <w:color w:val="auto"/>
        </w:rPr>
        <w:t>‑</w:t>
      </w:r>
      <w:r>
        <w:rPr>
          <w:rFonts w:ascii="Arial" w:cs="Arial" w:eastAsia="Arial" w:hAnsi="Arial"/>
          <w:sz w:val="22"/>
          <w:szCs w:val="22"/>
          <w:color w:val="auto"/>
        </w:rPr>
        <w:t>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w:t>
      </w:r>
    </w:p>
    <w:p>
      <w:pPr>
        <w:spacing w:after="0" w:line="157" w:lineRule="exact"/>
        <w:rPr>
          <w:rFonts w:ascii="Arial" w:cs="Arial" w:eastAsia="Arial" w:hAnsi="Arial"/>
          <w:sz w:val="22"/>
          <w:szCs w:val="22"/>
          <w:color w:val="auto"/>
        </w:rPr>
      </w:pPr>
    </w:p>
    <w:p>
      <w:pPr>
        <w:ind w:left="660" w:firstLine="644"/>
        <w:spacing w:after="0" w:line="232" w:lineRule="auto"/>
        <w:tabs>
          <w:tab w:leader="none" w:pos="2362" w:val="left"/>
        </w:tabs>
        <w:numPr>
          <w:ilvl w:val="0"/>
          <w:numId w:val="372"/>
        </w:numPr>
        <w:rPr>
          <w:rFonts w:ascii="Arial" w:cs="Arial" w:eastAsia="Arial" w:hAnsi="Arial"/>
          <w:sz w:val="22"/>
          <w:szCs w:val="22"/>
          <w:color w:val="auto"/>
        </w:rPr>
      </w:pPr>
      <w:r>
        <w:rPr>
          <w:rFonts w:ascii="Arial" w:cs="Arial" w:eastAsia="Arial" w:hAnsi="Arial"/>
          <w:sz w:val="22"/>
          <w:szCs w:val="22"/>
          <w:color w:val="auto"/>
        </w:rPr>
        <w:t>restrictions on cash or other deposits or net worth imposed by customers under contracts entered into in the Ordinary Course of Business;</w:t>
      </w:r>
    </w:p>
    <w:p>
      <w:pPr>
        <w:spacing w:after="0" w:line="158" w:lineRule="exact"/>
        <w:rPr>
          <w:rFonts w:ascii="Arial" w:cs="Arial" w:eastAsia="Arial" w:hAnsi="Arial"/>
          <w:sz w:val="22"/>
          <w:szCs w:val="22"/>
          <w:color w:val="auto"/>
        </w:rPr>
      </w:pPr>
    </w:p>
    <w:p>
      <w:pPr>
        <w:ind w:left="660" w:firstLine="644"/>
        <w:spacing w:after="0" w:line="245" w:lineRule="exact"/>
        <w:tabs>
          <w:tab w:leader="none" w:pos="237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any instrument or agreement entered into in connection with (or in anticipation of) any full or partial “spin</w:t>
      </w:r>
      <w:r>
        <w:rPr>
          <w:rFonts w:ascii="MS PGothic" w:cs="MS PGothic" w:eastAsia="MS PGothic" w:hAnsi="MS PGothic"/>
          <w:sz w:val="22"/>
          <w:szCs w:val="22"/>
          <w:color w:val="auto"/>
        </w:rPr>
        <w:t>‑</w:t>
      </w:r>
      <w:r>
        <w:rPr>
          <w:rFonts w:ascii="Arial" w:cs="Arial" w:eastAsia="Arial" w:hAnsi="Arial"/>
          <w:sz w:val="22"/>
          <w:szCs w:val="22"/>
          <w:color w:val="auto"/>
        </w:rPr>
        <w:t>off” or similar transactions;</w:t>
      </w:r>
    </w:p>
    <w:p>
      <w:pPr>
        <w:spacing w:after="0" w:line="158" w:lineRule="exact"/>
        <w:rPr>
          <w:rFonts w:ascii="Arial" w:cs="Arial" w:eastAsia="Arial" w:hAnsi="Arial"/>
          <w:sz w:val="22"/>
          <w:szCs w:val="22"/>
          <w:color w:val="auto"/>
        </w:rPr>
      </w:pPr>
    </w:p>
    <w:p>
      <w:pPr>
        <w:jc w:val="both"/>
        <w:ind w:left="660" w:firstLine="644"/>
        <w:spacing w:after="0" w:line="246" w:lineRule="auto"/>
        <w:tabs>
          <w:tab w:leader="none" w:pos="2370" w:val="left"/>
        </w:tabs>
        <w:numPr>
          <w:ilvl w:val="0"/>
          <w:numId w:val="372"/>
        </w:numPr>
        <w:rPr>
          <w:rFonts w:ascii="Arial" w:cs="Arial" w:eastAsia="Arial" w:hAnsi="Arial"/>
          <w:sz w:val="19"/>
          <w:szCs w:val="19"/>
          <w:color w:val="auto"/>
        </w:rPr>
      </w:pPr>
      <w:r>
        <w:rPr>
          <w:rFonts w:ascii="Arial" w:cs="Arial" w:eastAsia="Arial" w:hAnsi="Arial"/>
          <w:sz w:val="19"/>
          <w:szCs w:val="19"/>
          <w:color w:val="auto"/>
        </w:rPr>
        <w:t xml:space="preserve">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w:t>
      </w:r>
    </w:p>
    <w:p>
      <w:pPr>
        <w:spacing w:after="0" w:line="152" w:lineRule="exact"/>
        <w:rPr>
          <w:rFonts w:ascii="Arial" w:cs="Arial" w:eastAsia="Arial" w:hAnsi="Arial"/>
          <w:sz w:val="19"/>
          <w:szCs w:val="19"/>
          <w:color w:val="auto"/>
        </w:rPr>
      </w:pPr>
    </w:p>
    <w:p>
      <w:pPr>
        <w:jc w:val="both"/>
        <w:ind w:left="660" w:firstLine="644"/>
        <w:spacing w:after="0" w:line="268" w:lineRule="auto"/>
        <w:tabs>
          <w:tab w:leader="none" w:pos="2410" w:val="left"/>
        </w:tabs>
        <w:numPr>
          <w:ilvl w:val="0"/>
          <w:numId w:val="372"/>
        </w:numPr>
        <w:rPr>
          <w:rFonts w:ascii="Arial" w:cs="Arial" w:eastAsia="Arial" w:hAnsi="Arial"/>
          <w:sz w:val="19"/>
          <w:szCs w:val="19"/>
          <w:color w:val="auto"/>
        </w:rPr>
      </w:pPr>
      <w:r>
        <w:rPr>
          <w:rFonts w:ascii="Arial" w:cs="Arial" w:eastAsia="Arial" w:hAnsi="Arial"/>
          <w:sz w:val="19"/>
          <w:szCs w:val="19"/>
          <w:color w:val="auto"/>
        </w:rPr>
        <w:t xml:space="preserve">any encumbrance or restriction existing under or by reason of Indebtedness or other contractual requirements of a Receivables Subsidiary or any Standard Securitization Undertaking, in each case, in connection with a Qualified Receivables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apply only to such Receivables Subsidiary.</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[Reserved]</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SECTION 6.04. </w:t>
      </w:r>
      <w:r>
        <w:rPr>
          <w:rFonts w:ascii="Arial" w:cs="Arial" w:eastAsia="Arial" w:hAnsi="Arial"/>
          <w:sz w:val="21"/>
          <w:szCs w:val="21"/>
          <w:u w:val="single" w:color="auto"/>
          <w:color w:val="auto"/>
        </w:rPr>
        <w:t>Disposition of Collateral</w:t>
      </w:r>
      <w:r>
        <w:rPr>
          <w:rFonts w:ascii="Arial" w:cs="Arial" w:eastAsia="Arial" w:hAnsi="Arial"/>
          <w:sz w:val="21"/>
          <w:szCs w:val="21"/>
          <w:color w:val="auto"/>
        </w:rPr>
        <w:t xml:space="preserve"> . Neither the Borrower nor any Grantor shall Dispose of any Collateral (including, without limitation, by way of any Sale of a Grantor) except that any Disposition shall be permitted (i) in the case of a Permitted Disposition;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(i) less than 2.00 to 1.0 with respect to Collateral secured pursuant to the First Lien SGR Security Agreement or (ii) less than 1.33 to 1.0 with respect to Collateral secured pursuant to the Second Lien SGR Security Agreement and (B) the Borrower promptly provides to the Administrative Agent a Collateral Coverage Ratio Certificate calculating the Collateral Coverage Ratio and certifying that the Collateral includes at least one category of Core Collateral after giving effect to such Disposition or (ii) in the case of 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0" w:name="page301"/>
    <w:bookmarkEnd w:id="300"/>
    <w:p>
      <w:pPr>
        <w:jc w:val="both"/>
        <w:spacing w:after="0" w:line="284" w:lineRule="auto"/>
        <w:rPr>
          <w:sz w:val="20"/>
          <w:szCs w:val="20"/>
          <w:color w:val="auto"/>
        </w:rPr>
      </w:pPr>
      <w:r>
        <w:rPr>
          <w:rFonts w:ascii="Arial" w:cs="Arial" w:eastAsia="Arial" w:hAnsi="Arial"/>
          <w:sz w:val="19"/>
          <w:szCs w:val="19"/>
          <w:color w:val="auto"/>
        </w:rPr>
        <w:t xml:space="preserve">Disposition of Collateral that is not a Permitted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Disposition of Collateral that is not a Permitted Disposition (A) upon consummation of any such Disposition, no Event of Default shall have occurred and be continuing, (B) either (I) there is no Collateral Coverage Failure after giving effect to such Disposition (including any deposit of any Net Proceeds received upon consummation thereof in the Collateral Proceeds Account subject to an Account Control Agreement); (II)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(x) the Collateral Coverage Ratio, recalculated by adding the Appraised Value of any such Additional Collateral and any such Net Proceeds in clause (i) of the definition of Collateral Coverage Ratio and subtracting any such prepaid Loans and prepaid Pari Passu Senior Secured Debt from clause (ii) of the definition of Collateral Coverage Ratio, shall be no (i) less than 2.00 to 1.0 with respect to Collateral secured pursuant to the First Lien SGR Security Agreement or (ii) less than 1.33 to 1.0 with respect to Collateral secured pursuant to the Second Lien SGR Security Agreement and (y) the Collateral shall include at least one category of Core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Disposition that is not a voluntary Disposition of Collateral by the Borrower or such Grantor, the Borrower shall have up to 15 Business Days after such Disposition to accomplish the actions contemplated by this clause (II); or (III) the Borrower shall comply with its obligations set forth in Section 2.12(a), (C) [Reserved] and (D) the Borrower promptly provides to the Administrative Agent a Collateral Coverage Ratio Certificate calculating the Collateral Coverage Ratio and certifying that the Collateral includes at least one category of Core Collateral after giving effect to such Disposition and any actions taken pursuant to clause (B)(II) above. For the avoidance of doubt,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w:t>
      </w: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Transactions with Affiliates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6" w:lineRule="auto"/>
        <w:tabs>
          <w:tab w:leader="none" w:pos="2238" w:val="left"/>
        </w:tabs>
        <w:numPr>
          <w:ilvl w:val="0"/>
          <w:numId w:val="373"/>
        </w:numPr>
        <w:rPr>
          <w:rFonts w:ascii="Arial" w:cs="Arial" w:eastAsia="Arial" w:hAnsi="Arial"/>
          <w:sz w:val="22"/>
          <w:szCs w:val="22"/>
          <w:color w:val="auto"/>
        </w:rPr>
      </w:pPr>
      <w:r>
        <w:rPr>
          <w:rFonts w:ascii="Arial" w:cs="Arial" w:eastAsia="Arial" w:hAnsi="Arial"/>
          <w:sz w:val="22"/>
          <w:szCs w:val="22"/>
          <w:color w:val="auto"/>
        </w:rPr>
        <w:t xml:space="preserve">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 </w:t>
      </w:r>
      <w:r>
        <w:rPr>
          <w:rFonts w:ascii="Arial" w:cs="Arial" w:eastAsia="Arial" w:hAnsi="Arial"/>
          <w:sz w:val="22"/>
          <w:szCs w:val="22"/>
          <w:i w:val="1"/>
          <w:iCs w:val="1"/>
          <w:color w:val="auto"/>
        </w:rPr>
        <w:t>Affiliate Transaction</w:t>
      </w:r>
      <w:r>
        <w:rPr>
          <w:rFonts w:ascii="Arial" w:cs="Arial" w:eastAsia="Arial" w:hAnsi="Arial"/>
          <w:sz w:val="22"/>
          <w:szCs w:val="22"/>
          <w:color w:val="auto"/>
        </w:rPr>
        <w:t xml:space="preserve"> ”) involving aggregate payments or consideration in excess of $60,000,000, unless:</w:t>
      </w:r>
    </w:p>
    <w:p>
      <w:pPr>
        <w:spacing w:after="0" w:line="158" w:lineRule="exact"/>
        <w:rPr>
          <w:sz w:val="20"/>
          <w:szCs w:val="20"/>
          <w:color w:val="auto"/>
        </w:rPr>
      </w:pPr>
    </w:p>
    <w:p>
      <w:pPr>
        <w:jc w:val="both"/>
        <w:ind w:left="660" w:firstLine="644"/>
        <w:spacing w:after="0" w:line="223" w:lineRule="auto"/>
        <w:tabs>
          <w:tab w:leader="none" w:pos="2289" w:val="left"/>
        </w:tabs>
        <w:numPr>
          <w:ilvl w:val="0"/>
          <w:numId w:val="374"/>
        </w:numPr>
        <w:rPr>
          <w:rFonts w:ascii="Arial" w:cs="Arial" w:eastAsia="Arial" w:hAnsi="Arial"/>
          <w:sz w:val="22"/>
          <w:szCs w:val="22"/>
          <w:color w:val="auto"/>
        </w:rPr>
      </w:pPr>
      <w:r>
        <w:rPr>
          <w:rFonts w:ascii="Arial" w:cs="Arial" w:eastAsia="Arial" w:hAnsi="Arial"/>
          <w:sz w:val="22"/>
          <w:szCs w:val="22"/>
          <w:color w:val="auto"/>
        </w:rPr>
        <w:t>the Affiliate Transaction is on terms that are not materially less favorable to Parent or the relevant Restricted Subsidiary (taking into account all effects Parent or such Restricted Subsidiary expects to result from such transaction whether tangible or intangible)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01" w:name="page302"/>
    <w:bookmarkEnd w:id="301"/>
    <w:p>
      <w:pPr>
        <w:ind w:left="660"/>
        <w:spacing w:after="0" w:line="232" w:lineRule="auto"/>
        <w:rPr>
          <w:sz w:val="20"/>
          <w:szCs w:val="20"/>
          <w:color w:val="auto"/>
        </w:rPr>
      </w:pPr>
      <w:r>
        <w:rPr>
          <w:rFonts w:ascii="Arial" w:cs="Arial" w:eastAsia="Arial" w:hAnsi="Arial"/>
          <w:sz w:val="22"/>
          <w:szCs w:val="22"/>
          <w:color w:val="auto"/>
        </w:rPr>
        <w:t>than those that would have been obtained in a comparable transaction by Parent or such Restricted Subsidiary with an unrelated Person; and</w:t>
      </w:r>
    </w:p>
    <w:p>
      <w:pPr>
        <w:spacing w:after="0" w:line="159" w:lineRule="exact"/>
        <w:rPr>
          <w:sz w:val="20"/>
          <w:szCs w:val="20"/>
          <w:color w:val="auto"/>
        </w:rPr>
      </w:pPr>
    </w:p>
    <w:p>
      <w:pPr>
        <w:ind w:left="2260" w:hanging="956"/>
        <w:spacing w:after="0"/>
        <w:tabs>
          <w:tab w:leader="none" w:pos="2260"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the Borrower delivers to the Administrative Agent:</w:t>
      </w:r>
    </w:p>
    <w:p>
      <w:pPr>
        <w:spacing w:after="0" w:line="179" w:lineRule="exact"/>
        <w:rPr>
          <w:rFonts w:ascii="Arial" w:cs="Arial" w:eastAsia="Arial" w:hAnsi="Arial"/>
          <w:sz w:val="22"/>
          <w:szCs w:val="22"/>
          <w:color w:val="auto"/>
        </w:rPr>
      </w:pPr>
    </w:p>
    <w:p>
      <w:pPr>
        <w:jc w:val="both"/>
        <w:ind w:left="1300" w:firstLine="652"/>
        <w:spacing w:after="0" w:line="223" w:lineRule="auto"/>
        <w:tabs>
          <w:tab w:leader="none" w:pos="2963" w:val="left"/>
        </w:tabs>
        <w:numPr>
          <w:ilvl w:val="1"/>
          <w:numId w:val="375"/>
        </w:numPr>
        <w:rPr>
          <w:rFonts w:ascii="Arial" w:cs="Arial" w:eastAsia="Arial" w:hAnsi="Arial"/>
          <w:sz w:val="22"/>
          <w:szCs w:val="22"/>
          <w:color w:val="auto"/>
        </w:rPr>
      </w:pPr>
      <w:r>
        <w:rPr>
          <w:rFonts w:ascii="Arial" w:cs="Arial" w:eastAsia="Arial" w:hAnsi="Arial"/>
          <w:sz w:val="22"/>
          <w:szCs w:val="22"/>
          <w:color w:val="auto"/>
        </w:rPr>
        <w:t>with respect to any Affiliate Transaction or series of related Affiliate Transactions involving aggregate consideration in excess of $150,000,000, an Officer’s Certificate certifying that such Affiliate Transaction complies with clause (1) of this Section 6.05(a); and</w:t>
      </w:r>
    </w:p>
    <w:p>
      <w:pPr>
        <w:spacing w:after="0" w:line="158" w:lineRule="exact"/>
        <w:rPr>
          <w:rFonts w:ascii="Arial" w:cs="Arial" w:eastAsia="Arial" w:hAnsi="Arial"/>
          <w:sz w:val="22"/>
          <w:szCs w:val="22"/>
          <w:color w:val="auto"/>
        </w:rPr>
      </w:pPr>
    </w:p>
    <w:p>
      <w:pPr>
        <w:jc w:val="both"/>
        <w:ind w:left="1300" w:firstLine="652"/>
        <w:spacing w:after="0" w:line="218" w:lineRule="auto"/>
        <w:tabs>
          <w:tab w:leader="none" w:pos="2951" w:val="left"/>
        </w:tabs>
        <w:numPr>
          <w:ilvl w:val="1"/>
          <w:numId w:val="375"/>
        </w:numPr>
        <w:rPr>
          <w:rFonts w:ascii="Arial" w:cs="Arial" w:eastAsia="Arial" w:hAnsi="Arial"/>
          <w:sz w:val="22"/>
          <w:szCs w:val="22"/>
          <w:color w:val="auto"/>
        </w:rPr>
      </w:pPr>
      <w:r>
        <w:rPr>
          <w:rFonts w:ascii="Arial" w:cs="Arial" w:eastAsia="Arial" w:hAnsi="Arial"/>
          <w:sz w:val="22"/>
          <w:szCs w:val="22"/>
          <w:color w:val="auto"/>
        </w:rPr>
        <w:t>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w:t>
      </w:r>
    </w:p>
    <w:p>
      <w:pPr>
        <w:spacing w:after="0" w:line="161" w:lineRule="exact"/>
        <w:rPr>
          <w:sz w:val="20"/>
          <w:szCs w:val="20"/>
          <w:color w:val="auto"/>
        </w:rPr>
      </w:pPr>
    </w:p>
    <w:p>
      <w:pPr>
        <w:ind w:firstLine="1304"/>
        <w:spacing w:after="0" w:line="232" w:lineRule="auto"/>
        <w:tabs>
          <w:tab w:leader="none" w:pos="225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The following items will not be deemed to be Affiliate Transactions and, therefore, will not be subject to the provisions of Section 6.05(a):</w:t>
      </w:r>
    </w:p>
    <w:p>
      <w:pPr>
        <w:spacing w:after="0" w:line="159" w:lineRule="exact"/>
        <w:rPr>
          <w:sz w:val="20"/>
          <w:szCs w:val="20"/>
          <w:color w:val="auto"/>
        </w:rPr>
      </w:pPr>
    </w:p>
    <w:p>
      <w:pPr>
        <w:jc w:val="both"/>
        <w:ind w:left="660" w:firstLine="644"/>
        <w:spacing w:after="0" w:line="230" w:lineRule="exact"/>
        <w:tabs>
          <w:tab w:leader="none" w:pos="2302" w:val="left"/>
        </w:tabs>
        <w:numPr>
          <w:ilvl w:val="0"/>
          <w:numId w:val="377"/>
        </w:numPr>
        <w:rPr>
          <w:rFonts w:ascii="Arial" w:cs="Arial" w:eastAsia="Arial" w:hAnsi="Arial"/>
          <w:sz w:val="22"/>
          <w:szCs w:val="22"/>
          <w:color w:val="auto"/>
        </w:rPr>
      </w:pPr>
      <w:r>
        <w:rPr>
          <w:rFonts w:ascii="Arial" w:cs="Arial" w:eastAsia="Arial" w:hAnsi="Arial"/>
          <w:sz w:val="22"/>
          <w:szCs w:val="22"/>
          <w:color w:val="auto"/>
        </w:rPr>
        <w:t>any employment agreement, confidentiality agreement, non</w:t>
      </w:r>
      <w:r>
        <w:rPr>
          <w:rFonts w:ascii="MS PGothic" w:cs="MS PGothic" w:eastAsia="MS PGothic" w:hAnsi="MS PGothic"/>
          <w:sz w:val="22"/>
          <w:szCs w:val="22"/>
          <w:color w:val="auto"/>
        </w:rPr>
        <w:t>‑</w:t>
      </w:r>
      <w:r>
        <w:rPr>
          <w:rFonts w:ascii="Arial" w:cs="Arial" w:eastAsia="Arial" w:hAnsi="Arial"/>
          <w:sz w:val="22"/>
          <w:szCs w:val="22"/>
          <w:color w:val="auto"/>
        </w:rPr>
        <w:t>competition agreement, incentive plan, employee stock option agreement, long</w:t>
      </w:r>
      <w:r>
        <w:rPr>
          <w:rFonts w:ascii="MS PGothic" w:cs="MS PGothic" w:eastAsia="MS PGothic" w:hAnsi="MS PGothic"/>
          <w:sz w:val="22"/>
          <w:szCs w:val="22"/>
          <w:color w:val="auto"/>
        </w:rPr>
        <w:t>‑</w:t>
      </w:r>
      <w:r>
        <w:rPr>
          <w:rFonts w:ascii="Arial" w:cs="Arial" w:eastAsia="Arial" w:hAnsi="Arial"/>
          <w:sz w:val="22"/>
          <w:szCs w:val="22"/>
          <w:color w:val="auto"/>
        </w:rPr>
        <w:t>term incentive plan, profit sharing plan, employee benefit plan, officer or director indemnification agreement or any similar arrangement entered into by Parent or any of its Restricted Subsidiaries in the Ordinary Course of Business and payments pursuant thereto;</w:t>
      </w:r>
    </w:p>
    <w:p>
      <w:pPr>
        <w:spacing w:after="0" w:line="160" w:lineRule="exact"/>
        <w:rPr>
          <w:rFonts w:ascii="Arial" w:cs="Arial" w:eastAsia="Arial" w:hAnsi="Arial"/>
          <w:sz w:val="22"/>
          <w:szCs w:val="22"/>
          <w:color w:val="auto"/>
        </w:rPr>
      </w:pPr>
    </w:p>
    <w:p>
      <w:pPr>
        <w:ind w:left="660" w:firstLine="644"/>
        <w:spacing w:after="0" w:line="245" w:lineRule="exact"/>
        <w:tabs>
          <w:tab w:leader="none" w:pos="2302" w:val="left"/>
        </w:tabs>
        <w:numPr>
          <w:ilvl w:val="0"/>
          <w:numId w:val="377"/>
        </w:numPr>
        <w:rPr>
          <w:rFonts w:ascii="Arial" w:cs="Arial" w:eastAsia="Arial" w:hAnsi="Arial"/>
          <w:sz w:val="22"/>
          <w:szCs w:val="22"/>
          <w:color w:val="auto"/>
        </w:rPr>
      </w:pPr>
      <w:r>
        <w:rPr>
          <w:rFonts w:ascii="Arial" w:cs="Arial" w:eastAsia="Arial" w:hAnsi="Arial"/>
          <w:sz w:val="22"/>
          <w:szCs w:val="22"/>
          <w:color w:val="auto"/>
        </w:rPr>
        <w:t>transactions between or among any of Parent and/or its Restricted Subsidiaries (including without limitation in connection with (or in anticipation of) any full or partial “spin</w:t>
      </w:r>
      <w:r>
        <w:rPr>
          <w:rFonts w:ascii="MS PGothic" w:cs="MS PGothic" w:eastAsia="MS PGothic" w:hAnsi="MS PGothic"/>
          <w:sz w:val="22"/>
          <w:szCs w:val="22"/>
          <w:color w:val="auto"/>
        </w:rPr>
        <w:t>‑</w:t>
      </w:r>
      <w:r>
        <w:rPr>
          <w:rFonts w:ascii="Arial" w:cs="Arial" w:eastAsia="Arial" w:hAnsi="Arial"/>
          <w:sz w:val="22"/>
          <w:szCs w:val="22"/>
          <w:color w:val="auto"/>
        </w:rPr>
        <w:t>off” or similar transactions);</w:t>
      </w:r>
    </w:p>
    <w:p>
      <w:pPr>
        <w:spacing w:after="0" w:line="158" w:lineRule="exact"/>
        <w:rPr>
          <w:rFonts w:ascii="Arial" w:cs="Arial" w:eastAsia="Arial" w:hAnsi="Arial"/>
          <w:sz w:val="22"/>
          <w:szCs w:val="22"/>
          <w:color w:val="auto"/>
        </w:rPr>
      </w:pPr>
    </w:p>
    <w:p>
      <w:pPr>
        <w:ind w:left="660" w:firstLine="644"/>
        <w:spacing w:after="0" w:line="298" w:lineRule="auto"/>
        <w:tabs>
          <w:tab w:leader="none" w:pos="2262" w:val="left"/>
        </w:tabs>
        <w:numPr>
          <w:ilvl w:val="0"/>
          <w:numId w:val="377"/>
        </w:numPr>
        <w:rPr>
          <w:rFonts w:ascii="Arial" w:cs="Arial" w:eastAsia="Arial" w:hAnsi="Arial"/>
          <w:sz w:val="19"/>
          <w:szCs w:val="19"/>
          <w:color w:val="auto"/>
        </w:rPr>
      </w:pPr>
      <w:r>
        <w:rPr>
          <w:rFonts w:ascii="Arial" w:cs="Arial" w:eastAsia="Arial" w:hAnsi="Arial"/>
          <w:sz w:val="19"/>
          <w:szCs w:val="19"/>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105" w:lineRule="exact"/>
        <w:rPr>
          <w:rFonts w:ascii="Arial" w:cs="Arial" w:eastAsia="Arial" w:hAnsi="Arial"/>
          <w:sz w:val="19"/>
          <w:szCs w:val="19"/>
          <w:color w:val="auto"/>
        </w:rPr>
      </w:pPr>
    </w:p>
    <w:p>
      <w:pPr>
        <w:jc w:val="both"/>
        <w:ind w:left="660" w:firstLine="644"/>
        <w:spacing w:after="0" w:line="223" w:lineRule="auto"/>
        <w:tabs>
          <w:tab w:leader="none" w:pos="2275" w:val="left"/>
        </w:tabs>
        <w:numPr>
          <w:ilvl w:val="0"/>
          <w:numId w:val="377"/>
        </w:numPr>
        <w:rPr>
          <w:rFonts w:ascii="Arial" w:cs="Arial" w:eastAsia="Arial" w:hAnsi="Arial"/>
          <w:sz w:val="22"/>
          <w:szCs w:val="22"/>
          <w:color w:val="auto"/>
        </w:rPr>
      </w:pPr>
      <w:r>
        <w:rPr>
          <w:rFonts w:ascii="Arial" w:cs="Arial" w:eastAsia="Arial" w:hAnsi="Arial"/>
          <w:sz w:val="22"/>
          <w:szCs w:val="22"/>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58" w:lineRule="exact"/>
        <w:rPr>
          <w:rFonts w:ascii="Arial" w:cs="Arial" w:eastAsia="Arial" w:hAnsi="Arial"/>
          <w:sz w:val="22"/>
          <w:szCs w:val="22"/>
          <w:color w:val="auto"/>
        </w:rPr>
      </w:pPr>
    </w:p>
    <w:p>
      <w:pPr>
        <w:ind w:left="2280" w:hanging="976"/>
        <w:spacing w:after="0"/>
        <w:tabs>
          <w:tab w:leader="none" w:pos="2280" w:val="left"/>
        </w:tabs>
        <w:numPr>
          <w:ilvl w:val="0"/>
          <w:numId w:val="377"/>
        </w:numPr>
        <w:rPr>
          <w:rFonts w:ascii="Arial" w:cs="Arial" w:eastAsia="Arial" w:hAnsi="Arial"/>
          <w:sz w:val="19"/>
          <w:szCs w:val="19"/>
          <w:color w:val="auto"/>
        </w:rPr>
      </w:pPr>
      <w:r>
        <w:rPr>
          <w:rFonts w:ascii="Arial" w:cs="Arial" w:eastAsia="Arial" w:hAnsi="Arial"/>
          <w:sz w:val="19"/>
          <w:szCs w:val="19"/>
          <w:color w:val="auto"/>
        </w:rPr>
        <w:t>any issuance of Qualifying Equity Interests or any increase in the liquidation preference of preferred</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stock of Parent;</w:t>
      </w:r>
    </w:p>
    <w:p>
      <w:pPr>
        <w:spacing w:after="0" w:line="161" w:lineRule="exact"/>
        <w:rPr>
          <w:rFonts w:ascii="Arial" w:cs="Arial" w:eastAsia="Arial" w:hAnsi="Arial"/>
          <w:sz w:val="19"/>
          <w:szCs w:val="19"/>
          <w:color w:val="auto"/>
        </w:rPr>
      </w:pPr>
    </w:p>
    <w:p>
      <w:pPr>
        <w:jc w:val="both"/>
        <w:ind w:left="660" w:firstLine="644"/>
        <w:spacing w:after="0" w:line="223" w:lineRule="auto"/>
        <w:tabs>
          <w:tab w:leader="none" w:pos="2302" w:val="left"/>
        </w:tabs>
        <w:numPr>
          <w:ilvl w:val="0"/>
          <w:numId w:val="377"/>
        </w:numPr>
        <w:rPr>
          <w:rFonts w:ascii="Arial" w:cs="Arial" w:eastAsia="Arial" w:hAnsi="Arial"/>
          <w:sz w:val="22"/>
          <w:szCs w:val="22"/>
          <w:color w:val="auto"/>
        </w:rPr>
      </w:pPr>
      <w:r>
        <w:rPr>
          <w:rFonts w:ascii="Arial" w:cs="Arial" w:eastAsia="Arial" w:hAnsi="Arial"/>
          <w:sz w:val="22"/>
          <w:szCs w:val="22"/>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158" w:lineRule="exact"/>
        <w:rPr>
          <w:rFonts w:ascii="Arial" w:cs="Arial" w:eastAsia="Arial" w:hAnsi="Arial"/>
          <w:sz w:val="22"/>
          <w:szCs w:val="22"/>
          <w:color w:val="auto"/>
        </w:rPr>
      </w:pPr>
    </w:p>
    <w:p>
      <w:pPr>
        <w:ind w:left="2260" w:hanging="956"/>
        <w:spacing w:after="0"/>
        <w:tabs>
          <w:tab w:leader="none" w:pos="2260" w:val="left"/>
        </w:tabs>
        <w:numPr>
          <w:ilvl w:val="0"/>
          <w:numId w:val="377"/>
        </w:numPr>
        <w:rPr>
          <w:rFonts w:ascii="Arial" w:cs="Arial" w:eastAsia="Arial" w:hAnsi="Arial"/>
          <w:sz w:val="22"/>
          <w:szCs w:val="22"/>
          <w:color w:val="auto"/>
        </w:rPr>
      </w:pPr>
      <w:r>
        <w:rPr>
          <w:rFonts w:ascii="Arial" w:cs="Arial" w:eastAsia="Arial" w:hAnsi="Arial"/>
          <w:sz w:val="22"/>
          <w:szCs w:val="22"/>
          <w:color w:val="auto"/>
        </w:rPr>
        <w:t>Permitted Investments and Restricted Payments that do not violate Section 6.01;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2" w:name="page303"/>
    <w:bookmarkEnd w:id="302"/>
    <w:p>
      <w:pPr>
        <w:ind w:left="660" w:firstLine="644"/>
        <w:spacing w:after="0" w:line="232" w:lineRule="auto"/>
        <w:tabs>
          <w:tab w:leader="none" w:pos="2275" w:val="left"/>
        </w:tabs>
        <w:numPr>
          <w:ilvl w:val="0"/>
          <w:numId w:val="378"/>
        </w:numPr>
        <w:rPr>
          <w:rFonts w:ascii="Arial" w:cs="Arial" w:eastAsia="Arial" w:hAnsi="Arial"/>
          <w:sz w:val="22"/>
          <w:szCs w:val="22"/>
          <w:color w:val="auto"/>
        </w:rPr>
      </w:pPr>
      <w:r>
        <w:rPr>
          <w:rFonts w:ascii="Arial" w:cs="Arial" w:eastAsia="Arial" w:hAnsi="Arial"/>
          <w:sz w:val="22"/>
          <w:szCs w:val="22"/>
          <w:color w:val="auto"/>
        </w:rPr>
        <w:t>loans or advances to employees in the Ordinary Course of Business not to exceed $30,000,000 in the aggregate at any one time outstanding;</w:t>
      </w:r>
    </w:p>
    <w:p>
      <w:pPr>
        <w:spacing w:after="0" w:line="158" w:lineRule="exact"/>
        <w:rPr>
          <w:rFonts w:ascii="Arial" w:cs="Arial" w:eastAsia="Arial" w:hAnsi="Arial"/>
          <w:sz w:val="22"/>
          <w:szCs w:val="22"/>
          <w:color w:val="auto"/>
        </w:rPr>
      </w:pPr>
    </w:p>
    <w:p>
      <w:pPr>
        <w:jc w:val="both"/>
        <w:ind w:left="660" w:firstLine="644"/>
        <w:spacing w:after="0" w:line="226" w:lineRule="auto"/>
        <w:tabs>
          <w:tab w:leader="none" w:pos="2262" w:val="left"/>
        </w:tabs>
        <w:numPr>
          <w:ilvl w:val="0"/>
          <w:numId w:val="378"/>
        </w:numPr>
        <w:rPr>
          <w:rFonts w:ascii="Arial" w:cs="Arial" w:eastAsia="Arial" w:hAnsi="Arial"/>
          <w:sz w:val="21"/>
          <w:szCs w:val="21"/>
          <w:color w:val="auto"/>
        </w:rPr>
      </w:pPr>
      <w:r>
        <w:rPr>
          <w:rFonts w:ascii="Arial" w:cs="Arial" w:eastAsia="Arial" w:hAnsi="Arial"/>
          <w:sz w:val="21"/>
          <w:szCs w:val="21"/>
          <w:color w:val="auto"/>
        </w:rPr>
        <w:t>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w:t>
      </w:r>
    </w:p>
    <w:p>
      <w:pPr>
        <w:spacing w:after="0" w:line="159" w:lineRule="exact"/>
        <w:rPr>
          <w:rFonts w:ascii="Arial" w:cs="Arial" w:eastAsia="Arial" w:hAnsi="Arial"/>
          <w:sz w:val="21"/>
          <w:szCs w:val="21"/>
          <w:color w:val="auto"/>
        </w:rPr>
      </w:pPr>
    </w:p>
    <w:p>
      <w:pPr>
        <w:ind w:left="660" w:firstLine="644"/>
        <w:spacing w:after="0" w:line="232" w:lineRule="auto"/>
        <w:tabs>
          <w:tab w:leader="none" w:pos="2424" w:val="left"/>
        </w:tabs>
        <w:numPr>
          <w:ilvl w:val="0"/>
          <w:numId w:val="378"/>
        </w:numPr>
        <w:rPr>
          <w:rFonts w:ascii="Arial" w:cs="Arial" w:eastAsia="Arial" w:hAnsi="Arial"/>
          <w:sz w:val="22"/>
          <w:szCs w:val="22"/>
          <w:color w:val="auto"/>
        </w:rPr>
      </w:pPr>
      <w:r>
        <w:rPr>
          <w:rFonts w:ascii="Arial" w:cs="Arial" w:eastAsia="Arial" w:hAnsi="Arial"/>
          <w:sz w:val="22"/>
          <w:szCs w:val="22"/>
          <w:color w:val="auto"/>
        </w:rPr>
        <w:t>transactions between or among any of Parent and/or its Subsidiaries or transactions between a Receivables Subsidiary and any Person in which the Receivables Subsidiary has an Investment;</w:t>
      </w:r>
    </w:p>
    <w:p>
      <w:pPr>
        <w:spacing w:after="0" w:line="158" w:lineRule="exact"/>
        <w:rPr>
          <w:rFonts w:ascii="Arial" w:cs="Arial" w:eastAsia="Arial" w:hAnsi="Arial"/>
          <w:sz w:val="22"/>
          <w:szCs w:val="22"/>
          <w:color w:val="auto"/>
        </w:rPr>
      </w:pPr>
    </w:p>
    <w:p>
      <w:pPr>
        <w:ind w:left="2360" w:hanging="1056"/>
        <w:spacing w:after="0"/>
        <w:tabs>
          <w:tab w:leader="none" w:pos="236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any transaction effected as part of a Qualified Receivables Transaction;</w:t>
      </w:r>
    </w:p>
    <w:p>
      <w:pPr>
        <w:spacing w:after="0" w:line="179" w:lineRule="exact"/>
        <w:rPr>
          <w:rFonts w:ascii="Arial" w:cs="Arial" w:eastAsia="Arial" w:hAnsi="Arial"/>
          <w:sz w:val="22"/>
          <w:szCs w:val="22"/>
          <w:color w:val="auto"/>
        </w:rPr>
      </w:pPr>
    </w:p>
    <w:p>
      <w:pPr>
        <w:ind w:left="660" w:firstLine="644"/>
        <w:spacing w:after="0" w:line="232" w:lineRule="auto"/>
        <w:tabs>
          <w:tab w:leader="none" w:pos="237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any purchase by Parent’s Affiliates of Indebtedness of Parent or any of its Restricted Subsidiaries, the majority of which Indebtedness is offered to Persons who are not Affiliates of Parent;</w:t>
      </w:r>
    </w:p>
    <w:p>
      <w:pPr>
        <w:spacing w:after="0" w:line="158" w:lineRule="exact"/>
        <w:rPr>
          <w:rFonts w:ascii="Arial" w:cs="Arial" w:eastAsia="Arial" w:hAnsi="Arial"/>
          <w:sz w:val="22"/>
          <w:szCs w:val="22"/>
          <w:color w:val="auto"/>
        </w:rPr>
      </w:pPr>
    </w:p>
    <w:p>
      <w:pPr>
        <w:ind w:left="2360" w:hanging="1056"/>
        <w:spacing w:after="0"/>
        <w:tabs>
          <w:tab w:leader="none" w:pos="2360" w:val="left"/>
        </w:tabs>
        <w:numPr>
          <w:ilvl w:val="0"/>
          <w:numId w:val="378"/>
        </w:numPr>
        <w:rPr>
          <w:rFonts w:ascii="Arial" w:cs="Arial" w:eastAsia="Arial" w:hAnsi="Arial"/>
          <w:sz w:val="22"/>
          <w:szCs w:val="22"/>
          <w:color w:val="auto"/>
        </w:rPr>
      </w:pPr>
      <w:r>
        <w:rPr>
          <w:rFonts w:ascii="Arial" w:cs="Arial" w:eastAsia="Arial" w:hAnsi="Arial"/>
          <w:sz w:val="22"/>
          <w:szCs w:val="22"/>
          <w:color w:val="auto"/>
        </w:rPr>
        <w:t>transactions contemplated by the Marketing and Service Agreements;</w:t>
      </w:r>
    </w:p>
    <w:p>
      <w:pPr>
        <w:spacing w:after="0" w:line="179" w:lineRule="exact"/>
        <w:rPr>
          <w:rFonts w:ascii="Arial" w:cs="Arial" w:eastAsia="Arial" w:hAnsi="Arial"/>
          <w:sz w:val="22"/>
          <w:szCs w:val="22"/>
          <w:color w:val="auto"/>
        </w:rPr>
      </w:pPr>
    </w:p>
    <w:p>
      <w:pPr>
        <w:jc w:val="both"/>
        <w:ind w:left="660" w:firstLine="644"/>
        <w:spacing w:after="0" w:line="223" w:lineRule="auto"/>
        <w:tabs>
          <w:tab w:leader="none" w:pos="2383" w:val="left"/>
        </w:tabs>
        <w:numPr>
          <w:ilvl w:val="0"/>
          <w:numId w:val="378"/>
        </w:numPr>
        <w:rPr>
          <w:rFonts w:ascii="Arial" w:cs="Arial" w:eastAsia="Arial" w:hAnsi="Arial"/>
          <w:sz w:val="22"/>
          <w:szCs w:val="22"/>
          <w:color w:val="auto"/>
        </w:rPr>
      </w:pPr>
      <w:r>
        <w:rPr>
          <w:rFonts w:ascii="Arial" w:cs="Arial" w:eastAsia="Arial" w:hAnsi="Arial"/>
          <w:sz w:val="22"/>
          <w:szCs w:val="22"/>
          <w:color w:val="auto"/>
        </w:rPr>
        <w:t>transactions between Parent or any of its Restricted Subsidiaries with any employee labor unions or other employee groups of Parent or such Restricted Subsidiary provided such transactions are not otherwise prohibited by this Agreement;</w:t>
      </w:r>
    </w:p>
    <w:p>
      <w:pPr>
        <w:spacing w:after="0" w:line="158" w:lineRule="exact"/>
        <w:rPr>
          <w:rFonts w:ascii="Arial" w:cs="Arial" w:eastAsia="Arial" w:hAnsi="Arial"/>
          <w:sz w:val="22"/>
          <w:szCs w:val="22"/>
          <w:color w:val="auto"/>
        </w:rPr>
      </w:pPr>
    </w:p>
    <w:p>
      <w:pPr>
        <w:ind w:left="2360" w:hanging="1056"/>
        <w:spacing w:after="0"/>
        <w:tabs>
          <w:tab w:leader="none" w:pos="236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transactions with captive insurance companies of Parent or any of its Restricted Subsidiaries; and</w:t>
      </w:r>
    </w:p>
    <w:p>
      <w:pPr>
        <w:spacing w:after="0" w:line="213" w:lineRule="exact"/>
        <w:rPr>
          <w:rFonts w:ascii="Arial" w:cs="Arial" w:eastAsia="Arial" w:hAnsi="Arial"/>
          <w:sz w:val="19"/>
          <w:szCs w:val="19"/>
          <w:color w:val="auto"/>
        </w:rPr>
      </w:pPr>
    </w:p>
    <w:p>
      <w:pPr>
        <w:ind w:left="660" w:firstLine="644"/>
        <w:spacing w:after="0" w:line="245" w:lineRule="exact"/>
        <w:tabs>
          <w:tab w:leader="none" w:pos="2424" w:val="left"/>
        </w:tabs>
        <w:numPr>
          <w:ilvl w:val="0"/>
          <w:numId w:val="378"/>
        </w:numPr>
        <w:rPr>
          <w:rFonts w:ascii="Arial" w:cs="Arial" w:eastAsia="Arial" w:hAnsi="Arial"/>
          <w:sz w:val="19"/>
          <w:szCs w:val="19"/>
          <w:color w:val="auto"/>
        </w:rPr>
      </w:pPr>
      <w:r>
        <w:rPr>
          <w:rFonts w:ascii="Arial" w:cs="Arial" w:eastAsia="Arial" w:hAnsi="Arial"/>
          <w:sz w:val="19"/>
          <w:szCs w:val="19"/>
          <w:color w:val="auto"/>
        </w:rPr>
        <w:t>transactions between or among any of Parent and/or its Subsidiaries or transactions between a Non</w:t>
      </w:r>
      <w:r>
        <w:rPr>
          <w:rFonts w:ascii="MS PGothic" w:cs="MS PGothic" w:eastAsia="MS PGothic" w:hAnsi="MS PGothic"/>
          <w:sz w:val="19"/>
          <w:szCs w:val="19"/>
          <w:color w:val="auto"/>
        </w:rPr>
        <w:t>‑</w:t>
      </w:r>
      <w:r>
        <w:rPr>
          <w:rFonts w:ascii="Arial" w:cs="Arial" w:eastAsia="Arial" w:hAnsi="Arial"/>
          <w:sz w:val="19"/>
          <w:szCs w:val="19"/>
          <w:color w:val="auto"/>
        </w:rPr>
        <w:t>Recourse Financing Subsidiary and any Person in which the Non</w:t>
      </w:r>
      <w:r>
        <w:rPr>
          <w:rFonts w:ascii="MS PGothic" w:cs="MS PGothic" w:eastAsia="MS PGothic" w:hAnsi="MS PGothic"/>
          <w:sz w:val="19"/>
          <w:szCs w:val="19"/>
          <w:color w:val="auto"/>
        </w:rPr>
        <w:t>‑</w:t>
      </w:r>
      <w:r>
        <w:rPr>
          <w:rFonts w:ascii="Arial" w:cs="Arial" w:eastAsia="Arial" w:hAnsi="Arial"/>
          <w:sz w:val="19"/>
          <w:szCs w:val="19"/>
          <w:color w:val="auto"/>
        </w:rPr>
        <w:t>Recourse Financing Subsidiary has an Investment.</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Liens</w:t>
      </w:r>
      <w:r>
        <w:rPr>
          <w:rFonts w:ascii="Arial" w:cs="Arial" w:eastAsia="Arial" w:hAnsi="Arial"/>
          <w:sz w:val="22"/>
          <w:szCs w:val="22"/>
          <w:color w:val="auto"/>
        </w:rPr>
        <w:t xml:space="preserve"> . Parent will not, and will not permit any of its Restricted Subsidiaries to, directly or indirectly, create, incur, assume or suffer to exist any Lien of any kind on any property or asset that constitutes Collateral, except Permitted Liens.</w:t>
      </w:r>
    </w:p>
    <w:p>
      <w:pPr>
        <w:spacing w:after="0" w:line="18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Business Activities</w:t>
      </w:r>
      <w:r>
        <w:rPr>
          <w:rFonts w:ascii="Arial" w:cs="Arial" w:eastAsia="Arial" w:hAnsi="Arial"/>
          <w:sz w:val="22"/>
          <w:szCs w:val="22"/>
          <w:color w:val="auto"/>
        </w:rPr>
        <w:t xml:space="preserve"> . Parent will not, and will not permit any of its Restricted Subsidiaries to, engage in any business other than Permitted Businesses, except to such extent as would not be material to Parent and its Restricted Subsidiaries taken as a whole.</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Liquidity</w:t>
      </w:r>
      <w:r>
        <w:rPr>
          <w:rFonts w:ascii="Arial" w:cs="Arial" w:eastAsia="Arial" w:hAnsi="Arial"/>
          <w:sz w:val="22"/>
          <w:szCs w:val="22"/>
          <w:color w:val="auto"/>
        </w:rPr>
        <w:t xml:space="preserve"> . Parent will not permit the aggregate amount of Liquidity at the close of any Business Day to be less than $2,000,000,000.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3" w:name="page304"/>
    <w:bookmarkEnd w:id="303"/>
    <w:p>
      <w:pPr>
        <w:ind w:left="1300"/>
        <w:spacing w:after="0"/>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Collateral Coverage Ratio</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6" w:lineRule="auto"/>
        <w:tabs>
          <w:tab w:leader="none" w:pos="2238" w:val="left"/>
        </w:tabs>
        <w:numPr>
          <w:ilvl w:val="0"/>
          <w:numId w:val="379"/>
        </w:numPr>
        <w:rPr>
          <w:rFonts w:ascii="Arial" w:cs="Arial" w:eastAsia="Arial" w:hAnsi="Arial"/>
          <w:sz w:val="22"/>
          <w:szCs w:val="22"/>
          <w:color w:val="auto"/>
        </w:rPr>
      </w:pPr>
      <w:r>
        <w:rPr>
          <w:rFonts w:ascii="Arial" w:cs="Arial" w:eastAsia="Arial" w:hAnsi="Arial"/>
          <w:sz w:val="22"/>
          <w:szCs w:val="22"/>
          <w:color w:val="auto"/>
        </w:rPr>
        <w:t xml:space="preserve">Within ten (10) Business Days after (i) delivery of the Second Lien Second Appraisal, or (ii) delivery of any Additional Appraisal (each such day, a “ </w:t>
      </w:r>
      <w:r>
        <w:rPr>
          <w:rFonts w:ascii="Arial" w:cs="Arial" w:eastAsia="Arial" w:hAnsi="Arial"/>
          <w:sz w:val="22"/>
          <w:szCs w:val="22"/>
          <w:i w:val="1"/>
          <w:iCs w:val="1"/>
          <w:color w:val="auto"/>
        </w:rPr>
        <w:t>Reference Date</w:t>
      </w:r>
      <w:r>
        <w:rPr>
          <w:rFonts w:ascii="Arial" w:cs="Arial" w:eastAsia="Arial" w:hAnsi="Arial"/>
          <w:sz w:val="22"/>
          <w:szCs w:val="22"/>
          <w:color w:val="auto"/>
        </w:rPr>
        <w:t xml:space="preserve"> ,” and the tenth Business Day after a Reference Date, the “ </w:t>
      </w:r>
      <w:r>
        <w:rPr>
          <w:rFonts w:ascii="Arial" w:cs="Arial" w:eastAsia="Arial" w:hAnsi="Arial"/>
          <w:sz w:val="22"/>
          <w:szCs w:val="22"/>
          <w:i w:val="1"/>
          <w:iCs w:val="1"/>
          <w:color w:val="auto"/>
        </w:rPr>
        <w:t xml:space="preserve">Certificate Delivery Date </w:t>
      </w:r>
      <w:r>
        <w:rPr>
          <w:rFonts w:ascii="Arial" w:cs="Arial" w:eastAsia="Arial" w:hAnsi="Arial"/>
          <w:sz w:val="22"/>
          <w:szCs w:val="22"/>
          <w:color w:val="auto"/>
        </w:rPr>
        <w:t>”), the Borrower will deliver to the Administrative Agent a Collateral Coverage Ratio Certificate</w:t>
      </w:r>
      <w:r>
        <w:rPr>
          <w:rFonts w:ascii="Arial" w:cs="Arial" w:eastAsia="Arial" w:hAnsi="Arial"/>
          <w:sz w:val="22"/>
          <w:szCs w:val="22"/>
          <w:i w:val="1"/>
          <w:iCs w:val="1"/>
          <w:color w:val="auto"/>
        </w:rPr>
        <w:t xml:space="preserve"> </w:t>
      </w:r>
      <w:r>
        <w:rPr>
          <w:rFonts w:ascii="Arial" w:cs="Arial" w:eastAsia="Arial" w:hAnsi="Arial"/>
          <w:sz w:val="22"/>
          <w:szCs w:val="22"/>
          <w:color w:val="auto"/>
        </w:rPr>
        <w:t>calculating the Collateral Coverage Ratio and certifying that the Collateral includes at least one category of Core Collateral with respect to such Reference Date.</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2250" w:val="left"/>
        </w:tabs>
        <w:numPr>
          <w:ilvl w:val="0"/>
          <w:numId w:val="379"/>
        </w:numPr>
        <w:rPr>
          <w:rFonts w:ascii="Arial" w:cs="Arial" w:eastAsia="Arial" w:hAnsi="Arial"/>
          <w:sz w:val="21"/>
          <w:szCs w:val="21"/>
          <w:color w:val="auto"/>
        </w:rPr>
      </w:pPr>
      <w:r>
        <w:rPr>
          <w:rFonts w:ascii="Arial" w:cs="Arial" w:eastAsia="Arial" w:hAnsi="Arial"/>
          <w:sz w:val="21"/>
          <w:szCs w:val="21"/>
          <w:color w:val="auto"/>
        </w:rPr>
        <w:t>(x) If the Collateral Coverage Ratio with respect to any Reference Date is (i) less than 2.00 to 1.0 with respect to Collateral secured pursuant to the First Lien SGR Security Agreement or (ii) less than 1.33 to 1.0 with respect to Collateral secured pursuant to the Second Lien SGR Security Agreement, then in each case, the Borrower shall, no later than fifteen (15) Business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(i) less than 2.00 to 1.0 with respect to Collateral secured pursuant to the First Lien SGR Security Agreement or (ii) less than 1.33 to 1.0 with respect to Collateral secured pursuant to the Second Lien SGR Security Agreement or (y) if at any time, it is determined that a Core Collateral Failure has occurred, the Borrower shall, no later than fifteen (15) Business Days after the date of such determination, either (A) grant (or cause another grantor to grant) a security interest in Additional Collateral such that following such grant the Collateral shall include at least one category of Core Collateral or (B) prepay the Loans in full in accordance with Section 2.12(h).</w:t>
      </w:r>
    </w:p>
    <w:p>
      <w:pPr>
        <w:spacing w:after="0" w:line="165" w:lineRule="exact"/>
        <w:rPr>
          <w:rFonts w:ascii="Arial" w:cs="Arial" w:eastAsia="Arial" w:hAnsi="Arial"/>
          <w:sz w:val="21"/>
          <w:szCs w:val="21"/>
          <w:color w:val="auto"/>
        </w:rPr>
      </w:pPr>
    </w:p>
    <w:p>
      <w:pPr>
        <w:jc w:val="both"/>
        <w:ind w:firstLine="1304"/>
        <w:spacing w:after="0" w:line="218" w:lineRule="auto"/>
        <w:tabs>
          <w:tab w:leader="none" w:pos="2265" w:val="left"/>
        </w:tabs>
        <w:numPr>
          <w:ilvl w:val="0"/>
          <w:numId w:val="379"/>
        </w:numPr>
        <w:rPr>
          <w:rFonts w:ascii="Arial" w:cs="Arial" w:eastAsia="Arial" w:hAnsi="Arial"/>
          <w:sz w:val="21"/>
          <w:szCs w:val="21"/>
          <w:color w:val="auto"/>
        </w:rPr>
      </w:pPr>
      <w:r>
        <w:rPr>
          <w:rFonts w:ascii="Arial" w:cs="Arial" w:eastAsia="Arial" w:hAnsi="Arial"/>
          <w:sz w:val="21"/>
          <w:szCs w:val="21"/>
          <w:color w:val="auto"/>
        </w:rPr>
        <w:t>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provided, in each case, that the following conditions are satisfied or waived: (A) no Event of Default shall have occurred and be continuing, (B) either (x) after giving effect to such release, the Collateral Coverage Ratio is not (i) less than 2.00 to 1.00 with respect to Collateral secured pursuant to the First Lien SGR Security Agreement or (ii) less than 1.33 to 1.00 with respect to Collateral secured pursuant to the Second Lien SGR Security Agreement or (y)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(i) less than 2.00 to 1.00 with respect to Collateral secured pursuant to the First Lien SGR Security Agreement or (ii) less than 1.33 to 1.00 with respect to Collateral secured pursuant to the Second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04" w:name="page305"/>
    <w:bookmarkEnd w:id="304"/>
    <w:p>
      <w:pPr>
        <w:jc w:val="both"/>
        <w:spacing w:after="0" w:line="224" w:lineRule="auto"/>
        <w:rPr>
          <w:sz w:val="20"/>
          <w:szCs w:val="20"/>
          <w:color w:val="auto"/>
        </w:rPr>
      </w:pPr>
      <w:r>
        <w:rPr>
          <w:rFonts w:ascii="Arial" w:cs="Arial" w:eastAsia="Arial" w:hAnsi="Arial"/>
          <w:sz w:val="21"/>
          <w:szCs w:val="21"/>
          <w:color w:val="auto"/>
        </w:rPr>
        <w:t>Lien SGR Security Agreement, (C) either (x) no Core Collateral Failure shall have occurred as a result of such Borrower Release or (y) the Borrower shall grant (or cause another Grantor to grant) a security interest in additional assets pledged as Additional Collateral that constitute at least one category of Core Collateral and (D) the Borrower shall deliver an Officer’s Certificate and a Collateral Coverage Ratio Certificate (which may be delivered in a combined certificate) demonstrating compliance with this Section 6.09(c) following such release. In connection herewith, the Collateral Agent agrees to promptly provide any documents or releases reasonably requested by the Borrower to evidence such release.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Merger, Consolidation, or Sale of Assets</w:t>
      </w:r>
      <w:r>
        <w:rPr>
          <w:rFonts w:ascii="Arial" w:cs="Arial" w:eastAsia="Arial" w:hAnsi="Arial"/>
          <w:sz w:val="22"/>
          <w:szCs w:val="22"/>
          <w:color w:val="auto"/>
        </w:rPr>
        <w:t xml:space="preserve"> .</w:t>
      </w:r>
    </w:p>
    <w:p>
      <w:pPr>
        <w:spacing w:after="0" w:line="193" w:lineRule="exact"/>
        <w:rPr>
          <w:sz w:val="20"/>
          <w:szCs w:val="20"/>
          <w:color w:val="auto"/>
        </w:rPr>
      </w:pPr>
    </w:p>
    <w:p>
      <w:pPr>
        <w:ind w:left="2260" w:hanging="956"/>
        <w:spacing w:after="0"/>
        <w:tabs>
          <w:tab w:leader="none" w:pos="2260" w:val="left"/>
        </w:tabs>
        <w:numPr>
          <w:ilvl w:val="0"/>
          <w:numId w:val="380"/>
        </w:numPr>
        <w:rPr>
          <w:rFonts w:ascii="Arial" w:cs="Arial" w:eastAsia="Arial" w:hAnsi="Arial"/>
          <w:sz w:val="19"/>
          <w:szCs w:val="19"/>
          <w:color w:val="auto"/>
        </w:rPr>
      </w:pPr>
      <w:r>
        <w:rPr>
          <w:rFonts w:ascii="Arial" w:cs="Arial" w:eastAsia="Arial" w:hAnsi="Arial"/>
          <w:sz w:val="19"/>
          <w:szCs w:val="19"/>
          <w:color w:val="auto"/>
        </w:rPr>
        <w:t xml:space="preserve">Neither Parent nor the Borrower (whichever is applicable, the “ </w:t>
      </w:r>
      <w:r>
        <w:rPr>
          <w:rFonts w:ascii="Arial" w:cs="Arial" w:eastAsia="Arial" w:hAnsi="Arial"/>
          <w:sz w:val="19"/>
          <w:szCs w:val="19"/>
          <w:i w:val="1"/>
          <w:iCs w:val="1"/>
          <w:color w:val="auto"/>
        </w:rPr>
        <w:t>Subject Company</w:t>
      </w:r>
      <w:r>
        <w:rPr>
          <w:rFonts w:ascii="Arial" w:cs="Arial" w:eastAsia="Arial" w:hAnsi="Arial"/>
          <w:sz w:val="19"/>
          <w:szCs w:val="19"/>
          <w:color w:val="auto"/>
        </w:rPr>
        <w:t xml:space="preserve"> ”) shall directly or</w:t>
      </w:r>
    </w:p>
    <w:p>
      <w:pPr>
        <w:spacing w:after="0" w:line="15" w:lineRule="exact"/>
        <w:rPr>
          <w:rFonts w:ascii="Arial" w:cs="Arial" w:eastAsia="Arial" w:hAnsi="Arial"/>
          <w:sz w:val="19"/>
          <w:szCs w:val="19"/>
          <w:color w:val="auto"/>
        </w:rPr>
      </w:pPr>
    </w:p>
    <w:p>
      <w:pPr>
        <w:jc w:val="both"/>
        <w:spacing w:after="0" w:line="217" w:lineRule="auto"/>
        <w:rPr>
          <w:rFonts w:ascii="Arial" w:cs="Arial" w:eastAsia="Arial" w:hAnsi="Arial"/>
          <w:sz w:val="19"/>
          <w:szCs w:val="19"/>
          <w:color w:val="auto"/>
        </w:rPr>
      </w:pPr>
      <w:r>
        <w:rPr>
          <w:rFonts w:ascii="Arial" w:cs="Arial" w:eastAsia="Arial" w:hAnsi="Arial"/>
          <w:sz w:val="22"/>
          <w:szCs w:val="22"/>
          <w:color w:val="auto"/>
        </w:rPr>
        <w:t>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w:t>
      </w:r>
    </w:p>
    <w:p>
      <w:pPr>
        <w:spacing w:after="0" w:line="160" w:lineRule="exact"/>
        <w:rPr>
          <w:sz w:val="20"/>
          <w:szCs w:val="20"/>
          <w:color w:val="auto"/>
        </w:rPr>
      </w:pPr>
    </w:p>
    <w:p>
      <w:pPr>
        <w:ind w:left="2260" w:hanging="956"/>
        <w:spacing w:after="0"/>
        <w:tabs>
          <w:tab w:leader="none" w:pos="226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either:</w:t>
      </w:r>
    </w:p>
    <w:p>
      <w:pPr>
        <w:spacing w:after="0" w:line="179" w:lineRule="exact"/>
        <w:rPr>
          <w:rFonts w:ascii="Arial" w:cs="Arial" w:eastAsia="Arial" w:hAnsi="Arial"/>
          <w:sz w:val="22"/>
          <w:szCs w:val="22"/>
          <w:color w:val="auto"/>
        </w:rPr>
      </w:pPr>
    </w:p>
    <w:p>
      <w:pPr>
        <w:ind w:left="2960" w:hanging="1008"/>
        <w:spacing w:after="0"/>
        <w:tabs>
          <w:tab w:leader="none" w:pos="2960" w:val="left"/>
        </w:tabs>
        <w:numPr>
          <w:ilvl w:val="1"/>
          <w:numId w:val="381"/>
        </w:numPr>
        <w:rPr>
          <w:rFonts w:ascii="Arial" w:cs="Arial" w:eastAsia="Arial" w:hAnsi="Arial"/>
          <w:sz w:val="22"/>
          <w:szCs w:val="22"/>
          <w:color w:val="auto"/>
        </w:rPr>
      </w:pPr>
      <w:r>
        <w:rPr>
          <w:rFonts w:ascii="Arial" w:cs="Arial" w:eastAsia="Arial" w:hAnsi="Arial"/>
          <w:sz w:val="22"/>
          <w:szCs w:val="22"/>
          <w:color w:val="auto"/>
        </w:rPr>
        <w:t>the Subject Company is the surviving corporation; or</w:t>
      </w:r>
    </w:p>
    <w:p>
      <w:pPr>
        <w:spacing w:after="0" w:line="179" w:lineRule="exact"/>
        <w:rPr>
          <w:rFonts w:ascii="Arial" w:cs="Arial" w:eastAsia="Arial" w:hAnsi="Arial"/>
          <w:sz w:val="22"/>
          <w:szCs w:val="22"/>
          <w:color w:val="auto"/>
        </w:rPr>
      </w:pPr>
    </w:p>
    <w:p>
      <w:pPr>
        <w:jc w:val="both"/>
        <w:ind w:left="1300" w:firstLine="652"/>
        <w:spacing w:after="0" w:line="218" w:lineRule="auto"/>
        <w:tabs>
          <w:tab w:leader="none" w:pos="2938" w:val="left"/>
        </w:tabs>
        <w:numPr>
          <w:ilvl w:val="1"/>
          <w:numId w:val="381"/>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w:t>
      </w:r>
    </w:p>
    <w:p>
      <w:pPr>
        <w:spacing w:after="0" w:line="160" w:lineRule="exact"/>
        <w:rPr>
          <w:rFonts w:ascii="Arial" w:cs="Arial" w:eastAsia="Arial" w:hAnsi="Arial"/>
          <w:sz w:val="22"/>
          <w:szCs w:val="22"/>
          <w:color w:val="auto"/>
        </w:rPr>
      </w:pPr>
    </w:p>
    <w:p>
      <w:pPr>
        <w:jc w:val="both"/>
        <w:ind w:left="660" w:firstLine="644"/>
        <w:spacing w:after="0" w:line="229" w:lineRule="auto"/>
        <w:tabs>
          <w:tab w:leader="none" w:pos="2316" w:val="left"/>
        </w:tabs>
        <w:numPr>
          <w:ilvl w:val="0"/>
          <w:numId w:val="381"/>
        </w:numPr>
        <w:rPr>
          <w:rFonts w:ascii="Arial" w:cs="Arial" w:eastAsia="Arial" w:hAnsi="Arial"/>
          <w:sz w:val="21"/>
          <w:szCs w:val="21"/>
          <w:color w:val="auto"/>
        </w:rPr>
      </w:pPr>
      <w:r>
        <w:rPr>
          <w:rFonts w:ascii="Arial" w:cs="Arial" w:eastAsia="Arial" w:hAnsi="Arial"/>
          <w:sz w:val="21"/>
          <w:szCs w:val="21"/>
          <w:color w:val="auto"/>
        </w:rPr>
        <w:t>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w:t>
      </w:r>
    </w:p>
    <w:p>
      <w:pPr>
        <w:spacing w:after="0" w:line="158" w:lineRule="exact"/>
        <w:rPr>
          <w:rFonts w:ascii="Arial" w:cs="Arial" w:eastAsia="Arial" w:hAnsi="Arial"/>
          <w:sz w:val="21"/>
          <w:szCs w:val="21"/>
          <w:color w:val="auto"/>
        </w:rPr>
      </w:pPr>
    </w:p>
    <w:p>
      <w:pPr>
        <w:ind w:left="2260" w:hanging="956"/>
        <w:spacing w:after="0"/>
        <w:tabs>
          <w:tab w:leader="none" w:pos="2260" w:val="left"/>
        </w:tabs>
        <w:numPr>
          <w:ilvl w:val="0"/>
          <w:numId w:val="381"/>
        </w:numPr>
        <w:rPr>
          <w:rFonts w:ascii="Arial" w:cs="Arial" w:eastAsia="Arial" w:hAnsi="Arial"/>
          <w:sz w:val="22"/>
          <w:szCs w:val="22"/>
          <w:color w:val="auto"/>
        </w:rPr>
      </w:pPr>
      <w:r>
        <w:rPr>
          <w:rFonts w:ascii="Arial" w:cs="Arial" w:eastAsia="Arial" w:hAnsi="Arial"/>
          <w:sz w:val="22"/>
          <w:szCs w:val="22"/>
          <w:color w:val="auto"/>
        </w:rPr>
        <w:t>immediately after such transaction, no Event of Default exists; and</w:t>
      </w:r>
    </w:p>
    <w:p>
      <w:pPr>
        <w:spacing w:after="0" w:line="179" w:lineRule="exact"/>
        <w:rPr>
          <w:rFonts w:ascii="Arial" w:cs="Arial" w:eastAsia="Arial" w:hAnsi="Arial"/>
          <w:sz w:val="22"/>
          <w:szCs w:val="22"/>
          <w:color w:val="auto"/>
        </w:rPr>
      </w:pPr>
    </w:p>
    <w:p>
      <w:pPr>
        <w:ind w:left="660" w:firstLine="644"/>
        <w:spacing w:after="0" w:line="232" w:lineRule="auto"/>
        <w:tabs>
          <w:tab w:leader="none" w:pos="2275" w:val="left"/>
        </w:tabs>
        <w:numPr>
          <w:ilvl w:val="0"/>
          <w:numId w:val="381"/>
        </w:numPr>
        <w:rPr>
          <w:rFonts w:ascii="Arial" w:cs="Arial" w:eastAsia="Arial" w:hAnsi="Arial"/>
          <w:sz w:val="22"/>
          <w:szCs w:val="22"/>
          <w:color w:val="auto"/>
        </w:rPr>
      </w:pPr>
      <w:r>
        <w:rPr>
          <w:rFonts w:ascii="Arial" w:cs="Arial" w:eastAsia="Arial" w:hAnsi="Arial"/>
          <w:sz w:val="22"/>
          <w:szCs w:val="22"/>
          <w:color w:val="auto"/>
        </w:rPr>
        <w:t>the Subject Company shall have delivered to the Administrative Agent an Officer’s Certificate stating that such consolidation, merger or transfer complies with this Agreement.</w:t>
      </w:r>
    </w:p>
    <w:p>
      <w:pPr>
        <w:spacing w:after="0" w:line="18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374" w:lineRule="exact"/>
        <w:rPr>
          <w:sz w:val="20"/>
          <w:szCs w:val="20"/>
          <w:color w:val="auto"/>
        </w:rPr>
      </w:pPr>
    </w:p>
    <w:p>
      <w:pPr>
        <w:ind w:firstLine="1304"/>
        <w:spacing w:after="0" w:line="232" w:lineRule="auto"/>
        <w:tabs>
          <w:tab w:leader="none" w:pos="2250" w:val="left"/>
        </w:tabs>
        <w:numPr>
          <w:ilvl w:val="0"/>
          <w:numId w:val="382"/>
        </w:numPr>
        <w:rPr>
          <w:rFonts w:ascii="Arial" w:cs="Arial" w:eastAsia="Arial" w:hAnsi="Arial"/>
          <w:sz w:val="22"/>
          <w:szCs w:val="22"/>
          <w:color w:val="auto"/>
        </w:rPr>
      </w:pPr>
      <w:r>
        <w:rPr>
          <w:rFonts w:ascii="Arial" w:cs="Arial" w:eastAsia="Arial" w:hAnsi="Arial"/>
          <w:sz w:val="22"/>
          <w:szCs w:val="22"/>
          <w:color w:val="auto"/>
        </w:rPr>
        <w:t>Section 6.10(a) will not apply to any sale, assignment, transfer, conveyance, lease or other disposition of assets between or among Parent and/or its Restricted Subsidiaries.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Clauses (3) and (4) of Section 6.10(a) will not apply to any merger, consolidation or transfer of assets: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5" w:name="page306"/>
    <w:bookmarkEnd w:id="305"/>
    <w:p>
      <w:pPr>
        <w:ind w:left="2260" w:hanging="956"/>
        <w:spacing w:after="0"/>
        <w:tabs>
          <w:tab w:leader="none" w:pos="226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between or among Parent and any of Parent’s Restricted Subsidiaries;</w:t>
      </w:r>
    </w:p>
    <w:p>
      <w:pPr>
        <w:spacing w:after="0" w:line="179" w:lineRule="exact"/>
        <w:rPr>
          <w:rFonts w:ascii="Arial" w:cs="Arial" w:eastAsia="Arial" w:hAnsi="Arial"/>
          <w:sz w:val="22"/>
          <w:szCs w:val="22"/>
          <w:color w:val="auto"/>
        </w:rPr>
      </w:pPr>
    </w:p>
    <w:p>
      <w:pPr>
        <w:ind w:left="2280" w:hanging="976"/>
        <w:spacing w:after="0"/>
        <w:tabs>
          <w:tab w:leader="none" w:pos="228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between or among any of Parent’s Restricted Subsidiaries or by a Restricted Subsidiary that is not a</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Guarantor; or</w:t>
      </w:r>
    </w:p>
    <w:p>
      <w:pPr>
        <w:spacing w:after="0" w:line="153" w:lineRule="exact"/>
        <w:rPr>
          <w:rFonts w:ascii="Arial" w:cs="Arial" w:eastAsia="Arial" w:hAnsi="Arial"/>
          <w:sz w:val="19"/>
          <w:szCs w:val="19"/>
          <w:color w:val="auto"/>
        </w:rPr>
      </w:pPr>
    </w:p>
    <w:p>
      <w:pPr>
        <w:ind w:left="2300" w:hanging="996"/>
        <w:spacing w:after="0"/>
        <w:tabs>
          <w:tab w:leader="none" w:pos="2300" w:val="left"/>
        </w:tabs>
        <w:numPr>
          <w:ilvl w:val="0"/>
          <w:numId w:val="383"/>
        </w:numPr>
        <w:rPr>
          <w:rFonts w:ascii="Arial" w:cs="Arial" w:eastAsia="Arial" w:hAnsi="Arial"/>
          <w:sz w:val="21"/>
          <w:szCs w:val="21"/>
          <w:color w:val="auto"/>
        </w:rPr>
      </w:pPr>
      <w:r>
        <w:rPr>
          <w:rFonts w:ascii="Arial" w:cs="Arial" w:eastAsia="Arial" w:hAnsi="Arial"/>
          <w:sz w:val="21"/>
          <w:szCs w:val="21"/>
          <w:color w:val="auto"/>
        </w:rPr>
        <w:t>with or into an Affiliate solely for the purpose of reincorporating a Subject Company in another</w:t>
      </w:r>
    </w:p>
    <w:p>
      <w:pPr>
        <w:ind w:left="660"/>
        <w:spacing w:after="0"/>
        <w:rPr>
          <w:rFonts w:ascii="Arial" w:cs="Arial" w:eastAsia="Arial" w:hAnsi="Arial"/>
          <w:sz w:val="21"/>
          <w:szCs w:val="21"/>
          <w:color w:val="auto"/>
        </w:rPr>
      </w:pPr>
      <w:r>
        <w:rPr>
          <w:rFonts w:ascii="Arial" w:cs="Arial" w:eastAsia="Arial" w:hAnsi="Arial"/>
          <w:sz w:val="22"/>
          <w:szCs w:val="22"/>
          <w:color w:val="auto"/>
        </w:rPr>
        <w:t>jurisdiction.</w:t>
      </w:r>
    </w:p>
    <w:p>
      <w:pPr>
        <w:spacing w:after="0" w:line="161" w:lineRule="exact"/>
        <w:rPr>
          <w:sz w:val="20"/>
          <w:szCs w:val="20"/>
          <w:color w:val="auto"/>
        </w:rPr>
      </w:pPr>
    </w:p>
    <w:p>
      <w:pPr>
        <w:jc w:val="both"/>
        <w:ind w:firstLine="1304"/>
        <w:spacing w:after="0" w:line="243" w:lineRule="auto"/>
        <w:tabs>
          <w:tab w:leader="none" w:pos="2292" w:val="left"/>
        </w:tabs>
        <w:numPr>
          <w:ilvl w:val="0"/>
          <w:numId w:val="384"/>
        </w:numPr>
        <w:rPr>
          <w:rFonts w:ascii="Arial" w:cs="Arial" w:eastAsia="Arial" w:hAnsi="Arial"/>
          <w:sz w:val="19"/>
          <w:szCs w:val="19"/>
          <w:color w:val="auto"/>
        </w:rPr>
      </w:pPr>
      <w:r>
        <w:rPr>
          <w:rFonts w:ascii="Arial" w:cs="Arial" w:eastAsia="Arial" w:hAnsi="Arial"/>
          <w:sz w:val="19"/>
          <w:szCs w:val="19"/>
          <w:color w:val="auto"/>
        </w:rPr>
        <w:t xml:space="preserve">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w:t>
      </w:r>
    </w:p>
    <w:p>
      <w:pPr>
        <w:spacing w:after="0" w:line="220"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xml:space="preserve"> . In the case of the happening of any of the following events and the continuance thereof beyond the applicable grace period if any (each, an “ </w:t>
      </w:r>
      <w:r>
        <w:rPr>
          <w:rFonts w:ascii="Arial" w:cs="Arial" w:eastAsia="Arial" w:hAnsi="Arial"/>
          <w:sz w:val="22"/>
          <w:szCs w:val="22"/>
          <w:i w:val="1"/>
          <w:iCs w:val="1"/>
          <w:color w:val="auto"/>
        </w:rPr>
        <w:t>Event of Default</w:t>
      </w:r>
      <w:r>
        <w:rPr>
          <w:rFonts w:ascii="Arial" w:cs="Arial" w:eastAsia="Arial" w:hAnsi="Arial"/>
          <w:sz w:val="22"/>
          <w:szCs w:val="22"/>
          <w:color w:val="auto"/>
        </w:rPr>
        <w:t xml:space="preserve"> ”):</w:t>
      </w:r>
    </w:p>
    <w:p>
      <w:pPr>
        <w:spacing w:after="0" w:line="148" w:lineRule="exact"/>
        <w:rPr>
          <w:sz w:val="20"/>
          <w:szCs w:val="20"/>
          <w:color w:val="auto"/>
        </w:rPr>
      </w:pPr>
    </w:p>
    <w:p>
      <w:pPr>
        <w:jc w:val="both"/>
        <w:ind w:firstLine="1304"/>
        <w:spacing w:after="0" w:line="216" w:lineRule="auto"/>
        <w:tabs>
          <w:tab w:leader="none" w:pos="2251" w:val="left"/>
        </w:tabs>
        <w:numPr>
          <w:ilvl w:val="0"/>
          <w:numId w:val="385"/>
        </w:numPr>
        <w:rPr>
          <w:rFonts w:ascii="Arial" w:cs="Arial" w:eastAsia="Arial" w:hAnsi="Arial"/>
          <w:sz w:val="22"/>
          <w:szCs w:val="22"/>
          <w:color w:val="auto"/>
        </w:rPr>
      </w:pPr>
      <w:r>
        <w:rPr>
          <w:rFonts w:ascii="Arial" w:cs="Arial" w:eastAsia="Arial" w:hAnsi="Arial"/>
          <w:sz w:val="22"/>
          <w:szCs w:val="22"/>
          <w:color w:val="auto"/>
        </w:rPr>
        <w:t>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w:t>
      </w:r>
    </w:p>
    <w:p>
      <w:pPr>
        <w:spacing w:after="0" w:line="157" w:lineRule="exact"/>
        <w:rPr>
          <w:rFonts w:ascii="Arial" w:cs="Arial" w:eastAsia="Arial" w:hAnsi="Arial"/>
          <w:sz w:val="22"/>
          <w:szCs w:val="22"/>
          <w:color w:val="auto"/>
        </w:rPr>
      </w:pPr>
    </w:p>
    <w:p>
      <w:pPr>
        <w:jc w:val="both"/>
        <w:ind w:firstLine="1304"/>
        <w:spacing w:after="0" w:line="216" w:lineRule="auto"/>
        <w:tabs>
          <w:tab w:leader="none" w:pos="2277" w:val="left"/>
        </w:tabs>
        <w:numPr>
          <w:ilvl w:val="0"/>
          <w:numId w:val="385"/>
        </w:numPr>
        <w:rPr>
          <w:rFonts w:ascii="Arial" w:cs="Arial" w:eastAsia="Arial" w:hAnsi="Arial"/>
          <w:sz w:val="22"/>
          <w:szCs w:val="22"/>
          <w:color w:val="auto"/>
        </w:rPr>
      </w:pPr>
      <w:r>
        <w:rPr>
          <w:rFonts w:ascii="Arial" w:cs="Arial" w:eastAsia="Arial" w:hAnsi="Arial"/>
          <w:sz w:val="22"/>
          <w:szCs w:val="22"/>
          <w:color w:val="auto"/>
        </w:rPr>
        <w:t>default shall be made in the payment of (i) any principal of the Loans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spacing w:after="0" w:line="157" w:lineRule="exact"/>
        <w:rPr>
          <w:rFonts w:ascii="Arial" w:cs="Arial" w:eastAsia="Arial" w:hAnsi="Arial"/>
          <w:sz w:val="22"/>
          <w:szCs w:val="22"/>
          <w:color w:val="auto"/>
        </w:rPr>
      </w:pPr>
    </w:p>
    <w:p>
      <w:pPr>
        <w:ind w:right="20" w:firstLine="1304"/>
        <w:spacing w:after="0" w:line="232" w:lineRule="auto"/>
        <w:tabs>
          <w:tab w:leader="none" w:pos="2238" w:val="left"/>
        </w:tabs>
        <w:numPr>
          <w:ilvl w:val="0"/>
          <w:numId w:val="385"/>
        </w:numPr>
        <w:rPr>
          <w:rFonts w:ascii="Arial" w:cs="Arial" w:eastAsia="Arial" w:hAnsi="Arial"/>
          <w:sz w:val="22"/>
          <w:szCs w:val="22"/>
          <w:color w:val="auto"/>
        </w:rPr>
      </w:pPr>
      <w:r>
        <w:rPr>
          <w:rFonts w:ascii="Arial" w:cs="Arial" w:eastAsia="Arial" w:hAnsi="Arial"/>
          <w:sz w:val="22"/>
          <w:szCs w:val="22"/>
          <w:color w:val="auto"/>
        </w:rPr>
        <w:t>(A) default shall be made by Parent in the due observance of the covenant contained in Section 5.03(1) or 6.09(b), or (B) default shall be made by Parent in the due observance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6" w:name="page307"/>
    <w:bookmarkEnd w:id="306"/>
    <w:p>
      <w:pPr>
        <w:spacing w:after="0"/>
        <w:rPr>
          <w:sz w:val="20"/>
          <w:szCs w:val="20"/>
          <w:color w:val="auto"/>
        </w:rPr>
      </w:pPr>
      <w:r>
        <w:rPr>
          <w:rFonts w:ascii="Arial" w:cs="Arial" w:eastAsia="Arial" w:hAnsi="Arial"/>
          <w:sz w:val="19"/>
          <w:szCs w:val="19"/>
          <w:color w:val="auto"/>
        </w:rPr>
        <w:t>of the covenant contained in Section 6.08 and such default shall continue unremedied for more than ten (10) Business Days; or</w:t>
      </w:r>
    </w:p>
    <w:p>
      <w:pPr>
        <w:spacing w:after="0" w:line="214" w:lineRule="exact"/>
        <w:rPr>
          <w:sz w:val="20"/>
          <w:szCs w:val="20"/>
          <w:color w:val="auto"/>
        </w:rPr>
      </w:pPr>
    </w:p>
    <w:p>
      <w:pPr>
        <w:jc w:val="both"/>
        <w:ind w:firstLine="1304"/>
        <w:spacing w:after="0" w:line="229" w:lineRule="auto"/>
        <w:tabs>
          <w:tab w:leader="none" w:pos="2290" w:val="left"/>
        </w:tabs>
        <w:numPr>
          <w:ilvl w:val="0"/>
          <w:numId w:val="386"/>
        </w:numPr>
        <w:rPr>
          <w:rFonts w:ascii="Arial" w:cs="Arial" w:eastAsia="Arial" w:hAnsi="Arial"/>
          <w:sz w:val="21"/>
          <w:szCs w:val="21"/>
          <w:color w:val="auto"/>
        </w:rPr>
      </w:pPr>
      <w:r>
        <w:rPr>
          <w:rFonts w:ascii="Arial" w:cs="Arial" w:eastAsia="Arial" w:hAnsi="Arial"/>
          <w:sz w:val="21"/>
          <w:szCs w:val="21"/>
          <w:color w:val="auto"/>
        </w:rPr>
        <w:t>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spacing w:after="0" w:line="158" w:lineRule="exact"/>
        <w:rPr>
          <w:rFonts w:ascii="Arial" w:cs="Arial" w:eastAsia="Arial" w:hAnsi="Arial"/>
          <w:sz w:val="21"/>
          <w:szCs w:val="21"/>
          <w:color w:val="auto"/>
        </w:rPr>
      </w:pPr>
    </w:p>
    <w:p>
      <w:pPr>
        <w:jc w:val="both"/>
        <w:ind w:firstLine="1304"/>
        <w:spacing w:after="0" w:line="244" w:lineRule="auto"/>
        <w:tabs>
          <w:tab w:leader="none" w:pos="2251" w:val="left"/>
        </w:tabs>
        <w:numPr>
          <w:ilvl w:val="0"/>
          <w:numId w:val="386"/>
        </w:numPr>
        <w:rPr>
          <w:rFonts w:ascii="Arial" w:cs="Arial" w:eastAsia="Arial" w:hAnsi="Arial"/>
          <w:sz w:val="19"/>
          <w:szCs w:val="19"/>
          <w:color w:val="auto"/>
        </w:rPr>
      </w:pPr>
      <w:r>
        <w:rPr>
          <w:rFonts w:ascii="Arial" w:cs="Arial" w:eastAsia="Arial" w:hAnsi="Arial"/>
          <w:sz w:val="19"/>
          <w:szCs w:val="19"/>
          <w:color w:val="auto"/>
        </w:rPr>
        <w:t>(A)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Agent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w:t>
      </w:r>
    </w:p>
    <w:p>
      <w:pPr>
        <w:spacing w:after="0" w:line="376" w:lineRule="exact"/>
        <w:rPr>
          <w:rFonts w:ascii="Arial" w:cs="Arial" w:eastAsia="Arial" w:hAnsi="Arial"/>
          <w:sz w:val="19"/>
          <w:szCs w:val="19"/>
          <w:color w:val="auto"/>
        </w:rPr>
      </w:pPr>
    </w:p>
    <w:p>
      <w:pPr>
        <w:ind w:firstLine="1304"/>
        <w:spacing w:after="0" w:line="232" w:lineRule="auto"/>
        <w:tabs>
          <w:tab w:leader="none" w:pos="2227"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the Borrower, any Significant Subsidiary or any group of Restricted Subsidiaries of Parent that, taken together, would constitute a Significant Subsidiary pursuant to or within the meaning of Bankruptcy Law:</w:t>
      </w:r>
    </w:p>
    <w:p>
      <w:pPr>
        <w:spacing w:after="0" w:line="158" w:lineRule="exact"/>
        <w:rPr>
          <w:rFonts w:ascii="Arial" w:cs="Arial" w:eastAsia="Arial" w:hAnsi="Arial"/>
          <w:sz w:val="22"/>
          <w:szCs w:val="22"/>
          <w:color w:val="auto"/>
        </w:rPr>
      </w:pPr>
    </w:p>
    <w:p>
      <w:pPr>
        <w:ind w:left="2900" w:hanging="948"/>
        <w:spacing w:after="0"/>
        <w:tabs>
          <w:tab w:leader="none" w:pos="290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commences a voluntary case, or</w:t>
      </w:r>
    </w:p>
    <w:p>
      <w:pPr>
        <w:spacing w:after="0" w:line="179" w:lineRule="exact"/>
        <w:rPr>
          <w:rFonts w:ascii="Arial" w:cs="Arial" w:eastAsia="Arial" w:hAnsi="Arial"/>
          <w:sz w:val="22"/>
          <w:szCs w:val="22"/>
          <w:color w:val="auto"/>
        </w:rPr>
      </w:pPr>
    </w:p>
    <w:p>
      <w:pPr>
        <w:ind w:left="2900" w:hanging="948"/>
        <w:spacing w:after="0"/>
        <w:tabs>
          <w:tab w:leader="none" w:pos="290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 or</w:t>
      </w:r>
    </w:p>
    <w:p>
      <w:pPr>
        <w:spacing w:after="0" w:line="179" w:lineRule="exact"/>
        <w:rPr>
          <w:rFonts w:ascii="Arial" w:cs="Arial" w:eastAsia="Arial" w:hAnsi="Arial"/>
          <w:sz w:val="22"/>
          <w:szCs w:val="22"/>
          <w:color w:val="auto"/>
        </w:rPr>
      </w:pPr>
    </w:p>
    <w:p>
      <w:pPr>
        <w:ind w:left="2900" w:hanging="948"/>
        <w:spacing w:after="0"/>
        <w:tabs>
          <w:tab w:leader="none" w:pos="2900" w:val="left"/>
        </w:tabs>
        <w:numPr>
          <w:ilvl w:val="1"/>
          <w:numId w:val="386"/>
        </w:numPr>
        <w:rPr>
          <w:rFonts w:ascii="Arial" w:cs="Arial" w:eastAsia="Arial" w:hAnsi="Arial"/>
          <w:sz w:val="19"/>
          <w:szCs w:val="19"/>
          <w:color w:val="auto"/>
        </w:rPr>
      </w:pPr>
      <w:r>
        <w:rPr>
          <w:rFonts w:ascii="Arial" w:cs="Arial" w:eastAsia="Arial" w:hAnsi="Arial"/>
          <w:sz w:val="19"/>
          <w:szCs w:val="19"/>
          <w:color w:val="auto"/>
        </w:rPr>
        <w:t>consents to the appointment of a custodian of it or for all or substantially all of its property, or</w:t>
      </w:r>
    </w:p>
    <w:p>
      <w:pPr>
        <w:spacing w:after="0" w:line="213" w:lineRule="exact"/>
        <w:rPr>
          <w:rFonts w:ascii="Arial" w:cs="Arial" w:eastAsia="Arial" w:hAnsi="Arial"/>
          <w:sz w:val="19"/>
          <w:szCs w:val="19"/>
          <w:color w:val="auto"/>
        </w:rPr>
      </w:pPr>
    </w:p>
    <w:p>
      <w:pPr>
        <w:ind w:left="2900" w:hanging="948"/>
        <w:spacing w:after="0"/>
        <w:tabs>
          <w:tab w:leader="none" w:pos="290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179" w:lineRule="exact"/>
        <w:rPr>
          <w:rFonts w:ascii="Arial" w:cs="Arial" w:eastAsia="Arial" w:hAnsi="Arial"/>
          <w:sz w:val="22"/>
          <w:szCs w:val="22"/>
          <w:color w:val="auto"/>
        </w:rPr>
      </w:pPr>
    </w:p>
    <w:p>
      <w:pPr>
        <w:ind w:left="2900" w:hanging="948"/>
        <w:spacing w:after="0"/>
        <w:tabs>
          <w:tab w:leader="none" w:pos="2900" w:val="left"/>
        </w:tabs>
        <w:numPr>
          <w:ilvl w:val="1"/>
          <w:numId w:val="386"/>
        </w:numPr>
        <w:rPr>
          <w:rFonts w:ascii="Arial" w:cs="Arial" w:eastAsia="Arial" w:hAnsi="Arial"/>
          <w:sz w:val="22"/>
          <w:szCs w:val="22"/>
          <w:color w:val="auto"/>
        </w:rPr>
      </w:pPr>
      <w:r>
        <w:rPr>
          <w:rFonts w:ascii="Arial" w:cs="Arial" w:eastAsia="Arial" w:hAnsi="Arial"/>
          <w:sz w:val="22"/>
          <w:szCs w:val="22"/>
          <w:color w:val="auto"/>
        </w:rPr>
        <w:t>admits in writing its inability generally to pay its debts; or</w:t>
      </w:r>
    </w:p>
    <w:p>
      <w:pPr>
        <w:spacing w:after="0" w:line="179" w:lineRule="exact"/>
        <w:rPr>
          <w:rFonts w:ascii="Arial" w:cs="Arial" w:eastAsia="Arial" w:hAnsi="Arial"/>
          <w:sz w:val="22"/>
          <w:szCs w:val="22"/>
          <w:color w:val="auto"/>
        </w:rPr>
      </w:pPr>
    </w:p>
    <w:p>
      <w:pPr>
        <w:ind w:left="2260" w:hanging="956"/>
        <w:spacing w:after="0"/>
        <w:tabs>
          <w:tab w:leader="none" w:pos="2260" w:val="left"/>
        </w:tabs>
        <w:numPr>
          <w:ilvl w:val="0"/>
          <w:numId w:val="386"/>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179" w:lineRule="exact"/>
        <w:rPr>
          <w:rFonts w:ascii="Arial" w:cs="Arial" w:eastAsia="Arial" w:hAnsi="Arial"/>
          <w:sz w:val="22"/>
          <w:szCs w:val="22"/>
          <w:color w:val="auto"/>
        </w:rPr>
      </w:pPr>
    </w:p>
    <w:p>
      <w:pPr>
        <w:ind w:left="1300" w:firstLine="652"/>
        <w:spacing w:after="0" w:line="298" w:lineRule="auto"/>
        <w:tabs>
          <w:tab w:leader="none" w:pos="2902" w:val="left"/>
        </w:tabs>
        <w:numPr>
          <w:ilvl w:val="1"/>
          <w:numId w:val="386"/>
        </w:numPr>
        <w:rPr>
          <w:rFonts w:ascii="Arial" w:cs="Arial" w:eastAsia="Arial" w:hAnsi="Arial"/>
          <w:sz w:val="19"/>
          <w:szCs w:val="19"/>
          <w:color w:val="auto"/>
        </w:rPr>
      </w:pPr>
      <w:r>
        <w:rPr>
          <w:rFonts w:ascii="Arial" w:cs="Arial" w:eastAsia="Arial" w:hAnsi="Arial"/>
          <w:sz w:val="19"/>
          <w:szCs w:val="19"/>
          <w:color w:val="auto"/>
        </w:rPr>
        <w:t>is for relief against Parent, the Borrower, any Significant Subsidiary or any group of Restricted Subsidiaries of Parent that, taken together, would constitute a Significant Subsidiary in an involuntary case;</w:t>
      </w:r>
    </w:p>
    <w:p>
      <w:pPr>
        <w:spacing w:after="0" w:line="105" w:lineRule="exact"/>
        <w:rPr>
          <w:rFonts w:ascii="Arial" w:cs="Arial" w:eastAsia="Arial" w:hAnsi="Arial"/>
          <w:sz w:val="19"/>
          <w:szCs w:val="19"/>
          <w:color w:val="auto"/>
        </w:rPr>
      </w:pPr>
    </w:p>
    <w:p>
      <w:pPr>
        <w:ind w:left="1300" w:firstLine="652"/>
        <w:spacing w:after="0" w:line="232" w:lineRule="auto"/>
        <w:tabs>
          <w:tab w:leader="none" w:pos="2942" w:val="left"/>
        </w:tabs>
        <w:numPr>
          <w:ilvl w:val="1"/>
          <w:numId w:val="386"/>
        </w:numPr>
        <w:rPr>
          <w:rFonts w:ascii="Arial" w:cs="Arial" w:eastAsia="Arial" w:hAnsi="Arial"/>
          <w:sz w:val="22"/>
          <w:szCs w:val="22"/>
          <w:color w:val="auto"/>
        </w:rPr>
      </w:pPr>
      <w:r>
        <w:rPr>
          <w:rFonts w:ascii="Arial" w:cs="Arial" w:eastAsia="Arial" w:hAnsi="Arial"/>
          <w:sz w:val="22"/>
          <w:szCs w:val="22"/>
          <w:color w:val="auto"/>
        </w:rPr>
        <w:t>appoints a custodian of Parent, the Borrower, any Significant Subsidiary or any group of Restricted Subsidiaries of Parent that, taken together,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7" w:name="page308"/>
    <w:bookmarkEnd w:id="307"/>
    <w:p>
      <w:pPr>
        <w:jc w:val="both"/>
        <w:ind w:left="1300"/>
        <w:spacing w:after="0" w:line="223" w:lineRule="auto"/>
        <w:rPr>
          <w:sz w:val="20"/>
          <w:szCs w:val="20"/>
          <w:color w:val="auto"/>
        </w:rPr>
      </w:pPr>
      <w:r>
        <w:rPr>
          <w:rFonts w:ascii="Arial" w:cs="Arial" w:eastAsia="Arial" w:hAnsi="Arial"/>
          <w:sz w:val="22"/>
          <w:szCs w:val="22"/>
          <w:color w:val="auto"/>
        </w:rPr>
        <w:t>would constitute a Significant Subsidiary or for all or substantially all of the property of Parent, the Borrower, any Significant Subsidiary or any group of Restricted Subsidiaries of Parent that, taken together, would constitute a Significant Subsidiary; or</w:t>
      </w:r>
    </w:p>
    <w:p>
      <w:pPr>
        <w:spacing w:after="0" w:line="159" w:lineRule="exact"/>
        <w:rPr>
          <w:sz w:val="20"/>
          <w:szCs w:val="20"/>
          <w:color w:val="auto"/>
        </w:rPr>
      </w:pPr>
    </w:p>
    <w:p>
      <w:pPr>
        <w:ind w:left="1300" w:firstLine="652"/>
        <w:spacing w:after="0" w:line="247" w:lineRule="auto"/>
        <w:tabs>
          <w:tab w:leader="none" w:pos="2942" w:val="left"/>
        </w:tabs>
        <w:numPr>
          <w:ilvl w:val="0"/>
          <w:numId w:val="387"/>
        </w:numPr>
        <w:rPr>
          <w:rFonts w:ascii="Arial" w:cs="Arial" w:eastAsia="Arial" w:hAnsi="Arial"/>
          <w:sz w:val="21"/>
          <w:szCs w:val="21"/>
          <w:color w:val="auto"/>
        </w:rPr>
      </w:pPr>
      <w:r>
        <w:rPr>
          <w:rFonts w:ascii="Arial" w:cs="Arial" w:eastAsia="Arial" w:hAnsi="Arial"/>
          <w:sz w:val="21"/>
          <w:szCs w:val="21"/>
          <w:color w:val="auto"/>
        </w:rPr>
        <w:t>orders the liquidation of Parent, the Borrower, any Significant Subsidiary or any group of Restricted Subsidiaries of Parent that, taken together, would constitute a Significant Subsidiary;</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and in each case the order or decree remains unstayed and in effect for sixty (60) consecutive days;</w:t>
      </w:r>
    </w:p>
    <w:p>
      <w:pPr>
        <w:spacing w:after="0" w:line="200" w:lineRule="exact"/>
        <w:rPr>
          <w:sz w:val="20"/>
          <w:szCs w:val="20"/>
          <w:color w:val="auto"/>
        </w:rPr>
      </w:pPr>
    </w:p>
    <w:p>
      <w:pPr>
        <w:spacing w:after="0" w:line="209" w:lineRule="exact"/>
        <w:rPr>
          <w:sz w:val="20"/>
          <w:szCs w:val="20"/>
          <w:color w:val="auto"/>
        </w:rPr>
      </w:pPr>
    </w:p>
    <w:p>
      <w:pPr>
        <w:jc w:val="both"/>
        <w:ind w:firstLine="1304"/>
        <w:spacing w:after="0" w:line="216" w:lineRule="auto"/>
        <w:tabs>
          <w:tab w:leader="none" w:pos="2263" w:val="left"/>
        </w:tabs>
        <w:numPr>
          <w:ilvl w:val="0"/>
          <w:numId w:val="388"/>
        </w:numPr>
        <w:rPr>
          <w:rFonts w:ascii="Arial" w:cs="Arial" w:eastAsia="Arial" w:hAnsi="Arial"/>
          <w:sz w:val="22"/>
          <w:szCs w:val="22"/>
          <w:color w:val="auto"/>
        </w:rPr>
      </w:pPr>
      <w:r>
        <w:rPr>
          <w:rFonts w:ascii="Arial" w:cs="Arial" w:eastAsia="Arial" w:hAnsi="Arial"/>
          <w:sz w:val="22"/>
          <w:szCs w:val="22"/>
          <w:color w:val="auto"/>
        </w:rPr>
        <w:t>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w:t>
      </w:r>
    </w:p>
    <w:p>
      <w:pPr>
        <w:spacing w:after="0" w:line="157" w:lineRule="exact"/>
        <w:rPr>
          <w:rFonts w:ascii="Arial" w:cs="Arial" w:eastAsia="Arial" w:hAnsi="Arial"/>
          <w:sz w:val="22"/>
          <w:szCs w:val="22"/>
          <w:color w:val="auto"/>
        </w:rPr>
      </w:pPr>
    </w:p>
    <w:p>
      <w:pPr>
        <w:jc w:val="both"/>
        <w:ind w:firstLine="1304"/>
        <w:spacing w:after="0" w:line="244" w:lineRule="auto"/>
        <w:tabs>
          <w:tab w:leader="none" w:pos="2242" w:val="left"/>
        </w:tabs>
        <w:numPr>
          <w:ilvl w:val="0"/>
          <w:numId w:val="388"/>
        </w:numPr>
        <w:rPr>
          <w:rFonts w:ascii="Arial" w:cs="Arial" w:eastAsia="Arial" w:hAnsi="Arial"/>
          <w:sz w:val="19"/>
          <w:szCs w:val="19"/>
          <w:color w:val="auto"/>
        </w:rPr>
      </w:pPr>
      <w:r>
        <w:rPr>
          <w:rFonts w:ascii="Arial" w:cs="Arial" w:eastAsia="Arial" w:hAnsi="Arial"/>
          <w:sz w:val="19"/>
          <w:szCs w:val="19"/>
          <w:color w:val="auto"/>
        </w:rPr>
        <w:t>(1)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w:t>
      </w:r>
    </w:p>
    <w:p>
      <w:pPr>
        <w:spacing w:after="0" w:line="154" w:lineRule="exact"/>
        <w:rPr>
          <w:rFonts w:ascii="Arial" w:cs="Arial" w:eastAsia="Arial" w:hAnsi="Arial"/>
          <w:sz w:val="19"/>
          <w:szCs w:val="19"/>
          <w:color w:val="auto"/>
        </w:rPr>
      </w:pPr>
    </w:p>
    <w:p>
      <w:pPr>
        <w:ind w:firstLine="1304"/>
        <w:spacing w:after="0" w:line="232" w:lineRule="auto"/>
        <w:tabs>
          <w:tab w:leader="none" w:pos="2202" w:val="left"/>
        </w:tabs>
        <w:numPr>
          <w:ilvl w:val="0"/>
          <w:numId w:val="388"/>
        </w:numPr>
        <w:rPr>
          <w:rFonts w:ascii="Arial" w:cs="Arial" w:eastAsia="Arial" w:hAnsi="Arial"/>
          <w:sz w:val="22"/>
          <w:szCs w:val="22"/>
          <w:color w:val="auto"/>
        </w:rPr>
      </w:pPr>
      <w:r>
        <w:rPr>
          <w:rFonts w:ascii="Arial" w:cs="Arial" w:eastAsia="Arial" w:hAnsi="Arial"/>
          <w:sz w:val="22"/>
          <w:szCs w:val="22"/>
          <w:color w:val="auto"/>
        </w:rPr>
        <w:t>a termination of a Plan of the Borrower or an ERISA Affiliate pursuant to Section 4042 of ERISA and such termination would reasonably be expected to result in a Material Adverse Effect;</w:t>
      </w:r>
    </w:p>
    <w:p>
      <w:pPr>
        <w:spacing w:after="0" w:line="18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w:t>
      </w:r>
    </w:p>
    <w:p>
      <w:pPr>
        <w:spacing w:after="0" w:line="374" w:lineRule="exact"/>
        <w:rPr>
          <w:sz w:val="20"/>
          <w:szCs w:val="20"/>
          <w:color w:val="auto"/>
        </w:rPr>
      </w:pPr>
    </w:p>
    <w:p>
      <w:pPr>
        <w:ind w:left="2200" w:hanging="896"/>
        <w:spacing w:after="0"/>
        <w:tabs>
          <w:tab w:leader="none" w:pos="220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terminate forthwith the Commitments;</w:t>
      </w:r>
    </w:p>
    <w:p>
      <w:pPr>
        <w:spacing w:after="0" w:line="179" w:lineRule="exact"/>
        <w:rPr>
          <w:rFonts w:ascii="Arial" w:cs="Arial" w:eastAsia="Arial" w:hAnsi="Arial"/>
          <w:sz w:val="22"/>
          <w:szCs w:val="22"/>
          <w:color w:val="auto"/>
        </w:rPr>
      </w:pPr>
    </w:p>
    <w:p>
      <w:pPr>
        <w:jc w:val="both"/>
        <w:ind w:left="660" w:firstLine="644"/>
        <w:spacing w:after="0" w:line="218" w:lineRule="auto"/>
        <w:tabs>
          <w:tab w:leader="none" w:pos="2274" w:val="left"/>
        </w:tabs>
        <w:numPr>
          <w:ilvl w:val="0"/>
          <w:numId w:val="389"/>
        </w:numPr>
        <w:rPr>
          <w:rFonts w:ascii="Arial" w:cs="Arial" w:eastAsia="Arial" w:hAnsi="Arial"/>
          <w:sz w:val="22"/>
          <w:szCs w:val="22"/>
          <w:color w:val="auto"/>
        </w:rPr>
      </w:pPr>
      <w:r>
        <w:rPr>
          <w:rFonts w:ascii="Arial" w:cs="Arial" w:eastAsia="Arial" w:hAnsi="Arial"/>
          <w:sz w:val="22"/>
          <w:szCs w:val="22"/>
          <w:color w:val="auto"/>
        </w:rPr>
        <w:t>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8" w:name="page309"/>
    <w:bookmarkEnd w:id="308"/>
    <w:p>
      <w:pPr>
        <w:jc w:val="both"/>
        <w:ind w:left="660"/>
        <w:spacing w:after="0" w:line="223" w:lineRule="auto"/>
        <w:rPr>
          <w:sz w:val="20"/>
          <w:szCs w:val="20"/>
          <w:color w:val="auto"/>
        </w:rPr>
      </w:pPr>
      <w:r>
        <w:rPr>
          <w:rFonts w:ascii="Arial" w:cs="Arial" w:eastAsia="Arial" w:hAnsi="Arial"/>
          <w:sz w:val="22"/>
          <w:szCs w:val="22"/>
          <w:color w:val="auto"/>
        </w:rPr>
        <w:t>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w:t>
      </w:r>
    </w:p>
    <w:p>
      <w:pPr>
        <w:spacing w:after="0" w:line="159" w:lineRule="exact"/>
        <w:rPr>
          <w:sz w:val="20"/>
          <w:szCs w:val="20"/>
          <w:color w:val="auto"/>
        </w:rPr>
      </w:pPr>
    </w:p>
    <w:p>
      <w:pPr>
        <w:ind w:left="2320" w:hanging="1016"/>
        <w:spacing w:after="0"/>
        <w:tabs>
          <w:tab w:leader="none" w:pos="2320" w:val="left"/>
        </w:tabs>
        <w:numPr>
          <w:ilvl w:val="0"/>
          <w:numId w:val="390"/>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left="660" w:right="20" w:firstLine="644"/>
        <w:spacing w:after="0" w:line="235" w:lineRule="exact"/>
        <w:tabs>
          <w:tab w:leader="none" w:pos="2322" w:val="left"/>
        </w:tabs>
        <w:numPr>
          <w:ilvl w:val="0"/>
          <w:numId w:val="390"/>
        </w:numPr>
        <w:rPr>
          <w:rFonts w:ascii="Arial" w:cs="Arial" w:eastAsia="Arial" w:hAnsi="Arial"/>
          <w:sz w:val="19"/>
          <w:szCs w:val="19"/>
          <w:color w:val="auto"/>
        </w:rPr>
      </w:pPr>
      <w:r>
        <w:rPr>
          <w:rFonts w:ascii="Arial" w:cs="Arial" w:eastAsia="Arial" w:hAnsi="Arial"/>
          <w:sz w:val="19"/>
          <w:szCs w:val="19"/>
          <w:color w:val="auto"/>
        </w:rPr>
        <w:t>set</w:t>
      </w:r>
      <w:r>
        <w:rPr>
          <w:rFonts w:ascii="MS PGothic" w:cs="MS PGothic" w:eastAsia="MS PGothic" w:hAnsi="MS PGothic"/>
          <w:sz w:val="19"/>
          <w:szCs w:val="19"/>
          <w:color w:val="auto"/>
        </w:rPr>
        <w:t>‑</w:t>
      </w:r>
      <w:r>
        <w:rPr>
          <w:rFonts w:ascii="Arial" w:cs="Arial" w:eastAsia="Arial" w:hAnsi="Arial"/>
          <w:sz w:val="19"/>
          <w:szCs w:val="19"/>
          <w:color w:val="auto"/>
        </w:rPr>
        <w:t>off amounts in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w:t>
      </w:r>
    </w:p>
    <w:p>
      <w:pPr>
        <w:spacing w:after="0" w:line="159" w:lineRule="exact"/>
        <w:rPr>
          <w:rFonts w:ascii="Arial" w:cs="Arial" w:eastAsia="Arial" w:hAnsi="Arial"/>
          <w:sz w:val="19"/>
          <w:szCs w:val="19"/>
          <w:color w:val="auto"/>
        </w:rPr>
      </w:pPr>
    </w:p>
    <w:p>
      <w:pPr>
        <w:ind w:left="660" w:firstLine="644"/>
        <w:spacing w:after="0" w:line="232" w:lineRule="auto"/>
        <w:tabs>
          <w:tab w:leader="none" w:pos="2289" w:val="left"/>
        </w:tabs>
        <w:numPr>
          <w:ilvl w:val="0"/>
          <w:numId w:val="390"/>
        </w:numPr>
        <w:rPr>
          <w:rFonts w:ascii="Arial" w:cs="Arial" w:eastAsia="Arial" w:hAnsi="Arial"/>
          <w:sz w:val="22"/>
          <w:szCs w:val="22"/>
          <w:color w:val="auto"/>
        </w:rPr>
      </w:pPr>
      <w:r>
        <w:rPr>
          <w:rFonts w:ascii="Arial" w:cs="Arial" w:eastAsia="Arial" w:hAnsi="Arial"/>
          <w:sz w:val="22"/>
          <w:szCs w:val="22"/>
          <w:color w:val="auto"/>
        </w:rPr>
        <w:t>exercise any and all remedies under the Loan Documents and under applicable law available to the Administrative Agent and the Lenders.</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w:t>
      </w:r>
    </w:p>
    <w:p>
      <w:pPr>
        <w:spacing w:after="0" w:line="391"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ARTICLE VIII</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THE AGENTS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u w:val="single" w:color="auto"/>
          <w:color w:val="auto"/>
        </w:rPr>
        <w:t>Administration by Agents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26" w:lineRule="auto"/>
        <w:tabs>
          <w:tab w:leader="none" w:pos="2265" w:val="left"/>
        </w:tabs>
        <w:numPr>
          <w:ilvl w:val="0"/>
          <w:numId w:val="391"/>
        </w:numPr>
        <w:rPr>
          <w:rFonts w:ascii="Arial" w:cs="Arial" w:eastAsia="Arial" w:hAnsi="Arial"/>
          <w:sz w:val="21"/>
          <w:szCs w:val="21"/>
          <w:color w:val="auto"/>
        </w:rPr>
      </w:pPr>
      <w:r>
        <w:rPr>
          <w:rFonts w:ascii="Arial" w:cs="Arial" w:eastAsia="Arial" w:hAnsi="Arial"/>
          <w:sz w:val="21"/>
          <w:szCs w:val="21"/>
          <w:color w:val="auto"/>
        </w:rPr>
        <w:t>Each of the Lenders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w:t>
      </w:r>
    </w:p>
    <w:p>
      <w:pPr>
        <w:spacing w:after="0" w:line="159" w:lineRule="exact"/>
        <w:rPr>
          <w:rFonts w:ascii="Arial" w:cs="Arial" w:eastAsia="Arial" w:hAnsi="Arial"/>
          <w:sz w:val="21"/>
          <w:szCs w:val="21"/>
          <w:color w:val="auto"/>
        </w:rPr>
      </w:pPr>
    </w:p>
    <w:p>
      <w:pPr>
        <w:ind w:firstLine="1304"/>
        <w:spacing w:after="0" w:line="232" w:lineRule="auto"/>
        <w:tabs>
          <w:tab w:leader="none" w:pos="2250" w:val="left"/>
        </w:tabs>
        <w:numPr>
          <w:ilvl w:val="0"/>
          <w:numId w:val="391"/>
        </w:numPr>
        <w:rPr>
          <w:rFonts w:ascii="Arial" w:cs="Arial" w:eastAsia="Arial" w:hAnsi="Arial"/>
          <w:sz w:val="22"/>
          <w:szCs w:val="22"/>
          <w:color w:val="auto"/>
        </w:rPr>
      </w:pPr>
      <w:r>
        <w:rPr>
          <w:rFonts w:ascii="Arial" w:cs="Arial" w:eastAsia="Arial" w:hAnsi="Arial"/>
          <w:sz w:val="22"/>
          <w:szCs w:val="22"/>
          <w:color w:val="auto"/>
        </w:rPr>
        <w:t>Each of the Lenders hereby authorizes each of the Administrative Agent and the Collateral Agent, in its sole discretion, where applicable:</w:t>
      </w:r>
    </w:p>
    <w:p>
      <w:pPr>
        <w:spacing w:after="0" w:line="159" w:lineRule="exact"/>
        <w:rPr>
          <w:sz w:val="20"/>
          <w:szCs w:val="20"/>
          <w:color w:val="auto"/>
        </w:rPr>
      </w:pPr>
    </w:p>
    <w:p>
      <w:pPr>
        <w:jc w:val="both"/>
        <w:ind w:left="660" w:firstLine="644"/>
        <w:spacing w:after="0" w:line="247" w:lineRule="auto"/>
        <w:tabs>
          <w:tab w:leader="none" w:pos="2227" w:val="left"/>
        </w:tabs>
        <w:numPr>
          <w:ilvl w:val="0"/>
          <w:numId w:val="392"/>
        </w:numPr>
        <w:rPr>
          <w:rFonts w:ascii="Arial" w:cs="Arial" w:eastAsia="Arial" w:hAnsi="Arial"/>
          <w:sz w:val="19"/>
          <w:szCs w:val="19"/>
          <w:color w:val="auto"/>
        </w:rPr>
      </w:pPr>
      <w:r>
        <w:rPr>
          <w:rFonts w:ascii="Arial" w:cs="Arial" w:eastAsia="Arial" w:hAnsi="Arial"/>
          <w:sz w:val="19"/>
          <w:szCs w:val="19"/>
          <w:color w:val="auto"/>
        </w:rPr>
        <w:t>(A)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Agent,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09" w:name="page310"/>
    <w:bookmarkEnd w:id="309"/>
    <w:p>
      <w:pPr>
        <w:jc w:val="both"/>
        <w:ind w:left="660"/>
        <w:spacing w:after="0" w:line="223" w:lineRule="auto"/>
        <w:rPr>
          <w:sz w:val="20"/>
          <w:szCs w:val="20"/>
          <w:color w:val="auto"/>
        </w:rPr>
      </w:pPr>
      <w:r>
        <w:rPr>
          <w:rFonts w:ascii="Arial" w:cs="Arial" w:eastAsia="Arial" w:hAnsi="Arial"/>
          <w:sz w:val="22"/>
          <w:szCs w:val="22"/>
          <w:color w:val="auto"/>
        </w:rPr>
        <w:t>or (z) as otherwise may be expressly provided in the relevant Collateral Documents, to release a Lien granted to the Collateral Agent, for the benefit of the Secured Parties, on any asset that is part of the Collateral of the Borrower or any other Grantor, as the case may be;</w:t>
      </w:r>
    </w:p>
    <w:p>
      <w:pPr>
        <w:spacing w:after="0" w:line="159" w:lineRule="exact"/>
        <w:rPr>
          <w:sz w:val="20"/>
          <w:szCs w:val="20"/>
          <w:color w:val="auto"/>
        </w:rPr>
      </w:pPr>
    </w:p>
    <w:p>
      <w:pPr>
        <w:jc w:val="both"/>
        <w:ind w:left="660" w:firstLine="644"/>
        <w:spacing w:after="0" w:line="229" w:lineRule="auto"/>
        <w:tabs>
          <w:tab w:leader="none" w:pos="2274" w:val="left"/>
        </w:tabs>
        <w:numPr>
          <w:ilvl w:val="0"/>
          <w:numId w:val="393"/>
        </w:numPr>
        <w:rPr>
          <w:rFonts w:ascii="Arial" w:cs="Arial" w:eastAsia="Arial" w:hAnsi="Arial"/>
          <w:sz w:val="21"/>
          <w:szCs w:val="21"/>
          <w:color w:val="auto"/>
        </w:rPr>
      </w:pPr>
      <w:r>
        <w:rPr>
          <w:rFonts w:ascii="Arial" w:cs="Arial" w:eastAsia="Arial" w:hAnsi="Arial"/>
          <w:sz w:val="21"/>
          <w:szCs w:val="21"/>
          <w:color w:val="auto"/>
        </w:rPr>
        <w:t>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Agent, for the benefit of the Secured Parties;</w:t>
      </w:r>
    </w:p>
    <w:p>
      <w:pPr>
        <w:spacing w:after="0" w:line="158" w:lineRule="exact"/>
        <w:rPr>
          <w:rFonts w:ascii="Arial" w:cs="Arial" w:eastAsia="Arial" w:hAnsi="Arial"/>
          <w:sz w:val="21"/>
          <w:szCs w:val="21"/>
          <w:color w:val="auto"/>
        </w:rPr>
      </w:pPr>
    </w:p>
    <w:p>
      <w:pPr>
        <w:ind w:left="660" w:firstLine="644"/>
        <w:spacing w:after="0" w:line="232" w:lineRule="auto"/>
        <w:tabs>
          <w:tab w:leader="none" w:pos="2374"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to enter into the other Loan Documents on terms acceptable to the Administrative Agent or the Collateral Agent, as applicable, and to perform its respective obligations thereunder;</w:t>
      </w:r>
    </w:p>
    <w:p>
      <w:pPr>
        <w:spacing w:after="0" w:line="158" w:lineRule="exact"/>
        <w:rPr>
          <w:rFonts w:ascii="Arial" w:cs="Arial" w:eastAsia="Arial" w:hAnsi="Arial"/>
          <w:sz w:val="22"/>
          <w:szCs w:val="22"/>
          <w:color w:val="auto"/>
        </w:rPr>
      </w:pPr>
    </w:p>
    <w:p>
      <w:pPr>
        <w:ind w:left="660" w:firstLine="644"/>
        <w:spacing w:after="0" w:line="232" w:lineRule="auto"/>
        <w:tabs>
          <w:tab w:leader="none" w:pos="2349"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to execute any documents or instruments necessary to release any Guarantor from the guarantees provided herein pursuant to Section 9.05;</w:t>
      </w:r>
    </w:p>
    <w:p>
      <w:pPr>
        <w:spacing w:after="0" w:line="158" w:lineRule="exact"/>
        <w:rPr>
          <w:rFonts w:ascii="Arial" w:cs="Arial" w:eastAsia="Arial" w:hAnsi="Arial"/>
          <w:sz w:val="22"/>
          <w:szCs w:val="22"/>
          <w:color w:val="auto"/>
        </w:rPr>
      </w:pPr>
    </w:p>
    <w:p>
      <w:pPr>
        <w:jc w:val="both"/>
        <w:ind w:left="660" w:firstLine="644"/>
        <w:spacing w:after="0" w:line="218" w:lineRule="auto"/>
        <w:tabs>
          <w:tab w:leader="none" w:pos="2316"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to enter into the Collateral Documents, any Intercreditor Agreement or any Other Intercreditor Agreement (and/or subordination agreements on terms reasonably acceptable to the Collateral Agent and the Administrative Agent) and in each case to perform its obligations thereunder and to take such action and to exercise the powers, rights and remedies granted to it thereunder and with respect thereto; and</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2376" w:val="left"/>
        </w:tabs>
        <w:numPr>
          <w:ilvl w:val="0"/>
          <w:numId w:val="393"/>
        </w:numPr>
        <w:rPr>
          <w:rFonts w:ascii="Arial" w:cs="Arial" w:eastAsia="Arial" w:hAnsi="Arial"/>
          <w:sz w:val="22"/>
          <w:szCs w:val="22"/>
          <w:color w:val="auto"/>
        </w:rPr>
      </w:pPr>
      <w:r>
        <w:rPr>
          <w:rFonts w:ascii="Arial" w:cs="Arial" w:eastAsia="Arial" w:hAnsi="Arial"/>
          <w:sz w:val="22"/>
          <w:szCs w:val="22"/>
          <w:color w:val="auto"/>
        </w:rPr>
        <w:t>to enter into any other agreements in the forms contemplated hereby or otherwise reasonably satisfactory to the Administrative Agent granting Liens to the Collateral Agent, for the benefit of the Secured Parties, on any assets of the Borrower or any other Grantor to secure the Obligations.</w:t>
      </w:r>
    </w:p>
    <w:p>
      <w:pPr>
        <w:spacing w:after="0" w:line="159" w:lineRule="exact"/>
        <w:rPr>
          <w:sz w:val="20"/>
          <w:szCs w:val="20"/>
          <w:color w:val="auto"/>
        </w:rPr>
      </w:pPr>
    </w:p>
    <w:p>
      <w:pPr>
        <w:jc w:val="both"/>
        <w:ind w:firstLine="1304"/>
        <w:spacing w:after="0" w:line="223" w:lineRule="auto"/>
        <w:tabs>
          <w:tab w:leader="none" w:pos="2238"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Collateral Agent may appoint the Administrative Agent as its agent for the purposes of holding any Collateral and/or perfecting the Collateral Agent’s security interest therein and for the purpose of taking such other action with respect to the Collateral as such Agents may from time to time agree.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the event any property described in clause (d) of the definition of “Additional Collateral” is to be pledged by the Borrower or any other Grantor as Additional Collateral, the Collateral Agent will appoint Wilmington Trust Company or another trustee designated by the Borrower and reasonably acceptable to the Collateral Agent to serve as the security trustee under the applicable Aircraft Security Agreement with respect to such Additional Collateral, and in such event, references herein to the “Collateral Agent” with respect to such Additional Collateral and such Aircraft Security Agreement, as the context requires, shall be deemed to refer to such security trustee. The Collateral Agent will cause such trustee to join any Intercreditor Agreements and/or any Other Intercreditor Agreements.</w:t>
      </w:r>
    </w:p>
    <w:p>
      <w:pPr>
        <w:spacing w:after="0" w:line="200" w:lineRule="exact"/>
        <w:rPr>
          <w:sz w:val="20"/>
          <w:szCs w:val="20"/>
          <w:color w:val="auto"/>
        </w:rPr>
      </w:pPr>
    </w:p>
    <w:p>
      <w:pPr>
        <w:spacing w:after="0" w:line="21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Rights of Agents</w:t>
      </w:r>
      <w:r>
        <w:rPr>
          <w:rFonts w:ascii="Arial" w:cs="Arial" w:eastAsia="Arial" w:hAnsi="Arial"/>
          <w:sz w:val="22"/>
          <w:szCs w:val="22"/>
          <w:color w:val="auto"/>
        </w:rPr>
        <w:t xml:space="preserve"> .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0" w:name="page311"/>
    <w:bookmarkEnd w:id="310"/>
    <w:p>
      <w:pPr>
        <w:ind w:right="20"/>
        <w:spacing w:after="0" w:line="263" w:lineRule="auto"/>
        <w:rPr>
          <w:sz w:val="20"/>
          <w:szCs w:val="20"/>
          <w:color w:val="auto"/>
        </w:rPr>
      </w:pPr>
      <w:r>
        <w:rPr>
          <w:rFonts w:ascii="Arial" w:cs="Arial" w:eastAsia="Arial" w:hAnsi="Arial"/>
          <w:sz w:val="22"/>
          <w:szCs w:val="22"/>
          <w:color w:val="auto"/>
        </w:rPr>
        <w:t>of business with the Borrower, Parent or any Subsidiary or other Affiliate of Parent as if it were not an Agent hereunder and without any duty to account therefor to the Lenders.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u w:val="single" w:color="auto"/>
          <w:color w:val="auto"/>
        </w:rPr>
        <w:t>Liability of Agents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tabs>
          <w:tab w:leader="none" w:pos="2251" w:val="left"/>
        </w:tabs>
        <w:numPr>
          <w:ilvl w:val="0"/>
          <w:numId w:val="395"/>
        </w:numPr>
        <w:rPr>
          <w:rFonts w:ascii="Arial" w:cs="Arial" w:eastAsia="Arial" w:hAnsi="Arial"/>
          <w:sz w:val="19"/>
          <w:szCs w:val="19"/>
          <w:color w:val="auto"/>
        </w:rPr>
      </w:pPr>
      <w:r>
        <w:rPr>
          <w:rFonts w:ascii="Arial" w:cs="Arial" w:eastAsia="Arial" w:hAnsi="Arial"/>
          <w:sz w:val="19"/>
          <w:szCs w:val="19"/>
          <w:color w:val="auto"/>
        </w:rPr>
        <w:t>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w:t>
      </w:r>
    </w:p>
    <w:p>
      <w:pPr>
        <w:spacing w:after="0" w:line="372" w:lineRule="exact"/>
        <w:rPr>
          <w:rFonts w:ascii="Arial" w:cs="Arial" w:eastAsia="Arial" w:hAnsi="Arial"/>
          <w:sz w:val="19"/>
          <w:szCs w:val="19"/>
          <w:color w:val="auto"/>
        </w:rPr>
      </w:pPr>
    </w:p>
    <w:p>
      <w:pPr>
        <w:jc w:val="both"/>
        <w:ind w:firstLine="1304"/>
        <w:spacing w:after="0" w:line="249" w:lineRule="auto"/>
        <w:tabs>
          <w:tab w:leader="none" w:pos="2250" w:val="left"/>
        </w:tabs>
        <w:numPr>
          <w:ilvl w:val="0"/>
          <w:numId w:val="395"/>
        </w:numPr>
        <w:rPr>
          <w:rFonts w:ascii="Arial" w:cs="Arial" w:eastAsia="Arial" w:hAnsi="Arial"/>
          <w:sz w:val="19"/>
          <w:szCs w:val="19"/>
          <w:color w:val="auto"/>
        </w:rPr>
      </w:pPr>
      <w:r>
        <w:rPr>
          <w:rFonts w:ascii="Arial" w:cs="Arial" w:eastAsia="Arial" w:hAnsi="Arial"/>
          <w:sz w:val="19"/>
          <w:szCs w:val="19"/>
          <w:color w:val="auto"/>
        </w:rPr>
        <w:t>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11" w:name="page312"/>
    <w:bookmarkEnd w:id="311"/>
    <w:p>
      <w:pPr>
        <w:jc w:val="both"/>
        <w:ind w:firstLine="1304"/>
        <w:spacing w:after="0" w:line="225" w:lineRule="exact"/>
        <w:tabs>
          <w:tab w:leader="none" w:pos="2238" w:val="left"/>
        </w:tabs>
        <w:numPr>
          <w:ilvl w:val="0"/>
          <w:numId w:val="396"/>
        </w:numPr>
        <w:rPr>
          <w:rFonts w:ascii="Arial" w:cs="Arial" w:eastAsia="Arial" w:hAnsi="Arial"/>
          <w:sz w:val="19"/>
          <w:szCs w:val="19"/>
          <w:color w:val="auto"/>
        </w:rPr>
      </w:pPr>
      <w:r>
        <w:rPr>
          <w:rFonts w:ascii="Arial" w:cs="Arial" w:eastAsia="Arial" w:hAnsi="Arial"/>
          <w:sz w:val="19"/>
          <w:szCs w:val="19"/>
          <w:color w:val="auto"/>
        </w:rPr>
        <w:t>Each Agent may perform any and all of its duties and exercise its rights and powers by or through any one or more sub</w:t>
      </w:r>
      <w:r>
        <w:rPr>
          <w:rFonts w:ascii="MS PGothic" w:cs="MS PGothic" w:eastAsia="MS PGothic" w:hAnsi="MS PGothic"/>
          <w:sz w:val="19"/>
          <w:szCs w:val="19"/>
          <w:color w:val="auto"/>
        </w:rPr>
        <w:t>‑</w:t>
      </w:r>
      <w:r>
        <w:rPr>
          <w:rFonts w:ascii="Arial" w:cs="Arial" w:eastAsia="Arial" w:hAnsi="Arial"/>
          <w:sz w:val="19"/>
          <w:szCs w:val="19"/>
          <w:color w:val="auto"/>
        </w:rPr>
        <w:t>agents appointed by it (including the Collateral Agent, in the case of the Administrative Agent). Each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may perform any and all of its duties and exercise its rights and powers through its Related Parties. The exculpatory provisions of the preceding paragraphs shall apply to any such sub</w:t>
      </w:r>
      <w:r>
        <w:rPr>
          <w:rFonts w:ascii="MS PGothic" w:cs="MS PGothic" w:eastAsia="MS PGothic" w:hAnsi="MS PGothic"/>
          <w:sz w:val="19"/>
          <w:szCs w:val="19"/>
          <w:color w:val="auto"/>
        </w:rPr>
        <w:t>‑</w:t>
      </w:r>
      <w:r>
        <w:rPr>
          <w:rFonts w:ascii="Arial" w:cs="Arial" w:eastAsia="Arial" w:hAnsi="Arial"/>
          <w:sz w:val="19"/>
          <w:szCs w:val="19"/>
          <w:color w:val="auto"/>
        </w:rPr>
        <w:t>agent and to the Related Parties of each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and shall apply to their respective activities in connection with the syndication of the credit facilities provided for herein as well as activities as Administrative Agent or Collateral Agent.</w:t>
      </w:r>
    </w:p>
    <w:p>
      <w:pPr>
        <w:spacing w:after="0" w:line="162" w:lineRule="exact"/>
        <w:rPr>
          <w:rFonts w:ascii="Arial" w:cs="Arial" w:eastAsia="Arial" w:hAnsi="Arial"/>
          <w:sz w:val="19"/>
          <w:szCs w:val="19"/>
          <w:color w:val="auto"/>
        </w:rPr>
      </w:pPr>
    </w:p>
    <w:p>
      <w:pPr>
        <w:jc w:val="both"/>
        <w:ind w:firstLine="1304"/>
        <w:spacing w:after="0" w:line="218" w:lineRule="auto"/>
        <w:tabs>
          <w:tab w:leader="none" w:pos="2290" w:val="left"/>
        </w:tabs>
        <w:numPr>
          <w:ilvl w:val="0"/>
          <w:numId w:val="396"/>
        </w:numPr>
        <w:rPr>
          <w:rFonts w:ascii="Arial" w:cs="Arial" w:eastAsia="Arial" w:hAnsi="Arial"/>
          <w:sz w:val="22"/>
          <w:szCs w:val="22"/>
          <w:color w:val="auto"/>
        </w:rPr>
      </w:pPr>
      <w:r>
        <w:rPr>
          <w:rFonts w:ascii="Arial" w:cs="Arial" w:eastAsia="Arial" w:hAnsi="Arial"/>
          <w:sz w:val="22"/>
          <w:szCs w:val="22"/>
          <w:color w:val="auto"/>
        </w:rPr>
        <w:t>Anything herein to the contrary notwithstanding, none of the Lead Arranger, Syndication Agent, Documentation Agents or Joint Lead Arrangers and Bookrunners listed on the cover page hereof shall have any powers, duties or responsibilities under this Agreement or any of the other Loan Documents, except in its capacity, as applicable, as the Administrative Agent, Collateral Agent or a Lender.</w:t>
      </w:r>
    </w:p>
    <w:p>
      <w:pPr>
        <w:spacing w:after="0" w:line="160" w:lineRule="exact"/>
        <w:rPr>
          <w:rFonts w:ascii="Arial" w:cs="Arial" w:eastAsia="Arial" w:hAnsi="Arial"/>
          <w:sz w:val="22"/>
          <w:szCs w:val="22"/>
          <w:color w:val="auto"/>
        </w:rPr>
      </w:pPr>
    </w:p>
    <w:p>
      <w:pPr>
        <w:jc w:val="both"/>
        <w:ind w:firstLine="1304"/>
        <w:spacing w:after="0" w:line="244" w:lineRule="auto"/>
        <w:tabs>
          <w:tab w:leader="none" w:pos="2238" w:val="left"/>
        </w:tabs>
        <w:numPr>
          <w:ilvl w:val="0"/>
          <w:numId w:val="396"/>
        </w:numPr>
        <w:rPr>
          <w:rFonts w:ascii="Arial" w:cs="Arial" w:eastAsia="Arial" w:hAnsi="Arial"/>
          <w:sz w:val="19"/>
          <w:szCs w:val="19"/>
          <w:color w:val="auto"/>
        </w:rPr>
      </w:pPr>
      <w:r>
        <w:rPr>
          <w:rFonts w:ascii="Arial" w:cs="Arial" w:eastAsia="Arial" w:hAnsi="Arial"/>
          <w:sz w:val="19"/>
          <w:szCs w:val="19"/>
          <w:color w:val="auto"/>
        </w:rPr>
        <w:t>No Agent shall have any obligation whatsoever to the Lenders or to any other Person to assure that the Collateral exists or is owned by the applicable Grantor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it being understood and agreed that (as between the Collateral Agent and the Lenders)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in a final non-appealable judgment by a court of competent jurisdiction.</w:t>
      </w:r>
    </w:p>
    <w:p>
      <w:pPr>
        <w:spacing w:after="0" w:line="154" w:lineRule="exact"/>
        <w:rPr>
          <w:rFonts w:ascii="Arial" w:cs="Arial" w:eastAsia="Arial" w:hAnsi="Arial"/>
          <w:sz w:val="19"/>
          <w:szCs w:val="19"/>
          <w:color w:val="auto"/>
        </w:rPr>
      </w:pPr>
    </w:p>
    <w:p>
      <w:pPr>
        <w:jc w:val="both"/>
        <w:ind w:firstLine="1304"/>
        <w:spacing w:after="0" w:line="229" w:lineRule="auto"/>
        <w:tabs>
          <w:tab w:leader="none" w:pos="2214" w:val="left"/>
        </w:tabs>
        <w:numPr>
          <w:ilvl w:val="0"/>
          <w:numId w:val="396"/>
        </w:numPr>
        <w:rPr>
          <w:rFonts w:ascii="Arial" w:cs="Arial" w:eastAsia="Arial" w:hAnsi="Arial"/>
          <w:sz w:val="21"/>
          <w:szCs w:val="21"/>
          <w:color w:val="auto"/>
        </w:rPr>
      </w:pPr>
      <w:r>
        <w:rPr>
          <w:rFonts w:ascii="Arial" w:cs="Arial" w:eastAsia="Arial" w:hAnsi="Arial"/>
          <w:sz w:val="21"/>
          <w:szCs w:val="21"/>
          <w:color w:val="auto"/>
        </w:rPr>
        <w:t>Any assignor of a Loan or seller of a participation hereunder shall be entitled to rely conclusively on a representation of the assignee Lender or Participant in the relevant Assignment and Acceptance or participation agreement, as applicable, that such assignee or purchaser is not a Disqualified Institution. No Agent shall have any responsibility or liability for monitoring the list or identities of, or enforcing provisions relating to, Disqualified Institutions.</w:t>
      </w:r>
    </w:p>
    <w:p>
      <w:pPr>
        <w:spacing w:after="0" w:line="185"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u w:val="single" w:color="auto"/>
          <w:color w:val="auto"/>
        </w:rPr>
        <w:t>Reimbursement and Indemnification</w:t>
      </w:r>
      <w:r>
        <w:rPr>
          <w:rFonts w:ascii="Arial" w:cs="Arial" w:eastAsia="Arial" w:hAnsi="Arial"/>
          <w:sz w:val="19"/>
          <w:szCs w:val="19"/>
          <w:color w:val="auto"/>
        </w:rPr>
        <w:t xml:space="preserve"> .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2" w:name="page313"/>
    <w:bookmarkEnd w:id="312"/>
    <w:p>
      <w:pPr>
        <w:jc w:val="both"/>
        <w:spacing w:after="0" w:line="259" w:lineRule="auto"/>
        <w:rPr>
          <w:sz w:val="20"/>
          <w:szCs w:val="20"/>
          <w:color w:val="auto"/>
        </w:rPr>
      </w:pPr>
      <w:r>
        <w:rPr>
          <w:rFonts w:ascii="Arial" w:cs="Arial" w:eastAsia="Arial" w:hAnsi="Arial"/>
          <w:sz w:val="21"/>
          <w:szCs w:val="21"/>
          <w:color w:val="auto"/>
        </w:rPr>
        <w:t>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the Collateral Agent, the Lead Arranger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w:t>
      </w:r>
    </w:p>
    <w:p>
      <w:pPr>
        <w:spacing w:after="0" w:line="183" w:lineRule="exact"/>
        <w:rPr>
          <w:sz w:val="20"/>
          <w:szCs w:val="20"/>
          <w:color w:val="auto"/>
        </w:rPr>
      </w:pPr>
    </w:p>
    <w:p>
      <w:pPr>
        <w:jc w:val="both"/>
        <w:ind w:firstLine="1296"/>
        <w:spacing w:after="0" w:line="258" w:lineRule="exact"/>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u w:val="single" w:color="auto"/>
          <w:color w:val="auto"/>
        </w:rPr>
        <w:t>Successor Agents</w:t>
      </w:r>
      <w:r>
        <w:rPr>
          <w:rFonts w:ascii="Arial" w:cs="Arial" w:eastAsia="Arial" w:hAnsi="Arial"/>
          <w:sz w:val="19"/>
          <w:szCs w:val="19"/>
          <w:color w:val="auto"/>
        </w:rPr>
        <w:t xml:space="preserve"> . Any Agent (i) may be removed by the Borrower or the Required Lenders if such Agent or a controlling affiliate of such Agent is a Defaulting Lender and (ii) may resign upon ten (10) days’ notice to the Lenders and the Borrower. Upon any such removal or resignation by any Agent, the Required Lenders shall appoint, with the consent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w:t>
      </w:r>
      <w:r>
        <w:rPr>
          <w:rFonts w:ascii="MS PGothic" w:cs="MS PGothic" w:eastAsia="MS PGothic" w:hAnsi="MS PGothic"/>
          <w:sz w:val="19"/>
          <w:szCs w:val="19"/>
          <w:color w:val="auto"/>
        </w:rPr>
        <w:t>‑</w:t>
      </w:r>
      <w:r>
        <w:rPr>
          <w:rFonts w:ascii="Arial" w:cs="Arial" w:eastAsia="Arial" w:hAnsi="Arial"/>
          <w:sz w:val="19"/>
          <w:szCs w:val="19"/>
          <w:color w:val="auto"/>
        </w:rPr>
        <w:t>agents and their respective Related Parties in respect of any actions taken or omitted to be taken by any of them while it was acting as an Agent.</w:t>
      </w:r>
    </w:p>
    <w:p>
      <w:pPr>
        <w:spacing w:after="0" w:line="20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21"/>
          <w:szCs w:val="21"/>
          <w:color w:val="auto"/>
        </w:rPr>
        <w:t xml:space="preserve">SECTION 8.06. </w:t>
      </w:r>
      <w:r>
        <w:rPr>
          <w:rFonts w:ascii="Arial" w:cs="Arial" w:eastAsia="Arial" w:hAnsi="Arial"/>
          <w:sz w:val="21"/>
          <w:szCs w:val="21"/>
          <w:u w:val="single" w:color="auto"/>
          <w:color w:val="auto"/>
        </w:rPr>
        <w:t>Independent Lenders</w:t>
      </w:r>
      <w:r>
        <w:rPr>
          <w:rFonts w:ascii="Arial" w:cs="Arial" w:eastAsia="Arial" w:hAnsi="Arial"/>
          <w:sz w:val="21"/>
          <w:szCs w:val="21"/>
          <w:color w:val="auto"/>
        </w:rPr>
        <w:t xml:space="preserve"> . Each Lender 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Advances and Payments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4" w:lineRule="auto"/>
        <w:tabs>
          <w:tab w:leader="none" w:pos="2238" w:val="left"/>
        </w:tabs>
        <w:numPr>
          <w:ilvl w:val="0"/>
          <w:numId w:val="397"/>
        </w:numPr>
        <w:rPr>
          <w:rFonts w:ascii="Arial" w:cs="Arial" w:eastAsia="Arial" w:hAnsi="Arial"/>
          <w:sz w:val="22"/>
          <w:szCs w:val="22"/>
          <w:color w:val="auto"/>
        </w:rPr>
      </w:pPr>
      <w:r>
        <w:rPr>
          <w:rFonts w:ascii="Arial" w:cs="Arial" w:eastAsia="Arial" w:hAnsi="Arial"/>
          <w:sz w:val="22"/>
          <w:szCs w:val="22"/>
          <w:color w:val="auto"/>
        </w:rPr>
        <w:t>On the date of each Loan, the Administrative Agent shall be authorized (but not obligated) to advance, for the account of each of the Lenders, the amount of the Loan to be made by it in accordance with its Term Loan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13" w:name="page314"/>
    <w:bookmarkEnd w:id="313"/>
    <w:p>
      <w:pPr>
        <w:jc w:val="both"/>
        <w:ind w:firstLine="1304"/>
        <w:spacing w:after="0" w:line="224" w:lineRule="auto"/>
        <w:tabs>
          <w:tab w:leader="none" w:pos="2277" w:val="left"/>
        </w:tabs>
        <w:numPr>
          <w:ilvl w:val="0"/>
          <w:numId w:val="398"/>
        </w:numPr>
        <w:rPr>
          <w:rFonts w:ascii="Arial" w:cs="Arial" w:eastAsia="Arial" w:hAnsi="Arial"/>
          <w:sz w:val="21"/>
          <w:szCs w:val="21"/>
          <w:color w:val="auto"/>
        </w:rPr>
      </w:pPr>
      <w:r>
        <w:rPr>
          <w:rFonts w:ascii="Arial" w:cs="Arial" w:eastAsia="Arial" w:hAnsi="Arial"/>
          <w:sz w:val="21"/>
          <w:szCs w:val="21"/>
          <w:color w:val="auto"/>
        </w:rPr>
        <w:t>Any amounts received by the Administrative Agent in connection with this Agreement (other than amounts to which the Administrative Agent is entitled pursuant to Sections 2.20,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187" w:lineRule="exact"/>
        <w:rPr>
          <w:sz w:val="20"/>
          <w:szCs w:val="20"/>
          <w:color w:val="auto"/>
        </w:rPr>
      </w:pPr>
    </w:p>
    <w:p>
      <w:pPr>
        <w:jc w:val="both"/>
        <w:ind w:firstLine="1296"/>
        <w:spacing w:after="0" w:line="257" w:lineRule="exact"/>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Sharing of Setoffs</w:t>
      </w:r>
      <w:r>
        <w:rPr>
          <w:rFonts w:ascii="Arial" w:cs="Arial" w:eastAsia="Arial" w:hAnsi="Arial"/>
          <w:sz w:val="19"/>
          <w:szCs w:val="19"/>
          <w:color w:val="auto"/>
        </w:rPr>
        <w:t xml:space="preserve"> .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as a result of which the unpaid portion of its Loans is proportionately less than the unpaid portion of the Loans of any other Lender (a) it shall promptly purchase at par (and shall be deemed to have thereupon purchased) from such other Lender a participation in the Loans of such other Lender, so that the aggregate unpaid principal amount of each Lender’s Loans and its participation in Loans of the other Lenders shall be in the same proportion to the aggregate unpaid principal amount of all Loans then outstanding as the principal amount of its Loans prior to the obtaining of such payment was to the principal amount of all Loans outstanding prior to the obtaining of such payment and (b) such other adjustments shall be made from time to time as shall be equitable to ensure that the Lenders share such payment pro rata;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non</w:t>
      </w:r>
      <w:r>
        <w:rPr>
          <w:rFonts w:ascii="MS PGothic" w:cs="MS PGothic" w:eastAsia="MS PGothic" w:hAnsi="MS PGothic"/>
          <w:sz w:val="19"/>
          <w:szCs w:val="19"/>
          <w:color w:val="auto"/>
        </w:rPr>
        <w:t>‑</w:t>
      </w:r>
      <w:r>
        <w:rPr>
          <w:rFonts w:ascii="Arial" w:cs="Arial" w:eastAsia="Arial" w:hAnsi="Arial"/>
          <w:sz w:val="19"/>
          <w:szCs w:val="19"/>
          <w:color w:val="auto"/>
        </w:rPr>
        <w:t>pro</w:t>
      </w:r>
      <w:r>
        <w:rPr>
          <w:rFonts w:ascii="MS PGothic" w:cs="MS PGothic" w:eastAsia="MS PGothic" w:hAnsi="MS PGothic"/>
          <w:sz w:val="19"/>
          <w:szCs w:val="19"/>
          <w:color w:val="auto"/>
        </w:rPr>
        <w:t>‑</w:t>
      </w:r>
      <w:r>
        <w:rPr>
          <w:rFonts w:ascii="Arial" w:cs="Arial" w:eastAsia="Arial" w:hAnsi="Arial"/>
          <w:sz w:val="19"/>
          <w:szCs w:val="19"/>
          <w:color w:val="auto"/>
        </w:rPr>
        <w:t>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212" w:lineRule="exact"/>
        <w:rPr>
          <w:sz w:val="20"/>
          <w:szCs w:val="20"/>
          <w:color w:val="auto"/>
        </w:rPr>
      </w:pPr>
    </w:p>
    <w:p>
      <w:pPr>
        <w:jc w:val="both"/>
        <w:ind w:firstLine="1296"/>
        <w:spacing w:after="0" w:line="292" w:lineRule="auto"/>
        <w:rPr>
          <w:sz w:val="20"/>
          <w:szCs w:val="20"/>
          <w:color w:val="auto"/>
        </w:rPr>
      </w:pPr>
      <w:r>
        <w:rPr>
          <w:rFonts w:ascii="Arial" w:cs="Arial" w:eastAsia="Arial" w:hAnsi="Arial"/>
          <w:sz w:val="19"/>
          <w:szCs w:val="19"/>
          <w:color w:val="auto"/>
        </w:rPr>
        <w:t xml:space="preserve">SECTION 8.09. </w:t>
      </w:r>
      <w:r>
        <w:rPr>
          <w:rFonts w:ascii="Arial" w:cs="Arial" w:eastAsia="Arial" w:hAnsi="Arial"/>
          <w:sz w:val="19"/>
          <w:szCs w:val="19"/>
          <w:u w:val="single" w:color="auto"/>
          <w:color w:val="auto"/>
        </w:rPr>
        <w:t>Withholding Taxes</w:t>
      </w:r>
      <w:r>
        <w:rPr>
          <w:rFonts w:ascii="Arial" w:cs="Arial" w:eastAsia="Arial" w:hAnsi="Arial"/>
          <w:sz w:val="19"/>
          <w:szCs w:val="19"/>
          <w:color w:val="auto"/>
        </w:rPr>
        <w:t xml:space="preserve"> .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or otherwise, including any penalties or interest and together with any expenses incurred.</w:t>
      </w:r>
    </w:p>
    <w:p>
      <w:pPr>
        <w:spacing w:after="0" w:line="15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Appointment by Secured Parties</w:t>
      </w:r>
      <w:r>
        <w:rPr>
          <w:rFonts w:ascii="Arial" w:cs="Arial" w:eastAsia="Arial" w:hAnsi="Arial"/>
          <w:sz w:val="22"/>
          <w:szCs w:val="22"/>
          <w:color w:val="auto"/>
        </w:rPr>
        <w:t xml:space="preserve"> . Each Secured Party that is not a party to this Agreement shall be deemed to have appointed each of the Administrative Agent and the Collateral Agent as its agent under the Loan Documents in accordance with the terms of this Article VIII and to have acknowledged that the provisions of this Article VIII apply to such Secured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4" w:name="page315"/>
    <w:bookmarkEnd w:id="314"/>
    <w:p>
      <w:pPr>
        <w:jc w:val="both"/>
        <w:spacing w:after="0" w:line="263" w:lineRule="auto"/>
        <w:rPr>
          <w:sz w:val="20"/>
          <w:szCs w:val="20"/>
          <w:color w:val="auto"/>
        </w:rPr>
      </w:pPr>
      <w:r>
        <w:rPr>
          <w:rFonts w:ascii="Arial" w:cs="Arial" w:eastAsia="Arial" w:hAnsi="Arial"/>
          <w:sz w:val="22"/>
          <w:szCs w:val="22"/>
          <w:color w:val="auto"/>
        </w:rPr>
        <w:t xml:space="preserve">Party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as though it were a party hereto (and any acceptance by such Secured Party of the benefits of this Agreement or any other Loan Document shall be deemed an acknowledgment of the foregoing).</w:t>
      </w:r>
    </w:p>
    <w:p>
      <w:pPr>
        <w:spacing w:after="0" w:line="17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Delivery of Information</w:t>
      </w:r>
      <w:r>
        <w:rPr>
          <w:rFonts w:ascii="Arial" w:cs="Arial" w:eastAsia="Arial" w:hAnsi="Arial"/>
          <w:sz w:val="21"/>
          <w:szCs w:val="21"/>
          <w:color w:val="auto"/>
        </w:rPr>
        <w:t xml:space="preserve"> .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w:t>
      </w:r>
    </w:p>
    <w:p>
      <w:pPr>
        <w:spacing w:after="0" w:line="18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IX</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GUARANTY</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Guaranty</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1" w:lineRule="auto"/>
        <w:tabs>
          <w:tab w:leader="none" w:pos="2251" w:val="left"/>
        </w:tabs>
        <w:numPr>
          <w:ilvl w:val="0"/>
          <w:numId w:val="399"/>
        </w:numPr>
        <w:rPr>
          <w:rFonts w:ascii="Arial" w:cs="Arial" w:eastAsia="Arial" w:hAnsi="Arial"/>
          <w:sz w:val="22"/>
          <w:szCs w:val="22"/>
          <w:color w:val="auto"/>
        </w:rPr>
      </w:pPr>
      <w:r>
        <w:rPr>
          <w:rFonts w:ascii="Arial" w:cs="Arial" w:eastAsia="Arial" w:hAnsi="Arial"/>
          <w:sz w:val="22"/>
          <w:szCs w:val="22"/>
          <w:color w:val="auto"/>
        </w:rPr>
        <w:t xml:space="preserve">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 </w:t>
      </w:r>
      <w:r>
        <w:rPr>
          <w:rFonts w:ascii="Arial" w:cs="Arial" w:eastAsia="Arial" w:hAnsi="Arial"/>
          <w:sz w:val="22"/>
          <w:szCs w:val="22"/>
          <w:i w:val="1"/>
          <w:iCs w:val="1"/>
          <w:color w:val="auto"/>
        </w:rPr>
        <w:t>Guaranteed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Obligations </w:t>
      </w:r>
      <w:r>
        <w:rPr>
          <w:rFonts w:ascii="Arial" w:cs="Arial" w:eastAsia="Arial" w:hAnsi="Arial"/>
          <w:sz w:val="22"/>
          <w:szCs w:val="22"/>
          <w:color w:val="auto"/>
        </w:rPr>
        <w:t>” and the obligations of each Guarantor in respect thereof, its “</w:t>
      </w:r>
      <w:r>
        <w:rPr>
          <w:rFonts w:ascii="Arial" w:cs="Arial" w:eastAsia="Arial" w:hAnsi="Arial"/>
          <w:sz w:val="22"/>
          <w:szCs w:val="22"/>
          <w:i w:val="1"/>
          <w:iCs w:val="1"/>
          <w:color w:val="auto"/>
        </w:rPr>
        <w:t xml:space="preserve"> Guaranty Obligations </w:t>
      </w:r>
      <w:r>
        <w:rPr>
          <w:rFonts w:ascii="Arial" w:cs="Arial" w:eastAsia="Arial" w:hAnsi="Arial"/>
          <w:sz w:val="22"/>
          <w:szCs w:val="22"/>
          <w:color w:val="auto"/>
        </w:rPr>
        <w:t>”). Each of the Guarantors</w:t>
      </w:r>
      <w:r>
        <w:rPr>
          <w:rFonts w:ascii="Arial" w:cs="Arial" w:eastAsia="Arial" w:hAnsi="Arial"/>
          <w:sz w:val="22"/>
          <w:szCs w:val="22"/>
          <w:i w:val="1"/>
          <w:iCs w:val="1"/>
          <w:color w:val="auto"/>
        </w:rPr>
        <w:t xml:space="preserve"> </w:t>
      </w:r>
      <w:r>
        <w:rPr>
          <w:rFonts w:ascii="Arial" w:cs="Arial" w:eastAsia="Arial" w:hAnsi="Arial"/>
          <w:sz w:val="22"/>
          <w:szCs w:val="22"/>
          <w:color w:val="auto"/>
        </w:rPr>
        <w:t>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w:t>
      </w:r>
    </w:p>
    <w:p>
      <w:pPr>
        <w:spacing w:after="0" w:line="158" w:lineRule="exact"/>
        <w:rPr>
          <w:rFonts w:ascii="Arial" w:cs="Arial" w:eastAsia="Arial" w:hAnsi="Arial"/>
          <w:sz w:val="22"/>
          <w:szCs w:val="22"/>
          <w:color w:val="auto"/>
        </w:rPr>
      </w:pPr>
    </w:p>
    <w:p>
      <w:pPr>
        <w:jc w:val="both"/>
        <w:ind w:firstLine="1304"/>
        <w:spacing w:after="0" w:line="214" w:lineRule="auto"/>
        <w:tabs>
          <w:tab w:leader="none" w:pos="2250" w:val="left"/>
        </w:tabs>
        <w:numPr>
          <w:ilvl w:val="0"/>
          <w:numId w:val="399"/>
        </w:numPr>
        <w:rPr>
          <w:rFonts w:ascii="Arial" w:cs="Arial" w:eastAsia="Arial" w:hAnsi="Arial"/>
          <w:sz w:val="22"/>
          <w:szCs w:val="22"/>
          <w:color w:val="auto"/>
        </w:rPr>
      </w:pPr>
      <w:r>
        <w:rPr>
          <w:rFonts w:ascii="Arial" w:cs="Arial" w:eastAsia="Arial" w:hAnsi="Arial"/>
          <w:sz w:val="22"/>
          <w:szCs w:val="22"/>
          <w:color w:val="auto"/>
        </w:rPr>
        <w:t xml:space="preserve">Anything herein or in any other Loan Document to the contrary notwithstanding, 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2251" w:val="left"/>
        </w:tabs>
        <w:numPr>
          <w:ilvl w:val="0"/>
          <w:numId w:val="399"/>
        </w:numPr>
        <w:rPr>
          <w:rFonts w:ascii="Arial" w:cs="Arial" w:eastAsia="Arial" w:hAnsi="Arial"/>
          <w:sz w:val="21"/>
          <w:szCs w:val="21"/>
          <w:color w:val="auto"/>
        </w:rPr>
      </w:pPr>
      <w:r>
        <w:rPr>
          <w:rFonts w:ascii="Arial" w:cs="Arial" w:eastAsia="Arial" w:hAnsi="Arial"/>
          <w:sz w:val="21"/>
          <w:szCs w:val="21"/>
          <w:color w:val="auto"/>
        </w:rPr>
        <w:t>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15" w:name="page316"/>
    <w:bookmarkEnd w:id="315"/>
    <w:p>
      <w:pPr>
        <w:jc w:val="both"/>
        <w:spacing w:after="0" w:line="247" w:lineRule="auto"/>
        <w:rPr>
          <w:sz w:val="20"/>
          <w:szCs w:val="20"/>
          <w:color w:val="auto"/>
        </w:rPr>
      </w:pPr>
      <w:r>
        <w:rPr>
          <w:rFonts w:ascii="Arial" w:cs="Arial" w:eastAsia="Arial" w:hAnsi="Arial"/>
          <w:sz w:val="19"/>
          <w:szCs w:val="19"/>
          <w:color w:val="auto"/>
        </w:rPr>
        <w:t>acceleration, amendment or modification of any of the terms or provisions of any of the Loan Documents other than pursuant to a written agreement in compliance with Section 10.08; (iv) the release, exchange, waiver or foreclosure of any security held by the Collateral Agent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w:t>
      </w:r>
    </w:p>
    <w:p>
      <w:pPr>
        <w:spacing w:after="0" w:line="154" w:lineRule="exact"/>
        <w:rPr>
          <w:sz w:val="20"/>
          <w:szCs w:val="20"/>
          <w:color w:val="auto"/>
        </w:rPr>
      </w:pPr>
    </w:p>
    <w:p>
      <w:pPr>
        <w:jc w:val="both"/>
        <w:ind w:firstLine="1304"/>
        <w:spacing w:after="0" w:line="252" w:lineRule="auto"/>
        <w:tabs>
          <w:tab w:leader="none" w:pos="2263" w:val="left"/>
        </w:tabs>
        <w:numPr>
          <w:ilvl w:val="0"/>
          <w:numId w:val="400"/>
        </w:numPr>
        <w:rPr>
          <w:rFonts w:ascii="Arial" w:cs="Arial" w:eastAsia="Arial" w:hAnsi="Arial"/>
          <w:sz w:val="19"/>
          <w:szCs w:val="19"/>
          <w:color w:val="auto"/>
        </w:rPr>
      </w:pPr>
      <w:r>
        <w:rPr>
          <w:rFonts w:ascii="Arial" w:cs="Arial" w:eastAsia="Arial" w:hAnsi="Arial"/>
          <w:sz w:val="19"/>
          <w:szCs w:val="19"/>
          <w:color w:val="auto"/>
        </w:rPr>
        <w:t>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w:t>
      </w:r>
    </w:p>
    <w:p>
      <w:pPr>
        <w:spacing w:after="0" w:line="148" w:lineRule="exact"/>
        <w:rPr>
          <w:rFonts w:ascii="Arial" w:cs="Arial" w:eastAsia="Arial" w:hAnsi="Arial"/>
          <w:sz w:val="19"/>
          <w:szCs w:val="19"/>
          <w:color w:val="auto"/>
        </w:rPr>
      </w:pPr>
    </w:p>
    <w:p>
      <w:pPr>
        <w:jc w:val="both"/>
        <w:ind w:firstLine="1304"/>
        <w:spacing w:after="0" w:line="221" w:lineRule="auto"/>
        <w:tabs>
          <w:tab w:leader="none" w:pos="2265" w:val="left"/>
        </w:tabs>
        <w:numPr>
          <w:ilvl w:val="0"/>
          <w:numId w:val="400"/>
        </w:numPr>
        <w:rPr>
          <w:rFonts w:ascii="Arial" w:cs="Arial" w:eastAsia="Arial" w:hAnsi="Arial"/>
          <w:sz w:val="21"/>
          <w:szCs w:val="21"/>
          <w:color w:val="auto"/>
        </w:rPr>
      </w:pPr>
      <w:r>
        <w:rPr>
          <w:rFonts w:ascii="Arial" w:cs="Arial" w:eastAsia="Arial" w:hAnsi="Arial"/>
          <w:sz w:val="21"/>
          <w:szCs w:val="21"/>
          <w:color w:val="auto"/>
        </w:rPr>
        <w:t>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w:t>
      </w:r>
    </w:p>
    <w:p>
      <w:pPr>
        <w:spacing w:after="0" w:line="165" w:lineRule="exact"/>
        <w:rPr>
          <w:rFonts w:ascii="Arial" w:cs="Arial" w:eastAsia="Arial" w:hAnsi="Arial"/>
          <w:sz w:val="21"/>
          <w:szCs w:val="21"/>
          <w:color w:val="auto"/>
        </w:rPr>
      </w:pPr>
    </w:p>
    <w:p>
      <w:pPr>
        <w:jc w:val="both"/>
        <w:ind w:firstLine="1304"/>
        <w:spacing w:after="0" w:line="223" w:lineRule="auto"/>
        <w:tabs>
          <w:tab w:leader="none" w:pos="2227" w:val="left"/>
        </w:tabs>
        <w:numPr>
          <w:ilvl w:val="0"/>
          <w:numId w:val="400"/>
        </w:numPr>
        <w:rPr>
          <w:rFonts w:ascii="Arial" w:cs="Arial" w:eastAsia="Arial" w:hAnsi="Arial"/>
          <w:sz w:val="22"/>
          <w:szCs w:val="22"/>
          <w:color w:val="auto"/>
        </w:rPr>
      </w:pPr>
      <w:r>
        <w:rPr>
          <w:rFonts w:ascii="Arial" w:cs="Arial" w:eastAsia="Arial" w:hAnsi="Arial"/>
          <w:sz w:val="22"/>
          <w:szCs w:val="22"/>
          <w:color w:val="auto"/>
        </w:rPr>
        <w:t>Upon the occurrence of the Obligations becoming due and payable (by acceleration or otherwise), the Lenders shall be entitled to prompt and complete payment of such Obligations by the Guarantors upon written demand by the Administrative Agent.</w:t>
      </w:r>
    </w:p>
    <w:p>
      <w:pPr>
        <w:spacing w:after="0" w:line="186"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u w:val="single" w:color="auto"/>
          <w:color w:val="auto"/>
        </w:rPr>
        <w:t>Right of Contribution</w:t>
      </w:r>
      <w:r>
        <w:rPr>
          <w:rFonts w:ascii="Arial" w:cs="Arial" w:eastAsia="Arial" w:hAnsi="Arial"/>
          <w:sz w:val="21"/>
          <w:szCs w:val="21"/>
          <w:color w:val="auto"/>
        </w:rPr>
        <w:t xml:space="preserve"> .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 </w:t>
      </w:r>
      <w:r>
        <w:rPr>
          <w:rFonts w:ascii="Arial" w:cs="Arial" w:eastAsia="Arial" w:hAnsi="Arial"/>
          <w:sz w:val="21"/>
          <w:szCs w:val="21"/>
          <w:i w:val="1"/>
          <w:iCs w:val="1"/>
          <w:color w:val="auto"/>
        </w:rPr>
        <w:t>Adjusted Net</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Worth </w:t>
      </w:r>
      <w:r>
        <w:rPr>
          <w:rFonts w:ascii="Arial" w:cs="Arial" w:eastAsia="Arial" w:hAnsi="Arial"/>
          <w:sz w:val="21"/>
          <w:szCs w:val="21"/>
          <w:color w:val="auto"/>
        </w:rPr>
        <w:t>” of any Guarantor shall mean at any time, the greater of (x) $0 and (y) the amount by which the fair saleable value of such</w:t>
      </w:r>
      <w:r>
        <w:rPr>
          <w:rFonts w:ascii="Arial" w:cs="Arial" w:eastAsia="Arial" w:hAnsi="Arial"/>
          <w:sz w:val="21"/>
          <w:szCs w:val="21"/>
          <w:i w:val="1"/>
          <w:iCs w:val="1"/>
          <w:color w:val="auto"/>
        </w:rPr>
        <w:t xml:space="preserve"> </w:t>
      </w:r>
      <w:r>
        <w:rPr>
          <w:rFonts w:ascii="Arial" w:cs="Arial" w:eastAsia="Arial" w:hAnsi="Arial"/>
          <w:sz w:val="21"/>
          <w:szCs w:val="21"/>
          <w:color w:val="auto"/>
        </w:rPr>
        <w:t>Guarantor’s assets on the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6" w:name="page317"/>
    <w:bookmarkEnd w:id="316"/>
    <w:p>
      <w:pPr>
        <w:jc w:val="both"/>
        <w:spacing w:after="0" w:line="263" w:lineRule="auto"/>
        <w:rPr>
          <w:sz w:val="20"/>
          <w:szCs w:val="20"/>
          <w:color w:val="auto"/>
        </w:rPr>
      </w:pPr>
      <w:r>
        <w:rPr>
          <w:rFonts w:ascii="Arial" w:cs="Arial" w:eastAsia="Arial" w:hAnsi="Arial"/>
          <w:sz w:val="22"/>
          <w:szCs w:val="22"/>
          <w:color w:val="auto"/>
        </w:rPr>
        <w:t>of the respective payment hereunder exceeds its debts and other liabilities (including contingent liabilities, but without giving effect to any of its obligations under this Agreement or any other Loan Documents) on such date.</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Continuation and Reinstatement, etc</w:t>
      </w:r>
      <w:r>
        <w:rPr>
          <w:rFonts w:ascii="Arial" w:cs="Arial" w:eastAsia="Arial" w:hAnsi="Arial"/>
          <w:sz w:val="22"/>
          <w:szCs w:val="22"/>
          <w:color w:val="auto"/>
        </w:rPr>
        <w:t xml:space="preserve"> . Each Guarantor further agrees that its guaranty hereunder shall continue to be effective or be reinstated, as the case may be, if at any time payment, or any part thereof, of any Obligation is rescinded or must otherwise be restored by the Administrative Agent and any Lender or any other Secured Party upon the bankruptcy or reorganization of the Borrower or a Guarantor, or otherwise.</w:t>
      </w:r>
    </w:p>
    <w:p>
      <w:pPr>
        <w:spacing w:after="0" w:line="18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u w:val="single" w:color="auto"/>
          <w:color w:val="auto"/>
        </w:rPr>
        <w:t>Subrogation</w:t>
      </w:r>
      <w:r>
        <w:rPr>
          <w:rFonts w:ascii="Arial" w:cs="Arial" w:eastAsia="Arial" w:hAnsi="Arial"/>
          <w:sz w:val="21"/>
          <w:szCs w:val="21"/>
          <w:color w:val="auto"/>
        </w:rPr>
        <w:t xml:space="preserve"> .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Discharge of Guaranty</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46" w:lineRule="auto"/>
        <w:tabs>
          <w:tab w:leader="none" w:pos="2251" w:val="left"/>
        </w:tabs>
        <w:numPr>
          <w:ilvl w:val="0"/>
          <w:numId w:val="401"/>
        </w:numPr>
        <w:rPr>
          <w:rFonts w:ascii="Arial" w:cs="Arial" w:eastAsia="Arial" w:hAnsi="Arial"/>
          <w:sz w:val="19"/>
          <w:szCs w:val="19"/>
          <w:color w:val="auto"/>
        </w:rPr>
      </w:pPr>
      <w:r>
        <w:rPr>
          <w:rFonts w:ascii="Arial" w:cs="Arial" w:eastAsia="Arial" w:hAnsi="Arial"/>
          <w:sz w:val="19"/>
          <w:szCs w:val="19"/>
          <w:color w:val="auto"/>
        </w:rPr>
        <w:t>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52" w:lineRule="exact"/>
        <w:rPr>
          <w:rFonts w:ascii="Arial" w:cs="Arial" w:eastAsia="Arial" w:hAnsi="Arial"/>
          <w:sz w:val="19"/>
          <w:szCs w:val="19"/>
          <w:color w:val="auto"/>
        </w:rPr>
      </w:pPr>
    </w:p>
    <w:p>
      <w:pPr>
        <w:jc w:val="both"/>
        <w:ind w:firstLine="1304"/>
        <w:spacing w:after="0" w:line="221" w:lineRule="auto"/>
        <w:tabs>
          <w:tab w:leader="none" w:pos="2250" w:val="left"/>
        </w:tabs>
        <w:numPr>
          <w:ilvl w:val="0"/>
          <w:numId w:val="401"/>
        </w:numPr>
        <w:rPr>
          <w:rFonts w:ascii="Arial" w:cs="Arial" w:eastAsia="Arial" w:hAnsi="Arial"/>
          <w:sz w:val="21"/>
          <w:szCs w:val="21"/>
          <w:color w:val="auto"/>
        </w:rPr>
      </w:pPr>
      <w:r>
        <w:rPr>
          <w:rFonts w:ascii="Arial" w:cs="Arial" w:eastAsia="Arial" w:hAnsi="Arial"/>
          <w:sz w:val="21"/>
          <w:szCs w:val="21"/>
          <w:color w:val="auto"/>
        </w:rPr>
        <w:t xml:space="preserve">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17" w:name="page318"/>
    <w:bookmarkEnd w:id="317"/>
    <w:p>
      <w:pPr>
        <w:spacing w:after="0" w:line="232" w:lineRule="auto"/>
        <w:rPr>
          <w:sz w:val="20"/>
          <w:szCs w:val="20"/>
          <w:color w:val="auto"/>
        </w:rPr>
      </w:pPr>
      <w:r>
        <w:rPr>
          <w:rFonts w:ascii="Arial" w:cs="Arial" w:eastAsia="Arial" w:hAnsi="Arial"/>
          <w:sz w:val="22"/>
          <w:szCs w:val="22"/>
          <w:color w:val="auto"/>
        </w:rPr>
        <w:t>of such Subsidiary with respect to any Junior Secured Debt shall be irrevocably released and discharged substantially simultaneously with the release of such guarantee hereunder.</w:t>
      </w:r>
    </w:p>
    <w:p>
      <w:pPr>
        <w:spacing w:after="0" w:line="159" w:lineRule="exact"/>
        <w:rPr>
          <w:sz w:val="20"/>
          <w:szCs w:val="20"/>
          <w:color w:val="auto"/>
        </w:rPr>
      </w:pPr>
    </w:p>
    <w:p>
      <w:pPr>
        <w:jc w:val="both"/>
        <w:ind w:firstLine="1304"/>
        <w:spacing w:after="0" w:line="223" w:lineRule="auto"/>
        <w:tabs>
          <w:tab w:leader="none" w:pos="2265" w:val="left"/>
        </w:tabs>
        <w:numPr>
          <w:ilvl w:val="0"/>
          <w:numId w:val="402"/>
        </w:numPr>
        <w:rPr>
          <w:rFonts w:ascii="Arial" w:cs="Arial" w:eastAsia="Arial" w:hAnsi="Arial"/>
          <w:sz w:val="22"/>
          <w:szCs w:val="22"/>
          <w:color w:val="auto"/>
        </w:rPr>
      </w:pPr>
      <w:r>
        <w:rPr>
          <w:rFonts w:ascii="Arial" w:cs="Arial" w:eastAsia="Arial" w:hAnsi="Arial"/>
          <w:sz w:val="22"/>
          <w:szCs w:val="22"/>
          <w:color w:val="auto"/>
        </w:rPr>
        <w:t>The Administrative Agent shall use commercially reasonable efforts to execute and deliver, at the Borrower’s expense, such documents as the Borrower or any such Guarantor may reasonably request to evidence the release of the guaranty of such Guarantor provided herein.</w:t>
      </w:r>
    </w:p>
    <w:p>
      <w:pPr>
        <w:spacing w:after="0" w:line="158" w:lineRule="exact"/>
        <w:rPr>
          <w:rFonts w:ascii="Arial" w:cs="Arial" w:eastAsia="Arial" w:hAnsi="Arial"/>
          <w:sz w:val="22"/>
          <w:szCs w:val="22"/>
          <w:color w:val="auto"/>
        </w:rPr>
      </w:pPr>
    </w:p>
    <w:p>
      <w:pPr>
        <w:jc w:val="both"/>
        <w:ind w:firstLine="1304"/>
        <w:spacing w:after="0" w:line="230" w:lineRule="exact"/>
        <w:tabs>
          <w:tab w:leader="none" w:pos="2263" w:val="left"/>
        </w:tabs>
        <w:numPr>
          <w:ilvl w:val="0"/>
          <w:numId w:val="402"/>
        </w:numPr>
        <w:rPr>
          <w:rFonts w:ascii="Arial" w:cs="Arial" w:eastAsia="Arial" w:hAnsi="Arial"/>
          <w:sz w:val="22"/>
          <w:szCs w:val="22"/>
          <w:color w:val="auto"/>
        </w:rPr>
      </w:pPr>
      <w:r>
        <w:rPr>
          <w:rFonts w:ascii="Arial" w:cs="Arial" w:eastAsia="Arial" w:hAnsi="Arial"/>
          <w:sz w:val="22"/>
          <w:szCs w:val="22"/>
          <w:color w:val="auto"/>
        </w:rPr>
        <w:t>Each Guarantor will be automatically released and relieved of any obligations under its Guarantee of the Guaranteed Obligations upon the first date on which all of the Loans and Obligations (other than any Obligations owing to a Non</w:t>
      </w:r>
      <w:r>
        <w:rPr>
          <w:rFonts w:ascii="MS PGothic" w:cs="MS PGothic" w:eastAsia="MS PGothic" w:hAnsi="MS PGothic"/>
          <w:sz w:val="22"/>
          <w:szCs w:val="22"/>
          <w:color w:val="auto"/>
        </w:rPr>
        <w:t>‑</w:t>
      </w:r>
      <w:r>
        <w:rPr>
          <w:rFonts w:ascii="Arial" w:cs="Arial" w:eastAsia="Arial" w:hAnsi="Arial"/>
          <w:sz w:val="22"/>
          <w:szCs w:val="22"/>
          <w:color w:val="auto"/>
        </w:rPr>
        <w:t>Lender Secured Party) then due and owing shall have been satisfied by payment in full in cash, and the Commitments shall be terminated.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MISCELLANEOUS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8" w:lineRule="auto"/>
        <w:tabs>
          <w:tab w:leader="none" w:pos="2251" w:val="left"/>
        </w:tabs>
        <w:numPr>
          <w:ilvl w:val="0"/>
          <w:numId w:val="403"/>
        </w:numPr>
        <w:rPr>
          <w:rFonts w:ascii="Arial" w:cs="Arial" w:eastAsia="Arial" w:hAnsi="Arial"/>
          <w:sz w:val="22"/>
          <w:szCs w:val="22"/>
          <w:color w:val="auto"/>
        </w:rPr>
      </w:pPr>
      <w:r>
        <w:rPr>
          <w:rFonts w:ascii="Arial" w:cs="Arial" w:eastAsia="Arial" w:hAnsi="Arial"/>
          <w:sz w:val="22"/>
          <w:szCs w:val="22"/>
          <w:color w:val="auto"/>
        </w:rPr>
        <w:t>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or sent by facsimile, as follows:</w:t>
      </w:r>
    </w:p>
    <w:p>
      <w:pPr>
        <w:spacing w:after="0" w:line="161" w:lineRule="exact"/>
        <w:rPr>
          <w:sz w:val="20"/>
          <w:szCs w:val="20"/>
          <w:color w:val="auto"/>
        </w:rPr>
      </w:pPr>
    </w:p>
    <w:p>
      <w:pPr>
        <w:jc w:val="both"/>
        <w:ind w:left="660" w:firstLine="644"/>
        <w:spacing w:after="0" w:line="229" w:lineRule="auto"/>
        <w:tabs>
          <w:tab w:leader="none" w:pos="2214" w:val="left"/>
        </w:tabs>
        <w:numPr>
          <w:ilvl w:val="0"/>
          <w:numId w:val="404"/>
        </w:numPr>
        <w:rPr>
          <w:rFonts w:ascii="Arial" w:cs="Arial" w:eastAsia="Arial" w:hAnsi="Arial"/>
          <w:sz w:val="21"/>
          <w:szCs w:val="21"/>
          <w:color w:val="auto"/>
        </w:rPr>
      </w:pPr>
      <w:r>
        <w:rPr>
          <w:rFonts w:ascii="Arial" w:cs="Arial" w:eastAsia="Arial" w:hAnsi="Arial"/>
          <w:sz w:val="21"/>
          <w:szCs w:val="21"/>
          <w:color w:val="auto"/>
        </w:rPr>
        <w:t>if to the Borrower or any Guarantor, to it at American Airlines, Inc., 1 Skyview Drive, MD 8B361, Fort Worth, Texas, 76155, facsimile: ###; Attention: Treasurer and, in respect of notices of proposed assignments of Loans or Commitments to the Borrower by email at ###; with copies (which shall not constitute notice) to: Latham &amp; Watkins LLP, 885 Third Avenue, New York, NY 10022, facsimile: ###; Attention: ###;</w:t>
      </w:r>
    </w:p>
    <w:p>
      <w:pPr>
        <w:spacing w:after="0" w:line="158" w:lineRule="exact"/>
        <w:rPr>
          <w:rFonts w:ascii="Arial" w:cs="Arial" w:eastAsia="Arial" w:hAnsi="Arial"/>
          <w:sz w:val="21"/>
          <w:szCs w:val="21"/>
          <w:color w:val="auto"/>
        </w:rPr>
      </w:pPr>
    </w:p>
    <w:p>
      <w:pPr>
        <w:ind w:left="2260" w:hanging="956"/>
        <w:spacing w:after="0"/>
        <w:tabs>
          <w:tab w:leader="none" w:pos="2260" w:val="left"/>
        </w:tabs>
        <w:numPr>
          <w:ilvl w:val="0"/>
          <w:numId w:val="404"/>
        </w:numPr>
        <w:rPr>
          <w:rFonts w:ascii="Arial" w:cs="Arial" w:eastAsia="Arial" w:hAnsi="Arial"/>
          <w:sz w:val="19"/>
          <w:szCs w:val="19"/>
          <w:color w:val="auto"/>
        </w:rPr>
      </w:pPr>
      <w:r>
        <w:rPr>
          <w:rFonts w:ascii="Arial" w:cs="Arial" w:eastAsia="Arial" w:hAnsi="Arial"/>
          <w:sz w:val="19"/>
          <w:szCs w:val="19"/>
          <w:color w:val="auto"/>
        </w:rPr>
        <w:t>if to the Administrative Agent, to it at 1615 Brett Road, Ops III, New Castle, DE 19720, facsimile: ###,</w:t>
      </w:r>
    </w:p>
    <w:p>
      <w:pPr>
        <w:spacing w:after="0" w:line="1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 by email at ###;</w:t>
      </w:r>
    </w:p>
    <w:p>
      <w:pPr>
        <w:spacing w:after="0" w:line="161" w:lineRule="exact"/>
        <w:rPr>
          <w:rFonts w:ascii="Arial" w:cs="Arial" w:eastAsia="Arial" w:hAnsi="Arial"/>
          <w:sz w:val="19"/>
          <w:szCs w:val="19"/>
          <w:color w:val="auto"/>
        </w:rPr>
      </w:pPr>
    </w:p>
    <w:p>
      <w:pPr>
        <w:ind w:left="660" w:firstLine="644"/>
        <w:spacing w:after="0" w:line="232" w:lineRule="auto"/>
        <w:tabs>
          <w:tab w:leader="none" w:pos="2347" w:val="left"/>
        </w:tabs>
        <w:numPr>
          <w:ilvl w:val="0"/>
          <w:numId w:val="404"/>
        </w:numPr>
        <w:rPr>
          <w:rFonts w:ascii="Arial" w:cs="Arial" w:eastAsia="Arial" w:hAnsi="Arial"/>
          <w:sz w:val="22"/>
          <w:szCs w:val="22"/>
          <w:color w:val="auto"/>
        </w:rPr>
      </w:pPr>
      <w:r>
        <w:rPr>
          <w:rFonts w:ascii="Arial" w:cs="Arial" w:eastAsia="Arial" w:hAnsi="Arial"/>
          <w:sz w:val="22"/>
          <w:szCs w:val="22"/>
          <w:color w:val="auto"/>
        </w:rPr>
        <w:t>if to the Collateral Agent, to it at CRMS Documentation Unit, 580 Crosspoint Pkwy, Getzville, NY 14068, and by email at ###;</w:t>
      </w:r>
    </w:p>
    <w:p>
      <w:pPr>
        <w:spacing w:after="0" w:line="158" w:lineRule="exact"/>
        <w:rPr>
          <w:rFonts w:ascii="Arial" w:cs="Arial" w:eastAsia="Arial" w:hAnsi="Arial"/>
          <w:sz w:val="22"/>
          <w:szCs w:val="22"/>
          <w:color w:val="auto"/>
        </w:rPr>
      </w:pPr>
    </w:p>
    <w:p>
      <w:pPr>
        <w:ind w:left="2320" w:hanging="1016"/>
        <w:spacing w:after="0"/>
        <w:tabs>
          <w:tab w:leader="none" w:pos="232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79" w:lineRule="exact"/>
        <w:rPr>
          <w:rFonts w:ascii="Arial" w:cs="Arial" w:eastAsia="Arial" w:hAnsi="Arial"/>
          <w:sz w:val="22"/>
          <w:szCs w:val="22"/>
          <w:color w:val="auto"/>
        </w:rPr>
      </w:pPr>
    </w:p>
    <w:p>
      <w:pPr>
        <w:ind w:left="660" w:firstLine="644"/>
        <w:spacing w:after="0" w:line="232" w:lineRule="auto"/>
        <w:tabs>
          <w:tab w:leader="none" w:pos="2289" w:val="left"/>
        </w:tabs>
        <w:numPr>
          <w:ilvl w:val="0"/>
          <w:numId w:val="404"/>
        </w:numPr>
        <w:rPr>
          <w:rFonts w:ascii="Arial" w:cs="Arial" w:eastAsia="Arial" w:hAnsi="Arial"/>
          <w:sz w:val="22"/>
          <w:szCs w:val="22"/>
          <w:color w:val="auto"/>
        </w:rPr>
      </w:pPr>
      <w:r>
        <w:rPr>
          <w:rFonts w:ascii="Arial" w:cs="Arial" w:eastAsia="Arial" w:hAnsi="Arial"/>
          <w:sz w:val="22"/>
          <w:szCs w:val="22"/>
          <w:color w:val="auto"/>
        </w:rPr>
        <w:t>if to any other Lender, to it at its address (or telecopy number) set forth in Annex A hereto or, if subsequently delivered, an Assignment and Acceptance.</w:t>
      </w:r>
    </w:p>
    <w:p>
      <w:pPr>
        <w:spacing w:after="0" w:line="159" w:lineRule="exact"/>
        <w:rPr>
          <w:sz w:val="20"/>
          <w:szCs w:val="20"/>
          <w:color w:val="auto"/>
        </w:rPr>
      </w:pPr>
    </w:p>
    <w:p>
      <w:pPr>
        <w:jc w:val="both"/>
        <w:ind w:firstLine="1304"/>
        <w:spacing w:after="0" w:line="218" w:lineRule="auto"/>
        <w:tabs>
          <w:tab w:leader="none" w:pos="2304" w:val="left"/>
        </w:tabs>
        <w:numPr>
          <w:ilvl w:val="0"/>
          <w:numId w:val="405"/>
        </w:numPr>
        <w:rPr>
          <w:rFonts w:ascii="Arial" w:cs="Arial" w:eastAsia="Arial" w:hAnsi="Arial"/>
          <w:sz w:val="22"/>
          <w:szCs w:val="22"/>
          <w:color w:val="auto"/>
        </w:rPr>
      </w:pPr>
      <w:r>
        <w:rPr>
          <w:rFonts w:ascii="Arial" w:cs="Arial" w:eastAsia="Arial" w:hAnsi="Arial"/>
          <w:sz w:val="22"/>
          <w:szCs w:val="22"/>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pursuant to Article II unless otherwise agreed by the Administrative Agent and the applicable Lender. The Administrative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8" w:name="page319"/>
    <w:bookmarkEnd w:id="318"/>
    <w:p>
      <w:pPr>
        <w:jc w:val="both"/>
        <w:spacing w:after="0" w:line="257" w:lineRule="auto"/>
        <w:rPr>
          <w:sz w:val="20"/>
          <w:szCs w:val="20"/>
          <w:color w:val="auto"/>
        </w:rPr>
      </w:pPr>
      <w:r>
        <w:rPr>
          <w:rFonts w:ascii="Arial" w:cs="Arial" w:eastAsia="Arial" w:hAnsi="Arial"/>
          <w:sz w:val="19"/>
          <w:szCs w:val="19"/>
          <w:color w:val="auto"/>
        </w:rPr>
        <w:t xml:space="preserve">Agent or the Borrower may, in its reasonable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no such approval shall be required for any notice delivered to the Administrative Agent by electronic mail pursuant to Section 2.05(b) or Section 2.13(a).</w:t>
      </w:r>
    </w:p>
    <w:p>
      <w:pPr>
        <w:spacing w:after="0" w:line="144" w:lineRule="exact"/>
        <w:rPr>
          <w:sz w:val="20"/>
          <w:szCs w:val="20"/>
          <w:color w:val="auto"/>
        </w:rPr>
      </w:pPr>
    </w:p>
    <w:p>
      <w:pPr>
        <w:jc w:val="both"/>
        <w:ind w:firstLine="1304"/>
        <w:spacing w:after="0" w:line="234" w:lineRule="auto"/>
        <w:tabs>
          <w:tab w:leader="none" w:pos="2251" w:val="left"/>
        </w:tabs>
        <w:numPr>
          <w:ilvl w:val="0"/>
          <w:numId w:val="406"/>
        </w:numPr>
        <w:rPr>
          <w:rFonts w:ascii="Arial" w:cs="Arial" w:eastAsia="Arial" w:hAnsi="Arial"/>
          <w:sz w:val="21"/>
          <w:szCs w:val="21"/>
          <w:color w:val="auto"/>
        </w:rPr>
      </w:pPr>
      <w:r>
        <w:rPr>
          <w:rFonts w:ascii="Arial" w:cs="Arial" w:eastAsia="Arial" w:hAnsi="Arial"/>
          <w:sz w:val="21"/>
          <w:szCs w:val="21"/>
          <w:color w:val="auto"/>
        </w:rPr>
        <w:t>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44" w:lineRule="auto"/>
        <w:tabs>
          <w:tab w:leader="none" w:pos="2251" w:val="left"/>
        </w:tabs>
        <w:numPr>
          <w:ilvl w:val="0"/>
          <w:numId w:val="407"/>
        </w:numPr>
        <w:rPr>
          <w:rFonts w:ascii="Arial" w:cs="Arial" w:eastAsia="Arial" w:hAnsi="Arial"/>
          <w:sz w:val="19"/>
          <w:szCs w:val="19"/>
          <w:color w:val="auto"/>
        </w:rPr>
      </w:pPr>
      <w:r>
        <w:rPr>
          <w:rFonts w:ascii="Arial" w:cs="Arial" w:eastAsia="Arial" w:hAnsi="Arial"/>
          <w:sz w:val="19"/>
          <w:szCs w:val="19"/>
          <w:color w:val="auto"/>
        </w:rPr>
        <w:t xml:space="preserve">The provisions of this Agreement shall be binding upon and inure to the benefit of the parties hereto and their respective successors and assigns permitted hereby,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Participants (to the extent provided in paragraph (d) of this Section 10.02) and, to the extent expressly contemplated hereby, the Related Parties of the Administrative Agent and the Lenders) any legal or equitable right, remedy or claim under or by reason of this Agreement.</w:t>
      </w:r>
    </w:p>
    <w:p>
      <w:pPr>
        <w:spacing w:after="0" w:line="160" w:lineRule="exact"/>
        <w:rPr>
          <w:rFonts w:ascii="Arial" w:cs="Arial" w:eastAsia="Arial" w:hAnsi="Arial"/>
          <w:sz w:val="19"/>
          <w:szCs w:val="19"/>
          <w:color w:val="auto"/>
        </w:rPr>
      </w:pPr>
    </w:p>
    <w:p>
      <w:pPr>
        <w:jc w:val="both"/>
        <w:ind w:firstLine="1304"/>
        <w:spacing w:after="0" w:line="226" w:lineRule="auto"/>
        <w:tabs>
          <w:tab w:leader="none" w:pos="2250" w:val="left"/>
        </w:tabs>
        <w:numPr>
          <w:ilvl w:val="0"/>
          <w:numId w:val="407"/>
        </w:numPr>
        <w:rPr>
          <w:rFonts w:ascii="Arial" w:cs="Arial" w:eastAsia="Arial" w:hAnsi="Arial"/>
          <w:sz w:val="21"/>
          <w:szCs w:val="21"/>
          <w:color w:val="auto"/>
        </w:rPr>
      </w:pPr>
      <w:r>
        <w:rPr>
          <w:rFonts w:ascii="Arial" w:cs="Arial" w:eastAsia="Arial" w:hAnsi="Arial"/>
          <w:sz w:val="21"/>
          <w:szCs w:val="21"/>
          <w:color w:val="auto"/>
        </w:rPr>
        <w:t>(i)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Commitment and the Loans at the time owing to it), pursuant to an Assignment and Acceptance with the prior written consent (such consent not to be unreasonably withheld or delayed) of:</w:t>
      </w:r>
    </w:p>
    <w:p>
      <w:pPr>
        <w:spacing w:after="0" w:line="159" w:lineRule="exact"/>
        <w:rPr>
          <w:sz w:val="20"/>
          <w:szCs w:val="20"/>
          <w:color w:val="auto"/>
        </w:rPr>
      </w:pPr>
    </w:p>
    <w:p>
      <w:pPr>
        <w:jc w:val="both"/>
        <w:ind w:left="660" w:firstLine="644"/>
        <w:spacing w:after="0" w:line="216" w:lineRule="auto"/>
        <w:tabs>
          <w:tab w:leader="none" w:pos="2323" w:val="left"/>
        </w:tabs>
        <w:numPr>
          <w:ilvl w:val="0"/>
          <w:numId w:val="408"/>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(I) if the assignee is a Lender, an Affiliate of a Lender or an Approved Fund of a Lender, and/or assignments between Goldman Sachs Bank USA and Goldman Sachs Lending Partners LLC, in each case so long as such assignee is an Eligible Assignee, (II) of Term Loans to the Borrower pursuant to Section 10.02(g) and (III) of Loans made pursuant to Section 2.18(b) or 2.26(a);</w:t>
      </w:r>
    </w:p>
    <w:p>
      <w:pPr>
        <w:spacing w:after="0" w:line="157" w:lineRule="exact"/>
        <w:rPr>
          <w:rFonts w:ascii="Arial" w:cs="Arial" w:eastAsia="Arial" w:hAnsi="Arial"/>
          <w:sz w:val="22"/>
          <w:szCs w:val="22"/>
          <w:color w:val="auto"/>
        </w:rPr>
      </w:pPr>
    </w:p>
    <w:p>
      <w:pPr>
        <w:jc w:val="both"/>
        <w:ind w:left="660" w:firstLine="644"/>
        <w:spacing w:after="0" w:line="214" w:lineRule="auto"/>
        <w:tabs>
          <w:tab w:leader="none" w:pos="2298" w:val="left"/>
        </w:tabs>
        <w:numPr>
          <w:ilvl w:val="0"/>
          <w:numId w:val="408"/>
        </w:numPr>
        <w:rPr>
          <w:rFonts w:ascii="Arial" w:cs="Arial" w:eastAsia="Arial" w:hAnsi="Arial"/>
          <w:sz w:val="22"/>
          <w:szCs w:val="22"/>
          <w:color w:val="auto"/>
        </w:rPr>
      </w:pPr>
      <w:r>
        <w:rPr>
          <w:rFonts w:ascii="Arial" w:cs="Arial" w:eastAsia="Arial" w:hAnsi="Arial"/>
          <w:sz w:val="22"/>
          <w:szCs w:val="22"/>
          <w:color w:val="auto"/>
        </w:rPr>
        <w:t xml:space="preserve">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if the assignee is a Lender, an Affiliate of a Lender or an Approved Fund of a Lender, , and/or assignments between Goldman Sachs Bank USA and Goldman Sachs Lending Partners LLC in each case so long as such assignee is an Eligible Assignee;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 that the Borrower’s consent will be deemed given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19" w:name="page320"/>
    <w:bookmarkEnd w:id="319"/>
    <w:p>
      <w:pPr>
        <w:ind w:left="660"/>
        <w:spacing w:after="0" w:line="232" w:lineRule="auto"/>
        <w:rPr>
          <w:sz w:val="20"/>
          <w:szCs w:val="20"/>
          <w:color w:val="auto"/>
        </w:rPr>
      </w:pPr>
      <w:r>
        <w:rPr>
          <w:rFonts w:ascii="Arial" w:cs="Arial" w:eastAsia="Arial" w:hAnsi="Arial"/>
          <w:sz w:val="22"/>
          <w:szCs w:val="22"/>
          <w:color w:val="auto"/>
        </w:rPr>
        <w:t>with respect to a proposed assignment if no response is received within ten (10) Business Days after having received a written request from such Lender pursuant to this Section 10.02(b)(i)(B); and</w:t>
      </w:r>
    </w:p>
    <w:p>
      <w:pPr>
        <w:spacing w:after="0" w:line="159" w:lineRule="exact"/>
        <w:rPr>
          <w:sz w:val="20"/>
          <w:szCs w:val="20"/>
          <w:color w:val="auto"/>
        </w:rPr>
      </w:pPr>
    </w:p>
    <w:p>
      <w:pPr>
        <w:ind w:left="2300" w:hanging="996"/>
        <w:spacing w:after="0"/>
        <w:tabs>
          <w:tab w:leader="none" w:pos="2300" w:val="left"/>
        </w:tabs>
        <w:numPr>
          <w:ilvl w:val="0"/>
          <w:numId w:val="40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sz w:val="20"/>
          <w:szCs w:val="20"/>
          <w:color w:val="auto"/>
        </w:rPr>
      </w:pPr>
    </w:p>
    <w:p>
      <w:pPr>
        <w:ind w:left="2260" w:hanging="956"/>
        <w:spacing w:after="0"/>
        <w:tabs>
          <w:tab w:leader="none" w:pos="2260" w:val="left"/>
        </w:tabs>
        <w:numPr>
          <w:ilvl w:val="0"/>
          <w:numId w:val="410"/>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179" w:lineRule="exact"/>
        <w:rPr>
          <w:sz w:val="20"/>
          <w:szCs w:val="20"/>
          <w:color w:val="auto"/>
        </w:rPr>
      </w:pPr>
    </w:p>
    <w:p>
      <w:pPr>
        <w:ind w:left="2300" w:hanging="996"/>
        <w:spacing w:after="0"/>
        <w:tabs>
          <w:tab w:leader="none" w:pos="2300" w:val="left"/>
        </w:tabs>
        <w:numPr>
          <w:ilvl w:val="0"/>
          <w:numId w:val="411"/>
        </w:numPr>
        <w:rPr>
          <w:rFonts w:ascii="Arial" w:cs="Arial" w:eastAsia="Arial" w:hAnsi="Arial"/>
          <w:sz w:val="22"/>
          <w:szCs w:val="22"/>
          <w:color w:val="auto"/>
        </w:rPr>
      </w:pPr>
      <w:r>
        <w:rPr>
          <w:rFonts w:ascii="Arial" w:cs="Arial" w:eastAsia="Arial" w:hAnsi="Arial"/>
          <w:sz w:val="22"/>
          <w:szCs w:val="22"/>
          <w:color w:val="auto"/>
        </w:rPr>
        <w:t>any assignment of any portion of Term Loans shall be made to an Eligible Assignee;</w:t>
      </w:r>
    </w:p>
    <w:p>
      <w:pPr>
        <w:spacing w:after="0" w:line="179" w:lineRule="exact"/>
        <w:rPr>
          <w:rFonts w:ascii="Arial" w:cs="Arial" w:eastAsia="Arial" w:hAnsi="Arial"/>
          <w:sz w:val="22"/>
          <w:szCs w:val="22"/>
          <w:color w:val="auto"/>
        </w:rPr>
      </w:pPr>
    </w:p>
    <w:p>
      <w:pPr>
        <w:jc w:val="both"/>
        <w:ind w:left="660" w:firstLine="644"/>
        <w:spacing w:after="0" w:line="244" w:lineRule="auto"/>
        <w:tabs>
          <w:tab w:leader="none" w:pos="2311" w:val="left"/>
        </w:tabs>
        <w:numPr>
          <w:ilvl w:val="0"/>
          <w:numId w:val="411"/>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an Affiliate of a Lender or an Approved Fund of a Lender or an assignment of the entire remaining amount of the assigning Lender’s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Borrower shall be required with respect to such assignment if an Event of Default has occurred and is continuing;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 that any such assignment shall be in increments of $500,000 in excess of the minimum amount described above;</w:t>
      </w:r>
    </w:p>
    <w:p>
      <w:pPr>
        <w:spacing w:after="0" w:line="160" w:lineRule="exact"/>
        <w:rPr>
          <w:rFonts w:ascii="Arial" w:cs="Arial" w:eastAsia="Arial" w:hAnsi="Arial"/>
          <w:sz w:val="19"/>
          <w:szCs w:val="19"/>
          <w:color w:val="auto"/>
        </w:rPr>
      </w:pPr>
    </w:p>
    <w:p>
      <w:pPr>
        <w:ind w:left="660" w:firstLine="644"/>
        <w:spacing w:after="0" w:line="232" w:lineRule="auto"/>
        <w:tabs>
          <w:tab w:leader="none" w:pos="2325" w:val="left"/>
        </w:tabs>
        <w:numPr>
          <w:ilvl w:val="0"/>
          <w:numId w:val="411"/>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w:t>
      </w:r>
    </w:p>
    <w:p>
      <w:pPr>
        <w:spacing w:after="0" w:line="158" w:lineRule="exact"/>
        <w:rPr>
          <w:rFonts w:ascii="Arial" w:cs="Arial" w:eastAsia="Arial" w:hAnsi="Arial"/>
          <w:sz w:val="22"/>
          <w:szCs w:val="22"/>
          <w:color w:val="auto"/>
        </w:rPr>
      </w:pPr>
    </w:p>
    <w:p>
      <w:pPr>
        <w:jc w:val="both"/>
        <w:ind w:left="660" w:firstLine="644"/>
        <w:spacing w:after="0" w:line="216" w:lineRule="auto"/>
        <w:tabs>
          <w:tab w:leader="none" w:pos="2323" w:val="left"/>
        </w:tabs>
        <w:numPr>
          <w:ilvl w:val="0"/>
          <w:numId w:val="411"/>
        </w:numPr>
        <w:rPr>
          <w:rFonts w:ascii="Arial" w:cs="Arial" w:eastAsia="Arial" w:hAnsi="Arial"/>
          <w:sz w:val="22"/>
          <w:szCs w:val="22"/>
          <w:color w:val="auto"/>
        </w:rPr>
      </w:pPr>
      <w:r>
        <w:rPr>
          <w:rFonts w:ascii="Arial" w:cs="Arial" w:eastAsia="Arial" w:hAnsi="Arial"/>
          <w:sz w:val="22"/>
          <w:szCs w:val="22"/>
          <w:color w:val="auto"/>
        </w:rPr>
        <w:t xml:space="preserve">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concurrent assignments to two or more Approved Funds such assignment fee shall be required to be paid only once in respect of and at the time of such assignment;</w:t>
      </w:r>
    </w:p>
    <w:p>
      <w:pPr>
        <w:spacing w:after="0" w:line="157" w:lineRule="exact"/>
        <w:rPr>
          <w:rFonts w:ascii="Arial" w:cs="Arial" w:eastAsia="Arial" w:hAnsi="Arial"/>
          <w:sz w:val="22"/>
          <w:szCs w:val="22"/>
          <w:color w:val="auto"/>
        </w:rPr>
      </w:pPr>
    </w:p>
    <w:p>
      <w:pPr>
        <w:ind w:left="660" w:right="20" w:firstLine="644"/>
        <w:spacing w:after="0" w:line="247" w:lineRule="auto"/>
        <w:tabs>
          <w:tab w:leader="none" w:pos="2340" w:val="left"/>
        </w:tabs>
        <w:numPr>
          <w:ilvl w:val="0"/>
          <w:numId w:val="411"/>
        </w:numPr>
        <w:rPr>
          <w:rFonts w:ascii="Arial" w:cs="Arial" w:eastAsia="Arial" w:hAnsi="Arial"/>
          <w:sz w:val="21"/>
          <w:szCs w:val="21"/>
          <w:color w:val="auto"/>
        </w:rPr>
      </w:pPr>
      <w:r>
        <w:rPr>
          <w:rFonts w:ascii="Arial" w:cs="Arial" w:eastAsia="Arial" w:hAnsi="Arial"/>
          <w:sz w:val="21"/>
          <w:szCs w:val="21"/>
          <w:color w:val="auto"/>
        </w:rPr>
        <w:t>the assignee, if it was not a Lender immediately prior to such assignment, shall deliver to the Administrative Agent an administrative questionnaire in a form as the Administrative Agent may require; and</w:t>
      </w:r>
    </w:p>
    <w:p>
      <w:pPr>
        <w:spacing w:after="0" w:line="150" w:lineRule="exact"/>
        <w:rPr>
          <w:rFonts w:ascii="Arial" w:cs="Arial" w:eastAsia="Arial" w:hAnsi="Arial"/>
          <w:sz w:val="21"/>
          <w:szCs w:val="21"/>
          <w:color w:val="auto"/>
        </w:rPr>
      </w:pPr>
    </w:p>
    <w:p>
      <w:pPr>
        <w:ind w:left="660" w:firstLine="644"/>
        <w:spacing w:after="0" w:line="232" w:lineRule="auto"/>
        <w:tabs>
          <w:tab w:leader="none" w:pos="2287" w:val="left"/>
        </w:tabs>
        <w:numPr>
          <w:ilvl w:val="0"/>
          <w:numId w:val="411"/>
        </w:numPr>
        <w:rPr>
          <w:rFonts w:ascii="Arial" w:cs="Arial" w:eastAsia="Arial" w:hAnsi="Arial"/>
          <w:sz w:val="22"/>
          <w:szCs w:val="22"/>
          <w:color w:val="auto"/>
        </w:rPr>
      </w:pPr>
      <w:r>
        <w:rPr>
          <w:rFonts w:ascii="Arial" w:cs="Arial" w:eastAsia="Arial" w:hAnsi="Arial"/>
          <w:sz w:val="22"/>
          <w:szCs w:val="22"/>
          <w:color w:val="auto"/>
        </w:rPr>
        <w:t>notwithstanding anything to the contrary herein, any assignment of any Term Loans to the Borrower shall be subject to the requirements of Section 10.02(g).</w:t>
      </w:r>
    </w:p>
    <w:p>
      <w:pPr>
        <w:spacing w:after="0" w:line="18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1"/>
          <w:szCs w:val="21"/>
          <w:color w:val="auto"/>
        </w:rPr>
        <w:t xml:space="preserve">For the purposes of this Section 10.02(b), the term “ </w:t>
      </w:r>
      <w:r>
        <w:rPr>
          <w:rFonts w:ascii="Arial" w:cs="Arial" w:eastAsia="Arial" w:hAnsi="Arial"/>
          <w:sz w:val="21"/>
          <w:szCs w:val="21"/>
          <w:i w:val="1"/>
          <w:iCs w:val="1"/>
          <w:color w:val="auto"/>
        </w:rPr>
        <w:t>Approved Fund</w:t>
      </w:r>
      <w:r>
        <w:rPr>
          <w:rFonts w:ascii="Arial" w:cs="Arial" w:eastAsia="Arial" w:hAnsi="Arial"/>
          <w:sz w:val="21"/>
          <w:szCs w:val="21"/>
          <w:color w:val="auto"/>
        </w:rPr>
        <w:t xml:space="preserve"> ”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0" w:name="page321"/>
    <w:bookmarkEnd w:id="320"/>
    <w:p>
      <w:pPr>
        <w:jc w:val="both"/>
        <w:spacing w:after="0" w:line="250" w:lineRule="auto"/>
        <w:rPr>
          <w:sz w:val="20"/>
          <w:szCs w:val="20"/>
          <w:color w:val="auto"/>
        </w:rPr>
      </w:pPr>
      <w:r>
        <w:rPr>
          <w:rFonts w:ascii="Arial" w:cs="Arial" w:eastAsia="Arial" w:hAnsi="Arial"/>
          <w:sz w:val="22"/>
          <w:szCs w:val="22"/>
          <w:color w:val="auto"/>
        </w:rPr>
        <w:t xml:space="preserve">Agreement to any Defaulting Lender, Disqualified Institution or natural person and any such assignment shall be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 except to the extent the Borrower and the Administrative Agent have consented to such assignment in writing (in which case such Lender will not be considered a Defaulting Lender, Disqualified Institution or natural person solely for that particular assignment).</w:t>
      </w:r>
    </w:p>
    <w:p>
      <w:pPr>
        <w:spacing w:after="0" w:line="377" w:lineRule="exact"/>
        <w:rPr>
          <w:sz w:val="20"/>
          <w:szCs w:val="20"/>
          <w:color w:val="auto"/>
        </w:rPr>
      </w:pPr>
    </w:p>
    <w:p>
      <w:pPr>
        <w:jc w:val="both"/>
        <w:ind w:firstLine="1304"/>
        <w:spacing w:after="0" w:line="220" w:lineRule="auto"/>
        <w:tabs>
          <w:tab w:leader="none" w:pos="2322" w:val="left"/>
        </w:tabs>
        <w:numPr>
          <w:ilvl w:val="0"/>
          <w:numId w:val="412"/>
        </w:numPr>
        <w:rPr>
          <w:rFonts w:ascii="Arial" w:cs="Arial" w:eastAsia="Arial" w:hAnsi="Arial"/>
          <w:sz w:val="21"/>
          <w:szCs w:val="21"/>
          <w:color w:val="auto"/>
        </w:rPr>
      </w:pPr>
      <w:r>
        <w:rPr>
          <w:rFonts w:ascii="Arial" w:cs="Arial" w:eastAsia="Arial" w:hAnsi="Arial"/>
          <w:sz w:val="21"/>
          <w:szCs w:val="21"/>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w:t>
      </w:r>
    </w:p>
    <w:p>
      <w:pPr>
        <w:spacing w:after="0" w:line="162" w:lineRule="exact"/>
        <w:rPr>
          <w:rFonts w:ascii="Arial" w:cs="Arial" w:eastAsia="Arial" w:hAnsi="Arial"/>
          <w:sz w:val="21"/>
          <w:szCs w:val="21"/>
          <w:color w:val="auto"/>
        </w:rPr>
      </w:pPr>
    </w:p>
    <w:p>
      <w:pPr>
        <w:jc w:val="both"/>
        <w:ind w:firstLine="1304"/>
        <w:spacing w:after="0" w:line="211" w:lineRule="auto"/>
        <w:tabs>
          <w:tab w:leader="none" w:pos="2337" w:val="left"/>
        </w:tabs>
        <w:numPr>
          <w:ilvl w:val="0"/>
          <w:numId w:val="412"/>
        </w:numPr>
        <w:rPr>
          <w:rFonts w:ascii="Arial" w:cs="Arial" w:eastAsia="Arial" w:hAnsi="Arial"/>
          <w:sz w:val="22"/>
          <w:szCs w:val="22"/>
          <w:color w:val="auto"/>
        </w:rPr>
      </w:pPr>
      <w:r>
        <w:rPr>
          <w:rFonts w:ascii="Arial" w:cs="Arial" w:eastAsia="Arial" w:hAnsi="Arial"/>
          <w:sz w:val="22"/>
          <w:szCs w:val="22"/>
          <w:color w:val="auto"/>
        </w:rPr>
        <w:t xml:space="preserve">The Administrative Agent shall maintain at its offices a copy of each Assignment and Acceptance delivered to it and a register for the recordation of the names and addresses of the Lenders, and the Commitments of, and principal amount (and stated interest) of the Loans owing to, each Lender pursuant to the terms hereof from time to time (the “ </w:t>
      </w:r>
      <w:r>
        <w:rPr>
          <w:rFonts w:ascii="Arial" w:cs="Arial" w:eastAsia="Arial" w:hAnsi="Arial"/>
          <w:sz w:val="22"/>
          <w:szCs w:val="22"/>
          <w:i w:val="1"/>
          <w:iCs w:val="1"/>
          <w:color w:val="auto"/>
        </w:rPr>
        <w:t xml:space="preserve">Register </w:t>
      </w:r>
      <w:r>
        <w:rPr>
          <w:rFonts w:ascii="Arial" w:cs="Arial" w:eastAsia="Arial" w:hAnsi="Arial"/>
          <w:sz w:val="22"/>
          <w:szCs w:val="22"/>
          <w:color w:val="auto"/>
        </w:rPr>
        <w:t>”). The entries in the Register shall be conclusive absent manifest error, and the Borrower, the Guarantors, the</w:t>
      </w:r>
      <w:r>
        <w:rPr>
          <w:rFonts w:ascii="Arial" w:cs="Arial" w:eastAsia="Arial" w:hAnsi="Arial"/>
          <w:sz w:val="22"/>
          <w:szCs w:val="22"/>
          <w:i w:val="1"/>
          <w:iCs w:val="1"/>
          <w:color w:val="auto"/>
        </w:rPr>
        <w:t xml:space="preserve"> </w:t>
      </w:r>
      <w:r>
        <w:rPr>
          <w:rFonts w:ascii="Arial" w:cs="Arial" w:eastAsia="Arial" w:hAnsi="Arial"/>
          <w:sz w:val="22"/>
          <w:szCs w:val="22"/>
          <w:color w:val="auto"/>
        </w:rPr>
        <w:t>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64" w:lineRule="exact"/>
        <w:rPr>
          <w:rFonts w:ascii="Arial" w:cs="Arial" w:eastAsia="Arial" w:hAnsi="Arial"/>
          <w:sz w:val="22"/>
          <w:szCs w:val="22"/>
          <w:color w:val="auto"/>
        </w:rPr>
      </w:pPr>
    </w:p>
    <w:p>
      <w:pPr>
        <w:jc w:val="both"/>
        <w:ind w:firstLine="1304"/>
        <w:spacing w:after="0" w:line="249" w:lineRule="auto"/>
        <w:tabs>
          <w:tab w:leader="none" w:pos="226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w:t>
      </w:r>
    </w:p>
    <w:p>
      <w:pPr>
        <w:spacing w:after="0" w:line="151" w:lineRule="exact"/>
        <w:rPr>
          <w:rFonts w:ascii="Arial" w:cs="Arial" w:eastAsia="Arial" w:hAnsi="Arial"/>
          <w:sz w:val="19"/>
          <w:szCs w:val="19"/>
          <w:color w:val="auto"/>
        </w:rPr>
      </w:pPr>
    </w:p>
    <w:p>
      <w:pPr>
        <w:jc w:val="both"/>
        <w:ind w:firstLine="1304"/>
        <w:spacing w:after="0" w:line="247" w:lineRule="auto"/>
        <w:tabs>
          <w:tab w:leader="none" w:pos="2323" w:val="left"/>
        </w:tabs>
        <w:numPr>
          <w:ilvl w:val="0"/>
          <w:numId w:val="412"/>
        </w:numPr>
        <w:rPr>
          <w:rFonts w:ascii="Arial" w:cs="Arial" w:eastAsia="Arial" w:hAnsi="Arial"/>
          <w:sz w:val="19"/>
          <w:szCs w:val="19"/>
          <w:color w:val="auto"/>
        </w:rPr>
      </w:pPr>
      <w:r>
        <w:rPr>
          <w:rFonts w:ascii="Arial" w:cs="Arial" w:eastAsia="Arial" w:hAnsi="Arial"/>
          <w:sz w:val="19"/>
          <w:szCs w:val="19"/>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pay and satisfy in full all payment liabilities then owed by such Defaulting Lender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21" w:name="page322"/>
    <w:bookmarkEnd w:id="321"/>
    <w:p>
      <w:pPr>
        <w:jc w:val="both"/>
        <w:spacing w:after="0" w:line="218" w:lineRule="auto"/>
        <w:rPr>
          <w:sz w:val="20"/>
          <w:szCs w:val="20"/>
          <w:color w:val="auto"/>
        </w:rPr>
      </w:pPr>
      <w:r>
        <w:rPr>
          <w:rFonts w:ascii="Arial" w:cs="Arial" w:eastAsia="Arial" w:hAnsi="Arial"/>
          <w:sz w:val="22"/>
          <w:szCs w:val="22"/>
          <w:color w:val="auto"/>
        </w:rPr>
        <w:t>the Borrower, the Administrative Agent (and interest accrued thereon).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61" w:lineRule="exact"/>
        <w:rPr>
          <w:sz w:val="20"/>
          <w:szCs w:val="20"/>
          <w:color w:val="auto"/>
        </w:rPr>
      </w:pPr>
    </w:p>
    <w:p>
      <w:pPr>
        <w:jc w:val="both"/>
        <w:ind w:firstLine="1304"/>
        <w:spacing w:after="0" w:line="220" w:lineRule="auto"/>
        <w:tabs>
          <w:tab w:leader="none" w:pos="2238" w:val="left"/>
        </w:tabs>
        <w:numPr>
          <w:ilvl w:val="0"/>
          <w:numId w:val="413"/>
        </w:numPr>
        <w:rPr>
          <w:rFonts w:ascii="Arial" w:cs="Arial" w:eastAsia="Arial" w:hAnsi="Arial"/>
          <w:sz w:val="21"/>
          <w:szCs w:val="21"/>
          <w:color w:val="auto"/>
        </w:rPr>
      </w:pPr>
      <w:r>
        <w:rPr>
          <w:rFonts w:ascii="Arial" w:cs="Arial" w:eastAsia="Arial" w:hAnsi="Arial"/>
          <w:sz w:val="21"/>
          <w:szCs w:val="21"/>
          <w:color w:val="auto"/>
        </w:rPr>
        <w:t xml:space="preserve">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either the assigning Lender or the assignee shall have failed to make any payment required to be made by it pursuant to Section 2.04(b),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2" w:lineRule="exact"/>
        <w:rPr>
          <w:rFonts w:ascii="Arial" w:cs="Arial" w:eastAsia="Arial" w:hAnsi="Arial"/>
          <w:sz w:val="21"/>
          <w:szCs w:val="21"/>
          <w:color w:val="auto"/>
        </w:rPr>
      </w:pPr>
    </w:p>
    <w:p>
      <w:pPr>
        <w:jc w:val="both"/>
        <w:ind w:firstLine="1304"/>
        <w:spacing w:after="0" w:line="219" w:lineRule="exact"/>
        <w:tabs>
          <w:tab w:leader="none" w:pos="2317" w:val="left"/>
        </w:tabs>
        <w:numPr>
          <w:ilvl w:val="0"/>
          <w:numId w:val="413"/>
        </w:numPr>
        <w:rPr>
          <w:rFonts w:ascii="Arial" w:cs="Arial" w:eastAsia="Arial" w:hAnsi="Arial"/>
          <w:sz w:val="19"/>
          <w:szCs w:val="19"/>
          <w:color w:val="auto"/>
        </w:rPr>
      </w:pPr>
      <w:r>
        <w:rPr>
          <w:rFonts w:ascii="Arial" w:cs="Arial" w:eastAsia="Arial" w:hAnsi="Arial"/>
          <w:sz w:val="19"/>
          <w:szCs w:val="19"/>
          <w:color w:val="auto"/>
        </w:rPr>
        <w:t xml:space="preserve">(i) Any Lender may, without the consent of the Borrower, or the Administrative Agent, sell participations (other than to any Defaulting Lender, Disqualified Institution or natural person) to one or more banks or other entities (a “ </w:t>
      </w:r>
      <w:r>
        <w:rPr>
          <w:rFonts w:ascii="Arial" w:cs="Arial" w:eastAsia="Arial" w:hAnsi="Arial"/>
          <w:sz w:val="19"/>
          <w:szCs w:val="19"/>
          <w:i w:val="1"/>
          <w:iCs w:val="1"/>
          <w:color w:val="auto"/>
        </w:rPr>
        <w:t>Participant</w:t>
      </w:r>
      <w:r>
        <w:rPr>
          <w:rFonts w:ascii="Arial" w:cs="Arial" w:eastAsia="Arial" w:hAnsi="Arial"/>
          <w:sz w:val="19"/>
          <w:szCs w:val="19"/>
          <w:color w:val="auto"/>
        </w:rPr>
        <w:t xml:space="preserve"> ”) in all or a portion of such Lender’s rights and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 (ii),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agrees to be subject to the requirements of Section 8.08 as though it were a Lender. Each Lender that sells a participation, acting solely for this purpose as a non</w:t>
      </w:r>
      <w:r>
        <w:rPr>
          <w:rFonts w:ascii="MS PGothic" w:cs="MS PGothic" w:eastAsia="MS PGothic" w:hAnsi="MS PGothic"/>
          <w:sz w:val="19"/>
          <w:szCs w:val="19"/>
          <w:color w:val="auto"/>
        </w:rPr>
        <w:t>‑</w:t>
      </w:r>
      <w:r>
        <w:rPr>
          <w:rFonts w:ascii="Arial" w:cs="Arial" w:eastAsia="Arial" w:hAnsi="Arial"/>
          <w:sz w:val="19"/>
          <w:szCs w:val="19"/>
          <w:color w:val="auto"/>
        </w:rPr>
        <w:t xml:space="preserve">fiduciary agent of the Borrower, shall maintain a register on which it enters the name and address of each Participant and the principal amounts (and stated interest) of each Participant’s interest in the Loans or other obligations under this Agreement (the “ </w:t>
      </w:r>
      <w:r>
        <w:rPr>
          <w:rFonts w:ascii="Arial" w:cs="Arial" w:eastAsia="Arial" w:hAnsi="Arial"/>
          <w:sz w:val="19"/>
          <w:szCs w:val="19"/>
          <w:i w:val="1"/>
          <w:iCs w:val="1"/>
          <w:color w:val="auto"/>
        </w:rPr>
        <w:t>Participant Register</w:t>
      </w:r>
      <w:r>
        <w:rPr>
          <w:rFonts w:ascii="Arial" w:cs="Arial" w:eastAsia="Arial" w:hAnsi="Arial"/>
          <w:sz w:val="19"/>
          <w:szCs w:val="19"/>
          <w:color w:val="auto"/>
        </w:rPr>
        <w:t xml:space="preserv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2" w:name="page323"/>
    <w:bookmarkEnd w:id="322"/>
    <w:p>
      <w:pPr>
        <w:jc w:val="both"/>
        <w:spacing w:after="0" w:line="222" w:lineRule="exact"/>
        <w:rPr>
          <w:sz w:val="20"/>
          <w:szCs w:val="20"/>
          <w:color w:val="auto"/>
        </w:rPr>
      </w:pPr>
      <w:r>
        <w:rPr>
          <w:rFonts w:ascii="Arial" w:cs="Arial" w:eastAsia="Arial" w:hAnsi="Arial"/>
          <w:sz w:val="19"/>
          <w:szCs w:val="19"/>
          <w:color w:val="auto"/>
        </w:rPr>
        <w:t>Participant or any information relating to a Participant’s interest in any Commitments, Loans or its other obligations under this Agreement or any Loan Document), except to the extent that such disclosure is necessary to establish that such Commitment, Loan or other obligation is in registered form under Section 5f.103</w:t>
      </w:r>
      <w:r>
        <w:rPr>
          <w:rFonts w:ascii="MS PGothic" w:cs="MS PGothic" w:eastAsia="MS PGothic" w:hAnsi="MS PGothic"/>
          <w:sz w:val="19"/>
          <w:szCs w:val="19"/>
          <w:color w:val="auto"/>
        </w:rPr>
        <w:t>‑</w:t>
      </w:r>
      <w:r>
        <w:rPr>
          <w:rFonts w:ascii="Arial" w:cs="Arial" w:eastAsia="Arial" w:hAnsi="Arial"/>
          <w:sz w:val="19"/>
          <w:szCs w:val="19"/>
          <w:color w:val="auto"/>
        </w:rPr>
        <w:t xml:space="preserve">1(c) or Proposed Section 1.163-5(b) of the United States Treasury Regulations (or, in each case, any amended or successor version).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w:t>
      </w:r>
    </w:p>
    <w:p>
      <w:pPr>
        <w:spacing w:after="0" w:line="159" w:lineRule="exact"/>
        <w:rPr>
          <w:sz w:val="20"/>
          <w:szCs w:val="20"/>
          <w:color w:val="auto"/>
        </w:rPr>
      </w:pPr>
    </w:p>
    <w:p>
      <w:pPr>
        <w:jc w:val="both"/>
        <w:ind w:firstLine="1304"/>
        <w:spacing w:after="0" w:line="224" w:lineRule="auto"/>
        <w:tabs>
          <w:tab w:leader="none" w:pos="2275" w:val="left"/>
        </w:tabs>
        <w:numPr>
          <w:ilvl w:val="0"/>
          <w:numId w:val="414"/>
        </w:numPr>
        <w:rPr>
          <w:rFonts w:ascii="Arial" w:cs="Arial" w:eastAsia="Arial" w:hAnsi="Arial"/>
          <w:sz w:val="21"/>
          <w:szCs w:val="21"/>
          <w:color w:val="auto"/>
        </w:rPr>
      </w:pPr>
      <w:r>
        <w:rPr>
          <w:rFonts w:ascii="Arial" w:cs="Arial" w:eastAsia="Arial" w:hAnsi="Arial"/>
          <w:sz w:val="21"/>
          <w:szCs w:val="21"/>
          <w:color w:val="auto"/>
        </w:rPr>
        <w:t>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w:t>
      </w:r>
    </w:p>
    <w:p>
      <w:pPr>
        <w:spacing w:after="0" w:line="160" w:lineRule="exact"/>
        <w:rPr>
          <w:sz w:val="20"/>
          <w:szCs w:val="20"/>
          <w:color w:val="auto"/>
        </w:rPr>
      </w:pPr>
    </w:p>
    <w:p>
      <w:pPr>
        <w:jc w:val="both"/>
        <w:ind w:firstLine="1304"/>
        <w:spacing w:after="0" w:line="252" w:lineRule="auto"/>
        <w:tabs>
          <w:tab w:leader="none" w:pos="2238" w:val="left"/>
        </w:tabs>
        <w:numPr>
          <w:ilvl w:val="0"/>
          <w:numId w:val="415"/>
        </w:numPr>
        <w:rPr>
          <w:rFonts w:ascii="Arial" w:cs="Arial" w:eastAsia="Arial" w:hAnsi="Arial"/>
          <w:sz w:val="19"/>
          <w:szCs w:val="19"/>
          <w:color w:val="auto"/>
        </w:rPr>
      </w:pPr>
      <w:r>
        <w:rPr>
          <w:rFonts w:ascii="Arial" w:cs="Arial" w:eastAsia="Arial" w:hAnsi="Arial"/>
          <w:sz w:val="19"/>
          <w:szCs w:val="19"/>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48" w:lineRule="exact"/>
        <w:rPr>
          <w:rFonts w:ascii="Arial" w:cs="Arial" w:eastAsia="Arial" w:hAnsi="Arial"/>
          <w:sz w:val="19"/>
          <w:szCs w:val="19"/>
          <w:color w:val="auto"/>
        </w:rPr>
      </w:pPr>
    </w:p>
    <w:p>
      <w:pPr>
        <w:jc w:val="both"/>
        <w:ind w:firstLine="1304"/>
        <w:spacing w:after="0" w:line="224" w:lineRule="auto"/>
        <w:tabs>
          <w:tab w:leader="none" w:pos="2254" w:val="left"/>
        </w:tabs>
        <w:numPr>
          <w:ilvl w:val="0"/>
          <w:numId w:val="415"/>
        </w:numPr>
        <w:rPr>
          <w:rFonts w:ascii="Arial" w:cs="Arial" w:eastAsia="Arial" w:hAnsi="Arial"/>
          <w:sz w:val="21"/>
          <w:szCs w:val="21"/>
          <w:color w:val="auto"/>
        </w:rPr>
      </w:pPr>
      <w:r>
        <w:rPr>
          <w:rFonts w:ascii="Arial" w:cs="Arial" w:eastAsia="Arial" w:hAnsi="Arial"/>
          <w:sz w:val="21"/>
          <w:szCs w:val="21"/>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w:t>
      </w:r>
    </w:p>
    <w:p>
      <w:pPr>
        <w:spacing w:after="0" w:line="159" w:lineRule="exact"/>
        <w:rPr>
          <w:rFonts w:ascii="Arial" w:cs="Arial" w:eastAsia="Arial" w:hAnsi="Arial"/>
          <w:sz w:val="21"/>
          <w:szCs w:val="21"/>
          <w:color w:val="auto"/>
        </w:rPr>
      </w:pPr>
    </w:p>
    <w:p>
      <w:pPr>
        <w:jc w:val="both"/>
        <w:ind w:firstLine="1304"/>
        <w:spacing w:after="0" w:line="223" w:lineRule="auto"/>
        <w:tabs>
          <w:tab w:leader="none" w:pos="225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 xml:space="preserve">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3" w:name="page324"/>
    <w:bookmarkEnd w:id="323"/>
    <w:p>
      <w:pPr>
        <w:ind w:left="660" w:firstLine="644"/>
        <w:spacing w:after="0" w:line="232" w:lineRule="auto"/>
        <w:tabs>
          <w:tab w:leader="none" w:pos="2241" w:val="left"/>
        </w:tabs>
        <w:numPr>
          <w:ilvl w:val="0"/>
          <w:numId w:val="416"/>
        </w:numPr>
        <w:rPr>
          <w:rFonts w:ascii="Arial" w:cs="Arial" w:eastAsia="Arial" w:hAnsi="Arial"/>
          <w:sz w:val="22"/>
          <w:szCs w:val="22"/>
          <w:color w:val="auto"/>
        </w:rPr>
      </w:pPr>
      <w:r>
        <w:rPr>
          <w:rFonts w:ascii="Arial" w:cs="Arial" w:eastAsia="Arial" w:hAnsi="Arial"/>
          <w:sz w:val="22"/>
          <w:szCs w:val="22"/>
          <w:color w:val="auto"/>
        </w:rPr>
        <w:t>the assigning Lender and the Borrower purchasing such Lender’s Term Loans, as applicable, shall execute and deliver to the Administrative Agent an Assignment and Acceptance;</w:t>
      </w:r>
    </w:p>
    <w:p>
      <w:pPr>
        <w:spacing w:after="0" w:line="158" w:lineRule="exact"/>
        <w:rPr>
          <w:rFonts w:ascii="Arial" w:cs="Arial" w:eastAsia="Arial" w:hAnsi="Arial"/>
          <w:sz w:val="22"/>
          <w:szCs w:val="22"/>
          <w:color w:val="auto"/>
        </w:rPr>
      </w:pPr>
    </w:p>
    <w:p>
      <w:pPr>
        <w:ind w:left="660" w:right="20" w:firstLine="644"/>
        <w:spacing w:after="0" w:line="298" w:lineRule="auto"/>
        <w:tabs>
          <w:tab w:leader="none" w:pos="2287" w:val="left"/>
        </w:tabs>
        <w:numPr>
          <w:ilvl w:val="0"/>
          <w:numId w:val="416"/>
        </w:numPr>
        <w:rPr>
          <w:rFonts w:ascii="Arial" w:cs="Arial" w:eastAsia="Arial" w:hAnsi="Arial"/>
          <w:sz w:val="19"/>
          <w:szCs w:val="19"/>
          <w:color w:val="auto"/>
        </w:rPr>
      </w:pPr>
      <w:r>
        <w:rPr>
          <w:rFonts w:ascii="Arial" w:cs="Arial" w:eastAsia="Arial" w:hAnsi="Arial"/>
          <w:sz w:val="19"/>
          <w:szCs w:val="19"/>
          <w:color w:val="auto"/>
        </w:rPr>
        <w:t>any Term Loans assigned to the Borrower shall be automatically and permanently cancelled upon the effectiveness of such assignment and will thereafter no longer be outstanding for any purpose hereunder;</w:t>
      </w:r>
    </w:p>
    <w:p>
      <w:pPr>
        <w:spacing w:after="0" w:line="105" w:lineRule="exact"/>
        <w:rPr>
          <w:rFonts w:ascii="Arial" w:cs="Arial" w:eastAsia="Arial" w:hAnsi="Arial"/>
          <w:sz w:val="19"/>
          <w:szCs w:val="19"/>
          <w:color w:val="auto"/>
        </w:rPr>
      </w:pPr>
    </w:p>
    <w:p>
      <w:pPr>
        <w:ind w:left="2320" w:hanging="1016"/>
        <w:spacing w:after="0"/>
        <w:tabs>
          <w:tab w:leader="none" w:pos="2320" w:val="left"/>
        </w:tabs>
        <w:numPr>
          <w:ilvl w:val="0"/>
          <w:numId w:val="416"/>
        </w:numPr>
        <w:rPr>
          <w:rFonts w:ascii="Arial" w:cs="Arial" w:eastAsia="Arial" w:hAnsi="Arial"/>
          <w:sz w:val="22"/>
          <w:szCs w:val="22"/>
          <w:color w:val="auto"/>
        </w:rPr>
      </w:pPr>
      <w:r>
        <w:rPr>
          <w:rFonts w:ascii="Arial" w:cs="Arial" w:eastAsia="Arial" w:hAnsi="Arial"/>
          <w:sz w:val="22"/>
          <w:szCs w:val="22"/>
          <w:color w:val="auto"/>
        </w:rPr>
        <w:t>no Event of Default has occurred or is continuing; and</w:t>
      </w:r>
    </w:p>
    <w:p>
      <w:pPr>
        <w:spacing w:after="0" w:line="179" w:lineRule="exact"/>
        <w:rPr>
          <w:rFonts w:ascii="Arial" w:cs="Arial" w:eastAsia="Arial" w:hAnsi="Arial"/>
          <w:sz w:val="22"/>
          <w:szCs w:val="22"/>
          <w:color w:val="auto"/>
        </w:rPr>
      </w:pPr>
    </w:p>
    <w:p>
      <w:pPr>
        <w:jc w:val="both"/>
        <w:ind w:left="660" w:firstLine="644"/>
        <w:spacing w:after="0" w:line="214" w:lineRule="auto"/>
        <w:tabs>
          <w:tab w:leader="none" w:pos="2335" w:val="left"/>
        </w:tabs>
        <w:numPr>
          <w:ilvl w:val="0"/>
          <w:numId w:val="416"/>
        </w:numPr>
        <w:rPr>
          <w:rFonts w:ascii="Arial" w:cs="Arial" w:eastAsia="Arial" w:hAnsi="Arial"/>
          <w:sz w:val="22"/>
          <w:szCs w:val="22"/>
          <w:color w:val="auto"/>
        </w:rPr>
      </w:pPr>
      <w:r>
        <w:rPr>
          <w:rFonts w:ascii="Arial" w:cs="Arial" w:eastAsia="Arial" w:hAnsi="Arial"/>
          <w:sz w:val="22"/>
          <w:szCs w:val="22"/>
          <w:color w:val="auto"/>
        </w:rPr>
        <w:t>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 </w:t>
      </w:r>
      <w:r>
        <w:rPr>
          <w:rFonts w:ascii="Arial" w:cs="Arial" w:eastAsia="Arial" w:hAnsi="Arial"/>
          <w:sz w:val="19"/>
          <w:szCs w:val="19"/>
          <w:i w:val="1"/>
          <w:iCs w:val="1"/>
          <w:color w:val="auto"/>
        </w:rPr>
        <w:t>Excluded Information</w:t>
      </w:r>
      <w:r>
        <w:rPr>
          <w:rFonts w:ascii="Arial" w:cs="Arial" w:eastAsia="Arial" w:hAnsi="Arial"/>
          <w:sz w:val="19"/>
          <w:szCs w:val="19"/>
          <w:color w:val="auto"/>
        </w:rPr>
        <w:t xml:space="preserve"> ”),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w:t>
      </w:r>
    </w:p>
    <w:p>
      <w:pPr>
        <w:spacing w:after="0" w:line="352" w:lineRule="exact"/>
        <w:rPr>
          <w:sz w:val="20"/>
          <w:szCs w:val="20"/>
          <w:color w:val="auto"/>
        </w:rPr>
      </w:pPr>
    </w:p>
    <w:p>
      <w:pPr>
        <w:jc w:val="both"/>
        <w:ind w:firstLine="1304"/>
        <w:spacing w:after="0" w:line="214" w:lineRule="auto"/>
        <w:tabs>
          <w:tab w:leader="none" w:pos="2263" w:val="left"/>
        </w:tabs>
        <w:numPr>
          <w:ilvl w:val="0"/>
          <w:numId w:val="417"/>
        </w:numPr>
        <w:rPr>
          <w:rFonts w:ascii="Arial" w:cs="Arial" w:eastAsia="Arial" w:hAnsi="Arial"/>
          <w:sz w:val="22"/>
          <w:szCs w:val="22"/>
          <w:color w:val="auto"/>
        </w:rPr>
      </w:pPr>
      <w:r>
        <w:rPr>
          <w:rFonts w:ascii="Arial" w:cs="Arial" w:eastAsia="Arial" w:hAnsi="Arial"/>
          <w:sz w:val="22"/>
          <w:szCs w:val="22"/>
          <w:color w:val="auto"/>
        </w:rPr>
        <w:t>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w:t>
      </w:r>
    </w:p>
    <w:p>
      <w:pPr>
        <w:spacing w:after="0" w:line="158" w:lineRule="exact"/>
        <w:rPr>
          <w:rFonts w:ascii="Arial" w:cs="Arial" w:eastAsia="Arial" w:hAnsi="Arial"/>
          <w:sz w:val="22"/>
          <w:szCs w:val="22"/>
          <w:color w:val="auto"/>
        </w:rPr>
      </w:pPr>
    </w:p>
    <w:p>
      <w:pPr>
        <w:jc w:val="both"/>
        <w:ind w:firstLine="1304"/>
        <w:spacing w:after="0" w:line="226" w:lineRule="auto"/>
        <w:tabs>
          <w:tab w:leader="none" w:pos="2215" w:val="left"/>
        </w:tabs>
        <w:numPr>
          <w:ilvl w:val="0"/>
          <w:numId w:val="417"/>
        </w:numPr>
        <w:rPr>
          <w:rFonts w:ascii="Arial" w:cs="Arial" w:eastAsia="Arial" w:hAnsi="Arial"/>
          <w:sz w:val="21"/>
          <w:szCs w:val="21"/>
          <w:color w:val="auto"/>
        </w:rPr>
      </w:pPr>
      <w:r>
        <w:rPr>
          <w:rFonts w:ascii="Arial" w:cs="Arial" w:eastAsia="Arial" w:hAnsi="Arial"/>
          <w:sz w:val="21"/>
          <w:szCs w:val="21"/>
          <w:color w:val="auto"/>
        </w:rPr>
        <w:t>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4" w:name="page325"/>
    <w:bookmarkEnd w:id="324"/>
    <w:p>
      <w:pPr>
        <w:jc w:val="both"/>
        <w:spacing w:after="0" w:line="247" w:lineRule="auto"/>
        <w:rPr>
          <w:sz w:val="20"/>
          <w:szCs w:val="20"/>
          <w:color w:val="auto"/>
        </w:rPr>
      </w:pPr>
      <w:r>
        <w:rPr>
          <w:rFonts w:ascii="Arial" w:cs="Arial" w:eastAsia="Arial" w:hAnsi="Arial"/>
          <w:sz w:val="19"/>
          <w:szCs w:val="19"/>
          <w:color w:val="auto"/>
        </w:rPr>
        <w:t>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w:t>
      </w:r>
    </w:p>
    <w:p>
      <w:pPr>
        <w:spacing w:after="0" w:line="154" w:lineRule="exact"/>
        <w:rPr>
          <w:sz w:val="20"/>
          <w:szCs w:val="20"/>
          <w:color w:val="auto"/>
        </w:rPr>
      </w:pPr>
    </w:p>
    <w:p>
      <w:pPr>
        <w:jc w:val="both"/>
        <w:ind w:firstLine="1304"/>
        <w:spacing w:after="0" w:line="214" w:lineRule="auto"/>
        <w:tabs>
          <w:tab w:leader="none" w:pos="2215" w:val="left"/>
        </w:tabs>
        <w:numPr>
          <w:ilvl w:val="0"/>
          <w:numId w:val="418"/>
        </w:numPr>
        <w:rPr>
          <w:rFonts w:ascii="Arial" w:cs="Arial" w:eastAsia="Arial" w:hAnsi="Arial"/>
          <w:sz w:val="22"/>
          <w:szCs w:val="22"/>
          <w:color w:val="auto"/>
        </w:rPr>
      </w:pPr>
      <w:r>
        <w:rPr>
          <w:rFonts w:ascii="Arial" w:cs="Arial" w:eastAsia="Arial" w:hAnsi="Arial"/>
          <w:sz w:val="22"/>
          <w:szCs w:val="22"/>
          <w:color w:val="auto"/>
        </w:rPr>
        <w:t xml:space="preserve">In connection with any replacement of a Lender pursuant to Section 2.18, 2.26(a), 10.08(b) or other provision hereof (collectively, a “ </w:t>
      </w:r>
      <w:r>
        <w:rPr>
          <w:rFonts w:ascii="Arial" w:cs="Arial" w:eastAsia="Arial" w:hAnsi="Arial"/>
          <w:sz w:val="22"/>
          <w:szCs w:val="22"/>
          <w:i w:val="1"/>
          <w:iCs w:val="1"/>
          <w:color w:val="auto"/>
        </w:rPr>
        <w:t>Replaceable Lender</w:t>
      </w:r>
      <w:r>
        <w:rPr>
          <w:rFonts w:ascii="Arial" w:cs="Arial" w:eastAsia="Arial" w:hAnsi="Arial"/>
          <w:sz w:val="22"/>
          <w:szCs w:val="22"/>
          <w:color w:val="auto"/>
        </w:rPr>
        <w:t xml:space="preserve"> ”),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SECTION 10.03. </w:t>
      </w: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 Each Agent and each Lender agrees to keep confidential any information</w:t>
      </w:r>
    </w:p>
    <w:p>
      <w:pPr>
        <w:spacing w:after="0" w:line="33" w:lineRule="exact"/>
        <w:rPr>
          <w:sz w:val="20"/>
          <w:szCs w:val="20"/>
          <w:color w:val="auto"/>
        </w:rPr>
      </w:pPr>
    </w:p>
    <w:p>
      <w:pPr>
        <w:ind w:left="300" w:hanging="292"/>
        <w:spacing w:after="0"/>
        <w:tabs>
          <w:tab w:leader="none" w:pos="300" w:val="left"/>
        </w:tabs>
        <w:numPr>
          <w:ilvl w:val="0"/>
          <w:numId w:val="419"/>
        </w:numPr>
        <w:rPr>
          <w:rFonts w:ascii="Arial" w:cs="Arial" w:eastAsia="Arial" w:hAnsi="Arial"/>
          <w:sz w:val="19"/>
          <w:szCs w:val="19"/>
          <w:color w:val="auto"/>
        </w:rPr>
      </w:pPr>
      <w:r>
        <w:rPr>
          <w:rFonts w:ascii="Arial" w:cs="Arial" w:eastAsia="Arial" w:hAnsi="Arial"/>
          <w:sz w:val="19"/>
          <w:szCs w:val="19"/>
          <w:color w:val="auto"/>
        </w:rPr>
        <w:t>delivered or made available by Parent, the Borrower or any of the Guarantors or any of their respective Subsidiaries or</w:t>
      </w:r>
    </w:p>
    <w:p>
      <w:pPr>
        <w:spacing w:after="0" w:line="38" w:lineRule="exact"/>
        <w:rPr>
          <w:rFonts w:ascii="Arial" w:cs="Arial" w:eastAsia="Arial" w:hAnsi="Arial"/>
          <w:sz w:val="19"/>
          <w:szCs w:val="19"/>
          <w:color w:val="auto"/>
        </w:rPr>
      </w:pPr>
    </w:p>
    <w:p>
      <w:pPr>
        <w:jc w:val="both"/>
        <w:ind w:firstLine="8"/>
        <w:spacing w:after="0" w:line="256" w:lineRule="exact"/>
        <w:tabs>
          <w:tab w:leader="none" w:pos="328" w:val="left"/>
        </w:tabs>
        <w:numPr>
          <w:ilvl w:val="0"/>
          <w:numId w:val="419"/>
        </w:numPr>
        <w:rPr>
          <w:rFonts w:ascii="Arial" w:cs="Arial" w:eastAsia="Arial" w:hAnsi="Arial"/>
          <w:sz w:val="19"/>
          <w:szCs w:val="19"/>
          <w:color w:val="auto"/>
        </w:rPr>
      </w:pPr>
      <w:r>
        <w:rPr>
          <w:rFonts w:ascii="Arial" w:cs="Arial" w:eastAsia="Arial" w:hAnsi="Arial"/>
          <w:sz w:val="19"/>
          <w:szCs w:val="19"/>
          <w:color w:val="auto"/>
        </w:rPr>
        <w:t xml:space="preserve">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prevent any Agent or any Lender from disclosing such information (a) to any of its Affiliates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w:t>
      </w:r>
      <w:r>
        <w:rPr>
          <w:rFonts w:ascii="MS PGothic" w:cs="MS PGothic" w:eastAsia="MS PGothic" w:hAnsi="MS PGothic"/>
          <w:sz w:val="19"/>
          <w:szCs w:val="19"/>
          <w:color w:val="auto"/>
        </w:rPr>
        <w:t>‑</w:t>
      </w:r>
      <w:r>
        <w:rPr>
          <w:rFonts w:ascii="Arial" w:cs="Arial" w:eastAsia="Arial" w:hAnsi="Arial"/>
          <w:sz w:val="19"/>
          <w:szCs w:val="19"/>
          <w:color w:val="auto"/>
        </w:rPr>
        <w:t>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w:t>
      </w:r>
    </w:p>
    <w:p>
      <w:pPr>
        <w:spacing w:after="0" w:line="7" w:lineRule="exact"/>
        <w:rPr>
          <w:rFonts w:ascii="Arial" w:cs="Arial" w:eastAsia="Arial" w:hAnsi="Arial"/>
          <w:sz w:val="19"/>
          <w:szCs w:val="19"/>
          <w:color w:val="auto"/>
        </w:rPr>
      </w:pPr>
    </w:p>
    <w:p>
      <w:pPr>
        <w:jc w:val="both"/>
        <w:spacing w:after="0" w:line="286" w:lineRule="auto"/>
        <w:rPr>
          <w:rFonts w:ascii="Arial" w:cs="Arial" w:eastAsia="Arial" w:hAnsi="Arial"/>
          <w:sz w:val="19"/>
          <w:szCs w:val="19"/>
          <w:color w:val="auto"/>
        </w:rPr>
      </w:pPr>
      <w:r>
        <w:rPr>
          <w:rFonts w:ascii="Arial" w:cs="Arial" w:eastAsia="Arial" w:hAnsi="Arial"/>
          <w:sz w:val="19"/>
          <w:szCs w:val="19"/>
          <w:color w:val="auto"/>
        </w:rPr>
        <w:t>(f)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5" w:name="page326"/>
    <w:bookmarkEnd w:id="325"/>
    <w:p>
      <w:pPr>
        <w:jc w:val="both"/>
        <w:spacing w:after="0" w:line="248" w:lineRule="auto"/>
        <w:rPr>
          <w:sz w:val="20"/>
          <w:szCs w:val="20"/>
          <w:color w:val="auto"/>
        </w:rPr>
      </w:pPr>
      <w:r>
        <w:rPr>
          <w:rFonts w:ascii="Arial" w:cs="Arial" w:eastAsia="Arial" w:hAnsi="Arial"/>
          <w:sz w:val="22"/>
          <w:szCs w:val="22"/>
          <w:color w:val="auto"/>
        </w:rPr>
        <w:t>requested or required to disclose any of the information delivered or made available to it by the Borrower or any of the Guarantors under clauses (b), (c)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9" w:lineRule="exact"/>
        <w:tabs>
          <w:tab w:leader="none" w:pos="2278" w:val="left"/>
        </w:tabs>
        <w:numPr>
          <w:ilvl w:val="0"/>
          <w:numId w:val="420"/>
        </w:numPr>
        <w:rPr>
          <w:rFonts w:ascii="Arial" w:cs="Arial" w:eastAsia="Arial" w:hAnsi="Arial"/>
          <w:sz w:val="19"/>
          <w:szCs w:val="19"/>
          <w:color w:val="auto"/>
        </w:rPr>
      </w:pPr>
      <w:r>
        <w:rPr>
          <w:rFonts w:ascii="Arial" w:cs="Arial" w:eastAsia="Arial" w:hAnsi="Arial"/>
          <w:sz w:val="19"/>
          <w:szCs w:val="19"/>
          <w:color w:val="auto"/>
        </w:rPr>
        <w:t>(i) The Borrower shall pay or reimburse: (A) all reasonable fees and reasonable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of each Agent, the Lead Arranger and the Joint Lead Arrangers and Bookrunners (including the reasonable fees, disbursements and other charges of Milbank LLP, special counsel to the Agents) associated with the syndication of the credit 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all fees and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of each Agent and any trustee appointed pursuant to Section 8.01(d) (including the reasonable fees, disbursements and other charges of counsel for the Agents and such trustee and one local counsel and one regulatory counsel, in each case, for each relevant jurisdiction, and, in each case, if necessary in the case of an actual or perceived conflict of interest, an additional local and regulatory counsel in each such applicable jurisdiction) and each Lender (including the reasonable fees, disbursements and other charges of counsel for such Lender) incurred during the continuance of a Default and (C) all reasonable, documented,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 xml:space="preserve">pocket costs, expenses, taxes, assessments and other charges (including the reasonable fees, disbursements and other charges of counsel for the Collateral Agent) incurred by the Collateral Agent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so long as no Event of Default shall have occurred and be continuing, the Borrower shall not, in connection with this Section 10.04(a), be responsible hereunder for the reasonable fees and expenses of more than one such firm of separate counsel and one regulatory counsel, in addition to any local counsel.</w:t>
      </w:r>
    </w:p>
    <w:p>
      <w:pPr>
        <w:spacing w:after="0" w:line="166" w:lineRule="exact"/>
        <w:rPr>
          <w:sz w:val="20"/>
          <w:szCs w:val="20"/>
          <w:color w:val="auto"/>
        </w:rPr>
      </w:pPr>
    </w:p>
    <w:p>
      <w:pPr>
        <w:ind w:right="20" w:firstLine="1304"/>
        <w:spacing w:after="0" w:line="245" w:lineRule="exact"/>
        <w:tabs>
          <w:tab w:leader="none" w:pos="2262" w:val="left"/>
        </w:tabs>
        <w:numPr>
          <w:ilvl w:val="0"/>
          <w:numId w:val="421"/>
        </w:numPr>
        <w:rPr>
          <w:rFonts w:ascii="Arial" w:cs="Arial" w:eastAsia="Arial" w:hAnsi="Arial"/>
          <w:sz w:val="22"/>
          <w:szCs w:val="22"/>
          <w:color w:val="auto"/>
        </w:rPr>
      </w:pPr>
      <w:r>
        <w:rPr>
          <w:rFonts w:ascii="Arial" w:cs="Arial" w:eastAsia="Arial" w:hAnsi="Arial"/>
          <w:sz w:val="22"/>
          <w:szCs w:val="22"/>
          <w:color w:val="auto"/>
        </w:rPr>
        <w:t>All payments or reimbursements pursuant to the foregoing clause (a)(i) shall be paid within thirty (30) days of written demand together with back</w:t>
      </w:r>
      <w:r>
        <w:rPr>
          <w:rFonts w:ascii="MS PGothic" w:cs="MS PGothic" w:eastAsia="MS PGothic" w:hAnsi="MS PGothic"/>
          <w:sz w:val="22"/>
          <w:szCs w:val="22"/>
          <w:color w:val="auto"/>
        </w:rPr>
        <w:t>‑</w:t>
      </w:r>
      <w:r>
        <w:rPr>
          <w:rFonts w:ascii="Arial" w:cs="Arial" w:eastAsia="Arial" w:hAnsi="Arial"/>
          <w:sz w:val="22"/>
          <w:szCs w:val="22"/>
          <w:color w:val="auto"/>
        </w:rPr>
        <w:t>up documentation supporting such reimbursement request.</w:t>
      </w:r>
    </w:p>
    <w:p>
      <w:pPr>
        <w:spacing w:after="0" w:line="159" w:lineRule="exact"/>
        <w:rPr>
          <w:sz w:val="20"/>
          <w:szCs w:val="20"/>
          <w:color w:val="auto"/>
        </w:rPr>
      </w:pPr>
    </w:p>
    <w:p>
      <w:pPr>
        <w:jc w:val="both"/>
        <w:ind w:firstLine="1304"/>
        <w:spacing w:after="0" w:line="224" w:lineRule="auto"/>
        <w:tabs>
          <w:tab w:leader="none" w:pos="2250" w:val="left"/>
        </w:tabs>
        <w:numPr>
          <w:ilvl w:val="0"/>
          <w:numId w:val="422"/>
        </w:numPr>
        <w:rPr>
          <w:rFonts w:ascii="Arial" w:cs="Arial" w:eastAsia="Arial" w:hAnsi="Arial"/>
          <w:sz w:val="21"/>
          <w:szCs w:val="21"/>
          <w:color w:val="auto"/>
        </w:rPr>
      </w:pPr>
      <w:r>
        <w:rPr>
          <w:rFonts w:ascii="Arial" w:cs="Arial" w:eastAsia="Arial" w:hAnsi="Arial"/>
          <w:sz w:val="21"/>
          <w:szCs w:val="21"/>
          <w:color w:val="auto"/>
        </w:rPr>
        <w:t xml:space="preserve">The Borrower shall indemnify each Agent, any trustee appointed pursuant to Section 8.01(d) and each Lender, and each Related Party of any of the foregoing Persons (each such Person being called an “ </w:t>
      </w:r>
      <w:r>
        <w:rPr>
          <w:rFonts w:ascii="Arial" w:cs="Arial" w:eastAsia="Arial" w:hAnsi="Arial"/>
          <w:sz w:val="21"/>
          <w:szCs w:val="21"/>
          <w:i w:val="1"/>
          <w:iCs w:val="1"/>
          <w:color w:val="auto"/>
        </w:rPr>
        <w:t>Indemnitee</w:t>
      </w:r>
      <w:r>
        <w:rPr>
          <w:rFonts w:ascii="Arial" w:cs="Arial" w:eastAsia="Arial" w:hAnsi="Arial"/>
          <w:sz w:val="21"/>
          <w:szCs w:val="21"/>
          <w:color w:val="auto"/>
        </w:rPr>
        <w:t xml:space="preserve"> ”) against, and hold each Indemnitee harmless from, any and all losses, claims, damages, liabilities and related expenses, including the reasonable fees, charges and disbursements of one firm counsel for all Indemnitees and, if necessary, one regulatory counsel and one firm of local counsel in each appropriate jurisdiction, arising out of, in connection with, or as a result of any actual or prospective claim, litigation, investigation or proceeding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26" w:name="page327"/>
    <w:bookmarkEnd w:id="326"/>
    <w:p>
      <w:pPr>
        <w:jc w:val="both"/>
        <w:spacing w:after="0" w:line="238" w:lineRule="auto"/>
        <w:rPr>
          <w:sz w:val="20"/>
          <w:szCs w:val="20"/>
          <w:color w:val="auto"/>
        </w:rPr>
      </w:pPr>
      <w:r>
        <w:rPr>
          <w:rFonts w:ascii="Arial" w:cs="Arial" w:eastAsia="Arial" w:hAnsi="Arial"/>
          <w:sz w:val="19"/>
          <w:szCs w:val="19"/>
          <w:color w:val="auto"/>
        </w:rPr>
        <w:t xml:space="preserve">(including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the use of the proceeds therefrom or (iii) any actual or alleged presence or Release of Hazardous Materials on or from any property owned or operated by Parent or any of its Subsidiaries, or any Environmental Liability related in any way to, or asserted against, Parent or any of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w:t>
      </w:r>
    </w:p>
    <w:p>
      <w:pPr>
        <w:spacing w:after="0" w:line="8" w:lineRule="exact"/>
        <w:rPr>
          <w:sz w:val="20"/>
          <w:szCs w:val="20"/>
          <w:color w:val="auto"/>
        </w:rPr>
      </w:pPr>
    </w:p>
    <w:p>
      <w:pPr>
        <w:jc w:val="both"/>
        <w:ind w:firstLine="8"/>
        <w:spacing w:after="0" w:line="221" w:lineRule="exact"/>
        <w:tabs>
          <w:tab w:leader="none" w:pos="310" w:val="left"/>
        </w:tabs>
        <w:numPr>
          <w:ilvl w:val="0"/>
          <w:numId w:val="423"/>
        </w:numPr>
        <w:rPr>
          <w:rFonts w:ascii="Arial" w:cs="Arial" w:eastAsia="Arial" w:hAnsi="Arial"/>
          <w:sz w:val="19"/>
          <w:szCs w:val="19"/>
          <w:color w:val="auto"/>
        </w:rPr>
      </w:pPr>
      <w:r>
        <w:rPr>
          <w:rFonts w:ascii="Arial" w:cs="Arial" w:eastAsia="Arial" w:hAnsi="Arial"/>
          <w:sz w:val="19"/>
          <w:szCs w:val="19"/>
          <w:color w:val="auto"/>
        </w:rPr>
        <w:t>result from any proceeding between or among Indemnitees that does not involve an action or omission by the Borrower or its Affiliates (other than claims against any Indemnitee in its capacity or in fulfilling its role as an Agent, trustee or Joint Lead Arranger or any other similar role under the Facilities (excluding its role as a Lender)). This Section 10.04(b) shall not apply with respect to Taxes other than Taxes that represent losses or damages arising from any non</w:t>
      </w:r>
      <w:r>
        <w:rPr>
          <w:rFonts w:ascii="MS PGothic" w:cs="MS PGothic" w:eastAsia="MS PGothic" w:hAnsi="MS PGothic"/>
          <w:sz w:val="19"/>
          <w:szCs w:val="19"/>
          <w:color w:val="auto"/>
        </w:rPr>
        <w:t>‑</w:t>
      </w:r>
      <w:r>
        <w:rPr>
          <w:rFonts w:ascii="Arial" w:cs="Arial" w:eastAsia="Arial" w:hAnsi="Arial"/>
          <w:sz w:val="19"/>
          <w:szCs w:val="19"/>
          <w:color w:val="auto"/>
        </w:rPr>
        <w:t xml:space="preserve">Tax claim. Neither the Borrower nor any Indemnitee shall be liable for any indirect, special, punitive or consequential damages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w:t>
      </w:r>
    </w:p>
    <w:p>
      <w:pPr>
        <w:spacing w:after="0" w:line="163" w:lineRule="exact"/>
        <w:rPr>
          <w:rFonts w:ascii="Arial" w:cs="Arial" w:eastAsia="Arial" w:hAnsi="Arial"/>
          <w:sz w:val="19"/>
          <w:szCs w:val="19"/>
          <w:color w:val="auto"/>
        </w:rPr>
      </w:pPr>
    </w:p>
    <w:p>
      <w:pPr>
        <w:jc w:val="both"/>
        <w:ind w:firstLine="1304"/>
        <w:spacing w:after="0" w:line="242" w:lineRule="auto"/>
        <w:tabs>
          <w:tab w:leader="none" w:pos="2238" w:val="left"/>
        </w:tabs>
        <w:numPr>
          <w:ilvl w:val="1"/>
          <w:numId w:val="423"/>
        </w:numPr>
        <w:rPr>
          <w:rFonts w:ascii="Arial" w:cs="Arial" w:eastAsia="Arial" w:hAnsi="Arial"/>
          <w:sz w:val="19"/>
          <w:szCs w:val="19"/>
          <w:color w:val="auto"/>
        </w:rPr>
      </w:pPr>
      <w:r>
        <w:rPr>
          <w:rFonts w:ascii="Arial" w:cs="Arial" w:eastAsia="Arial" w:hAnsi="Arial"/>
          <w:sz w:val="19"/>
          <w:szCs w:val="19"/>
          <w:color w:val="auto"/>
        </w:rPr>
        <w:t>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7" w:name="page328"/>
    <w:bookmarkEnd w:id="327"/>
    <w:p>
      <w:pPr>
        <w:jc w:val="both"/>
        <w:ind w:firstLine="8"/>
        <w:spacing w:after="0" w:line="219" w:lineRule="auto"/>
        <w:tabs>
          <w:tab w:leader="none" w:pos="269" w:val="left"/>
        </w:tabs>
        <w:numPr>
          <w:ilvl w:val="0"/>
          <w:numId w:val="424"/>
        </w:numPr>
        <w:rPr>
          <w:rFonts w:ascii="Arial" w:cs="Arial" w:eastAsia="Arial" w:hAnsi="Arial"/>
          <w:sz w:val="21"/>
          <w:szCs w:val="21"/>
          <w:color w:val="auto"/>
        </w:rPr>
      </w:pPr>
      <w:r>
        <w:rPr>
          <w:rFonts w:ascii="Arial" w:cs="Arial" w:eastAsia="Arial" w:hAnsi="Arial"/>
          <w:sz w:val="21"/>
          <w:szCs w:val="21"/>
          <w:color w:val="auto"/>
        </w:rPr>
        <w:t xml:space="preserve">the Borrower has agreed to pay such fees and expenses or (ii)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w:t>
      </w:r>
    </w:p>
    <w:p>
      <w:pPr>
        <w:spacing w:after="0" w:line="168" w:lineRule="exact"/>
        <w:rPr>
          <w:rFonts w:ascii="Arial" w:cs="Arial" w:eastAsia="Arial" w:hAnsi="Arial"/>
          <w:sz w:val="21"/>
          <w:szCs w:val="21"/>
          <w:color w:val="auto"/>
        </w:rPr>
      </w:pPr>
    </w:p>
    <w:p>
      <w:pPr>
        <w:ind w:left="2260" w:hanging="956"/>
        <w:spacing w:after="0"/>
        <w:tabs>
          <w:tab w:leader="none" w:pos="2260" w:val="left"/>
        </w:tabs>
        <w:numPr>
          <w:ilvl w:val="1"/>
          <w:numId w:val="424"/>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rFonts w:ascii="Arial" w:cs="Arial" w:eastAsia="Arial" w:hAnsi="Arial"/>
          <w:sz w:val="22"/>
          <w:szCs w:val="22"/>
          <w:color w:val="auto"/>
        </w:rPr>
      </w:pPr>
    </w:p>
    <w:p>
      <w:pPr>
        <w:jc w:val="both"/>
        <w:ind w:firstLine="1304"/>
        <w:spacing w:after="0" w:line="229" w:lineRule="auto"/>
        <w:tabs>
          <w:tab w:leader="none" w:pos="2251" w:val="left"/>
        </w:tabs>
        <w:numPr>
          <w:ilvl w:val="1"/>
          <w:numId w:val="424"/>
        </w:numPr>
        <w:rPr>
          <w:rFonts w:ascii="Arial" w:cs="Arial" w:eastAsia="Arial" w:hAnsi="Arial"/>
          <w:sz w:val="21"/>
          <w:szCs w:val="21"/>
          <w:color w:val="auto"/>
        </w:rPr>
      </w:pPr>
      <w:r>
        <w:rPr>
          <w:rFonts w:ascii="Arial" w:cs="Arial" w:eastAsia="Arial" w:hAnsi="Arial"/>
          <w:sz w:val="21"/>
          <w:szCs w:val="21"/>
          <w:color w:val="auto"/>
        </w:rPr>
        <w:t>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the use of the proceeds thereof.</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10.05.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34" w:lineRule="auto"/>
        <w:tabs>
          <w:tab w:leader="none" w:pos="2251" w:val="left"/>
        </w:tabs>
        <w:numPr>
          <w:ilvl w:val="0"/>
          <w:numId w:val="425"/>
        </w:numPr>
        <w:rPr>
          <w:rFonts w:ascii="Arial" w:cs="Arial" w:eastAsia="Arial" w:hAnsi="Arial"/>
          <w:sz w:val="21"/>
          <w:szCs w:val="21"/>
          <w:color w:val="auto"/>
        </w:rPr>
      </w:pPr>
      <w:r>
        <w:rPr>
          <w:rFonts w:ascii="Arial" w:cs="Arial" w:eastAsia="Arial" w:hAnsi="Arial"/>
          <w:sz w:val="21"/>
          <w:szCs w:val="21"/>
          <w:color w:val="auto"/>
        </w:rPr>
        <w:t>THIS AGREEMENT AND THE RIGHTS AND OBLIGATIONS OF THE PARTIES UNDER THIS AGREEMENT SHALL BE GOVERNED BY, AND CONSTRUED AND INTERPRETED IN ACCORDANCE WITH, THE LAWS OF THE STATE OF NEW YORK, WITHOUT REGARD TO ITS CONFLICT OF LAWS PRINCIPLES.</w:t>
      </w:r>
    </w:p>
    <w:p>
      <w:pPr>
        <w:spacing w:after="0" w:line="157" w:lineRule="exact"/>
        <w:rPr>
          <w:rFonts w:ascii="Arial" w:cs="Arial" w:eastAsia="Arial" w:hAnsi="Arial"/>
          <w:sz w:val="21"/>
          <w:szCs w:val="21"/>
          <w:color w:val="auto"/>
        </w:rPr>
      </w:pPr>
    </w:p>
    <w:p>
      <w:pPr>
        <w:jc w:val="both"/>
        <w:ind w:firstLine="1304"/>
        <w:spacing w:after="0" w:line="221" w:lineRule="auto"/>
        <w:tabs>
          <w:tab w:leader="none" w:pos="2277" w:val="left"/>
        </w:tabs>
        <w:numPr>
          <w:ilvl w:val="0"/>
          <w:numId w:val="425"/>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65" w:lineRule="exact"/>
        <w:rPr>
          <w:rFonts w:ascii="Arial" w:cs="Arial" w:eastAsia="Arial" w:hAnsi="Arial"/>
          <w:sz w:val="21"/>
          <w:szCs w:val="21"/>
          <w:color w:val="auto"/>
        </w:rPr>
      </w:pPr>
    </w:p>
    <w:p>
      <w:pPr>
        <w:jc w:val="both"/>
        <w:ind w:firstLine="1304"/>
        <w:spacing w:after="0" w:line="216" w:lineRule="auto"/>
        <w:tabs>
          <w:tab w:leader="none" w:pos="2251" w:val="left"/>
        </w:tabs>
        <w:numPr>
          <w:ilvl w:val="0"/>
          <w:numId w:val="425"/>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8" w:name="page329"/>
    <w:bookmarkEnd w:id="328"/>
    <w:p>
      <w:pPr>
        <w:jc w:val="both"/>
        <w:ind w:firstLine="1304"/>
        <w:spacing w:after="0" w:line="223" w:lineRule="auto"/>
        <w:tabs>
          <w:tab w:leader="none" w:pos="225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consents to service of process in the manner provided for notices in Section 10.01. Nothing in this Agreement will affect the right of any party to this Agreement to serve process in any other manner permitted by law.</w:t>
      </w:r>
    </w:p>
    <w:p>
      <w:pPr>
        <w:spacing w:after="0" w:line="18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u w:val="single" w:color="auto"/>
          <w:color w:val="auto"/>
        </w:rPr>
        <w:t>No Waiver</w:t>
      </w:r>
      <w:r>
        <w:rPr>
          <w:rFonts w:ascii="Arial" w:cs="Arial" w:eastAsia="Arial" w:hAnsi="Arial"/>
          <w:sz w:val="22"/>
          <w:szCs w:val="22"/>
          <w:color w:val="auto"/>
        </w:rPr>
        <w:t xml:space="preserve"> .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19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SECTION 10.07. </w:t>
      </w:r>
      <w:r>
        <w:rPr>
          <w:rFonts w:ascii="Arial" w:cs="Arial" w:eastAsia="Arial" w:hAnsi="Arial"/>
          <w:sz w:val="22"/>
          <w:szCs w:val="22"/>
          <w:u w:val="single" w:color="auto"/>
          <w:color w:val="auto"/>
        </w:rPr>
        <w:t>Extension of Maturity</w:t>
      </w:r>
      <w:r>
        <w:rPr>
          <w:rFonts w:ascii="Arial" w:cs="Arial" w:eastAsia="Arial" w:hAnsi="Arial"/>
          <w:sz w:val="22"/>
          <w:szCs w:val="22"/>
          <w:color w:val="auto"/>
        </w:rPr>
        <w:t xml:space="preserve">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10.08. </w:t>
      </w:r>
      <w:r>
        <w:rPr>
          <w:rFonts w:ascii="Arial" w:cs="Arial" w:eastAsia="Arial" w:hAnsi="Arial"/>
          <w:sz w:val="22"/>
          <w:szCs w:val="22"/>
          <w:u w:val="single" w:color="auto"/>
          <w:color w:val="auto"/>
        </w:rPr>
        <w:t>Amendments, etc</w:t>
      </w:r>
      <w:r>
        <w:rPr>
          <w:rFonts w:ascii="Arial" w:cs="Arial" w:eastAsia="Arial" w:hAnsi="Arial"/>
          <w:sz w:val="22"/>
          <w:szCs w:val="22"/>
          <w:color w:val="auto"/>
        </w:rPr>
        <w:t xml:space="preserve"> .</w:t>
      </w:r>
    </w:p>
    <w:p>
      <w:pPr>
        <w:spacing w:after="0" w:line="193" w:lineRule="exact"/>
        <w:rPr>
          <w:sz w:val="20"/>
          <w:szCs w:val="20"/>
          <w:color w:val="auto"/>
        </w:rPr>
      </w:pPr>
    </w:p>
    <w:p>
      <w:pPr>
        <w:jc w:val="both"/>
        <w:ind w:firstLine="1304"/>
        <w:spacing w:after="0" w:line="212" w:lineRule="auto"/>
        <w:tabs>
          <w:tab w:leader="none" w:pos="2238" w:val="left"/>
        </w:tabs>
        <w:numPr>
          <w:ilvl w:val="0"/>
          <w:numId w:val="427"/>
        </w:numPr>
        <w:rPr>
          <w:rFonts w:ascii="Arial" w:cs="Arial" w:eastAsia="Arial" w:hAnsi="Arial"/>
          <w:sz w:val="22"/>
          <w:szCs w:val="22"/>
          <w:color w:val="auto"/>
        </w:rPr>
      </w:pPr>
      <w:r>
        <w:rPr>
          <w:rFonts w:ascii="Arial" w:cs="Arial" w:eastAsia="Arial" w:hAnsi="Arial"/>
          <w:sz w:val="22"/>
          <w:szCs w:val="22"/>
          <w:color w:val="auto"/>
        </w:rPr>
        <w:t xml:space="preserve">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or Required Class Lenders, as applicable), and then such waiver or consent shall be effective only in the specific instance and for the purpose for which given;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 that no such modification or amendment shall without the prior written consent of:</w:t>
      </w:r>
    </w:p>
    <w:p>
      <w:pPr>
        <w:spacing w:after="0" w:line="164" w:lineRule="exact"/>
        <w:rPr>
          <w:sz w:val="20"/>
          <w:szCs w:val="20"/>
          <w:color w:val="auto"/>
        </w:rPr>
      </w:pPr>
    </w:p>
    <w:p>
      <w:pPr>
        <w:jc w:val="both"/>
        <w:ind w:left="660" w:firstLine="644"/>
        <w:spacing w:after="0" w:line="220" w:lineRule="auto"/>
        <w:tabs>
          <w:tab w:leader="none" w:pos="2227" w:val="left"/>
        </w:tabs>
        <w:numPr>
          <w:ilvl w:val="0"/>
          <w:numId w:val="428"/>
        </w:numPr>
        <w:rPr>
          <w:rFonts w:ascii="Arial" w:cs="Arial" w:eastAsia="Arial" w:hAnsi="Arial"/>
          <w:sz w:val="21"/>
          <w:szCs w:val="21"/>
          <w:color w:val="auto"/>
        </w:rPr>
      </w:pPr>
      <w:r>
        <w:rPr>
          <w:rFonts w:ascii="Arial" w:cs="Arial" w:eastAsia="Arial" w:hAnsi="Arial"/>
          <w:sz w:val="21"/>
          <w:szCs w:val="21"/>
          <w:color w:val="auto"/>
        </w:rPr>
        <w:t xml:space="preserve">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(B) reduce the principal amount of any Loan or the rate of interest payable on any Loan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(D) amend or modify the terms of Section 2.17(e) in any manner that would alter the pro rata sharing of payments required thereby or (E) amend the lead in to Section 4.02;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29" w:name="page330"/>
    <w:bookmarkEnd w:id="329"/>
    <w:p>
      <w:pPr>
        <w:jc w:val="both"/>
        <w:ind w:left="660" w:firstLine="644"/>
        <w:spacing w:after="0" w:line="252" w:lineRule="auto"/>
        <w:tabs>
          <w:tab w:leader="none" w:pos="2301" w:val="left"/>
        </w:tabs>
        <w:numPr>
          <w:ilvl w:val="0"/>
          <w:numId w:val="429"/>
        </w:numPr>
        <w:rPr>
          <w:rFonts w:ascii="Arial" w:cs="Arial" w:eastAsia="Arial" w:hAnsi="Arial"/>
          <w:sz w:val="19"/>
          <w:szCs w:val="19"/>
          <w:color w:val="auto"/>
        </w:rPr>
      </w:pPr>
      <w:r>
        <w:rPr>
          <w:rFonts w:ascii="Arial" w:cs="Arial" w:eastAsia="Arial" w:hAnsi="Arial"/>
          <w:sz w:val="19"/>
          <w:szCs w:val="19"/>
          <w:color w:val="auto"/>
        </w:rPr>
        <w:t>all of the Lenders, (A) amend or modify any provision of this Agreement which provides for the unanimous consent or approval of the Lenders, (B) release all or substantially all of the Liens granted to the Collateral Agent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w:t>
      </w:r>
    </w:p>
    <w:p>
      <w:pPr>
        <w:spacing w:after="0" w:line="148" w:lineRule="exact"/>
        <w:rPr>
          <w:rFonts w:ascii="Arial" w:cs="Arial" w:eastAsia="Arial" w:hAnsi="Arial"/>
          <w:sz w:val="19"/>
          <w:szCs w:val="19"/>
          <w:color w:val="auto"/>
        </w:rPr>
      </w:pPr>
    </w:p>
    <w:p>
      <w:pPr>
        <w:ind w:left="2320" w:hanging="1016"/>
        <w:spacing w:after="0"/>
        <w:tabs>
          <w:tab w:leader="none" w:pos="2320" w:val="left"/>
        </w:tabs>
        <w:numPr>
          <w:ilvl w:val="0"/>
          <w:numId w:val="429"/>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179" w:lineRule="exact"/>
        <w:rPr>
          <w:rFonts w:ascii="Arial" w:cs="Arial" w:eastAsia="Arial" w:hAnsi="Arial"/>
          <w:sz w:val="22"/>
          <w:szCs w:val="22"/>
          <w:color w:val="auto"/>
        </w:rPr>
      </w:pPr>
    </w:p>
    <w:p>
      <w:pPr>
        <w:ind w:left="2320" w:hanging="1016"/>
        <w:spacing w:after="0"/>
        <w:tabs>
          <w:tab w:leader="none" w:pos="2320" w:val="left"/>
        </w:tabs>
        <w:numPr>
          <w:ilvl w:val="0"/>
          <w:numId w:val="429"/>
        </w:numPr>
        <w:rPr>
          <w:rFonts w:ascii="Arial" w:cs="Arial" w:eastAsia="Arial" w:hAnsi="Arial"/>
          <w:sz w:val="22"/>
          <w:szCs w:val="22"/>
          <w:color w:val="auto"/>
        </w:rPr>
      </w:pPr>
      <w:r>
        <w:rPr>
          <w:rFonts w:ascii="Arial" w:cs="Arial" w:eastAsia="Arial" w:hAnsi="Arial"/>
          <w:sz w:val="22"/>
          <w:szCs w:val="22"/>
          <w:color w:val="auto"/>
        </w:rPr>
        <w:t>[reserved].</w:t>
      </w:r>
    </w:p>
    <w:p>
      <w:pPr>
        <w:spacing w:after="0" w:line="179" w:lineRule="exact"/>
        <w:rPr>
          <w:sz w:val="20"/>
          <w:szCs w:val="20"/>
          <w:color w:val="auto"/>
        </w:rPr>
      </w:pPr>
    </w:p>
    <w:p>
      <w:pPr>
        <w:ind w:firstLine="1304"/>
        <w:spacing w:after="0" w:line="232" w:lineRule="auto"/>
        <w:tabs>
          <w:tab w:leader="none" w:pos="2331" w:val="left"/>
        </w:tabs>
        <w:numPr>
          <w:ilvl w:val="1"/>
          <w:numId w:val="430"/>
        </w:numPr>
        <w:rPr>
          <w:rFonts w:ascii="Arial" w:cs="Arial" w:eastAsia="Arial" w:hAnsi="Arial"/>
          <w:sz w:val="22"/>
          <w:szCs w:val="22"/>
          <w:color w:val="auto"/>
        </w:rPr>
      </w:pPr>
      <w:r>
        <w:rPr>
          <w:rFonts w:ascii="Arial" w:cs="Arial" w:eastAsia="Arial" w:hAnsi="Arial"/>
          <w:sz w:val="22"/>
          <w:szCs w:val="22"/>
          <w:color w:val="auto"/>
        </w:rPr>
        <w:t>No such amendment or modification shall adversely affect the rights and obligations of the Administrative Agent without its prior written consent.</w:t>
      </w:r>
    </w:p>
    <w:p>
      <w:pPr>
        <w:spacing w:after="0" w:line="158" w:lineRule="exact"/>
        <w:rPr>
          <w:rFonts w:ascii="Arial" w:cs="Arial" w:eastAsia="Arial" w:hAnsi="Arial"/>
          <w:sz w:val="22"/>
          <w:szCs w:val="22"/>
          <w:color w:val="auto"/>
        </w:rPr>
      </w:pPr>
    </w:p>
    <w:p>
      <w:pPr>
        <w:jc w:val="both"/>
        <w:ind w:firstLine="1304"/>
        <w:spacing w:after="0" w:line="252" w:lineRule="auto"/>
        <w:tabs>
          <w:tab w:leader="none" w:pos="2238" w:val="left"/>
        </w:tabs>
        <w:numPr>
          <w:ilvl w:val="1"/>
          <w:numId w:val="430"/>
        </w:numPr>
        <w:rPr>
          <w:rFonts w:ascii="Arial" w:cs="Arial" w:eastAsia="Arial" w:hAnsi="Arial"/>
          <w:sz w:val="19"/>
          <w:szCs w:val="19"/>
          <w:color w:val="auto"/>
        </w:rPr>
      </w:pPr>
      <w:r>
        <w:rPr>
          <w:rFonts w:ascii="Arial" w:cs="Arial" w:eastAsia="Arial" w:hAnsi="Arial"/>
          <w:sz w:val="19"/>
          <w:szCs w:val="19"/>
          <w:color w:val="auto"/>
        </w:rPr>
        <w:t>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w:t>
      </w:r>
    </w:p>
    <w:p>
      <w:pPr>
        <w:spacing w:after="0" w:line="148" w:lineRule="exact"/>
        <w:rPr>
          <w:rFonts w:ascii="Arial" w:cs="Arial" w:eastAsia="Arial" w:hAnsi="Arial"/>
          <w:sz w:val="19"/>
          <w:szCs w:val="19"/>
          <w:color w:val="auto"/>
        </w:rPr>
      </w:pPr>
    </w:p>
    <w:p>
      <w:pPr>
        <w:jc w:val="both"/>
        <w:ind w:firstLine="1304"/>
        <w:spacing w:after="0" w:line="217" w:lineRule="exact"/>
        <w:tabs>
          <w:tab w:leader="none" w:pos="2290" w:val="left"/>
        </w:tabs>
        <w:numPr>
          <w:ilvl w:val="1"/>
          <w:numId w:val="43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or Required Class Lenders, as applicable, or the relevant affected Lender, as the case may be, then the Borrower (A) may replace any non</w:t>
      </w:r>
      <w:r>
        <w:rPr>
          <w:rFonts w:ascii="MS PGothic" w:cs="MS PGothic" w:eastAsia="MS PGothic" w:hAnsi="MS PGothic"/>
          <w:sz w:val="19"/>
          <w:szCs w:val="19"/>
          <w:color w:val="auto"/>
        </w:rPr>
        <w:t>‑</w:t>
      </w:r>
      <w:r>
        <w:rPr>
          <w:rFonts w:ascii="Arial" w:cs="Arial" w:eastAsia="Arial" w:hAnsi="Arial"/>
          <w:sz w:val="19"/>
          <w:szCs w:val="19"/>
          <w:color w:val="auto"/>
        </w:rPr>
        <w:t xml:space="preserve">consenting Lender with respect to all or a portion of its Loans or Commitments, as applicable, in accordance with Section 10.02;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or modification can be effected as a result of the assignment contemplated by such Section (together with all other such assignments required by the Borrower to be made pursuant to this clause (i)); provided, further,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w:t>
      </w:r>
      <w:r>
        <w:rPr>
          <w:rFonts w:ascii="MS PGothic" w:cs="MS PGothic" w:eastAsia="MS PGothic" w:hAnsi="MS PGothic"/>
          <w:sz w:val="19"/>
          <w:szCs w:val="19"/>
          <w:color w:val="auto"/>
        </w:rPr>
        <w:t>‑</w:t>
      </w:r>
      <w:r>
        <w:rPr>
          <w:rFonts w:ascii="Arial" w:cs="Arial" w:eastAsia="Arial" w:hAnsi="Arial"/>
          <w:sz w:val="19"/>
          <w:szCs w:val="19"/>
          <w:color w:val="auto"/>
        </w:rPr>
        <w:t xml:space="preserve">consenting Lender in whole or in part, without premium or penalty, subject to Sections 2.13(d) and 10.04(b);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obligations of the Borrower owing to the non</w:t>
      </w:r>
      <w:r>
        <w:rPr>
          <w:rFonts w:ascii="MS PGothic" w:cs="MS PGothic" w:eastAsia="MS PGothic" w:hAnsi="MS PGothic"/>
          <w:sz w:val="19"/>
          <w:szCs w:val="19"/>
          <w:color w:val="auto"/>
        </w:rPr>
        <w:t>‑</w:t>
      </w:r>
      <w:r>
        <w:rPr>
          <w:rFonts w:ascii="Arial" w:cs="Arial" w:eastAsia="Arial" w:hAnsi="Arial"/>
          <w:sz w:val="19"/>
          <w:szCs w:val="19"/>
          <w:color w:val="auto"/>
        </w:rPr>
        <w:t>consenting Lender relating to such Commitments, Loans and participations so prepaid or terminated shall be paid in full by the Borrower to such non</w:t>
      </w:r>
      <w:r>
        <w:rPr>
          <w:rFonts w:ascii="MS PGothic" w:cs="MS PGothic" w:eastAsia="MS PGothic" w:hAnsi="MS PGothic"/>
          <w:sz w:val="19"/>
          <w:szCs w:val="19"/>
          <w:color w:val="auto"/>
        </w:rPr>
        <w:t>‑</w:t>
      </w:r>
      <w:r>
        <w:rPr>
          <w:rFonts w:ascii="Arial" w:cs="Arial" w:eastAsia="Arial" w:hAnsi="Arial"/>
          <w:sz w:val="19"/>
          <w:szCs w:val="19"/>
          <w:color w:val="auto"/>
        </w:rPr>
        <w:t>consenting Lender concurrently with such prepayment and termination;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w:t>
      </w:r>
    </w:p>
    <w:p>
      <w:pPr>
        <w:spacing w:after="0" w:line="6" w:lineRule="exact"/>
        <w:rPr>
          <w:rFonts w:ascii="Arial" w:cs="Arial" w:eastAsia="Arial" w:hAnsi="Arial"/>
          <w:sz w:val="19"/>
          <w:szCs w:val="19"/>
          <w:color w:val="auto"/>
        </w:rPr>
      </w:pPr>
    </w:p>
    <w:p>
      <w:pPr>
        <w:ind w:firstLine="8"/>
        <w:spacing w:after="0" w:line="224" w:lineRule="auto"/>
        <w:tabs>
          <w:tab w:leader="none" w:pos="379" w:val="left"/>
        </w:tabs>
        <w:numPr>
          <w:ilvl w:val="0"/>
          <w:numId w:val="431"/>
        </w:numPr>
        <w:rPr>
          <w:rFonts w:ascii="Arial" w:cs="Arial" w:eastAsia="Arial" w:hAnsi="Arial"/>
          <w:sz w:val="22"/>
          <w:szCs w:val="22"/>
          <w:color w:val="auto"/>
        </w:rPr>
      </w:pPr>
      <w:r>
        <w:rPr>
          <w:rFonts w:ascii="Arial" w:cs="Arial" w:eastAsia="Arial" w:hAnsi="Arial"/>
          <w:sz w:val="22"/>
          <w:szCs w:val="22"/>
          <w:color w:val="auto"/>
        </w:rPr>
        <w:t>notwithstanding anything to the contrary herein, any modifications or amendments under any Increase Joinder entered into in connection with Section 2.27 or 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0" w:name="page331"/>
    <w:bookmarkEnd w:id="330"/>
    <w:p>
      <w:pPr>
        <w:jc w:val="both"/>
        <w:spacing w:after="0" w:line="212" w:lineRule="auto"/>
        <w:rPr>
          <w:sz w:val="20"/>
          <w:szCs w:val="20"/>
          <w:color w:val="auto"/>
        </w:rPr>
      </w:pPr>
      <w:r>
        <w:rPr>
          <w:rFonts w:ascii="Arial" w:cs="Arial" w:eastAsia="Arial" w:hAnsi="Arial"/>
          <w:sz w:val="22"/>
          <w:szCs w:val="22"/>
          <w:color w:val="auto"/>
        </w:rPr>
        <w:t>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164" w:lineRule="exact"/>
        <w:rPr>
          <w:sz w:val="20"/>
          <w:szCs w:val="20"/>
          <w:color w:val="auto"/>
        </w:rPr>
      </w:pPr>
    </w:p>
    <w:p>
      <w:pPr>
        <w:jc w:val="both"/>
        <w:ind w:firstLine="1304"/>
        <w:spacing w:after="0" w:line="219" w:lineRule="exact"/>
        <w:tabs>
          <w:tab w:leader="none" w:pos="2292" w:val="left"/>
        </w:tabs>
        <w:numPr>
          <w:ilvl w:val="0"/>
          <w:numId w:val="43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 </w:t>
      </w:r>
      <w:r>
        <w:rPr>
          <w:rFonts w:ascii="Arial" w:cs="Arial" w:eastAsia="Arial" w:hAnsi="Arial"/>
          <w:sz w:val="19"/>
          <w:szCs w:val="19"/>
          <w:i w:val="1"/>
          <w:iCs w:val="1"/>
          <w:color w:val="auto"/>
        </w:rPr>
        <w:t>Refinanced Term Loans</w:t>
      </w:r>
      <w:r>
        <w:rPr>
          <w:rFonts w:ascii="Arial" w:cs="Arial" w:eastAsia="Arial" w:hAnsi="Arial"/>
          <w:sz w:val="19"/>
          <w:szCs w:val="19"/>
          <w:color w:val="auto"/>
        </w:rPr>
        <w:t xml:space="preserve"> ” or the “ </w:t>
      </w:r>
      <w:r>
        <w:rPr>
          <w:rFonts w:ascii="Arial" w:cs="Arial" w:eastAsia="Arial" w:hAnsi="Arial"/>
          <w:sz w:val="19"/>
          <w:szCs w:val="19"/>
          <w:i w:val="1"/>
          <w:iCs w:val="1"/>
          <w:color w:val="auto"/>
        </w:rPr>
        <w:t>Replacement Loans</w:t>
      </w:r>
      <w:r>
        <w:rPr>
          <w:rFonts w:ascii="Arial" w:cs="Arial" w:eastAsia="Arial" w:hAnsi="Arial"/>
          <w:sz w:val="19"/>
          <w:szCs w:val="19"/>
          <w:color w:val="auto"/>
        </w:rPr>
        <w:t xml:space="preserve"> ”) with a replacement term loan tranche (“ </w:t>
      </w:r>
      <w:r>
        <w:rPr>
          <w:rFonts w:ascii="Arial" w:cs="Arial" w:eastAsia="Arial" w:hAnsi="Arial"/>
          <w:sz w:val="19"/>
          <w:szCs w:val="19"/>
          <w:i w:val="1"/>
          <w:iCs w:val="1"/>
          <w:color w:val="auto"/>
        </w:rPr>
        <w:t>Replacement Term Loans</w:t>
      </w:r>
      <w:r>
        <w:rPr>
          <w:rFonts w:ascii="Arial" w:cs="Arial" w:eastAsia="Arial" w:hAnsi="Arial"/>
          <w:sz w:val="19"/>
          <w:szCs w:val="19"/>
          <w:color w:val="auto"/>
        </w:rPr>
        <w:t xml:space="preserve"> ” or, the “ </w:t>
      </w:r>
      <w:r>
        <w:rPr>
          <w:rFonts w:ascii="Arial" w:cs="Arial" w:eastAsia="Arial" w:hAnsi="Arial"/>
          <w:sz w:val="19"/>
          <w:szCs w:val="19"/>
          <w:i w:val="1"/>
          <w:iCs w:val="1"/>
          <w:color w:val="auto"/>
        </w:rPr>
        <w:t>Refinanced Loans</w:t>
      </w:r>
      <w:r>
        <w:rPr>
          <w:rFonts w:ascii="Arial" w:cs="Arial" w:eastAsia="Arial" w:hAnsi="Arial"/>
          <w:sz w:val="19"/>
          <w:szCs w:val="19"/>
          <w:color w:val="auto"/>
        </w:rPr>
        <w:t xml:space="preserve"> ”) hereunder and (y) to include appropriately the Lenders holding such credit facilities in any determination of Required Lenders, Required Class Lenders, Required Lenders,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w:t>
      </w:r>
      <w:r>
        <w:rPr>
          <w:rFonts w:ascii="MS PGothic" w:cs="MS PGothic" w:eastAsia="MS PGothic" w:hAnsi="MS PGothic"/>
          <w:sz w:val="19"/>
          <w:szCs w:val="19"/>
          <w:color w:val="auto"/>
        </w:rPr>
        <w:t>‑</w:t>
      </w:r>
      <w:r>
        <w:rPr>
          <w:rFonts w:ascii="Arial" w:cs="Arial" w:eastAsia="Arial" w:hAnsi="Arial"/>
          <w:sz w:val="19"/>
          <w:szCs w:val="19"/>
          <w:color w:val="auto"/>
        </w:rPr>
        <w:t>tranches in respect of Replacement Loans and such technical amendments as may be necessary or appropriate in the reasonable opinion of the Administrative Agent and the Borrower in connection with the establishment of such Replacement Loans.</w:t>
      </w:r>
    </w:p>
    <w:p>
      <w:pPr>
        <w:spacing w:after="0" w:line="382" w:lineRule="exact"/>
        <w:rPr>
          <w:rFonts w:ascii="Arial" w:cs="Arial" w:eastAsia="Arial" w:hAnsi="Arial"/>
          <w:sz w:val="19"/>
          <w:szCs w:val="19"/>
          <w:color w:val="auto"/>
        </w:rPr>
      </w:pPr>
    </w:p>
    <w:p>
      <w:pPr>
        <w:jc w:val="both"/>
        <w:ind w:firstLine="1304"/>
        <w:spacing w:after="0" w:line="222" w:lineRule="auto"/>
        <w:tabs>
          <w:tab w:leader="none" w:pos="2268" w:val="left"/>
        </w:tabs>
        <w:numPr>
          <w:ilvl w:val="0"/>
          <w:numId w:val="432"/>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accrued interest and fees in respect thereof and (b) to include appropriately the Lenders holding such credit facilities in any determination of the Required Lenders.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1" w:name="page332"/>
    <w:bookmarkEnd w:id="331"/>
    <w:p>
      <w:pPr>
        <w:jc w:val="both"/>
        <w:ind w:firstLine="1304"/>
        <w:spacing w:after="0" w:line="224" w:lineRule="exact"/>
        <w:tabs>
          <w:tab w:leader="none" w:pos="2277" w:val="left"/>
        </w:tabs>
        <w:numPr>
          <w:ilvl w:val="0"/>
          <w:numId w:val="433"/>
        </w:numPr>
        <w:rPr>
          <w:rFonts w:ascii="Arial" w:cs="Arial" w:eastAsia="Arial" w:hAnsi="Arial"/>
          <w:sz w:val="19"/>
          <w:szCs w:val="19"/>
          <w:color w:val="auto"/>
        </w:rPr>
      </w:pPr>
      <w:r>
        <w:rPr>
          <w:rFonts w:ascii="Arial" w:cs="Arial" w:eastAsia="Arial" w:hAnsi="Arial"/>
          <w:sz w:val="19"/>
          <w:szCs w:val="19"/>
          <w:color w:val="auto"/>
        </w:rPr>
        <w:t>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w:t>
      </w:r>
      <w:r>
        <w:rPr>
          <w:rFonts w:ascii="MS PGothic" w:cs="MS PGothic" w:eastAsia="MS PGothic" w:hAnsi="MS PGothic"/>
          <w:sz w:val="19"/>
          <w:szCs w:val="19"/>
          <w:color w:val="auto"/>
        </w:rPr>
        <w:t>‑</w:t>
      </w:r>
      <w:r>
        <w:rPr>
          <w:rFonts w:ascii="Arial" w:cs="Arial" w:eastAsia="Arial" w:hAnsi="Arial"/>
          <w:sz w:val="19"/>
          <w:szCs w:val="19"/>
          <w:color w:val="auto"/>
        </w:rPr>
        <w:t xml:space="preserve">extending Lender (each, a “ </w:t>
      </w:r>
      <w:r>
        <w:rPr>
          <w:rFonts w:ascii="Arial" w:cs="Arial" w:eastAsia="Arial" w:hAnsi="Arial"/>
          <w:sz w:val="19"/>
          <w:szCs w:val="19"/>
          <w:i w:val="1"/>
          <w:iCs w:val="1"/>
          <w:color w:val="auto"/>
        </w:rPr>
        <w:t>Non</w:t>
      </w:r>
      <w:r>
        <w:rPr>
          <w:rFonts w:ascii="MS PGothic" w:cs="MS PGothic" w:eastAsia="MS PGothic" w:hAnsi="MS PGothic"/>
          <w:sz w:val="19"/>
          <w:szCs w:val="19"/>
          <w:i w:val="1"/>
          <w:iCs w:val="1"/>
          <w:color w:val="auto"/>
        </w:rPr>
        <w:t>‑</w:t>
      </w:r>
      <w:r>
        <w:rPr>
          <w:rFonts w:ascii="Arial" w:cs="Arial" w:eastAsia="Arial" w:hAnsi="Arial"/>
          <w:sz w:val="19"/>
          <w:szCs w:val="19"/>
          <w:i w:val="1"/>
          <w:iCs w:val="1"/>
          <w:color w:val="auto"/>
        </w:rPr>
        <w:t>Extending Lender</w:t>
      </w:r>
      <w:r>
        <w:rPr>
          <w:rFonts w:ascii="Arial" w:cs="Arial" w:eastAsia="Arial" w:hAnsi="Arial"/>
          <w:sz w:val="19"/>
          <w:szCs w:val="19"/>
          <w:color w:val="auto"/>
        </w:rPr>
        <w:t xml:space="preserve"> ”) to enforce its right to receive payment of amounts due and owing to such Non</w:t>
      </w:r>
      <w:r>
        <w:rPr>
          <w:rFonts w:ascii="MS PGothic" w:cs="MS PGothic" w:eastAsia="MS PGothic" w:hAnsi="MS PGothic"/>
          <w:sz w:val="19"/>
          <w:szCs w:val="19"/>
          <w:color w:val="auto"/>
        </w:rPr>
        <w:t>‑</w:t>
      </w:r>
      <w:r>
        <w:rPr>
          <w:rFonts w:ascii="Arial" w:cs="Arial" w:eastAsia="Arial" w:hAnsi="Arial"/>
          <w:sz w:val="19"/>
          <w:szCs w:val="19"/>
          <w:color w:val="auto"/>
        </w:rPr>
        <w:t>Extending Lender on the Term Loan Maturity Date, as the case may be, applicable to the Loans of such Non</w:t>
      </w:r>
      <w:r>
        <w:rPr>
          <w:rFonts w:ascii="MS PGothic" w:cs="MS PGothic" w:eastAsia="MS PGothic" w:hAnsi="MS PGothic"/>
          <w:sz w:val="19"/>
          <w:szCs w:val="19"/>
          <w:color w:val="auto"/>
        </w:rPr>
        <w:t>‑</w:t>
      </w:r>
      <w:r>
        <w:rPr>
          <w:rFonts w:ascii="Arial" w:cs="Arial" w:eastAsia="Arial" w:hAnsi="Arial"/>
          <w:sz w:val="19"/>
          <w:szCs w:val="19"/>
          <w:color w:val="auto"/>
        </w:rPr>
        <w:t>Extending Lenders without the prior written consent of Non</w:t>
      </w:r>
      <w:r>
        <w:rPr>
          <w:rFonts w:ascii="MS PGothic" w:cs="MS PGothic" w:eastAsia="MS PGothic" w:hAnsi="MS PGothic"/>
          <w:sz w:val="19"/>
          <w:szCs w:val="19"/>
          <w:color w:val="auto"/>
        </w:rPr>
        <w:t>‑</w:t>
      </w:r>
      <w:r>
        <w:rPr>
          <w:rFonts w:ascii="Arial" w:cs="Arial" w:eastAsia="Arial" w:hAnsi="Arial"/>
          <w:sz w:val="19"/>
          <w:szCs w:val="19"/>
          <w:color w:val="auto"/>
        </w:rPr>
        <w:t>Extending Lenders that would constitute the Required Class Lenders with respect to any affected Class of such Loans if the Non</w:t>
      </w:r>
      <w:r>
        <w:rPr>
          <w:rFonts w:ascii="MS PGothic" w:cs="MS PGothic" w:eastAsia="MS PGothic" w:hAnsi="MS PGothic"/>
          <w:sz w:val="19"/>
          <w:szCs w:val="19"/>
          <w:color w:val="auto"/>
        </w:rPr>
        <w:t>‑</w:t>
      </w:r>
      <w:r>
        <w:rPr>
          <w:rFonts w:ascii="Arial" w:cs="Arial" w:eastAsia="Arial" w:hAnsi="Arial"/>
          <w:sz w:val="19"/>
          <w:szCs w:val="19"/>
          <w:color w:val="auto"/>
        </w:rPr>
        <w:t>Extending Lenders were the only Lenders hereunder at the time.</w:t>
      </w:r>
    </w:p>
    <w:p>
      <w:pPr>
        <w:spacing w:after="0" w:line="160" w:lineRule="exact"/>
        <w:rPr>
          <w:rFonts w:ascii="Arial" w:cs="Arial" w:eastAsia="Arial" w:hAnsi="Arial"/>
          <w:sz w:val="19"/>
          <w:szCs w:val="19"/>
          <w:color w:val="auto"/>
        </w:rPr>
      </w:pPr>
    </w:p>
    <w:p>
      <w:pPr>
        <w:ind w:firstLine="1304"/>
        <w:spacing w:after="0" w:line="232" w:lineRule="auto"/>
        <w:tabs>
          <w:tab w:leader="none" w:pos="2250" w:val="left"/>
        </w:tabs>
        <w:numPr>
          <w:ilvl w:val="0"/>
          <w:numId w:val="433"/>
        </w:numPr>
        <w:rPr>
          <w:rFonts w:ascii="Arial" w:cs="Arial" w:eastAsia="Arial" w:hAnsi="Arial"/>
          <w:sz w:val="22"/>
          <w:szCs w:val="22"/>
          <w:color w:val="auto"/>
        </w:rPr>
      </w:pPr>
      <w:r>
        <w:rPr>
          <w:rFonts w:ascii="Arial" w:cs="Arial" w:eastAsia="Arial" w:hAnsi="Arial"/>
          <w:sz w:val="22"/>
          <w:szCs w:val="22"/>
          <w:color w:val="auto"/>
        </w:rPr>
        <w:t>It is understood that the amendment provisions of this Section 10.08 shall not apply to extensions of the the Term Loan Maturity Date made in accordance with Section 2.28.</w:t>
      </w:r>
    </w:p>
    <w:p>
      <w:pPr>
        <w:spacing w:after="0" w:line="158" w:lineRule="exact"/>
        <w:rPr>
          <w:rFonts w:ascii="Arial" w:cs="Arial" w:eastAsia="Arial" w:hAnsi="Arial"/>
          <w:sz w:val="22"/>
          <w:szCs w:val="22"/>
          <w:color w:val="auto"/>
        </w:rPr>
      </w:pPr>
    </w:p>
    <w:p>
      <w:pPr>
        <w:jc w:val="both"/>
        <w:ind w:firstLine="1304"/>
        <w:spacing w:after="0" w:line="224" w:lineRule="auto"/>
        <w:tabs>
          <w:tab w:leader="none" w:pos="2256" w:val="left"/>
        </w:tabs>
        <w:numPr>
          <w:ilvl w:val="0"/>
          <w:numId w:val="433"/>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Agent to such collateral trustee.</w:t>
      </w:r>
    </w:p>
    <w:p>
      <w:pPr>
        <w:spacing w:after="0" w:line="159" w:lineRule="exact"/>
        <w:rPr>
          <w:rFonts w:ascii="Arial" w:cs="Arial" w:eastAsia="Arial" w:hAnsi="Arial"/>
          <w:sz w:val="21"/>
          <w:szCs w:val="21"/>
          <w:color w:val="auto"/>
        </w:rPr>
      </w:pPr>
    </w:p>
    <w:p>
      <w:pPr>
        <w:jc w:val="both"/>
        <w:ind w:firstLine="1304"/>
        <w:spacing w:after="0" w:line="226" w:lineRule="exact"/>
        <w:tabs>
          <w:tab w:leader="none" w:pos="2202" w:val="left"/>
        </w:tabs>
        <w:numPr>
          <w:ilvl w:val="0"/>
          <w:numId w:val="433"/>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w:t>
      </w:r>
      <w:r>
        <w:rPr>
          <w:rFonts w:ascii="MS PGothic" w:cs="MS PGothic" w:eastAsia="MS PGothic" w:hAnsi="MS PGothic"/>
          <w:sz w:val="22"/>
          <w:szCs w:val="22"/>
          <w:color w:val="auto"/>
        </w:rPr>
        <w:t>‑</w:t>
      </w:r>
      <w:r>
        <w:rPr>
          <w:rFonts w:ascii="Arial" w:cs="Arial" w:eastAsia="Arial" w:hAnsi="Arial"/>
          <w:sz w:val="22"/>
          <w:szCs w:val="22"/>
          <w:color w:val="auto"/>
        </w:rPr>
        <w:t>acquired assets of that type or category) from the Collateral covered by such Collateral Document to the extent the release thereof is permitted by Section 6.09(c) or constitutes a Permitted Disposition.</w:t>
      </w:r>
    </w:p>
    <w:p>
      <w:pPr>
        <w:spacing w:after="0" w:line="186"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4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 Section headings used herein are for convenience only and are not to affect the construction of or be taken into consideration in interpreting this Agreement.</w:t>
      </w:r>
    </w:p>
    <w:p>
      <w:pPr>
        <w:spacing w:after="0" w:line="175"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2" w:name="page333"/>
    <w:bookmarkEnd w:id="332"/>
    <w:p>
      <w:pPr>
        <w:jc w:val="both"/>
        <w:spacing w:after="0" w:line="248" w:lineRule="auto"/>
        <w:rPr>
          <w:sz w:val="20"/>
          <w:szCs w:val="20"/>
          <w:color w:val="auto"/>
        </w:rPr>
      </w:pPr>
      <w:r>
        <w:rPr>
          <w:rFonts w:ascii="Arial" w:cs="Arial" w:eastAsia="Arial" w:hAnsi="Arial"/>
          <w:sz w:val="22"/>
          <w:szCs w:val="22"/>
          <w:color w:val="auto"/>
        </w:rPr>
        <w:t>notwithstanding that any Agent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9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9"/>
          <w:szCs w:val="19"/>
          <w:color w:val="auto"/>
        </w:rPr>
        <w:t xml:space="preserve">SECTION 10.12. </w:t>
      </w:r>
      <w:r>
        <w:rPr>
          <w:rFonts w:ascii="Arial" w:cs="Arial" w:eastAsia="Arial" w:hAnsi="Arial"/>
          <w:sz w:val="19"/>
          <w:szCs w:val="19"/>
          <w:u w:val="single" w:color="auto"/>
          <w:color w:val="auto"/>
        </w:rPr>
        <w:t>Execution in Counterparts; Integration; Effectiveness</w:t>
      </w:r>
      <w:r>
        <w:rPr>
          <w:rFonts w:ascii="Arial" w:cs="Arial" w:eastAsia="Arial" w:hAnsi="Arial"/>
          <w:sz w:val="19"/>
          <w:szCs w:val="19"/>
          <w:color w:val="auto"/>
        </w:rPr>
        <w:t xml:space="preserve"> .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2"/>
          <w:szCs w:val="22"/>
          <w:color w:val="auto"/>
        </w:rPr>
        <w:t xml:space="preserve">SECTION 10.13. </w:t>
      </w:r>
      <w:r>
        <w:rPr>
          <w:rFonts w:ascii="Arial" w:cs="Arial" w:eastAsia="Arial" w:hAnsi="Arial"/>
          <w:sz w:val="22"/>
          <w:szCs w:val="22"/>
          <w:u w:val="single" w:color="auto"/>
          <w:color w:val="auto"/>
        </w:rPr>
        <w:t>USA Patriot Act</w:t>
      </w:r>
      <w:r>
        <w:rPr>
          <w:rFonts w:ascii="Arial" w:cs="Arial" w:eastAsia="Arial" w:hAnsi="Arial"/>
          <w:sz w:val="22"/>
          <w:szCs w:val="22"/>
          <w:color w:val="auto"/>
        </w:rPr>
        <w:t xml:space="preserve"> .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w:t>
      </w:r>
    </w:p>
    <w:p>
      <w:pPr>
        <w:spacing w:after="0" w:line="192"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10.14. </w:t>
      </w:r>
      <w:r>
        <w:rPr>
          <w:rFonts w:ascii="Arial" w:cs="Arial" w:eastAsia="Arial" w:hAnsi="Arial"/>
          <w:sz w:val="22"/>
          <w:szCs w:val="22"/>
          <w:u w:val="single" w:color="auto"/>
          <w:color w:val="auto"/>
        </w:rPr>
        <w:t>New Value</w:t>
      </w:r>
      <w:r>
        <w:rPr>
          <w:rFonts w:ascii="Arial" w:cs="Arial" w:eastAsia="Arial" w:hAnsi="Arial"/>
          <w:sz w:val="22"/>
          <w:szCs w:val="22"/>
          <w:color w:val="auto"/>
        </w:rPr>
        <w:t xml:space="preserve"> . It is the intention of the parties hereto that any provision of Collateral by a Grantor as a condition to, or in connection with, the making of any Loan, shall be made as a contemporaneous exchange for new value given by the Lenders to the Borrower.</w:t>
      </w:r>
    </w:p>
    <w:p>
      <w:pPr>
        <w:spacing w:after="0" w:line="18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2"/>
          <w:szCs w:val="22"/>
          <w:color w:val="auto"/>
        </w:rPr>
        <w:t xml:space="preserve">SECTION 10.15.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xml:space="preserve"> .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33" w:name="page334"/>
    <w:bookmarkEnd w:id="333"/>
    <w:p>
      <w:pPr>
        <w:jc w:val="both"/>
        <w:spacing w:after="0" w:line="253" w:lineRule="auto"/>
        <w:rPr>
          <w:sz w:val="20"/>
          <w:szCs w:val="20"/>
          <w:color w:val="auto"/>
        </w:rPr>
      </w:pPr>
      <w:r>
        <w:rPr>
          <w:rFonts w:ascii="Arial" w:cs="Arial" w:eastAsia="Arial" w:hAnsi="Arial"/>
          <w:sz w:val="22"/>
          <w:szCs w:val="22"/>
          <w:color w:val="auto"/>
        </w:rPr>
        <w:t>OF LITIGATION, SEEK TO ENFORCE THE FOREGOING WAIVER AND (B) ACKNOWLEDGES THAT IT AND THE OTHER PARTIES HERETO HAVE BEEN INDUCED TO ENTER INTO THIS AGREEMENT BY, AMONG OTHER THINGS, THE MUTUAL WAIVERS AND CERTIFICATIONS IN THIS SECTION 10.15.</w:t>
      </w:r>
    </w:p>
    <w:p>
      <w:pPr>
        <w:spacing w:after="0" w:line="185" w:lineRule="exact"/>
        <w:rPr>
          <w:sz w:val="20"/>
          <w:szCs w:val="20"/>
          <w:color w:val="auto"/>
        </w:rPr>
      </w:pPr>
    </w:p>
    <w:p>
      <w:pPr>
        <w:jc w:val="both"/>
        <w:ind w:firstLine="1296"/>
        <w:spacing w:after="0" w:line="258" w:lineRule="exact"/>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No Fiduciary Duty</w:t>
      </w:r>
      <w:r>
        <w:rPr>
          <w:rFonts w:ascii="Arial" w:cs="Arial" w:eastAsia="Arial" w:hAnsi="Arial"/>
          <w:sz w:val="19"/>
          <w:szCs w:val="19"/>
          <w:color w:val="auto"/>
        </w:rPr>
        <w:t xml:space="preserve"> . Each Agent, each Lender and their Affiliates (collectively, solely for purposes of this paragraph, the “ </w:t>
      </w:r>
      <w:r>
        <w:rPr>
          <w:rFonts w:ascii="Arial" w:cs="Arial" w:eastAsia="Arial" w:hAnsi="Arial"/>
          <w:sz w:val="19"/>
          <w:szCs w:val="19"/>
          <w:i w:val="1"/>
          <w:iCs w:val="1"/>
          <w:color w:val="auto"/>
        </w:rPr>
        <w:t>Lenders</w:t>
      </w:r>
      <w:r>
        <w:rPr>
          <w:rFonts w:ascii="Arial" w:cs="Arial" w:eastAsia="Arial" w:hAnsi="Arial"/>
          <w:sz w:val="19"/>
          <w:szCs w:val="19"/>
          <w:color w:val="auto"/>
        </w:rPr>
        <w:t xml:space="preserve"> ”),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w:t>
      </w:r>
      <w:r>
        <w:rPr>
          <w:rFonts w:ascii="MS PGothic" w:cs="MS PGothic" w:eastAsia="MS PGothic" w:hAnsi="MS PGothic"/>
          <w:sz w:val="19"/>
          <w:szCs w:val="19"/>
          <w:color w:val="auto"/>
        </w:rPr>
        <w:t>‑</w:t>
      </w:r>
      <w:r>
        <w:rPr>
          <w:rFonts w:ascii="Arial" w:cs="Arial" w:eastAsia="Arial" w:hAnsi="Arial"/>
          <w:sz w:val="19"/>
          <w:szCs w:val="19"/>
          <w:color w:val="auto"/>
        </w:rPr>
        <w:t>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w:t>
      </w:r>
    </w:p>
    <w:p>
      <w:pPr>
        <w:spacing w:after="0" w:line="4" w:lineRule="exact"/>
        <w:rPr>
          <w:sz w:val="20"/>
          <w:szCs w:val="20"/>
          <w:color w:val="auto"/>
        </w:rPr>
      </w:pPr>
    </w:p>
    <w:p>
      <w:pPr>
        <w:jc w:val="both"/>
        <w:ind w:firstLine="8"/>
        <w:spacing w:after="0" w:line="244" w:lineRule="auto"/>
        <w:tabs>
          <w:tab w:leader="none" w:pos="329" w:val="left"/>
        </w:tabs>
        <w:numPr>
          <w:ilvl w:val="0"/>
          <w:numId w:val="434"/>
        </w:numPr>
        <w:rPr>
          <w:rFonts w:ascii="Arial" w:cs="Arial" w:eastAsia="Arial" w:hAnsi="Arial"/>
          <w:sz w:val="22"/>
          <w:szCs w:val="22"/>
          <w:color w:val="auto"/>
        </w:rPr>
      </w:pPr>
      <w:r>
        <w:rPr>
          <w:rFonts w:ascii="Arial" w:cs="Arial" w:eastAsia="Arial" w:hAnsi="Arial"/>
          <w:sz w:val="22"/>
          <w:szCs w:val="22"/>
          <w:color w:val="auto"/>
        </w:rPr>
        <w:t>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w:t>
      </w:r>
    </w:p>
    <w:p>
      <w:pPr>
        <w:spacing w:after="0" w:line="19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9"/>
          <w:szCs w:val="19"/>
          <w:color w:val="auto"/>
        </w:rPr>
        <w:t xml:space="preserve">SECTION 10.17. </w:t>
      </w:r>
      <w:r>
        <w:rPr>
          <w:rFonts w:ascii="Arial" w:cs="Arial" w:eastAsia="Arial" w:hAnsi="Arial"/>
          <w:sz w:val="19"/>
          <w:szCs w:val="19"/>
          <w:u w:val="single" w:color="auto"/>
          <w:color w:val="auto"/>
        </w:rPr>
        <w:t>Lender Action</w:t>
      </w:r>
      <w:r>
        <w:rPr>
          <w:rFonts w:ascii="Arial" w:cs="Arial" w:eastAsia="Arial" w:hAnsi="Arial"/>
          <w:sz w:val="19"/>
          <w:szCs w:val="19"/>
          <w:color w:val="auto"/>
        </w:rPr>
        <w:t xml:space="preserve"> .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w:t>
      </w:r>
    </w:p>
    <w:p>
      <w:pPr>
        <w:spacing w:after="0" w:line="156"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 xml:space="preserve">SECTION 10.18. </w:t>
      </w:r>
      <w:r>
        <w:rPr>
          <w:rFonts w:ascii="Arial" w:cs="Arial" w:eastAsia="Arial" w:hAnsi="Arial"/>
          <w:sz w:val="22"/>
          <w:szCs w:val="22"/>
          <w:u w:val="single" w:color="auto"/>
          <w:color w:val="auto"/>
        </w:rPr>
        <w:t>Intercreditor Agreements</w:t>
      </w:r>
      <w:r>
        <w:rPr>
          <w:rFonts w:ascii="Arial" w:cs="Arial" w:eastAsia="Arial" w:hAnsi="Arial"/>
          <w:sz w:val="22"/>
          <w:szCs w:val="22"/>
          <w:color w:val="auto"/>
        </w:rPr>
        <w:t xml:space="preserve"> . Notwithstanding anything to the contrary contained in this Agreement, if at any time the Administrative Agent or the Collateral Agent shall enter into any Intercreditor Agreement, pursuant to and as permitted by the terms of this Agreement or any Other Intercreditor Agreement and such Intercreditor Agreement or such Other Intercreditor Agreement shall remain outstanding, the rights granted to the Secured Parties hereunder and under the other Loan Documents, the Liens and security interest granted to the Collateral Agent pursuant to this Agreement or any other Loan Document and the exercise of any right or remedy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34" w:name="page335"/>
    <w:bookmarkEnd w:id="334"/>
    <w:p>
      <w:pPr>
        <w:jc w:val="both"/>
        <w:spacing w:after="0" w:line="294" w:lineRule="auto"/>
        <w:rPr>
          <w:sz w:val="20"/>
          <w:szCs w:val="20"/>
          <w:color w:val="auto"/>
        </w:rPr>
      </w:pPr>
      <w:r>
        <w:rPr>
          <w:rFonts w:ascii="Arial" w:cs="Arial" w:eastAsia="Arial" w:hAnsi="Arial"/>
          <w:sz w:val="19"/>
          <w:szCs w:val="19"/>
          <w:color w:val="auto"/>
        </w:rPr>
        <w:t>by any Agent hereunder or under any other Loan Document shall be subject to the terms and conditions of such Intercreditor Agreement or such Other Intercreditor Agreement. In the event of any conflict between the terms of this Agreement, any other Loan Document and such Intercreditor Agreement or such Other Intercreditor Agreements, the terms of such Intercreditor Agreement or such Other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 or such Other Intercreditor Agreement.</w:t>
      </w:r>
    </w:p>
    <w:p>
      <w:pPr>
        <w:spacing w:after="0" w:line="149"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SECTION 10.19. </w:t>
      </w:r>
      <w:r>
        <w:rPr>
          <w:rFonts w:ascii="Arial" w:cs="Arial" w:eastAsia="Arial" w:hAnsi="Arial"/>
          <w:sz w:val="19"/>
          <w:szCs w:val="19"/>
          <w:u w:val="single" w:color="auto"/>
          <w:color w:val="auto"/>
        </w:rPr>
        <w:t>Acknowledgment and Consent to Bail-In of Affected Financial Institutions</w:t>
      </w:r>
      <w:r>
        <w:rPr>
          <w:rFonts w:ascii="Arial" w:cs="Arial" w:eastAsia="Arial" w:hAnsi="Arial"/>
          <w:sz w:val="19"/>
          <w:szCs w:val="19"/>
          <w:color w:val="auto"/>
        </w:rPr>
        <w:t xml:space="preserve"> .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20" w:lineRule="exact"/>
        <w:rPr>
          <w:sz w:val="20"/>
          <w:szCs w:val="20"/>
          <w:color w:val="auto"/>
        </w:rPr>
      </w:pPr>
    </w:p>
    <w:p>
      <w:pPr>
        <w:ind w:firstLine="1304"/>
        <w:spacing w:after="0" w:line="298" w:lineRule="auto"/>
        <w:tabs>
          <w:tab w:leader="none" w:pos="2251" w:val="left"/>
        </w:tabs>
        <w:numPr>
          <w:ilvl w:val="0"/>
          <w:numId w:val="43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05" w:lineRule="exact"/>
        <w:rPr>
          <w:rFonts w:ascii="Arial" w:cs="Arial" w:eastAsia="Arial" w:hAnsi="Arial"/>
          <w:sz w:val="19"/>
          <w:szCs w:val="19"/>
          <w:color w:val="auto"/>
        </w:rPr>
      </w:pPr>
    </w:p>
    <w:p>
      <w:pPr>
        <w:ind w:left="2260" w:hanging="956"/>
        <w:spacing w:after="0"/>
        <w:tabs>
          <w:tab w:leader="none" w:pos="2260" w:val="left"/>
        </w:tabs>
        <w:numPr>
          <w:ilvl w:val="0"/>
          <w:numId w:val="435"/>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179" w:lineRule="exact"/>
        <w:rPr>
          <w:sz w:val="20"/>
          <w:szCs w:val="20"/>
          <w:color w:val="auto"/>
        </w:rPr>
      </w:pPr>
    </w:p>
    <w:p>
      <w:pPr>
        <w:ind w:left="2200" w:hanging="896"/>
        <w:spacing w:after="0"/>
        <w:tabs>
          <w:tab w:leader="none" w:pos="2200" w:val="left"/>
        </w:tabs>
        <w:numPr>
          <w:ilvl w:val="0"/>
          <w:numId w:val="436"/>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179" w:lineRule="exact"/>
        <w:rPr>
          <w:rFonts w:ascii="Arial" w:cs="Arial" w:eastAsia="Arial" w:hAnsi="Arial"/>
          <w:sz w:val="22"/>
          <w:szCs w:val="22"/>
          <w:color w:val="auto"/>
        </w:rPr>
      </w:pPr>
    </w:p>
    <w:p>
      <w:pPr>
        <w:jc w:val="both"/>
        <w:ind w:firstLine="1304"/>
        <w:spacing w:after="0" w:line="218" w:lineRule="auto"/>
        <w:tabs>
          <w:tab w:leader="none" w:pos="2262" w:val="left"/>
        </w:tabs>
        <w:numPr>
          <w:ilvl w:val="0"/>
          <w:numId w:val="436"/>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0" w:lineRule="exact"/>
        <w:rPr>
          <w:rFonts w:ascii="Arial" w:cs="Arial" w:eastAsia="Arial" w:hAnsi="Arial"/>
          <w:sz w:val="22"/>
          <w:szCs w:val="22"/>
          <w:color w:val="auto"/>
        </w:rPr>
      </w:pPr>
    </w:p>
    <w:p>
      <w:pPr>
        <w:ind w:right="20" w:firstLine="1304"/>
        <w:spacing w:after="0" w:line="232" w:lineRule="auto"/>
        <w:tabs>
          <w:tab w:leader="none" w:pos="2349" w:val="left"/>
        </w:tabs>
        <w:numPr>
          <w:ilvl w:val="0"/>
          <w:numId w:val="436"/>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8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2"/>
          <w:szCs w:val="22"/>
          <w:color w:val="auto"/>
        </w:rPr>
        <w:t xml:space="preserve">SECTION 10.20. </w:t>
      </w:r>
      <w:r>
        <w:rPr>
          <w:rFonts w:ascii="Arial" w:cs="Arial" w:eastAsia="Arial" w:hAnsi="Arial"/>
          <w:sz w:val="22"/>
          <w:szCs w:val="22"/>
          <w:u w:val="single" w:color="auto"/>
          <w:color w:val="auto"/>
        </w:rPr>
        <w:t>QFC Provisions</w:t>
      </w:r>
      <w:r>
        <w:rPr>
          <w:rFonts w:ascii="Arial" w:cs="Arial" w:eastAsia="Arial" w:hAnsi="Arial"/>
          <w:sz w:val="22"/>
          <w:szCs w:val="22"/>
          <w:color w:val="auto"/>
        </w:rPr>
        <w:t xml:space="preserve"> . The following provisions apply to the extent that the Loan Documents provide support, through a guarantee or otherwise, for any agreement or instrument that is a QFC (such support, “ </w:t>
      </w:r>
      <w:r>
        <w:rPr>
          <w:rFonts w:ascii="Arial" w:cs="Arial" w:eastAsia="Arial" w:hAnsi="Arial"/>
          <w:sz w:val="22"/>
          <w:szCs w:val="22"/>
          <w:u w:val="single" w:color="auto"/>
          <w:color w:val="auto"/>
        </w:rPr>
        <w:t>QFC Credit Support</w:t>
      </w:r>
      <w:r>
        <w:rPr>
          <w:rFonts w:ascii="Arial" w:cs="Arial" w:eastAsia="Arial" w:hAnsi="Arial"/>
          <w:sz w:val="22"/>
          <w:szCs w:val="22"/>
          <w:color w:val="auto"/>
        </w:rPr>
        <w:t xml:space="preserve"> ” and each such QFC, a “ </w:t>
      </w:r>
      <w:r>
        <w:rPr>
          <w:rFonts w:ascii="Arial" w:cs="Arial" w:eastAsia="Arial" w:hAnsi="Arial"/>
          <w:sz w:val="22"/>
          <w:szCs w:val="22"/>
          <w:u w:val="single" w:color="auto"/>
          <w:color w:val="auto"/>
        </w:rPr>
        <w:t>Supported QFC</w:t>
      </w:r>
      <w:r>
        <w:rPr>
          <w:rFonts w:ascii="Arial" w:cs="Arial" w:eastAsia="Arial" w:hAnsi="Arial"/>
          <w:sz w:val="22"/>
          <w:szCs w:val="22"/>
          <w:color w:val="auto"/>
        </w:rPr>
        <w:t xml:space="preserve"> ”):</w:t>
      </w:r>
    </w:p>
    <w:p>
      <w:pPr>
        <w:spacing w:after="0" w:line="158" w:lineRule="exact"/>
        <w:rPr>
          <w:sz w:val="20"/>
          <w:szCs w:val="20"/>
          <w:color w:val="auto"/>
        </w:rPr>
      </w:pPr>
    </w:p>
    <w:p>
      <w:pPr>
        <w:ind w:left="1300" w:firstLine="1300"/>
        <w:spacing w:after="0" w:line="252" w:lineRule="auto"/>
        <w:tabs>
          <w:tab w:leader="none" w:pos="3538" w:val="left"/>
        </w:tabs>
        <w:numPr>
          <w:ilvl w:val="0"/>
          <w:numId w:val="437"/>
        </w:numPr>
        <w:rPr>
          <w:rFonts w:ascii="Arial" w:cs="Arial" w:eastAsia="Arial" w:hAnsi="Arial"/>
          <w:sz w:val="19"/>
          <w:szCs w:val="19"/>
          <w:color w:val="auto"/>
        </w:rPr>
      </w:pPr>
      <w:r>
        <w:rPr>
          <w:rFonts w:ascii="Arial" w:cs="Arial" w:eastAsia="Arial" w:hAnsi="Arial"/>
          <w:sz w:val="19"/>
          <w:szCs w:val="19"/>
          <w:color w:val="auto"/>
        </w:rPr>
        <w:t xml:space="preserve">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xml:space="preserve"> ”) in respect of such Supported QFC and QFC Credit Support (with the provisions below applicable notwithstanding that the Loan Documents and any Supported QFC may in fact be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35" w:name="page336"/>
    <w:bookmarkEnd w:id="335"/>
    <w:p>
      <w:pPr>
        <w:ind w:left="1240"/>
        <w:spacing w:after="0"/>
        <w:rPr>
          <w:sz w:val="20"/>
          <w:szCs w:val="20"/>
          <w:color w:val="auto"/>
        </w:rPr>
      </w:pPr>
      <w:r>
        <w:rPr>
          <w:rFonts w:ascii="Arial" w:cs="Arial" w:eastAsia="Arial" w:hAnsi="Arial"/>
          <w:sz w:val="19"/>
          <w:szCs w:val="19"/>
          <w:color w:val="auto"/>
        </w:rPr>
        <w:t>stated to be governed by the laws of the State of New York and/or of the United States or any other state of the</w:t>
      </w:r>
    </w:p>
    <w:p>
      <w:pPr>
        <w:spacing w:after="0" w:line="16"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United States):</w:t>
      </w:r>
    </w:p>
    <w:p>
      <w:pPr>
        <w:spacing w:after="0" w:line="161" w:lineRule="exact"/>
        <w:rPr>
          <w:sz w:val="20"/>
          <w:szCs w:val="20"/>
          <w:color w:val="auto"/>
        </w:rPr>
      </w:pPr>
    </w:p>
    <w:p>
      <w:pPr>
        <w:ind w:left="-60" w:firstLine="1304"/>
        <w:spacing w:after="0" w:line="212" w:lineRule="auto"/>
        <w:tabs>
          <w:tab w:leader="none" w:pos="2142" w:val="left"/>
        </w:tabs>
        <w:numPr>
          <w:ilvl w:val="0"/>
          <w:numId w:val="438"/>
        </w:numPr>
        <w:rPr>
          <w:rFonts w:ascii="Arial" w:cs="Arial" w:eastAsia="Arial" w:hAnsi="Arial"/>
          <w:sz w:val="22"/>
          <w:szCs w:val="22"/>
          <w:color w:val="auto"/>
        </w:rPr>
      </w:pPr>
      <w:r>
        <w:rPr>
          <w:rFonts w:ascii="Arial" w:cs="Arial" w:eastAsia="Arial" w:hAnsi="Arial"/>
          <w:sz w:val="22"/>
          <w:szCs w:val="22"/>
          <w:color w:val="auto"/>
        </w:rPr>
        <w:t xml:space="preserve">In the event a Covered Entity that is party to a Supported QFC or to any QFC Credit Support (each, a “ </w:t>
      </w:r>
      <w:r>
        <w:rPr>
          <w:rFonts w:ascii="Arial" w:cs="Arial" w:eastAsia="Arial" w:hAnsi="Arial"/>
          <w:sz w:val="22"/>
          <w:szCs w:val="22"/>
          <w:u w:val="single" w:color="auto"/>
          <w:color w:val="auto"/>
        </w:rPr>
        <w:t>Covered Party</w:t>
      </w:r>
      <w:r>
        <w:rPr>
          <w:rFonts w:ascii="Arial" w:cs="Arial" w:eastAsia="Arial" w:hAnsi="Arial"/>
          <w:sz w:val="22"/>
          <w:szCs w:val="22"/>
          <w:color w:val="auto"/>
        </w:rPr>
        <w:t xml:space="preserve"> ”) becomes subject to a proceeding under a U.S. Special Resolution Regime, the transfer of such Supported QFC and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63" w:lineRule="exact"/>
        <w:rPr>
          <w:rFonts w:ascii="Arial" w:cs="Arial" w:eastAsia="Arial" w:hAnsi="Arial"/>
          <w:sz w:val="22"/>
          <w:szCs w:val="22"/>
          <w:color w:val="auto"/>
        </w:rPr>
      </w:pPr>
    </w:p>
    <w:p>
      <w:pPr>
        <w:ind w:left="-60" w:right="20" w:firstLine="1304"/>
        <w:spacing w:after="0" w:line="247" w:lineRule="auto"/>
        <w:tabs>
          <w:tab w:leader="none" w:pos="2202" w:val="left"/>
        </w:tabs>
        <w:numPr>
          <w:ilvl w:val="0"/>
          <w:numId w:val="438"/>
        </w:numPr>
        <w:rPr>
          <w:rFonts w:ascii="Arial" w:cs="Arial" w:eastAsia="Arial" w:hAnsi="Arial"/>
          <w:sz w:val="19"/>
          <w:szCs w:val="19"/>
          <w:color w:val="auto"/>
        </w:rPr>
      </w:pPr>
      <w:r>
        <w:rPr>
          <w:rFonts w:ascii="Arial" w:cs="Arial" w:eastAsia="Arial" w:hAnsi="Arial"/>
          <w:sz w:val="19"/>
          <w:szCs w:val="19"/>
          <w:color w:val="auto"/>
        </w:rPr>
        <w:t>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4" w:lineRule="exact"/>
        <w:rPr>
          <w:sz w:val="20"/>
          <w:szCs w:val="20"/>
          <w:color w:val="auto"/>
        </w:rPr>
      </w:pPr>
    </w:p>
    <w:p>
      <w:pPr>
        <w:ind w:left="4140" w:hanging="952"/>
        <w:spacing w:after="0"/>
        <w:tabs>
          <w:tab w:leader="none" w:pos="4140" w:val="left"/>
        </w:tabs>
        <w:numPr>
          <w:ilvl w:val="1"/>
          <w:numId w:val="439"/>
        </w:numPr>
        <w:rPr>
          <w:rFonts w:ascii="Arial" w:cs="Arial" w:eastAsia="Arial" w:hAnsi="Arial"/>
          <w:sz w:val="22"/>
          <w:szCs w:val="22"/>
          <w:color w:val="auto"/>
        </w:rPr>
      </w:pPr>
      <w:r>
        <w:rPr>
          <w:rFonts w:ascii="Arial" w:cs="Arial" w:eastAsia="Arial" w:hAnsi="Arial"/>
          <w:sz w:val="22"/>
          <w:szCs w:val="22"/>
          <w:color w:val="auto"/>
        </w:rPr>
        <w:t>In addition, the parties agree that:</w:t>
      </w:r>
    </w:p>
    <w:p>
      <w:pPr>
        <w:spacing w:after="0" w:line="179" w:lineRule="exact"/>
        <w:rPr>
          <w:rFonts w:ascii="Arial" w:cs="Arial" w:eastAsia="Arial" w:hAnsi="Arial"/>
          <w:sz w:val="22"/>
          <w:szCs w:val="22"/>
          <w:color w:val="auto"/>
        </w:rPr>
      </w:pPr>
    </w:p>
    <w:p>
      <w:pPr>
        <w:ind w:left="-60" w:right="100" w:firstLine="1304"/>
        <w:spacing w:after="0" w:line="244" w:lineRule="auto"/>
        <w:tabs>
          <w:tab w:leader="none" w:pos="2142" w:val="left"/>
        </w:tabs>
        <w:numPr>
          <w:ilvl w:val="0"/>
          <w:numId w:val="440"/>
        </w:numPr>
        <w:rPr>
          <w:rFonts w:ascii="Arial" w:cs="Arial" w:eastAsia="Arial" w:hAnsi="Arial"/>
          <w:sz w:val="19"/>
          <w:szCs w:val="19"/>
          <w:color w:val="auto"/>
        </w:rPr>
      </w:pPr>
      <w:r>
        <w:rPr>
          <w:rFonts w:ascii="Arial" w:cs="Arial" w:eastAsia="Arial" w:hAnsi="Arial"/>
          <w:sz w:val="19"/>
          <w:szCs w:val="19"/>
          <w:color w:val="auto"/>
        </w:rPr>
        <w:t>Notwithstanding anything to the contrary in the Loan Documents or any other agreement, but without prejudice to the requirements of Section 10.20(a), (1) Default Rights under the Loan Documents that might otherwise apply to a Supported QFC or any QFC Credit Support may not be exercised against a Covered Party if such Default Rights are related, directly or indirectly, to a BHC Act Affiliate of such Covered Party becoming subject to Insolvency Proceedings, except to the extent such exercise would be permitted under 12 C.F.R. § 252.84, 12 C.F.R. § 47.5, or 12 C.F.R. § 382.4, as applicable; and (2) nothing in the Loan Documents or any other agreement shall prohibit the transfer of any Covered Affiliate QFC Credit Support, any interest or obligation in or under, or any property securing, such Covered Affiliate QFC Credit Support to a Transferee upon or following a BHC Act Affiliate of the Covered Party becoming subject to Insolvency Proceedings, unless the transfer would result in the party supported thereby being the beneficiary of such Covered Affiliate QFC Credit Support in violation of any law applicable to such party.</w:t>
      </w:r>
    </w:p>
    <w:p>
      <w:pPr>
        <w:spacing w:after="0" w:line="154" w:lineRule="exact"/>
        <w:rPr>
          <w:rFonts w:ascii="Arial" w:cs="Arial" w:eastAsia="Arial" w:hAnsi="Arial"/>
          <w:sz w:val="19"/>
          <w:szCs w:val="19"/>
          <w:color w:val="auto"/>
        </w:rPr>
      </w:pPr>
    </w:p>
    <w:p>
      <w:pPr>
        <w:ind w:left="-60" w:right="20" w:firstLine="1304"/>
        <w:spacing w:after="0" w:line="257" w:lineRule="auto"/>
        <w:tabs>
          <w:tab w:leader="none" w:pos="2202" w:val="left"/>
        </w:tabs>
        <w:numPr>
          <w:ilvl w:val="0"/>
          <w:numId w:val="440"/>
        </w:numPr>
        <w:rPr>
          <w:rFonts w:ascii="Arial" w:cs="Arial" w:eastAsia="Arial" w:hAnsi="Arial"/>
          <w:sz w:val="19"/>
          <w:szCs w:val="19"/>
          <w:color w:val="auto"/>
        </w:rPr>
      </w:pPr>
      <w:r>
        <w:rPr>
          <w:rFonts w:ascii="Arial" w:cs="Arial" w:eastAsia="Arial" w:hAnsi="Arial"/>
          <w:sz w:val="19"/>
          <w:szCs w:val="19"/>
          <w:color w:val="auto"/>
        </w:rPr>
        <w:t>After a BHC Act Affiliate of a Covered Party has become subject to Insolvency Proceedings, if any party to the Loan Documents, any Supported QFC or any QFC Credit Support seeks to exercise any Default Right against such Covered Party with respect to such Supported QFC or such QFC Credit Support, the party seeking to exercise such Default Right shall have the burden of proof, by clear and convincing evidence, that the exercise of such Default Right is permitted hereunder.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67310</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753" w:right="379" w:bottom="1440" w:gutter="0" w:footer="0" w:header="0"/>
        </w:sectPr>
      </w:pPr>
    </w:p>
    <w:bookmarkStart w:id="336" w:name="page337"/>
    <w:bookmarkEnd w:id="336"/>
    <w:p>
      <w:pPr>
        <w:ind w:left="4180" w:hanging="932"/>
        <w:spacing w:after="0"/>
        <w:tabs>
          <w:tab w:leader="none" w:pos="4180" w:val="left"/>
        </w:tabs>
        <w:numPr>
          <w:ilvl w:val="1"/>
          <w:numId w:val="441"/>
        </w:numPr>
        <w:rPr>
          <w:rFonts w:ascii="Arial" w:cs="Arial" w:eastAsia="Arial" w:hAnsi="Arial"/>
          <w:sz w:val="19"/>
          <w:szCs w:val="19"/>
          <w:color w:val="auto"/>
        </w:rPr>
      </w:pPr>
      <w:r>
        <w:rPr>
          <w:rFonts w:ascii="Arial" w:cs="Arial" w:eastAsia="Arial" w:hAnsi="Arial"/>
          <w:sz w:val="19"/>
          <w:szCs w:val="19"/>
          <w:color w:val="auto"/>
        </w:rPr>
        <w:t>As used in this Section 10.20, the following terms have the following meanings;</w:t>
      </w:r>
    </w:p>
    <w:p>
      <w:pPr>
        <w:spacing w:after="0" w:line="213" w:lineRule="exact"/>
        <w:rPr>
          <w:rFonts w:ascii="Arial" w:cs="Arial" w:eastAsia="Arial" w:hAnsi="Arial"/>
          <w:sz w:val="19"/>
          <w:szCs w:val="19"/>
          <w:color w:val="auto"/>
        </w:rPr>
      </w:pPr>
    </w:p>
    <w:p>
      <w:pPr>
        <w:ind w:right="200" w:firstLine="1304"/>
        <w:spacing w:after="0" w:line="232" w:lineRule="auto"/>
        <w:tabs>
          <w:tab w:leader="none" w:pos="2202" w:val="left"/>
        </w:tabs>
        <w:numPr>
          <w:ilvl w:val="0"/>
          <w:numId w:val="44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BHC Act Affiliate</w:t>
      </w:r>
      <w:r>
        <w:rPr>
          <w:rFonts w:ascii="Arial" w:cs="Arial" w:eastAsia="Arial" w:hAnsi="Arial"/>
          <w:sz w:val="22"/>
          <w:szCs w:val="22"/>
          <w:color w:val="auto"/>
        </w:rPr>
        <w:t xml:space="preserve"> ” of a party means an “affiliate” (as such term is defined under, and interpreted in accordance with, 12 U.S.C. 1841(k)) of such party.</w:t>
      </w:r>
    </w:p>
    <w:p>
      <w:pPr>
        <w:spacing w:after="0" w:line="158" w:lineRule="exact"/>
        <w:rPr>
          <w:rFonts w:ascii="Arial" w:cs="Arial" w:eastAsia="Arial" w:hAnsi="Arial"/>
          <w:sz w:val="22"/>
          <w:szCs w:val="22"/>
          <w:color w:val="auto"/>
        </w:rPr>
      </w:pPr>
    </w:p>
    <w:p>
      <w:pPr>
        <w:ind w:right="260" w:firstLine="1304"/>
        <w:spacing w:after="0" w:line="298" w:lineRule="auto"/>
        <w:tabs>
          <w:tab w:leader="none" w:pos="2262" w:val="left"/>
        </w:tabs>
        <w:numPr>
          <w:ilvl w:val="0"/>
          <w:numId w:val="442"/>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Covered Affiliate QFC Credit Support</w:t>
      </w:r>
      <w:r>
        <w:rPr>
          <w:rFonts w:ascii="Arial" w:cs="Arial" w:eastAsia="Arial" w:hAnsi="Arial"/>
          <w:sz w:val="19"/>
          <w:szCs w:val="19"/>
          <w:color w:val="auto"/>
        </w:rPr>
        <w:t xml:space="preserve"> ” means, in respect of a Supported QFC to which a Covered Party is the direct party, QFC Credit Support provided by a Covered Party that is a BHC Act Affiliate of such direct party.</w:t>
      </w:r>
    </w:p>
    <w:p>
      <w:pPr>
        <w:spacing w:after="0" w:line="105" w:lineRule="exact"/>
        <w:rPr>
          <w:rFonts w:ascii="Arial" w:cs="Arial" w:eastAsia="Arial" w:hAnsi="Arial"/>
          <w:sz w:val="19"/>
          <w:szCs w:val="19"/>
          <w:color w:val="auto"/>
        </w:rPr>
      </w:pPr>
    </w:p>
    <w:p>
      <w:pPr>
        <w:ind w:left="2320" w:hanging="1016"/>
        <w:spacing w:after="0"/>
        <w:tabs>
          <w:tab w:leader="none" w:pos="2320" w:val="left"/>
        </w:tabs>
        <w:numPr>
          <w:ilvl w:val="0"/>
          <w:numId w:val="44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Covered Entity</w:t>
      </w:r>
      <w:r>
        <w:rPr>
          <w:rFonts w:ascii="Arial" w:cs="Arial" w:eastAsia="Arial" w:hAnsi="Arial"/>
          <w:sz w:val="22"/>
          <w:szCs w:val="22"/>
          <w:color w:val="auto"/>
        </w:rPr>
        <w:t xml:space="preserve"> ” means any of the following:</w:t>
      </w:r>
    </w:p>
    <w:p>
      <w:pPr>
        <w:spacing w:after="0" w:line="179" w:lineRule="exact"/>
        <w:rPr>
          <w:sz w:val="20"/>
          <w:szCs w:val="20"/>
          <w:color w:val="auto"/>
        </w:rPr>
      </w:pPr>
    </w:p>
    <w:p>
      <w:pPr>
        <w:ind w:left="2300" w:hanging="996"/>
        <w:spacing w:after="0"/>
        <w:tabs>
          <w:tab w:leader="none" w:pos="2300" w:val="left"/>
        </w:tabs>
        <w:numPr>
          <w:ilvl w:val="0"/>
          <w:numId w:val="443"/>
        </w:numPr>
        <w:rPr>
          <w:rFonts w:ascii="Arial" w:cs="Arial" w:eastAsia="Arial" w:hAnsi="Arial"/>
          <w:sz w:val="19"/>
          <w:szCs w:val="19"/>
          <w:color w:val="auto"/>
        </w:rPr>
      </w:pPr>
      <w:r>
        <w:rPr>
          <w:rFonts w:ascii="Arial" w:cs="Arial" w:eastAsia="Arial" w:hAnsi="Arial"/>
          <w:sz w:val="19"/>
          <w:szCs w:val="19"/>
          <w:color w:val="auto"/>
        </w:rPr>
        <w:t>a “covered entity” as that term is defined in, and interpreted in accordance with, 12 C.F.R. § 252.82(b);</w:t>
      </w:r>
    </w:p>
    <w:p>
      <w:pPr>
        <w:spacing w:after="0" w:line="213" w:lineRule="exact"/>
        <w:rPr>
          <w:rFonts w:ascii="Arial" w:cs="Arial" w:eastAsia="Arial" w:hAnsi="Arial"/>
          <w:sz w:val="19"/>
          <w:szCs w:val="19"/>
          <w:color w:val="auto"/>
        </w:rPr>
      </w:pPr>
    </w:p>
    <w:p>
      <w:pPr>
        <w:ind w:left="2300" w:hanging="996"/>
        <w:spacing w:after="0"/>
        <w:tabs>
          <w:tab w:leader="none" w:pos="2300" w:val="left"/>
        </w:tabs>
        <w:numPr>
          <w:ilvl w:val="0"/>
          <w:numId w:val="443"/>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w:t>
      </w:r>
    </w:p>
    <w:p>
      <w:pPr>
        <w:spacing w:after="0" w:line="213" w:lineRule="exact"/>
        <w:rPr>
          <w:rFonts w:ascii="Arial" w:cs="Arial" w:eastAsia="Arial" w:hAnsi="Arial"/>
          <w:sz w:val="19"/>
          <w:szCs w:val="19"/>
          <w:color w:val="auto"/>
        </w:rPr>
      </w:pPr>
    </w:p>
    <w:p>
      <w:pPr>
        <w:ind w:left="2300" w:hanging="996"/>
        <w:spacing w:after="0"/>
        <w:tabs>
          <w:tab w:leader="none" w:pos="2300" w:val="left"/>
        </w:tabs>
        <w:numPr>
          <w:ilvl w:val="0"/>
          <w:numId w:val="443"/>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w:t>
      </w:r>
    </w:p>
    <w:p>
      <w:pPr>
        <w:spacing w:after="0" w:line="214" w:lineRule="exact"/>
        <w:rPr>
          <w:sz w:val="20"/>
          <w:szCs w:val="20"/>
          <w:color w:val="auto"/>
        </w:rPr>
      </w:pPr>
    </w:p>
    <w:p>
      <w:pPr>
        <w:ind w:right="40" w:firstLine="1304"/>
        <w:spacing w:after="0" w:line="232" w:lineRule="auto"/>
        <w:tabs>
          <w:tab w:leader="none" w:pos="231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Default Right</w:t>
      </w:r>
      <w:r>
        <w:rPr>
          <w:rFonts w:ascii="Arial" w:cs="Arial" w:eastAsia="Arial" w:hAnsi="Arial"/>
          <w:sz w:val="22"/>
          <w:szCs w:val="22"/>
          <w:color w:val="auto"/>
        </w:rPr>
        <w:t xml:space="preserve"> ” has the meaning assigned to that term in, and shall be interpreted in accordance with, 12 C.F.R. §§ 252.81, 47.2 or 382.1, as applicable.</w:t>
      </w:r>
    </w:p>
    <w:p>
      <w:pPr>
        <w:spacing w:after="0" w:line="151" w:lineRule="exact"/>
        <w:rPr>
          <w:rFonts w:ascii="Arial" w:cs="Arial" w:eastAsia="Arial" w:hAnsi="Arial"/>
          <w:sz w:val="22"/>
          <w:szCs w:val="22"/>
          <w:color w:val="auto"/>
        </w:rPr>
      </w:pPr>
    </w:p>
    <w:p>
      <w:pPr>
        <w:ind w:left="2260" w:hanging="956"/>
        <w:spacing w:after="0"/>
        <w:tabs>
          <w:tab w:leader="none" w:pos="2260" w:val="left"/>
        </w:tabs>
        <w:numPr>
          <w:ilvl w:val="0"/>
          <w:numId w:val="444"/>
        </w:numPr>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Insolvency Proceeding</w:t>
      </w:r>
      <w:r>
        <w:rPr>
          <w:rFonts w:ascii="Arial" w:cs="Arial" w:eastAsia="Arial" w:hAnsi="Arial"/>
          <w:sz w:val="21"/>
          <w:szCs w:val="21"/>
          <w:color w:val="auto"/>
        </w:rPr>
        <w:t xml:space="preserve"> ” means a receivership, insolvency, liquidation, resolution, or similar</w:t>
      </w:r>
    </w:p>
    <w:p>
      <w:pPr>
        <w:spacing w:after="0"/>
        <w:rPr>
          <w:rFonts w:ascii="Arial" w:cs="Arial" w:eastAsia="Arial" w:hAnsi="Arial"/>
          <w:sz w:val="21"/>
          <w:szCs w:val="21"/>
          <w:color w:val="auto"/>
        </w:rPr>
      </w:pPr>
      <w:r>
        <w:rPr>
          <w:rFonts w:ascii="Arial" w:cs="Arial" w:eastAsia="Arial" w:hAnsi="Arial"/>
          <w:sz w:val="22"/>
          <w:szCs w:val="22"/>
          <w:color w:val="auto"/>
        </w:rPr>
        <w:t>proceeding.</w:t>
      </w:r>
    </w:p>
    <w:p>
      <w:pPr>
        <w:spacing w:after="0" w:line="161" w:lineRule="exact"/>
        <w:rPr>
          <w:rFonts w:ascii="Arial" w:cs="Arial" w:eastAsia="Arial" w:hAnsi="Arial"/>
          <w:sz w:val="21"/>
          <w:szCs w:val="21"/>
          <w:color w:val="auto"/>
        </w:rPr>
      </w:pPr>
    </w:p>
    <w:p>
      <w:pPr>
        <w:ind w:right="40" w:firstLine="1304"/>
        <w:spacing w:after="0" w:line="232" w:lineRule="auto"/>
        <w:tabs>
          <w:tab w:leader="none" w:pos="2310" w:val="left"/>
        </w:tabs>
        <w:numPr>
          <w:ilvl w:val="0"/>
          <w:numId w:val="444"/>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QFC</w:t>
      </w:r>
      <w:r>
        <w:rPr>
          <w:rFonts w:ascii="Arial" w:cs="Arial" w:eastAsia="Arial" w:hAnsi="Arial"/>
          <w:sz w:val="22"/>
          <w:szCs w:val="22"/>
          <w:color w:val="auto"/>
        </w:rPr>
        <w:t xml:space="preserve"> ” has the meaning assigned to the term “qualified financial contract” in, and shall be interpreted in accordance with, 12 U.S.C. 5390(c)(8)(D).</w:t>
      </w:r>
    </w:p>
    <w:p>
      <w:pPr>
        <w:spacing w:after="0" w:line="158" w:lineRule="exact"/>
        <w:rPr>
          <w:rFonts w:ascii="Arial" w:cs="Arial" w:eastAsia="Arial" w:hAnsi="Arial"/>
          <w:sz w:val="22"/>
          <w:szCs w:val="22"/>
          <w:color w:val="auto"/>
        </w:rPr>
      </w:pPr>
    </w:p>
    <w:p>
      <w:pPr>
        <w:ind w:right="20" w:firstLine="1304"/>
        <w:spacing w:after="0" w:line="268" w:lineRule="auto"/>
        <w:tabs>
          <w:tab w:leader="none" w:pos="2370" w:val="left"/>
        </w:tabs>
        <w:numPr>
          <w:ilvl w:val="0"/>
          <w:numId w:val="444"/>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Transferee</w:t>
      </w:r>
      <w:r>
        <w:rPr>
          <w:rFonts w:ascii="Arial" w:cs="Arial" w:eastAsia="Arial" w:hAnsi="Arial"/>
          <w:sz w:val="19"/>
          <w:szCs w:val="19"/>
          <w:color w:val="auto"/>
        </w:rPr>
        <w:t xml:space="preserve"> ” means, in respect of any Covered Affiliate QFC Credit Support, a person to whom such Covered Affiliate QFC Credit Support is transferred upon the provider of such Covered Affiliate QFC Credit Support becoming subject to Insolvency Proceedings or thereafter as part of its resolution, restructuring, or reorganization.</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10.21. </w:t>
      </w:r>
      <w:r>
        <w:rPr>
          <w:rFonts w:ascii="Arial" w:cs="Arial" w:eastAsia="Arial" w:hAnsi="Arial"/>
          <w:sz w:val="22"/>
          <w:szCs w:val="22"/>
          <w:u w:val="single" w:color="auto"/>
          <w:color w:val="auto"/>
        </w:rPr>
        <w:t>Certain ERISA Matters.</w:t>
      </w:r>
    </w:p>
    <w:p>
      <w:pPr>
        <w:spacing w:after="0" w:line="193" w:lineRule="exact"/>
        <w:rPr>
          <w:sz w:val="20"/>
          <w:szCs w:val="20"/>
          <w:color w:val="auto"/>
        </w:rPr>
      </w:pPr>
    </w:p>
    <w:p>
      <w:pPr>
        <w:jc w:val="both"/>
        <w:ind w:firstLine="1304"/>
        <w:spacing w:after="0" w:line="216" w:lineRule="auto"/>
        <w:tabs>
          <w:tab w:leader="none" w:pos="2238" w:val="left"/>
        </w:tabs>
        <w:numPr>
          <w:ilvl w:val="0"/>
          <w:numId w:val="445"/>
        </w:numPr>
        <w:rPr>
          <w:rFonts w:ascii="Arial" w:cs="Arial" w:eastAsia="Arial" w:hAnsi="Arial"/>
          <w:sz w:val="22"/>
          <w:szCs w:val="22"/>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each other Joint Lead Arranger and Bookrunner and their respective Affiliates, and not, for the avoidance of doubt, to or for the benefit of the Borrower or any other Loan Party, that at least one of the following is and will be true:</w:t>
      </w:r>
    </w:p>
    <w:p>
      <w:pPr>
        <w:spacing w:after="0" w:line="158" w:lineRule="exact"/>
        <w:rPr>
          <w:sz w:val="20"/>
          <w:szCs w:val="20"/>
          <w:color w:val="auto"/>
        </w:rPr>
      </w:pPr>
    </w:p>
    <w:p>
      <w:pPr>
        <w:jc w:val="both"/>
        <w:ind w:firstLine="1304"/>
        <w:spacing w:after="0" w:line="223" w:lineRule="auto"/>
        <w:tabs>
          <w:tab w:leader="none" w:pos="2215" w:val="left"/>
        </w:tabs>
        <w:numPr>
          <w:ilvl w:val="0"/>
          <w:numId w:val="446"/>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29 CFR § 2510.3-101, as modified by Section 3(42) of ERISA) of one or more Benefit Plans in connection with the entrance into, participation in, administration of and performance of the Loans or the Commitments,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7" w:name="page338"/>
    <w:bookmarkEnd w:id="337"/>
    <w:p>
      <w:pPr>
        <w:jc w:val="both"/>
        <w:ind w:firstLine="1304"/>
        <w:spacing w:after="0" w:line="212" w:lineRule="auto"/>
        <w:tabs>
          <w:tab w:leader="none" w:pos="2275" w:val="left"/>
        </w:tabs>
        <w:numPr>
          <w:ilvl w:val="0"/>
          <w:numId w:val="447"/>
        </w:numPr>
        <w:rPr>
          <w:rFonts w:ascii="Arial" w:cs="Arial" w:eastAsia="Arial" w:hAnsi="Arial"/>
          <w:sz w:val="22"/>
          <w:szCs w:val="22"/>
          <w:color w:val="auto"/>
        </w:rPr>
      </w:pPr>
      <w:r>
        <w:rPr>
          <w:rFonts w:ascii="Arial" w:cs="Arial" w:eastAsia="Arial" w:hAnsi="Arial"/>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63" w:lineRule="exact"/>
        <w:rPr>
          <w:rFonts w:ascii="Arial" w:cs="Arial" w:eastAsia="Arial" w:hAnsi="Arial"/>
          <w:sz w:val="22"/>
          <w:szCs w:val="22"/>
          <w:color w:val="auto"/>
        </w:rPr>
      </w:pPr>
    </w:p>
    <w:p>
      <w:pPr>
        <w:jc w:val="both"/>
        <w:ind w:firstLine="1304"/>
        <w:spacing w:after="0" w:line="247" w:lineRule="auto"/>
        <w:tabs>
          <w:tab w:leader="none" w:pos="2322" w:val="left"/>
        </w:tabs>
        <w:numPr>
          <w:ilvl w:val="0"/>
          <w:numId w:val="447"/>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53" w:lineRule="exact"/>
        <w:rPr>
          <w:rFonts w:ascii="Arial" w:cs="Arial" w:eastAsia="Arial" w:hAnsi="Arial"/>
          <w:sz w:val="19"/>
          <w:szCs w:val="19"/>
          <w:color w:val="auto"/>
        </w:rPr>
      </w:pPr>
    </w:p>
    <w:p>
      <w:pPr>
        <w:ind w:firstLine="1304"/>
        <w:spacing w:after="0" w:line="232" w:lineRule="auto"/>
        <w:tabs>
          <w:tab w:leader="none" w:pos="2391" w:val="left"/>
        </w:tabs>
        <w:numPr>
          <w:ilvl w:val="0"/>
          <w:numId w:val="447"/>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59" w:lineRule="exact"/>
        <w:rPr>
          <w:sz w:val="20"/>
          <w:szCs w:val="20"/>
          <w:color w:val="auto"/>
        </w:rPr>
      </w:pPr>
    </w:p>
    <w:p>
      <w:pPr>
        <w:jc w:val="both"/>
        <w:ind w:firstLine="1304"/>
        <w:spacing w:after="0" w:line="220" w:lineRule="auto"/>
        <w:tabs>
          <w:tab w:leader="none" w:pos="2277" w:val="left"/>
        </w:tabs>
        <w:numPr>
          <w:ilvl w:val="0"/>
          <w:numId w:val="448"/>
        </w:numPr>
        <w:rPr>
          <w:rFonts w:ascii="Arial" w:cs="Arial" w:eastAsia="Arial" w:hAnsi="Arial"/>
          <w:sz w:val="21"/>
          <w:szCs w:val="21"/>
          <w:color w:val="auto"/>
        </w:rPr>
      </w:pPr>
      <w:r>
        <w:rPr>
          <w:rFonts w:ascii="Arial" w:cs="Arial" w:eastAsia="Arial" w:hAnsi="Arial"/>
          <w:sz w:val="21"/>
          <w:szCs w:val="21"/>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 and each Joint Lead Arranger and Bookrunner and their respective Affiliates, and not, for the avoidance of doubt, to or for the benefit of the Borrower or any other Loan Party, that none of the Administrative Agent, the Lead Arranger or any Joint Lead Arranger and Bookrunner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38" w:name="page339"/>
    <w:bookmarkEnd w:id="338"/>
    <w:p>
      <w:pPr>
        <w:ind w:firstLine="1296"/>
        <w:spacing w:after="0" w:line="263" w:lineRule="auto"/>
        <w:rPr>
          <w:sz w:val="20"/>
          <w:szCs w:val="20"/>
          <w:color w:val="auto"/>
        </w:rPr>
      </w:pPr>
      <w:r>
        <w:rPr>
          <w:rFonts w:ascii="Arial" w:cs="Arial" w:eastAsia="Arial" w:hAnsi="Arial"/>
          <w:sz w:val="22"/>
          <w:szCs w:val="22"/>
          <w:color w:val="auto"/>
        </w:rPr>
        <w:t>IN WITNESS WHEREOF, the signatories hereto have caused this Credit and Guaranty Agreement to be executed by their respective officers thereunto duly authorized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 as the Borrower</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500" w:val="left"/>
        </w:tabs>
        <w:rPr>
          <w:sz w:val="20"/>
          <w:szCs w:val="20"/>
          <w:color w:val="auto"/>
        </w:rPr>
      </w:pPr>
      <w:r>
        <w:rPr>
          <w:rFonts w:ascii="Arial" w:cs="Arial" w:eastAsia="Arial" w:hAnsi="Arial"/>
          <w:sz w:val="22"/>
          <w:szCs w:val="22"/>
          <w:color w:val="auto"/>
        </w:rPr>
        <w:t>By:</w:t>
        <w:tab/>
        <w:t>/s/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159385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 w:lineRule="exact"/>
        <w:rPr>
          <w:sz w:val="20"/>
          <w:szCs w:val="20"/>
          <w:color w:val="auto"/>
        </w:rPr>
      </w:pPr>
    </w:p>
    <w:p>
      <w:pPr>
        <w:ind w:left="4540"/>
        <w:spacing w:after="0"/>
        <w:tabs>
          <w:tab w:leader="none" w:pos="5400" w:val="left"/>
        </w:tabs>
        <w:rPr>
          <w:sz w:val="20"/>
          <w:szCs w:val="20"/>
          <w:color w:val="auto"/>
        </w:rPr>
      </w:pPr>
      <w:r>
        <w:rPr>
          <w:rFonts w:ascii="Arial" w:cs="Arial" w:eastAsia="Arial" w:hAnsi="Arial"/>
          <w:sz w:val="22"/>
          <w:szCs w:val="22"/>
          <w:color w:val="auto"/>
        </w:rPr>
        <w:t>Name:</w:t>
        <w:tab/>
        <w:t>Thomas T. Weir</w:t>
      </w:r>
    </w:p>
    <w:p>
      <w:pPr>
        <w:spacing w:after="0" w:line="17" w:lineRule="exact"/>
        <w:rPr>
          <w:sz w:val="20"/>
          <w:szCs w:val="20"/>
          <w:color w:val="auto"/>
        </w:rPr>
      </w:pPr>
    </w:p>
    <w:p>
      <w:pPr>
        <w:ind w:left="4540"/>
        <w:spacing w:after="0"/>
        <w:tabs>
          <w:tab w:leader="none" w:pos="5280" w:val="left"/>
        </w:tabs>
        <w:rPr>
          <w:sz w:val="20"/>
          <w:szCs w:val="20"/>
          <w:color w:val="auto"/>
        </w:rPr>
      </w:pPr>
      <w:r>
        <w:rPr>
          <w:rFonts w:ascii="Arial" w:cs="Arial" w:eastAsia="Arial" w:hAnsi="Arial"/>
          <w:sz w:val="22"/>
          <w:szCs w:val="22"/>
          <w:color w:val="auto"/>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339" w:name="page340"/>
    <w:bookmarkEnd w:id="339"/>
    <w:p>
      <w:pPr>
        <w:ind w:left="2780"/>
        <w:spacing w:after="0"/>
        <w:rPr>
          <w:sz w:val="20"/>
          <w:szCs w:val="20"/>
          <w:color w:val="auto"/>
        </w:rPr>
      </w:pPr>
      <w:r>
        <w:rPr>
          <w:rFonts w:ascii="Arial" w:cs="Arial" w:eastAsia="Arial" w:hAnsi="Arial"/>
          <w:sz w:val="19"/>
          <w:szCs w:val="19"/>
          <w:color w:val="auto"/>
        </w:rPr>
        <w:t>AMERICAN AIRLINES GROUP INC., as Parent and a Guarantor</w:t>
      </w:r>
    </w:p>
    <w:p>
      <w:pPr>
        <w:spacing w:after="0" w:line="200" w:lineRule="exact"/>
        <w:rPr>
          <w:sz w:val="20"/>
          <w:szCs w:val="20"/>
          <w:color w:val="auto"/>
        </w:rPr>
      </w:pPr>
    </w:p>
    <w:p>
      <w:pPr>
        <w:spacing w:after="0" w:line="270" w:lineRule="exact"/>
        <w:rPr>
          <w:sz w:val="20"/>
          <w:szCs w:val="20"/>
          <w:color w:val="auto"/>
        </w:rPr>
      </w:pPr>
    </w:p>
    <w:p>
      <w:pPr>
        <w:ind w:left="2780"/>
        <w:spacing w:after="0"/>
        <w:tabs>
          <w:tab w:leader="none" w:pos="3380" w:val="left"/>
        </w:tabs>
        <w:rPr>
          <w:sz w:val="20"/>
          <w:szCs w:val="20"/>
          <w:color w:val="auto"/>
        </w:rPr>
      </w:pPr>
      <w:r>
        <w:rPr>
          <w:rFonts w:ascii="Arial" w:cs="Arial" w:eastAsia="Arial" w:hAnsi="Arial"/>
          <w:sz w:val="22"/>
          <w:szCs w:val="22"/>
          <w:color w:val="auto"/>
        </w:rPr>
        <w:t>By:</w:t>
        <w:tab/>
        <w:t>/s/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-17780</wp:posOffset>
            </wp:positionV>
            <wp:extent cx="159385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1593850" cy="8255"/>
                    </a:xfrm>
                    <a:prstGeom prst="rect">
                      <a:avLst/>
                    </a:prstGeom>
                    <a:noFill/>
                  </pic:spPr>
                </pic:pic>
              </a:graphicData>
            </a:graphic>
          </wp:anchor>
        </w:drawing>
      </w:r>
    </w:p>
    <w:p>
      <w:pPr>
        <w:spacing w:after="0" w:line="1" w:lineRule="exact"/>
        <w:rPr>
          <w:sz w:val="20"/>
          <w:szCs w:val="20"/>
          <w:color w:val="auto"/>
        </w:rPr>
      </w:pPr>
    </w:p>
    <w:p>
      <w:pPr>
        <w:ind w:left="3420"/>
        <w:spacing w:after="0"/>
        <w:tabs>
          <w:tab w:leader="none" w:pos="4280" w:val="left"/>
        </w:tabs>
        <w:rPr>
          <w:sz w:val="20"/>
          <w:szCs w:val="20"/>
          <w:color w:val="auto"/>
        </w:rPr>
      </w:pPr>
      <w:r>
        <w:rPr>
          <w:rFonts w:ascii="Arial" w:cs="Arial" w:eastAsia="Arial" w:hAnsi="Arial"/>
          <w:sz w:val="22"/>
          <w:szCs w:val="22"/>
          <w:color w:val="auto"/>
        </w:rPr>
        <w:t>Name:</w:t>
        <w:tab/>
        <w:t>Thomas T. Weir</w:t>
      </w:r>
    </w:p>
    <w:p>
      <w:pPr>
        <w:spacing w:after="0" w:line="17" w:lineRule="exact"/>
        <w:rPr>
          <w:sz w:val="20"/>
          <w:szCs w:val="20"/>
          <w:color w:val="auto"/>
        </w:rPr>
      </w:pPr>
    </w:p>
    <w:p>
      <w:pPr>
        <w:ind w:left="3420"/>
        <w:spacing w:after="0"/>
        <w:tabs>
          <w:tab w:leader="none" w:pos="4160" w:val="left"/>
        </w:tabs>
        <w:rPr>
          <w:sz w:val="20"/>
          <w:szCs w:val="20"/>
          <w:color w:val="auto"/>
        </w:rPr>
      </w:pPr>
      <w:r>
        <w:rPr>
          <w:rFonts w:ascii="Arial" w:cs="Arial" w:eastAsia="Arial" w:hAnsi="Arial"/>
          <w:sz w:val="22"/>
          <w:szCs w:val="22"/>
          <w:color w:val="auto"/>
        </w:rPr>
        <w:t>Title:</w:t>
        <w:tab/>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226695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340" w:name="page341"/>
    <w:bookmarkEnd w:id="340"/>
    <w:p>
      <w:pPr>
        <w:ind w:left="2780"/>
        <w:spacing w:after="0"/>
        <w:rPr>
          <w:sz w:val="20"/>
          <w:szCs w:val="20"/>
          <w:color w:val="auto"/>
        </w:rPr>
      </w:pPr>
      <w:r>
        <w:rPr>
          <w:rFonts w:ascii="Arial" w:cs="Arial" w:eastAsia="Arial" w:hAnsi="Arial"/>
          <w:sz w:val="19"/>
          <w:szCs w:val="19"/>
          <w:color w:val="auto"/>
        </w:rPr>
        <w:t>CITIBANK N.A., as Administrative Agent and Collateral Agent</w:t>
      </w:r>
    </w:p>
    <w:p>
      <w:pPr>
        <w:spacing w:after="0" w:line="200" w:lineRule="exact"/>
        <w:rPr>
          <w:sz w:val="20"/>
          <w:szCs w:val="20"/>
          <w:color w:val="auto"/>
        </w:rPr>
      </w:pPr>
    </w:p>
    <w:p>
      <w:pPr>
        <w:spacing w:after="0" w:line="270" w:lineRule="exact"/>
        <w:rPr>
          <w:sz w:val="20"/>
          <w:szCs w:val="20"/>
          <w:color w:val="auto"/>
        </w:rPr>
      </w:pPr>
    </w:p>
    <w:p>
      <w:pPr>
        <w:ind w:left="2780"/>
        <w:spacing w:after="0"/>
        <w:tabs>
          <w:tab w:leader="none" w:pos="3380" w:val="left"/>
        </w:tabs>
        <w:rPr>
          <w:sz w:val="20"/>
          <w:szCs w:val="20"/>
          <w:color w:val="auto"/>
        </w:rPr>
      </w:pPr>
      <w:r>
        <w:rPr>
          <w:rFonts w:ascii="Arial" w:cs="Arial" w:eastAsia="Arial" w:hAnsi="Arial"/>
          <w:sz w:val="22"/>
          <w:szCs w:val="22"/>
          <w:color w:val="auto"/>
        </w:rPr>
        <w:t>By:</w:t>
        <w:tab/>
        <w:t>/s/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-17780</wp:posOffset>
            </wp:positionV>
            <wp:extent cx="17145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 w:lineRule="exact"/>
        <w:rPr>
          <w:sz w:val="20"/>
          <w:szCs w:val="20"/>
          <w:color w:val="auto"/>
        </w:rPr>
      </w:pPr>
    </w:p>
    <w:p>
      <w:pPr>
        <w:ind w:left="3420"/>
        <w:spacing w:after="0"/>
        <w:tabs>
          <w:tab w:leader="none" w:pos="4280" w:val="left"/>
        </w:tabs>
        <w:rPr>
          <w:sz w:val="20"/>
          <w:szCs w:val="20"/>
          <w:color w:val="auto"/>
        </w:rPr>
      </w:pPr>
      <w:r>
        <w:rPr>
          <w:rFonts w:ascii="Arial" w:cs="Arial" w:eastAsia="Arial" w:hAnsi="Arial"/>
          <w:sz w:val="22"/>
          <w:szCs w:val="22"/>
          <w:color w:val="auto"/>
        </w:rPr>
        <w:t>Name:</w:t>
        <w:tab/>
        <w:t>Matthew S. Burke</w:t>
      </w:r>
    </w:p>
    <w:p>
      <w:pPr>
        <w:spacing w:after="0" w:line="17" w:lineRule="exact"/>
        <w:rPr>
          <w:sz w:val="20"/>
          <w:szCs w:val="20"/>
          <w:color w:val="auto"/>
        </w:rPr>
      </w:pPr>
    </w:p>
    <w:p>
      <w:pPr>
        <w:ind w:left="3420"/>
        <w:spacing w:after="0"/>
        <w:tabs>
          <w:tab w:leader="none" w:pos="4160" w:val="left"/>
        </w:tabs>
        <w:rPr>
          <w:sz w:val="20"/>
          <w:szCs w:val="20"/>
          <w:color w:val="auto"/>
        </w:rPr>
      </w:pPr>
      <w:r>
        <w:rPr>
          <w:rFonts w:ascii="Arial" w:cs="Arial" w:eastAsia="Arial" w:hAnsi="Arial"/>
          <w:sz w:val="22"/>
          <w:szCs w:val="22"/>
          <w:color w:val="auto"/>
        </w:rPr>
        <w:t>Title:</w:t>
        <w:tab/>
        <w:t>Vice President and Managing Director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380" w:val="left"/>
        </w:tabs>
        <w:rPr>
          <w:sz w:val="20"/>
          <w:szCs w:val="20"/>
          <w:color w:val="auto"/>
        </w:rPr>
      </w:pPr>
      <w:r>
        <w:rPr>
          <w:rFonts w:ascii="Arial" w:cs="Arial" w:eastAsia="Arial" w:hAnsi="Arial"/>
          <w:sz w:val="22"/>
          <w:szCs w:val="22"/>
          <w:color w:val="auto"/>
        </w:rPr>
        <w:t>By:</w:t>
        <w:tab/>
        <w:t>/s/ Matthew S.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-17780</wp:posOffset>
            </wp:positionV>
            <wp:extent cx="17145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 w:lineRule="exact"/>
        <w:rPr>
          <w:sz w:val="20"/>
          <w:szCs w:val="20"/>
          <w:color w:val="auto"/>
        </w:rPr>
      </w:pPr>
    </w:p>
    <w:p>
      <w:pPr>
        <w:ind w:left="3420"/>
        <w:spacing w:after="0"/>
        <w:tabs>
          <w:tab w:leader="none" w:pos="4280" w:val="left"/>
        </w:tabs>
        <w:rPr>
          <w:sz w:val="20"/>
          <w:szCs w:val="20"/>
          <w:color w:val="auto"/>
        </w:rPr>
      </w:pPr>
      <w:r>
        <w:rPr>
          <w:rFonts w:ascii="Arial" w:cs="Arial" w:eastAsia="Arial" w:hAnsi="Arial"/>
          <w:sz w:val="22"/>
          <w:szCs w:val="22"/>
          <w:color w:val="auto"/>
        </w:rPr>
        <w:t>Name:</w:t>
        <w:tab/>
        <w:t>Matthew S. Burke</w:t>
      </w:r>
    </w:p>
    <w:p>
      <w:pPr>
        <w:spacing w:after="0" w:line="17" w:lineRule="exact"/>
        <w:rPr>
          <w:sz w:val="20"/>
          <w:szCs w:val="20"/>
          <w:color w:val="auto"/>
        </w:rPr>
      </w:pPr>
    </w:p>
    <w:p>
      <w:pPr>
        <w:ind w:left="3420"/>
        <w:spacing w:after="0"/>
        <w:tabs>
          <w:tab w:leader="none" w:pos="4160" w:val="left"/>
        </w:tabs>
        <w:rPr>
          <w:sz w:val="20"/>
          <w:szCs w:val="20"/>
          <w:color w:val="auto"/>
        </w:rPr>
      </w:pPr>
      <w:r>
        <w:rPr>
          <w:rFonts w:ascii="Arial" w:cs="Arial" w:eastAsia="Arial" w:hAnsi="Arial"/>
          <w:sz w:val="22"/>
          <w:szCs w:val="22"/>
          <w:color w:val="auto"/>
        </w:rPr>
        <w:t>Title:</w:t>
        <w:tab/>
        <w:t>Vice President and Managing Director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226695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280"/>
        </w:trPr>
        <w:tc>
          <w:tcPr>
            <w:tcW w:w="3020" w:type="dxa"/>
            <w:vAlign w:val="bottom"/>
          </w:tcPr>
          <w:p>
            <w:pPr>
              <w:spacing w:after="0"/>
              <w:rPr>
                <w:sz w:val="24"/>
                <w:szCs w:val="24"/>
                <w:color w:val="auto"/>
              </w:rPr>
            </w:pPr>
          </w:p>
        </w:tc>
        <w:tc>
          <w:tcPr>
            <w:tcW w:w="7500" w:type="dxa"/>
            <w:vAlign w:val="bottom"/>
          </w:tcPr>
          <w:p>
            <w:pPr>
              <w:jc w:val="right"/>
              <w:ind w:right="4485"/>
              <w:spacing w:after="0"/>
              <w:rPr>
                <w:sz w:val="20"/>
                <w:szCs w:val="20"/>
                <w:color w:val="auto"/>
              </w:rPr>
            </w:pPr>
            <w:r>
              <w:rPr>
                <w:rFonts w:ascii="Arial" w:cs="Arial" w:eastAsia="Arial" w:hAnsi="Arial"/>
                <w:sz w:val="22"/>
                <w:szCs w:val="22"/>
                <w:b w:val="1"/>
                <w:bCs w:val="1"/>
                <w:color w:val="auto"/>
              </w:rPr>
              <w:t>SCHEDULE 1</w:t>
            </w:r>
          </w:p>
        </w:tc>
      </w:tr>
      <w:tr>
        <w:trPr>
          <w:trHeight w:val="513"/>
        </w:trPr>
        <w:tc>
          <w:tcPr>
            <w:tcW w:w="3020" w:type="dxa"/>
            <w:vAlign w:val="bottom"/>
          </w:tcPr>
          <w:p>
            <w:pPr>
              <w:spacing w:after="0"/>
              <w:rPr>
                <w:sz w:val="24"/>
                <w:szCs w:val="24"/>
                <w:color w:val="auto"/>
              </w:rPr>
            </w:pPr>
          </w:p>
        </w:tc>
        <w:tc>
          <w:tcPr>
            <w:tcW w:w="7500" w:type="dxa"/>
            <w:vAlign w:val="bottom"/>
          </w:tcPr>
          <w:p>
            <w:pPr>
              <w:jc w:val="right"/>
              <w:ind w:right="3665"/>
              <w:spacing w:after="0"/>
              <w:rPr>
                <w:sz w:val="20"/>
                <w:szCs w:val="20"/>
                <w:color w:val="auto"/>
              </w:rPr>
            </w:pPr>
            <w:r>
              <w:rPr>
                <w:rFonts w:ascii="Arial" w:cs="Arial" w:eastAsia="Arial" w:hAnsi="Arial"/>
                <w:sz w:val="22"/>
                <w:szCs w:val="22"/>
                <w:color w:val="auto"/>
              </w:rPr>
              <w:t>Term Loan Commitment Schedule</w:t>
            </w:r>
          </w:p>
        </w:tc>
      </w:tr>
      <w:tr>
        <w:trPr>
          <w:trHeight w:val="638"/>
        </w:trPr>
        <w:tc>
          <w:tcPr>
            <w:tcW w:w="3020" w:type="dxa"/>
            <w:vAlign w:val="bottom"/>
          </w:tcPr>
          <w:p>
            <w:pPr>
              <w:ind w:left="20"/>
              <w:spacing w:after="0"/>
              <w:rPr>
                <w:sz w:val="20"/>
                <w:szCs w:val="20"/>
                <w:color w:val="auto"/>
              </w:rPr>
            </w:pPr>
            <w:r>
              <w:rPr>
                <w:rFonts w:ascii="Arial" w:cs="Arial" w:eastAsia="Arial" w:hAnsi="Arial"/>
                <w:sz w:val="18"/>
                <w:szCs w:val="18"/>
                <w:color w:val="auto"/>
              </w:rPr>
              <w:t>Citibank, N.A.</w:t>
            </w:r>
          </w:p>
        </w:tc>
        <w:tc>
          <w:tcPr>
            <w:tcW w:w="7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20" w:type="dxa"/>
            <w:vAlign w:val="bottom"/>
          </w:tcPr>
          <w:p>
            <w:pPr>
              <w:ind w:left="20"/>
              <w:spacing w:after="0"/>
              <w:rPr>
                <w:sz w:val="20"/>
                <w:szCs w:val="20"/>
                <w:color w:val="auto"/>
              </w:rPr>
            </w:pPr>
            <w:r>
              <w:rPr>
                <w:rFonts w:ascii="Arial" w:cs="Arial" w:eastAsia="Arial" w:hAnsi="Arial"/>
                <w:sz w:val="18"/>
                <w:szCs w:val="18"/>
                <w:color w:val="auto"/>
              </w:rPr>
              <w:t>Bank of America, N.A.</w:t>
            </w:r>
          </w:p>
        </w:tc>
        <w:tc>
          <w:tcPr>
            <w:tcW w:w="7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020" w:type="dxa"/>
            <w:vAlign w:val="bottom"/>
          </w:tcPr>
          <w:p>
            <w:pPr>
              <w:ind w:left="20"/>
              <w:spacing w:after="0"/>
              <w:rPr>
                <w:sz w:val="20"/>
                <w:szCs w:val="20"/>
                <w:color w:val="auto"/>
              </w:rPr>
            </w:pPr>
            <w:r>
              <w:rPr>
                <w:rFonts w:ascii="Arial" w:cs="Arial" w:eastAsia="Arial" w:hAnsi="Arial"/>
                <w:sz w:val="18"/>
                <w:szCs w:val="18"/>
                <w:color w:val="auto"/>
              </w:rPr>
              <w:t>Goldman Sachs Bank USA</w:t>
            </w:r>
          </w:p>
        </w:tc>
        <w:tc>
          <w:tcPr>
            <w:tcW w:w="7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JPMorgan Chase Bank N.A.</w:t>
            </w:r>
          </w:p>
        </w:tc>
        <w:tc>
          <w:tcPr>
            <w:tcW w:w="7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500" w:type="dxa"/>
            <w:vAlign w:val="bottom"/>
          </w:tcPr>
          <w:p>
            <w:pPr>
              <w:jc w:val="right"/>
              <w:spacing w:after="0"/>
              <w:rPr>
                <w:sz w:val="20"/>
                <w:szCs w:val="20"/>
                <w:color w:val="auto"/>
              </w:rPr>
            </w:pPr>
            <w:r>
              <w:rPr>
                <w:rFonts w:ascii="Arial" w:cs="Arial" w:eastAsia="Arial" w:hAnsi="Arial"/>
                <w:sz w:val="18"/>
                <w:szCs w:val="18"/>
                <w:b w:val="1"/>
                <w:bCs w:val="1"/>
                <w:color w:val="auto"/>
              </w:rPr>
              <w:t>$1,000,000,000</w:t>
            </w:r>
          </w:p>
        </w:tc>
      </w:tr>
    </w:tbl>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Arial" w:cs="Arial" w:eastAsia="Arial" w:hAnsi="Arial"/>
          <w:sz w:val="13"/>
          <w:szCs w:val="13"/>
          <w:color w:val="auto"/>
        </w:rPr>
        <w:t>[***]=[CONFIDENTIAL PORTION HAS BEEN OMITTED BECAUSE IT (I) IS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243205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80" w:top="990" w:right="699" w:bottom="1440" w:gutter="0" w:footer="0" w:header="0"/>
        </w:sectPr>
      </w:pPr>
    </w:p>
    <w:bookmarkStart w:id="342" w:name="page343"/>
    <w:bookmarkEnd w:id="342"/>
    <w:p>
      <w:pPr>
        <w:jc w:val="right"/>
        <w:spacing w:after="0"/>
        <w:rPr>
          <w:sz w:val="20"/>
          <w:szCs w:val="20"/>
          <w:color w:val="auto"/>
        </w:rPr>
      </w:pPr>
      <w:r>
        <w:rPr>
          <w:rFonts w:ascii="Arial" w:cs="Arial" w:eastAsia="Arial" w:hAnsi="Arial"/>
          <w:sz w:val="22"/>
          <w:szCs w:val="22"/>
          <w:color w:val="auto"/>
        </w:rPr>
        <w:t>EXHIBIT A-1-A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Form of First Lien SGR Security Agreement</w:t>
      </w:r>
    </w:p>
    <w:p>
      <w:pPr>
        <w:spacing w:after="0" w:line="295"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204470</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36" w:right="339" w:bottom="1440" w:gutter="0" w:footer="0" w:header="0"/>
        </w:sectPr>
      </w:pPr>
    </w:p>
    <w:bookmarkStart w:id="343" w:name="page344"/>
    <w:bookmarkEnd w:id="343"/>
    <w:p>
      <w:pPr>
        <w:jc w:val="right"/>
        <w:spacing w:after="0"/>
        <w:rPr>
          <w:sz w:val="20"/>
          <w:szCs w:val="20"/>
          <w:color w:val="auto"/>
        </w:rPr>
      </w:pPr>
      <w:r>
        <w:rPr>
          <w:rFonts w:ascii="Arial" w:cs="Arial" w:eastAsia="Arial" w:hAnsi="Arial"/>
          <w:sz w:val="22"/>
          <w:szCs w:val="22"/>
          <w:color w:val="auto"/>
        </w:rPr>
        <w:t>EXHIBIT A-1-A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FIRST LIEN SECURITY AGREEMENT</w:t>
      </w:r>
    </w:p>
    <w:p>
      <w:pPr>
        <w:spacing w:after="0" w:line="200" w:lineRule="exact"/>
        <w:rPr>
          <w:sz w:val="20"/>
          <w:szCs w:val="20"/>
          <w:color w:val="auto"/>
        </w:rPr>
      </w:pPr>
    </w:p>
    <w:p>
      <w:pPr>
        <w:spacing w:after="0" w:line="23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(SLOTS, FOREIGN GATE LEASEHOLDS AND ROUTE AUTHORITIES)</w:t>
      </w: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36"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THE GRANTORS LISTED IN SCHEDULE 1 HERETO,</w:t>
      </w:r>
    </w:p>
    <w:p>
      <w:pPr>
        <w:spacing w:after="0" w:line="200" w:lineRule="exact"/>
        <w:rPr>
          <w:sz w:val="20"/>
          <w:szCs w:val="20"/>
          <w:color w:val="auto"/>
        </w:rPr>
      </w:pPr>
    </w:p>
    <w:p>
      <w:pPr>
        <w:spacing w:after="0" w:line="23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Grantors</w:t>
      </w:r>
    </w:p>
    <w:p>
      <w:pPr>
        <w:spacing w:after="0" w:line="200" w:lineRule="exact"/>
        <w:rPr>
          <w:sz w:val="20"/>
          <w:szCs w:val="20"/>
          <w:color w:val="auto"/>
        </w:rPr>
      </w:pPr>
    </w:p>
    <w:p>
      <w:pPr>
        <w:spacing w:after="0" w:line="23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as First Lien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36"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Dated as of March 18, 2020</w:t>
      </w:r>
    </w:p>
    <w:p>
      <w:pPr>
        <w:spacing w:after="0" w:line="200" w:lineRule="exact"/>
        <w:rPr>
          <w:sz w:val="20"/>
          <w:szCs w:val="20"/>
          <w:color w:val="auto"/>
        </w:rPr>
      </w:pPr>
    </w:p>
    <w:p>
      <w:pPr>
        <w:spacing w:after="0" w:line="23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504190</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4" w:right="339" w:bottom="1440" w:gutter="0" w:footer="0" w:header="0"/>
        </w:sectPr>
      </w:pPr>
    </w:p>
    <w:bookmarkStart w:id="344" w:name="page345"/>
    <w:bookmarkEnd w:id="344"/>
    <w:p>
      <w:pPr>
        <w:ind w:left="4820"/>
        <w:spacing w:after="0"/>
        <w:rPr>
          <w:sz w:val="20"/>
          <w:szCs w:val="20"/>
          <w:color w:val="auto"/>
        </w:rPr>
      </w:pPr>
      <w:r>
        <w:rPr>
          <w:rFonts w:ascii="Arial" w:cs="Arial" w:eastAsia="Arial" w:hAnsi="Arial"/>
          <w:sz w:val="22"/>
          <w:szCs w:val="22"/>
          <w:u w:val="single" w:color="auto"/>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tabs>
          <w:tab w:leader="none" w:pos="1560" w:val="left"/>
          <w:tab w:leader="dot" w:pos="856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2"/>
          <w:szCs w:val="22"/>
          <w:color w:val="auto"/>
        </w:rPr>
        <w:t>Grant of Security Interest</w:t>
      </w:r>
      <w:r>
        <w:rPr>
          <w:sz w:val="20"/>
          <w:szCs w:val="20"/>
          <w:color w:val="auto"/>
        </w:rPr>
        <w:tab/>
      </w:r>
      <w:r>
        <w:rPr>
          <w:rFonts w:ascii="Arial" w:cs="Arial" w:eastAsia="Arial" w:hAnsi="Arial"/>
          <w:sz w:val="21"/>
          <w:szCs w:val="21"/>
          <w:color w:val="auto"/>
        </w:rPr>
        <w:t>1</w:t>
      </w:r>
    </w:p>
    <w:p>
      <w:pPr>
        <w:spacing w:after="0" w:line="368" w:lineRule="exact"/>
        <w:rPr>
          <w:sz w:val="20"/>
          <w:szCs w:val="20"/>
          <w:color w:val="auto"/>
        </w:rPr>
      </w:pPr>
    </w:p>
    <w:p>
      <w:pPr>
        <w:spacing w:after="0"/>
        <w:tabs>
          <w:tab w:leader="none" w:pos="1560" w:val="left"/>
          <w:tab w:leader="dot" w:pos="856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2"/>
          <w:szCs w:val="22"/>
          <w:color w:val="auto"/>
        </w:rPr>
        <w:t>Security for Obligations; Intercreditor Relations</w:t>
      </w:r>
      <w:r>
        <w:rPr>
          <w:sz w:val="20"/>
          <w:szCs w:val="20"/>
          <w:color w:val="auto"/>
        </w:rPr>
        <w:tab/>
      </w:r>
      <w:r>
        <w:rPr>
          <w:rFonts w:ascii="Arial" w:cs="Arial" w:eastAsia="Arial" w:hAnsi="Arial"/>
          <w:sz w:val="21"/>
          <w:szCs w:val="21"/>
          <w:color w:val="auto"/>
        </w:rPr>
        <w:t>3</w:t>
      </w:r>
    </w:p>
    <w:p>
      <w:pPr>
        <w:spacing w:after="0" w:line="368" w:lineRule="exact"/>
        <w:rPr>
          <w:sz w:val="20"/>
          <w:szCs w:val="20"/>
          <w:color w:val="auto"/>
        </w:rPr>
      </w:pPr>
    </w:p>
    <w:p>
      <w:pPr>
        <w:spacing w:after="0"/>
        <w:tabs>
          <w:tab w:leader="none" w:pos="1560" w:val="left"/>
          <w:tab w:leader="dot" w:pos="85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2"/>
          <w:szCs w:val="22"/>
          <w:color w:val="auto"/>
        </w:rPr>
        <w:t>No Release</w:t>
      </w:r>
      <w:r>
        <w:rPr>
          <w:sz w:val="20"/>
          <w:szCs w:val="20"/>
          <w:color w:val="auto"/>
        </w:rPr>
        <w:tab/>
      </w:r>
      <w:r>
        <w:rPr>
          <w:rFonts w:ascii="Arial" w:cs="Arial" w:eastAsia="Arial" w:hAnsi="Arial"/>
          <w:sz w:val="17"/>
          <w:szCs w:val="17"/>
          <w:color w:val="auto"/>
        </w:rPr>
        <w:t>4</w:t>
      </w:r>
    </w:p>
    <w:p>
      <w:pPr>
        <w:spacing w:after="0" w:line="368" w:lineRule="exact"/>
        <w:rPr>
          <w:sz w:val="20"/>
          <w:szCs w:val="20"/>
          <w:color w:val="auto"/>
        </w:rPr>
      </w:pPr>
    </w:p>
    <w:p>
      <w:pPr>
        <w:spacing w:after="0"/>
        <w:tabs>
          <w:tab w:leader="none" w:pos="1560" w:val="left"/>
          <w:tab w:leader="dot" w:pos="85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color w:val="auto"/>
        </w:rPr>
        <w:t>Representations and Warranties</w:t>
      </w:r>
      <w:r>
        <w:rPr>
          <w:sz w:val="20"/>
          <w:szCs w:val="20"/>
          <w:color w:val="auto"/>
        </w:rPr>
        <w:tab/>
      </w:r>
      <w:r>
        <w:rPr>
          <w:rFonts w:ascii="Arial" w:cs="Arial" w:eastAsia="Arial" w:hAnsi="Arial"/>
          <w:sz w:val="17"/>
          <w:szCs w:val="17"/>
          <w:color w:val="auto"/>
        </w:rPr>
        <w:t>4</w:t>
      </w:r>
    </w:p>
    <w:p>
      <w:pPr>
        <w:spacing w:after="0" w:line="368" w:lineRule="exact"/>
        <w:rPr>
          <w:sz w:val="20"/>
          <w:szCs w:val="20"/>
          <w:color w:val="auto"/>
        </w:rPr>
      </w:pPr>
    </w:p>
    <w:p>
      <w:pPr>
        <w:spacing w:after="0"/>
        <w:tabs>
          <w:tab w:leader="none" w:pos="1560" w:val="left"/>
          <w:tab w:leader="dot" w:pos="852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2"/>
          <w:szCs w:val="22"/>
          <w:color w:val="auto"/>
        </w:rPr>
        <w:t>Covenants.</w:t>
      </w:r>
      <w:r>
        <w:rPr>
          <w:sz w:val="20"/>
          <w:szCs w:val="20"/>
          <w:color w:val="auto"/>
        </w:rPr>
        <w:tab/>
      </w:r>
      <w:r>
        <w:rPr>
          <w:rFonts w:ascii="Arial" w:cs="Arial" w:eastAsia="Arial" w:hAnsi="Arial"/>
          <w:sz w:val="17"/>
          <w:szCs w:val="17"/>
          <w:color w:val="auto"/>
        </w:rPr>
        <w:t>7</w:t>
      </w:r>
    </w:p>
    <w:p>
      <w:pPr>
        <w:spacing w:after="0" w:line="368" w:lineRule="exact"/>
        <w:rPr>
          <w:sz w:val="20"/>
          <w:szCs w:val="20"/>
          <w:color w:val="auto"/>
        </w:rPr>
      </w:pPr>
    </w:p>
    <w:p>
      <w:pPr>
        <w:spacing w:after="0"/>
        <w:tabs>
          <w:tab w:leader="none" w:pos="1560" w:val="left"/>
          <w:tab w:leader="dot" w:pos="856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2"/>
          <w:szCs w:val="22"/>
          <w:color w:val="auto"/>
        </w:rPr>
        <w:t>Supplements, Further Assurances</w:t>
      </w:r>
      <w:r>
        <w:rPr>
          <w:sz w:val="20"/>
          <w:szCs w:val="20"/>
          <w:color w:val="auto"/>
        </w:rPr>
        <w:tab/>
      </w:r>
      <w:r>
        <w:rPr>
          <w:rFonts w:ascii="Arial" w:cs="Arial" w:eastAsia="Arial" w:hAnsi="Arial"/>
          <w:sz w:val="17"/>
          <w:szCs w:val="17"/>
          <w:color w:val="auto"/>
        </w:rPr>
        <w:t>7</w:t>
      </w:r>
    </w:p>
    <w:p>
      <w:pPr>
        <w:spacing w:after="0" w:line="368" w:lineRule="exact"/>
        <w:rPr>
          <w:sz w:val="20"/>
          <w:szCs w:val="20"/>
          <w:color w:val="auto"/>
        </w:rPr>
      </w:pPr>
    </w:p>
    <w:p>
      <w:pPr>
        <w:spacing w:after="0"/>
        <w:tabs>
          <w:tab w:leader="none" w:pos="1560" w:val="left"/>
          <w:tab w:leader="dot" w:pos="854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2"/>
          <w:szCs w:val="22"/>
          <w:color w:val="auto"/>
        </w:rPr>
        <w:t>Provisions Concerning Collateral</w:t>
      </w:r>
      <w:r>
        <w:rPr>
          <w:sz w:val="20"/>
          <w:szCs w:val="20"/>
          <w:color w:val="auto"/>
        </w:rPr>
        <w:tab/>
      </w:r>
      <w:r>
        <w:rPr>
          <w:rFonts w:ascii="Arial" w:cs="Arial" w:eastAsia="Arial" w:hAnsi="Arial"/>
          <w:sz w:val="17"/>
          <w:szCs w:val="17"/>
          <w:color w:val="auto"/>
        </w:rPr>
        <w:t>8</w:t>
      </w:r>
    </w:p>
    <w:p>
      <w:pPr>
        <w:spacing w:after="0" w:line="368" w:lineRule="exact"/>
        <w:rPr>
          <w:sz w:val="20"/>
          <w:szCs w:val="20"/>
          <w:color w:val="auto"/>
        </w:rPr>
      </w:pPr>
    </w:p>
    <w:p>
      <w:pPr>
        <w:spacing w:after="0"/>
        <w:tabs>
          <w:tab w:leader="none" w:pos="1560" w:val="left"/>
          <w:tab w:leader="dot" w:pos="862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2"/>
          <w:szCs w:val="22"/>
          <w:color w:val="auto"/>
        </w:rPr>
        <w:t>Collateral Agent Appointed Attorney-in Fact</w:t>
      </w:r>
      <w:r>
        <w:rPr>
          <w:sz w:val="20"/>
          <w:szCs w:val="20"/>
          <w:color w:val="auto"/>
        </w:rPr>
        <w:tab/>
      </w:r>
      <w:r>
        <w:rPr>
          <w:rFonts w:ascii="Arial" w:cs="Arial" w:eastAsia="Arial" w:hAnsi="Arial"/>
          <w:sz w:val="21"/>
          <w:szCs w:val="21"/>
          <w:color w:val="auto"/>
        </w:rPr>
        <w:t>9</w:t>
      </w:r>
    </w:p>
    <w:p>
      <w:pPr>
        <w:spacing w:after="0" w:line="368" w:lineRule="exact"/>
        <w:rPr>
          <w:sz w:val="20"/>
          <w:szCs w:val="20"/>
          <w:color w:val="auto"/>
        </w:rPr>
      </w:pPr>
    </w:p>
    <w:p>
      <w:pPr>
        <w:spacing w:after="0"/>
        <w:tabs>
          <w:tab w:leader="none" w:pos="1560" w:val="left"/>
          <w:tab w:leader="dot" w:pos="85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2"/>
          <w:szCs w:val="22"/>
          <w:color w:val="auto"/>
        </w:rPr>
        <w:t>Collateral Agent May Perform</w:t>
      </w:r>
      <w:r>
        <w:rPr>
          <w:sz w:val="20"/>
          <w:szCs w:val="20"/>
          <w:color w:val="auto"/>
        </w:rPr>
        <w:tab/>
      </w:r>
      <w:r>
        <w:rPr>
          <w:rFonts w:ascii="Arial" w:cs="Arial" w:eastAsia="Arial" w:hAnsi="Arial"/>
          <w:sz w:val="17"/>
          <w:szCs w:val="17"/>
          <w:color w:val="auto"/>
        </w:rPr>
        <w:t>9</w:t>
      </w:r>
    </w:p>
    <w:p>
      <w:pPr>
        <w:spacing w:after="0" w:line="368" w:lineRule="exact"/>
        <w:rPr>
          <w:sz w:val="20"/>
          <w:szCs w:val="20"/>
          <w:color w:val="auto"/>
        </w:rPr>
      </w:pPr>
    </w:p>
    <w:p>
      <w:pPr>
        <w:spacing w:after="0"/>
        <w:tabs>
          <w:tab w:leader="none" w:pos="1560" w:val="left"/>
          <w:tab w:leader="dot" w:pos="846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22"/>
          <w:szCs w:val="22"/>
          <w:color w:val="auto"/>
        </w:rPr>
        <w:t>The Collateral Agent</w:t>
      </w:r>
      <w:r>
        <w:rPr>
          <w:sz w:val="20"/>
          <w:szCs w:val="20"/>
          <w:color w:val="auto"/>
        </w:rPr>
        <w:tab/>
      </w:r>
      <w:r>
        <w:rPr>
          <w:rFonts w:ascii="Arial" w:cs="Arial" w:eastAsia="Arial" w:hAnsi="Arial"/>
          <w:sz w:val="19"/>
          <w:szCs w:val="19"/>
          <w:color w:val="auto"/>
        </w:rPr>
        <w:t>10</w:t>
      </w:r>
    </w:p>
    <w:p>
      <w:pPr>
        <w:spacing w:after="0" w:line="368" w:lineRule="exact"/>
        <w:rPr>
          <w:sz w:val="20"/>
          <w:szCs w:val="20"/>
          <w:color w:val="auto"/>
        </w:rPr>
      </w:pPr>
    </w:p>
    <w:p>
      <w:pPr>
        <w:spacing w:after="0"/>
        <w:tabs>
          <w:tab w:leader="none" w:pos="1560" w:val="left"/>
          <w:tab w:leader="dot" w:pos="84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2"/>
          <w:szCs w:val="22"/>
          <w:color w:val="auto"/>
        </w:rPr>
        <w:t>Events of Default, Remedies</w:t>
      </w:r>
      <w:r>
        <w:rPr>
          <w:sz w:val="20"/>
          <w:szCs w:val="20"/>
          <w:color w:val="auto"/>
        </w:rPr>
        <w:tab/>
      </w:r>
      <w:r>
        <w:rPr>
          <w:rFonts w:ascii="Arial" w:cs="Arial" w:eastAsia="Arial" w:hAnsi="Arial"/>
          <w:sz w:val="19"/>
          <w:szCs w:val="19"/>
          <w:color w:val="auto"/>
        </w:rPr>
        <w:t>10</w:t>
      </w:r>
    </w:p>
    <w:p>
      <w:pPr>
        <w:spacing w:after="0" w:line="368" w:lineRule="exact"/>
        <w:rPr>
          <w:sz w:val="20"/>
          <w:szCs w:val="20"/>
          <w:color w:val="auto"/>
        </w:rPr>
      </w:pPr>
    </w:p>
    <w:p>
      <w:pPr>
        <w:spacing w:after="0"/>
        <w:tabs>
          <w:tab w:leader="none" w:pos="1560" w:val="left"/>
          <w:tab w:leader="dot" w:pos="84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22"/>
          <w:szCs w:val="22"/>
          <w:color w:val="auto"/>
        </w:rPr>
        <w:t>Non-Lender Secured Parties</w:t>
      </w:r>
      <w:r>
        <w:rPr>
          <w:sz w:val="20"/>
          <w:szCs w:val="20"/>
          <w:color w:val="auto"/>
        </w:rPr>
        <w:tab/>
      </w:r>
      <w:r>
        <w:rPr>
          <w:rFonts w:ascii="Arial" w:cs="Arial" w:eastAsia="Arial" w:hAnsi="Arial"/>
          <w:sz w:val="19"/>
          <w:szCs w:val="19"/>
          <w:color w:val="auto"/>
        </w:rPr>
        <w:t>13</w:t>
      </w:r>
    </w:p>
    <w:p>
      <w:pPr>
        <w:spacing w:after="0" w:line="368" w:lineRule="exact"/>
        <w:rPr>
          <w:sz w:val="20"/>
          <w:szCs w:val="20"/>
          <w:color w:val="auto"/>
        </w:rPr>
      </w:pPr>
    </w:p>
    <w:p>
      <w:pPr>
        <w:spacing w:after="0"/>
        <w:tabs>
          <w:tab w:leader="none" w:pos="1560" w:val="left"/>
          <w:tab w:leader="dot" w:pos="844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2"/>
          <w:szCs w:val="22"/>
          <w:color w:val="auto"/>
        </w:rPr>
        <w:t>Application of Proceeds</w:t>
      </w:r>
      <w:r>
        <w:rPr>
          <w:sz w:val="20"/>
          <w:szCs w:val="20"/>
          <w:color w:val="auto"/>
        </w:rPr>
        <w:tab/>
      </w:r>
      <w:r>
        <w:rPr>
          <w:rFonts w:ascii="Arial" w:cs="Arial" w:eastAsia="Arial" w:hAnsi="Arial"/>
          <w:sz w:val="19"/>
          <w:szCs w:val="19"/>
          <w:color w:val="auto"/>
        </w:rPr>
        <w:t>15</w:t>
      </w:r>
    </w:p>
    <w:p>
      <w:pPr>
        <w:spacing w:after="0" w:line="368" w:lineRule="exact"/>
        <w:rPr>
          <w:sz w:val="20"/>
          <w:szCs w:val="20"/>
          <w:color w:val="auto"/>
        </w:rPr>
      </w:pPr>
    </w:p>
    <w:p>
      <w:pPr>
        <w:spacing w:after="0"/>
        <w:tabs>
          <w:tab w:leader="none" w:pos="1560" w:val="left"/>
          <w:tab w:leader="dot" w:pos="850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2"/>
          <w:szCs w:val="22"/>
          <w:color w:val="auto"/>
        </w:rPr>
        <w:t>No Waiver; Discontinuance of Proceeding</w:t>
      </w:r>
      <w:r>
        <w:rPr>
          <w:sz w:val="20"/>
          <w:szCs w:val="20"/>
          <w:color w:val="auto"/>
        </w:rPr>
        <w:tab/>
      </w:r>
      <w:r>
        <w:rPr>
          <w:rFonts w:ascii="Arial" w:cs="Arial" w:eastAsia="Arial" w:hAnsi="Arial"/>
          <w:sz w:val="19"/>
          <w:szCs w:val="19"/>
          <w:color w:val="auto"/>
        </w:rPr>
        <w:t>15</w:t>
      </w:r>
    </w:p>
    <w:p>
      <w:pPr>
        <w:spacing w:after="0" w:line="368" w:lineRule="exact"/>
        <w:rPr>
          <w:sz w:val="20"/>
          <w:szCs w:val="20"/>
          <w:color w:val="auto"/>
        </w:rPr>
      </w:pPr>
    </w:p>
    <w:p>
      <w:pPr>
        <w:spacing w:after="0"/>
        <w:tabs>
          <w:tab w:leader="none" w:pos="1560" w:val="left"/>
          <w:tab w:leader="dot" w:pos="842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22"/>
          <w:szCs w:val="22"/>
          <w:color w:val="auto"/>
        </w:rPr>
        <w:t>Amendments, etc</w:t>
      </w:r>
      <w:r>
        <w:rPr>
          <w:sz w:val="20"/>
          <w:szCs w:val="20"/>
          <w:color w:val="auto"/>
        </w:rPr>
        <w:tab/>
      </w:r>
      <w:r>
        <w:rPr>
          <w:rFonts w:ascii="Arial" w:cs="Arial" w:eastAsia="Arial" w:hAnsi="Arial"/>
          <w:sz w:val="17"/>
          <w:szCs w:val="17"/>
          <w:color w:val="auto"/>
        </w:rPr>
        <w:t>16</w:t>
      </w:r>
    </w:p>
    <w:p>
      <w:pPr>
        <w:spacing w:after="0" w:line="368" w:lineRule="exact"/>
        <w:rPr>
          <w:sz w:val="20"/>
          <w:szCs w:val="20"/>
          <w:color w:val="auto"/>
        </w:rPr>
      </w:pPr>
    </w:p>
    <w:p>
      <w:pPr>
        <w:spacing w:after="0"/>
        <w:tabs>
          <w:tab w:leader="none" w:pos="1560" w:val="left"/>
          <w:tab w:leader="dot" w:pos="842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2"/>
          <w:szCs w:val="22"/>
          <w:color w:val="auto"/>
        </w:rPr>
        <w:t>Termination; Release</w:t>
      </w:r>
      <w:r>
        <w:rPr>
          <w:sz w:val="20"/>
          <w:szCs w:val="20"/>
          <w:color w:val="auto"/>
        </w:rPr>
        <w:tab/>
      </w:r>
      <w:r>
        <w:rPr>
          <w:rFonts w:ascii="Arial" w:cs="Arial" w:eastAsia="Arial" w:hAnsi="Arial"/>
          <w:sz w:val="19"/>
          <w:szCs w:val="19"/>
          <w:color w:val="auto"/>
        </w:rPr>
        <w:t>17</w:t>
      </w:r>
    </w:p>
    <w:p>
      <w:pPr>
        <w:spacing w:after="0" w:line="368" w:lineRule="exact"/>
        <w:rPr>
          <w:sz w:val="20"/>
          <w:szCs w:val="20"/>
          <w:color w:val="auto"/>
        </w:rPr>
      </w:pPr>
    </w:p>
    <w:p>
      <w:pPr>
        <w:spacing w:after="0"/>
        <w:tabs>
          <w:tab w:leader="none" w:pos="1560" w:val="left"/>
          <w:tab w:leader="dot" w:pos="848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22"/>
          <w:szCs w:val="22"/>
          <w:color w:val="auto"/>
        </w:rPr>
        <w:t>Definitions; Rules of Interpretation</w:t>
      </w:r>
      <w:r>
        <w:rPr>
          <w:sz w:val="20"/>
          <w:szCs w:val="20"/>
          <w:color w:val="auto"/>
        </w:rPr>
        <w:tab/>
      </w:r>
      <w:r>
        <w:rPr>
          <w:rFonts w:ascii="Arial" w:cs="Arial" w:eastAsia="Arial" w:hAnsi="Arial"/>
          <w:sz w:val="19"/>
          <w:szCs w:val="19"/>
          <w:color w:val="auto"/>
        </w:rPr>
        <w:t>19</w:t>
      </w:r>
    </w:p>
    <w:p>
      <w:pPr>
        <w:spacing w:after="0" w:line="368" w:lineRule="exact"/>
        <w:rPr>
          <w:sz w:val="20"/>
          <w:szCs w:val="20"/>
          <w:color w:val="auto"/>
        </w:rPr>
      </w:pPr>
    </w:p>
    <w:p>
      <w:pPr>
        <w:spacing w:after="0"/>
        <w:tabs>
          <w:tab w:leader="none" w:pos="1560" w:val="left"/>
          <w:tab w:leader="dot" w:pos="842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2"/>
          <w:szCs w:val="22"/>
          <w:color w:val="auto"/>
        </w:rPr>
        <w:t>Notices</w:t>
      </w:r>
      <w:r>
        <w:rPr>
          <w:sz w:val="20"/>
          <w:szCs w:val="20"/>
          <w:color w:val="auto"/>
        </w:rPr>
        <w:tab/>
      </w:r>
      <w:r>
        <w:rPr>
          <w:rFonts w:ascii="Arial" w:cs="Arial" w:eastAsia="Arial" w:hAnsi="Arial"/>
          <w:sz w:val="19"/>
          <w:szCs w:val="19"/>
          <w:color w:val="auto"/>
        </w:rPr>
        <w:t>26</w:t>
      </w:r>
    </w:p>
    <w:p>
      <w:pPr>
        <w:spacing w:after="0" w:line="368" w:lineRule="exact"/>
        <w:rPr>
          <w:sz w:val="20"/>
          <w:szCs w:val="20"/>
          <w:color w:val="auto"/>
        </w:rPr>
      </w:pPr>
    </w:p>
    <w:p>
      <w:pPr>
        <w:spacing w:after="0"/>
        <w:tabs>
          <w:tab w:leader="none" w:pos="1560" w:val="left"/>
          <w:tab w:leader="dot" w:pos="846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22"/>
          <w:szCs w:val="22"/>
          <w:color w:val="auto"/>
        </w:rPr>
        <w:t>Continuing Security Interest; Transfer of Indebtedness</w:t>
      </w:r>
      <w:r>
        <w:rPr>
          <w:sz w:val="20"/>
          <w:szCs w:val="20"/>
          <w:color w:val="auto"/>
        </w:rPr>
        <w:tab/>
      </w:r>
      <w:r>
        <w:rPr>
          <w:rFonts w:ascii="Arial" w:cs="Arial" w:eastAsia="Arial" w:hAnsi="Arial"/>
          <w:sz w:val="19"/>
          <w:szCs w:val="19"/>
          <w:color w:val="auto"/>
        </w:rPr>
        <w:t>27</w:t>
      </w:r>
    </w:p>
    <w:p>
      <w:pPr>
        <w:spacing w:after="0" w:line="368" w:lineRule="exact"/>
        <w:rPr>
          <w:sz w:val="20"/>
          <w:szCs w:val="20"/>
          <w:color w:val="auto"/>
        </w:rPr>
      </w:pPr>
    </w:p>
    <w:p>
      <w:pPr>
        <w:spacing w:after="0"/>
        <w:tabs>
          <w:tab w:leader="none" w:pos="1560" w:val="left"/>
          <w:tab w:leader="dot" w:pos="842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22"/>
          <w:szCs w:val="22"/>
          <w:color w:val="auto"/>
        </w:rPr>
        <w:t>Governing Law</w:t>
      </w:r>
      <w:r>
        <w:rPr>
          <w:sz w:val="20"/>
          <w:szCs w:val="20"/>
          <w:color w:val="auto"/>
        </w:rPr>
        <w:tab/>
      </w:r>
      <w:r>
        <w:rPr>
          <w:rFonts w:ascii="Arial" w:cs="Arial" w:eastAsia="Arial" w:hAnsi="Arial"/>
          <w:sz w:val="17"/>
          <w:szCs w:val="17"/>
          <w:color w:val="auto"/>
        </w:rPr>
        <w:t>27</w:t>
      </w:r>
    </w:p>
    <w:p>
      <w:pPr>
        <w:sectPr>
          <w:pgSz w:w="11900" w:h="16838" w:orient="portrait"/>
          <w:cols w:equalWidth="0" w:num="1">
            <w:col w:w="10099"/>
          </w:cols>
          <w:pgMar w:left="360" w:top="564"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99"/>
          </w:cols>
          <w:pgMar w:left="360" w:top="564" w:right="1440" w:bottom="1440" w:gutter="0" w:footer="0" w:header="0"/>
          <w:type w:val="continuous"/>
        </w:sectPr>
      </w:pPr>
    </w:p>
    <w:bookmarkStart w:id="345" w:name="page346"/>
    <w:bookmarkEnd w:id="345"/>
    <w:p>
      <w:pPr>
        <w:ind w:left="40"/>
        <w:spacing w:after="0"/>
        <w:tabs>
          <w:tab w:leader="none" w:pos="1600" w:val="left"/>
          <w:tab w:leader="dot" w:pos="852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2"/>
          <w:szCs w:val="22"/>
          <w:color w:val="auto"/>
        </w:rPr>
        <w:t>Waiver of Jury Trial</w:t>
      </w:r>
      <w:r>
        <w:rPr>
          <w:sz w:val="20"/>
          <w:szCs w:val="20"/>
          <w:color w:val="auto"/>
        </w:rPr>
        <w:tab/>
      </w:r>
      <w:r>
        <w:rPr>
          <w:rFonts w:ascii="Arial" w:cs="Arial" w:eastAsia="Arial" w:hAnsi="Arial"/>
          <w:sz w:val="19"/>
          <w:szCs w:val="19"/>
          <w:color w:val="auto"/>
        </w:rPr>
        <w:t>28</w:t>
      </w:r>
    </w:p>
    <w:p>
      <w:pPr>
        <w:spacing w:after="0" w:line="368" w:lineRule="exact"/>
        <w:rPr>
          <w:sz w:val="20"/>
          <w:szCs w:val="20"/>
          <w:color w:val="auto"/>
        </w:rPr>
      </w:pPr>
    </w:p>
    <w:p>
      <w:pPr>
        <w:ind w:left="40"/>
        <w:spacing w:after="0"/>
        <w:tabs>
          <w:tab w:leader="none" w:pos="1600" w:val="left"/>
          <w:tab w:leader="dot" w:pos="852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2"/>
          <w:szCs w:val="22"/>
          <w:color w:val="auto"/>
        </w:rPr>
        <w:t>Consent to Jurisdiction and Service of Process</w:t>
      </w:r>
      <w:r>
        <w:rPr>
          <w:sz w:val="20"/>
          <w:szCs w:val="20"/>
          <w:color w:val="auto"/>
        </w:rPr>
        <w:tab/>
      </w:r>
      <w:r>
        <w:rPr>
          <w:rFonts w:ascii="Arial" w:cs="Arial" w:eastAsia="Arial" w:hAnsi="Arial"/>
          <w:sz w:val="19"/>
          <w:szCs w:val="19"/>
          <w:color w:val="auto"/>
        </w:rPr>
        <w:t>28</w:t>
      </w:r>
    </w:p>
    <w:p>
      <w:pPr>
        <w:spacing w:after="0" w:line="368" w:lineRule="exact"/>
        <w:rPr>
          <w:sz w:val="20"/>
          <w:szCs w:val="20"/>
          <w:color w:val="auto"/>
        </w:rPr>
      </w:pPr>
    </w:p>
    <w:p>
      <w:pPr>
        <w:ind w:left="40"/>
        <w:spacing w:after="0"/>
        <w:tabs>
          <w:tab w:leader="none" w:pos="1600" w:val="left"/>
          <w:tab w:leader="dot" w:pos="850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22"/>
          <w:szCs w:val="22"/>
          <w:color w:val="auto"/>
        </w:rPr>
        <w:t>Security Interest Absolute</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40"/>
        <w:spacing w:after="0"/>
        <w:tabs>
          <w:tab w:leader="none" w:pos="1600" w:val="left"/>
          <w:tab w:leader="dot" w:pos="84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22"/>
          <w:szCs w:val="22"/>
          <w:color w:val="auto"/>
        </w:rPr>
        <w:t>Severability of Provisions</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40"/>
        <w:spacing w:after="0"/>
        <w:tabs>
          <w:tab w:leader="none" w:pos="1600" w:val="left"/>
          <w:tab w:leader="dot" w:pos="846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22"/>
          <w:szCs w:val="22"/>
          <w:color w:val="auto"/>
        </w:rPr>
        <w:t>Headings</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40"/>
        <w:spacing w:after="0"/>
        <w:tabs>
          <w:tab w:leader="none" w:pos="1600" w:val="left"/>
          <w:tab w:leader="dot" w:pos="850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22"/>
          <w:szCs w:val="22"/>
          <w:color w:val="auto"/>
        </w:rPr>
        <w:t>Execution in Counterparts</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40"/>
        <w:spacing w:after="0"/>
        <w:tabs>
          <w:tab w:leader="none" w:pos="1600" w:val="left"/>
          <w:tab w:leader="dot" w:pos="846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22"/>
          <w:szCs w:val="22"/>
          <w:color w:val="auto"/>
        </w:rPr>
        <w:t>Additional Grantors</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40"/>
        <w:spacing w:after="0"/>
        <w:tabs>
          <w:tab w:leader="none" w:pos="1600" w:val="left"/>
          <w:tab w:leader="dot" w:pos="850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22"/>
          <w:szCs w:val="22"/>
          <w:color w:val="auto"/>
        </w:rPr>
        <w:t>Successors and Assigns</w:t>
      </w:r>
      <w:r>
        <w:rPr>
          <w:sz w:val="20"/>
          <w:szCs w:val="20"/>
          <w:color w:val="auto"/>
        </w:rPr>
        <w:tab/>
      </w:r>
      <w:r>
        <w:rPr>
          <w:rFonts w:ascii="Arial" w:cs="Arial" w:eastAsia="Arial" w:hAnsi="Arial"/>
          <w:sz w:val="19"/>
          <w:szCs w:val="19"/>
          <w:color w:val="auto"/>
        </w:rPr>
        <w:t>30</w:t>
      </w:r>
    </w:p>
    <w:p>
      <w:pPr>
        <w:spacing w:after="0" w:line="368" w:lineRule="exact"/>
        <w:rPr>
          <w:sz w:val="20"/>
          <w:szCs w:val="20"/>
          <w:color w:val="auto"/>
        </w:rPr>
      </w:pPr>
    </w:p>
    <w:p>
      <w:pPr>
        <w:ind w:left="40"/>
        <w:spacing w:after="0"/>
        <w:tabs>
          <w:tab w:leader="none" w:pos="1600" w:val="left"/>
          <w:tab w:leader="dot" w:pos="848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22"/>
          <w:szCs w:val="22"/>
          <w:color w:val="auto"/>
        </w:rPr>
        <w:t>Limited Obligations</w:t>
      </w:r>
      <w:r>
        <w:rPr>
          <w:sz w:val="20"/>
          <w:szCs w:val="20"/>
          <w:color w:val="auto"/>
        </w:rPr>
        <w:tab/>
      </w:r>
      <w:r>
        <w:rPr>
          <w:rFonts w:ascii="Arial" w:cs="Arial" w:eastAsia="Arial" w:hAnsi="Arial"/>
          <w:sz w:val="17"/>
          <w:szCs w:val="17"/>
          <w:color w:val="auto"/>
        </w:rPr>
        <w:t>30</w:t>
      </w:r>
    </w:p>
    <w:p>
      <w:pPr>
        <w:spacing w:after="0" w:line="368" w:lineRule="exact"/>
        <w:rPr>
          <w:sz w:val="20"/>
          <w:szCs w:val="20"/>
          <w:color w:val="auto"/>
        </w:rPr>
      </w:pPr>
    </w:p>
    <w:p>
      <w:pPr>
        <w:ind w:left="40"/>
        <w:spacing w:after="0"/>
        <w:tabs>
          <w:tab w:leader="none" w:pos="1600" w:val="left"/>
          <w:tab w:leader="dot" w:pos="8460" w:val="left"/>
        </w:tabs>
        <w:rPr>
          <w:sz w:val="20"/>
          <w:szCs w:val="20"/>
          <w:color w:val="auto"/>
        </w:rPr>
      </w:pPr>
      <w:r>
        <w:rPr>
          <w:rFonts w:ascii="Arial" w:cs="Arial" w:eastAsia="Arial" w:hAnsi="Arial"/>
          <w:sz w:val="22"/>
          <w:szCs w:val="22"/>
          <w:color w:val="auto"/>
        </w:rPr>
        <w:t>Section 30.</w:t>
      </w:r>
      <w:r>
        <w:rPr>
          <w:sz w:val="20"/>
          <w:szCs w:val="20"/>
          <w:color w:val="auto"/>
        </w:rPr>
        <w:tab/>
      </w:r>
      <w:r>
        <w:rPr>
          <w:rFonts w:ascii="Arial" w:cs="Arial" w:eastAsia="Arial" w:hAnsi="Arial"/>
          <w:sz w:val="22"/>
          <w:szCs w:val="22"/>
          <w:color w:val="auto"/>
        </w:rPr>
        <w:t>Construction of Schedules</w:t>
      </w:r>
      <w:r>
        <w:rPr>
          <w:sz w:val="20"/>
          <w:szCs w:val="20"/>
          <w:color w:val="auto"/>
        </w:rPr>
        <w:tab/>
      </w:r>
      <w:r>
        <w:rPr>
          <w:rFonts w:ascii="Arial" w:cs="Arial" w:eastAsia="Arial" w:hAnsi="Arial"/>
          <w:sz w:val="19"/>
          <w:szCs w:val="19"/>
          <w:color w:val="auto"/>
        </w:rPr>
        <w:t>30</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Schedule I </w:t>
      </w:r>
      <w:r>
        <w:rPr>
          <w:rFonts w:ascii="Arial" w:cs="Arial" w:eastAsia="Arial" w:hAnsi="Arial"/>
          <w:sz w:val="18"/>
          <w:szCs w:val="18"/>
          <w:color w:val="auto"/>
        </w:rPr>
        <w:t>–</w:t>
      </w:r>
      <w:r>
        <w:rPr>
          <w:rFonts w:ascii="Arial" w:cs="Arial" w:eastAsia="Arial" w:hAnsi="Arial"/>
          <w:sz w:val="22"/>
          <w:szCs w:val="22"/>
          <w:color w:val="auto"/>
        </w:rPr>
        <w:t xml:space="preserve"> Grantors; Location of Chief Executive Offices and Addresses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Schedule II </w:t>
      </w:r>
      <w:r>
        <w:rPr>
          <w:rFonts w:ascii="Arial" w:cs="Arial" w:eastAsia="Arial" w:hAnsi="Arial"/>
          <w:sz w:val="18"/>
          <w:szCs w:val="18"/>
          <w:color w:val="auto"/>
        </w:rPr>
        <w:t>–</w:t>
      </w:r>
      <w:r>
        <w:rPr>
          <w:rFonts w:ascii="Arial" w:cs="Arial" w:eastAsia="Arial" w:hAnsi="Arial"/>
          <w:sz w:val="22"/>
          <w:szCs w:val="22"/>
          <w:color w:val="auto"/>
        </w:rPr>
        <w:t xml:space="preserve"> Slots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Schedule III </w:t>
      </w:r>
      <w:r>
        <w:rPr>
          <w:rFonts w:ascii="Arial" w:cs="Arial" w:eastAsia="Arial" w:hAnsi="Arial"/>
          <w:sz w:val="18"/>
          <w:szCs w:val="18"/>
          <w:color w:val="auto"/>
        </w:rPr>
        <w:t>–</w:t>
      </w:r>
      <w:r>
        <w:rPr>
          <w:rFonts w:ascii="Arial" w:cs="Arial" w:eastAsia="Arial" w:hAnsi="Arial"/>
          <w:sz w:val="22"/>
          <w:szCs w:val="22"/>
          <w:color w:val="auto"/>
        </w:rPr>
        <w:t xml:space="preserve"> Scheduled Services</w:t>
      </w:r>
    </w:p>
    <w:p>
      <w:pPr>
        <w:spacing w:after="0" w:line="229" w:lineRule="exact"/>
        <w:rPr>
          <w:sz w:val="20"/>
          <w:szCs w:val="20"/>
          <w:color w:val="auto"/>
        </w:rPr>
      </w:pPr>
    </w:p>
    <w:p>
      <w:pPr>
        <w:ind w:right="5019"/>
        <w:spacing w:after="0" w:line="276" w:lineRule="auto"/>
        <w:rPr>
          <w:sz w:val="20"/>
          <w:szCs w:val="20"/>
          <w:color w:val="auto"/>
        </w:rPr>
      </w:pPr>
      <w:r>
        <w:rPr>
          <w:rFonts w:ascii="Arial" w:cs="Arial" w:eastAsia="Arial" w:hAnsi="Arial"/>
          <w:sz w:val="22"/>
          <w:szCs w:val="22"/>
          <w:color w:val="auto"/>
        </w:rPr>
        <w:t xml:space="preserve">Exhibit A </w:t>
      </w:r>
      <w:r>
        <w:rPr>
          <w:rFonts w:ascii="Arial" w:cs="Arial" w:eastAsia="Arial" w:hAnsi="Arial"/>
          <w:sz w:val="18"/>
          <w:szCs w:val="18"/>
          <w:color w:val="auto"/>
        </w:rPr>
        <w:t>–</w:t>
      </w:r>
      <w:r>
        <w:rPr>
          <w:rFonts w:ascii="Arial" w:cs="Arial" w:eastAsia="Arial" w:hAnsi="Arial"/>
          <w:sz w:val="22"/>
          <w:szCs w:val="22"/>
          <w:color w:val="auto"/>
        </w:rPr>
        <w:t xml:space="preserve"> Form of SGR Security Agreement Supplement Exhibit B </w:t>
      </w:r>
      <w:r>
        <w:rPr>
          <w:rFonts w:ascii="Arial" w:cs="Arial" w:eastAsia="Arial" w:hAnsi="Arial"/>
          <w:sz w:val="18"/>
          <w:szCs w:val="18"/>
          <w:color w:val="auto"/>
        </w:rPr>
        <w:t>–</w:t>
      </w:r>
      <w:r>
        <w:rPr>
          <w:rFonts w:ascii="Arial" w:cs="Arial" w:eastAsia="Arial" w:hAnsi="Arial"/>
          <w:sz w:val="22"/>
          <w:szCs w:val="22"/>
          <w:color w:val="auto"/>
        </w:rPr>
        <w:t xml:space="preserve"> Form of Joinder Agreement</w:t>
      </w:r>
    </w:p>
    <w:p>
      <w:pPr>
        <w:spacing w:after="0" w:line="200" w:lineRule="exact"/>
        <w:rPr>
          <w:sz w:val="20"/>
          <w:szCs w:val="20"/>
          <w:color w:val="auto"/>
        </w:rPr>
      </w:pPr>
    </w:p>
    <w:p>
      <w:pPr>
        <w:spacing w:after="0" w:line="23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12" w:right="1440" w:bottom="1440" w:gutter="0" w:footer="0" w:header="0"/>
        </w:sectPr>
      </w:pPr>
    </w:p>
    <w:bookmarkStart w:id="346" w:name="page347"/>
    <w:bookmarkEnd w:id="346"/>
    <w:p>
      <w:pPr>
        <w:jc w:val="center"/>
        <w:spacing w:after="0"/>
        <w:rPr>
          <w:sz w:val="20"/>
          <w:szCs w:val="20"/>
          <w:color w:val="auto"/>
        </w:rPr>
      </w:pPr>
      <w:r>
        <w:rPr>
          <w:rFonts w:ascii="Arial" w:cs="Arial" w:eastAsia="Arial" w:hAnsi="Arial"/>
          <w:sz w:val="22"/>
          <w:szCs w:val="22"/>
          <w:b w:val="1"/>
          <w:bCs w:val="1"/>
          <w:color w:val="auto"/>
        </w:rPr>
        <w:t>FIRST LIEN SECURITY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(SLOTS, FOREIGN GATE LEASEHOLDS AND ROUTE AUTHORITIES)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This FIRST LIEN SECURITY AGREEMENT (Slots, Foreign Gate Leaseholds and Route Authorities), dated as of March 18, 2020 (as may be amended, supplemented and/ or otherwise modified from time to time, this “ </w:t>
      </w:r>
      <w:r>
        <w:rPr>
          <w:rFonts w:ascii="Arial" w:cs="Arial" w:eastAsia="Arial" w:hAnsi="Arial"/>
          <w:sz w:val="22"/>
          <w:szCs w:val="22"/>
          <w:u w:val="single" w:color="auto"/>
          <w:color w:val="auto"/>
        </w:rPr>
        <w:t>SGR Security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 by and among the Persons listed in the signature pages hereto and those Persons that become a Party hereto pursuant to </w:t>
      </w:r>
      <w:r>
        <w:rPr>
          <w:rFonts w:ascii="Arial" w:cs="Arial" w:eastAsia="Arial" w:hAnsi="Arial"/>
          <w:sz w:val="22"/>
          <w:szCs w:val="22"/>
          <w:u w:val="single" w:color="auto"/>
          <w:color w:val="auto"/>
        </w:rPr>
        <w:t>Section 27</w:t>
      </w:r>
      <w:r>
        <w:rPr>
          <w:rFonts w:ascii="Arial" w:cs="Arial" w:eastAsia="Arial" w:hAnsi="Arial"/>
          <w:sz w:val="22"/>
          <w:szCs w:val="22"/>
          <w:color w:val="auto"/>
        </w:rPr>
        <w:t xml:space="preserve"> (together with their respective successors and permitted assigns, the “ </w:t>
      </w:r>
      <w:r>
        <w:rPr>
          <w:rFonts w:ascii="Arial" w:cs="Arial" w:eastAsia="Arial" w:hAnsi="Arial"/>
          <w:sz w:val="22"/>
          <w:szCs w:val="22"/>
          <w:u w:val="single" w:color="auto"/>
          <w:color w:val="auto"/>
        </w:rPr>
        <w:t>Grantors</w:t>
      </w:r>
      <w:r>
        <w:rPr>
          <w:rFonts w:ascii="Arial" w:cs="Arial" w:eastAsia="Arial" w:hAnsi="Arial"/>
          <w:sz w:val="22"/>
          <w:szCs w:val="22"/>
          <w:color w:val="auto"/>
        </w:rPr>
        <w:t xml:space="preserve"> ”) and CITIBANK N.A., as first lien collateral agent (in such capacity, and together with its successors and permitted assigns in such capacity, the “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 for its benefit and the benefit of the other Secured Parties. Capitalized terms used herein without other definition are used as defined and interpreted in </w:t>
      </w:r>
      <w:r>
        <w:rPr>
          <w:rFonts w:ascii="Arial" w:cs="Arial" w:eastAsia="Arial" w:hAnsi="Arial"/>
          <w:sz w:val="22"/>
          <w:szCs w:val="22"/>
          <w:u w:val="single" w:color="auto"/>
          <w:color w:val="auto"/>
        </w:rPr>
        <w:t>Section 17</w:t>
      </w:r>
      <w:r>
        <w:rPr>
          <w:rFonts w:ascii="Arial" w:cs="Arial" w:eastAsia="Arial" w:hAnsi="Arial"/>
          <w:sz w:val="22"/>
          <w:szCs w:val="22"/>
          <w:color w:val="auto"/>
        </w:rPr>
        <w:t xml:space="preserve"> .</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WHEREAS, the Grantors and the Collateral Agent are parties to that certain Credit and Guaranty Agreement, dated as of March 18, 2020 (as may be amended, supplemented or otherwise modified from time to time, the “ </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 by and among American Airlines, Inc., as Borrower, American Airlines Group Inc., (“ </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 as guarantor party thereto, the other guarantors from time to time party thereto, the lenders from time to time party thereto (collectively, the “ </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 the Collateral Agent and the Administrative Agent;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WHEREAS, the Grantors may establish one or more accounts for cash and to hold securities and other financial assets (each an “ </w:t>
      </w: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 that will be subject to one or more Account Control Agreements;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each Grantor has agreed to grant a continuing Lien on the Collateral (as defined below) to secure the Obligations; and</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Collateral Agent and one or more Additional Agents may in the future enter into one or more Intercreditor Agreements and/or Other Intercreditor Agreements;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the mutual agreements set forth herein and other good and valuable consideration, the receipt and sufficiency of which are hereby acknowledged, the parties to this SGR Security Agreement hereby agree as follows:</w:t>
      </w:r>
    </w:p>
    <w:p>
      <w:pPr>
        <w:spacing w:after="0" w:line="185" w:lineRule="exact"/>
        <w:rPr>
          <w:sz w:val="20"/>
          <w:szCs w:val="20"/>
          <w:color w:val="auto"/>
        </w:rPr>
      </w:pPr>
    </w:p>
    <w:p>
      <w:pPr>
        <w:jc w:val="both"/>
        <w:ind w:left="1960" w:hanging="971"/>
        <w:spacing w:after="0" w:line="250" w:lineRule="auto"/>
        <w:rPr>
          <w:sz w:val="20"/>
          <w:szCs w:val="20"/>
          <w:color w:val="auto"/>
        </w:rPr>
      </w:pPr>
      <w:r>
        <w:rPr>
          <w:rFonts w:ascii="Arial" w:cs="Arial" w:eastAsia="Arial" w:hAnsi="Arial"/>
          <w:sz w:val="22"/>
          <w:szCs w:val="22"/>
          <w:color w:val="auto"/>
        </w:rPr>
        <w:t xml:space="preserve">Section 1. Grant of Security Interest. To secure all of the Obligations, each Grantor hereby pledges, grants and creates a security interest and mortgage in favor of the Collateral Agent for its benefit and the benefit of the other Secured Parties in all of the following assets, rights and properties, whether real or personal and whether tangible or intangible (the “ </w:t>
      </w: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347" w:name="page348"/>
    <w:bookmarkEnd w:id="347"/>
    <w:p>
      <w:pPr>
        <w:jc w:val="both"/>
        <w:ind w:firstLine="1304"/>
        <w:spacing w:after="0" w:line="250" w:lineRule="auto"/>
        <w:tabs>
          <w:tab w:leader="none" w:pos="1887" w:val="left"/>
        </w:tabs>
        <w:numPr>
          <w:ilvl w:val="0"/>
          <w:numId w:val="449"/>
        </w:numPr>
        <w:rPr>
          <w:rFonts w:ascii="Arial" w:cs="Arial" w:eastAsia="Arial" w:hAnsi="Arial"/>
          <w:sz w:val="22"/>
          <w:szCs w:val="22"/>
          <w:color w:val="010000"/>
        </w:rPr>
      </w:pPr>
      <w:r>
        <w:rPr>
          <w:rFonts w:ascii="Arial" w:cs="Arial" w:eastAsia="Arial" w:hAnsi="Arial"/>
          <w:sz w:val="22"/>
          <w:szCs w:val="22"/>
          <w:color w:val="auto"/>
        </w:rPr>
        <w:t>all of the right, title and interest of such Grantor in, to and under the Route Authorities, the Slots and the Foreign Gate Leaseholds, whether now owned or held or hereafter acquired and whether such assets, rights or properties constitute General Intangibles or another type or category of collateral under the NY UCC or any other type of asset, right or property;</w:t>
      </w:r>
    </w:p>
    <w:p>
      <w:pPr>
        <w:spacing w:after="0" w:line="187" w:lineRule="exact"/>
        <w:rPr>
          <w:rFonts w:ascii="Arial" w:cs="Arial" w:eastAsia="Arial" w:hAnsi="Arial"/>
          <w:sz w:val="22"/>
          <w:szCs w:val="22"/>
          <w:color w:val="010000"/>
        </w:rPr>
      </w:pPr>
    </w:p>
    <w:p>
      <w:pPr>
        <w:jc w:val="both"/>
        <w:ind w:firstLine="1304"/>
        <w:spacing w:after="0" w:line="253" w:lineRule="auto"/>
        <w:tabs>
          <w:tab w:leader="none" w:pos="1845" w:val="left"/>
        </w:tabs>
        <w:numPr>
          <w:ilvl w:val="0"/>
          <w:numId w:val="449"/>
        </w:numPr>
        <w:rPr>
          <w:rFonts w:ascii="Arial" w:cs="Arial" w:eastAsia="Arial" w:hAnsi="Arial"/>
          <w:sz w:val="22"/>
          <w:szCs w:val="22"/>
          <w:color w:val="010000"/>
        </w:rPr>
      </w:pPr>
      <w:r>
        <w:rPr>
          <w:rFonts w:ascii="Arial" w:cs="Arial" w:eastAsia="Arial" w:hAnsi="Arial"/>
          <w:sz w:val="22"/>
          <w:szCs w:val="22"/>
          <w:color w:val="auto"/>
        </w:rPr>
        <w:t xml:space="preserve">all of the right, title and interest of such Grantor in, to and under each Account and all cash, checks, money orders and other items of value of such Grantor now or hereafter paid, deposited, credited or held (whether for collection, provisionally or otherwise) in each Account (the “ </w:t>
      </w:r>
      <w:r>
        <w:rPr>
          <w:rFonts w:ascii="Arial" w:cs="Arial" w:eastAsia="Arial" w:hAnsi="Arial"/>
          <w:sz w:val="22"/>
          <w:szCs w:val="22"/>
          <w:u w:val="single" w:color="auto"/>
          <w:color w:val="auto"/>
        </w:rPr>
        <w:t>Account Collateral</w:t>
      </w:r>
      <w:r>
        <w:rPr>
          <w:rFonts w:ascii="Arial" w:cs="Arial" w:eastAsia="Arial" w:hAnsi="Arial"/>
          <w:sz w:val="22"/>
          <w:szCs w:val="22"/>
          <w:color w:val="auto"/>
        </w:rPr>
        <w:t xml:space="preserve"> ”); and</w:t>
      </w:r>
    </w:p>
    <w:p>
      <w:pPr>
        <w:spacing w:after="0" w:line="185" w:lineRule="exact"/>
        <w:rPr>
          <w:rFonts w:ascii="Arial" w:cs="Arial" w:eastAsia="Arial" w:hAnsi="Arial"/>
          <w:sz w:val="22"/>
          <w:szCs w:val="22"/>
          <w:color w:val="010000"/>
        </w:rPr>
      </w:pPr>
    </w:p>
    <w:p>
      <w:pPr>
        <w:jc w:val="both"/>
        <w:ind w:right="20" w:firstLine="1304"/>
        <w:spacing w:after="0" w:line="302" w:lineRule="auto"/>
        <w:tabs>
          <w:tab w:leader="none" w:pos="1818" w:val="left"/>
        </w:tabs>
        <w:numPr>
          <w:ilvl w:val="0"/>
          <w:numId w:val="449"/>
        </w:numPr>
        <w:rPr>
          <w:rFonts w:ascii="Arial" w:cs="Arial" w:eastAsia="Arial" w:hAnsi="Arial"/>
          <w:sz w:val="19"/>
          <w:szCs w:val="19"/>
          <w:color w:val="010000"/>
        </w:rPr>
      </w:pPr>
      <w:r>
        <w:rPr>
          <w:rFonts w:ascii="Arial" w:cs="Arial" w:eastAsia="Arial" w:hAnsi="Arial"/>
          <w:sz w:val="19"/>
          <w:szCs w:val="19"/>
          <w:color w:val="auto"/>
        </w:rPr>
        <w:t>all of the right, title and interest of such Grantor in, to and under all Proceeds of any and all of the foregoing (including, without limitation, all Proceeds (of any kind) received or to be received by such Grantor upon the transfer or other disposition of any of the assets, rights and properties described in clause (a), notwithstanding whether the mortgage, pledge and grant of the security interest in any such asset, right or property is legally effective under applicable law);</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notwithstanding the foregoing or any other provision of this SGR Security Agreement, ( </w:t>
      </w:r>
      <w:r>
        <w:rPr>
          <w:rFonts w:ascii="Arial" w:cs="Arial" w:eastAsia="Arial" w:hAnsi="Arial"/>
          <w:sz w:val="19"/>
          <w:szCs w:val="19"/>
          <w:u w:val="single" w:color="auto"/>
          <w:color w:val="auto"/>
        </w:rPr>
        <w:t>1</w:t>
      </w:r>
      <w:r>
        <w:rPr>
          <w:rFonts w:ascii="Arial" w:cs="Arial" w:eastAsia="Arial" w:hAnsi="Arial"/>
          <w:sz w:val="19"/>
          <w:szCs w:val="19"/>
          <w:color w:val="auto"/>
        </w:rPr>
        <w:t xml:space="preserve"> ) if a Transfer Restriction would be applicable to the pledge, grant or creation of a security interest in or mortgage on any asset, right or property described above (other than in the Route Authorities or Proceeds thereof), then so long as such Transfer Restriction is in effect and ( </w:t>
      </w:r>
      <w:r>
        <w:rPr>
          <w:rFonts w:ascii="Arial" w:cs="Arial" w:eastAsia="Arial" w:hAnsi="Arial"/>
          <w:sz w:val="19"/>
          <w:szCs w:val="19"/>
          <w:u w:val="single" w:color="auto"/>
          <w:color w:val="auto"/>
        </w:rPr>
        <w:t>2</w:t>
      </w:r>
      <w:r>
        <w:rPr>
          <w:rFonts w:ascii="Arial" w:cs="Arial" w:eastAsia="Arial" w:hAnsi="Arial"/>
          <w:sz w:val="19"/>
          <w:szCs w:val="19"/>
          <w:color w:val="auto"/>
        </w:rPr>
        <w:t xml:space="preserve"> ) if any Transfer Restriction applies to the transfer or assignment (other than the pledge, grant or creation of a security interest or mortgage) of any Collateral, any provision of this SGR Security Agreement permitting the Collateral Agent to cause a Grantor to transfer or assign to it or any other Person any of such Collateral (and any right the Collateral Agent may have under applicable law to do so by virtue of the security interest and mortgage pledged or granted to it under this SGR Security Agreement) shall be subject to such Transfer Restriction;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following an Event of Default, at the direction of the Collateral Agent, such Grantor shall use commercially reasonable efforts to obtain all approvals and consents that would be required to transfer or assign Collateral subject to such a Transfer Restriction referred to in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of the preceding proviso. As used herein, “ </w:t>
      </w:r>
      <w:r>
        <w:rPr>
          <w:rFonts w:ascii="Arial" w:cs="Arial" w:eastAsia="Arial" w:hAnsi="Arial"/>
          <w:sz w:val="19"/>
          <w:szCs w:val="19"/>
          <w:u w:val="single" w:color="auto"/>
          <w:color w:val="auto"/>
        </w:rPr>
        <w:t>Transfer Restriction</w:t>
      </w:r>
      <w:r>
        <w:rPr>
          <w:rFonts w:ascii="Arial" w:cs="Arial" w:eastAsia="Arial" w:hAnsi="Arial"/>
          <w:sz w:val="19"/>
          <w:szCs w:val="19"/>
          <w:color w:val="auto"/>
        </w:rPr>
        <w:t xml:space="preserve"> ” means any prohibition, restriction or consent requirement, whether arising under contract, applicable law, rule or regulation, or otherwise, relating to the transfer or assignment by a Grantor of, or the pledge, grant, or creation by a Grantor of a security interest or mortgage in, any right, title or interest in any asset, right or property, or any claim, right or benefit arising thereunder or resulting therefrom, if any such transfer or assignment thereof (or any pledge, grant or creation of a security interest or mortgage therein) or any attempt to so transfer, assign, pledge, grant or create, in contravention or violation of any such prohibition or restriction or without any required consent of any Person would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constitute a violation of the terms under which such Grantor was granted such right, title or interest or give rise to a default, breach, right of recoupment, claim, defense, termination, right of termination or remedy with respect thereto,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entitle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48" w:name="page349"/>
    <w:bookmarkEnd w:id="348"/>
    <w:p>
      <w:pPr>
        <w:jc w:val="both"/>
        <w:spacing w:after="0" w:line="246" w:lineRule="auto"/>
        <w:rPr>
          <w:sz w:val="20"/>
          <w:szCs w:val="20"/>
          <w:color w:val="auto"/>
        </w:rPr>
      </w:pPr>
      <w:r>
        <w:rPr>
          <w:rFonts w:ascii="Arial" w:cs="Arial" w:eastAsia="Arial" w:hAnsi="Arial"/>
          <w:sz w:val="22"/>
          <w:szCs w:val="22"/>
          <w:color w:val="auto"/>
        </w:rPr>
        <w:t xml:space="preserve">Governmental Authority or other Person to terminate or suspend any such right, title or interest (or such Grantor’s interest in any agreement or license related thereto), or (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 be prohibited by or violate any applicable law, rule or regulation, except, in any case, to the extent such “Transfer Restriction” shall be rendered ineffective (both to the extent that it ( </w:t>
      </w:r>
      <w:r>
        <w:rPr>
          <w:rFonts w:ascii="Arial" w:cs="Arial" w:eastAsia="Arial" w:hAnsi="Arial"/>
          <w:sz w:val="22"/>
          <w:szCs w:val="22"/>
          <w:u w:val="single" w:color="auto"/>
          <w:color w:val="auto"/>
        </w:rPr>
        <w:t>x</w:t>
      </w:r>
      <w:r>
        <w:rPr>
          <w:rFonts w:ascii="Arial" w:cs="Arial" w:eastAsia="Arial" w:hAnsi="Arial"/>
          <w:sz w:val="22"/>
          <w:szCs w:val="22"/>
          <w:color w:val="auto"/>
        </w:rPr>
        <w:t xml:space="preserve"> ) prohibits, restricts or requires consent and ( </w:t>
      </w:r>
      <w:r>
        <w:rPr>
          <w:rFonts w:ascii="Arial" w:cs="Arial" w:eastAsia="Arial" w:hAnsi="Arial"/>
          <w:sz w:val="22"/>
          <w:szCs w:val="22"/>
          <w:u w:val="single" w:color="auto"/>
          <w:color w:val="auto"/>
        </w:rPr>
        <w:t>y</w:t>
      </w:r>
      <w:r>
        <w:rPr>
          <w:rFonts w:ascii="Arial" w:cs="Arial" w:eastAsia="Arial" w:hAnsi="Arial"/>
          <w:sz w:val="22"/>
          <w:szCs w:val="22"/>
          <w:color w:val="auto"/>
        </w:rPr>
        <w:t xml:space="preserve"> ) gives rise to a default, breach, right of recoupment, claim, defense, termination, right of termination or remedy) by virtue of any applicable law, including, but not limited to Sections 9-406, 9-407, 9-408 or 9-409 of the NY UCC, to the extent applicable (or any corresponding sections of the UCC in a jurisdiction other than the State of New York to the extent applicable).</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2. Security for Obligations; Intercreditor Relations.</w:t>
      </w:r>
    </w:p>
    <w:p>
      <w:pPr>
        <w:spacing w:after="0" w:line="220" w:lineRule="exact"/>
        <w:rPr>
          <w:sz w:val="20"/>
          <w:szCs w:val="20"/>
          <w:color w:val="auto"/>
        </w:rPr>
      </w:pPr>
    </w:p>
    <w:p>
      <w:pPr>
        <w:ind w:left="1160" w:hanging="504"/>
        <w:spacing w:after="0"/>
        <w:tabs>
          <w:tab w:leader="none" w:pos="1160" w:val="left"/>
        </w:tabs>
        <w:numPr>
          <w:ilvl w:val="0"/>
          <w:numId w:val="450"/>
        </w:numPr>
        <w:rPr>
          <w:rFonts w:ascii="Arial" w:cs="Arial" w:eastAsia="Arial" w:hAnsi="Arial"/>
          <w:sz w:val="22"/>
          <w:szCs w:val="22"/>
          <w:color w:val="010000"/>
        </w:rPr>
      </w:pPr>
      <w:r>
        <w:rPr>
          <w:rFonts w:ascii="Arial" w:cs="Arial" w:eastAsia="Arial" w:hAnsi="Arial"/>
          <w:sz w:val="22"/>
          <w:szCs w:val="22"/>
          <w:color w:val="auto"/>
        </w:rPr>
        <w:t>This SGR Security Agreement secures, and the Collateral is collateral security for, the Obligations.</w:t>
      </w:r>
    </w:p>
    <w:p>
      <w:pPr>
        <w:spacing w:after="0" w:line="219" w:lineRule="exact"/>
        <w:rPr>
          <w:rFonts w:ascii="Arial" w:cs="Arial" w:eastAsia="Arial" w:hAnsi="Arial"/>
          <w:sz w:val="22"/>
          <w:szCs w:val="22"/>
          <w:color w:val="010000"/>
        </w:rPr>
      </w:pPr>
    </w:p>
    <w:p>
      <w:pPr>
        <w:jc w:val="both"/>
        <w:ind w:firstLine="656"/>
        <w:spacing w:after="0" w:line="285" w:lineRule="auto"/>
        <w:tabs>
          <w:tab w:leader="none" w:pos="1206" w:val="left"/>
        </w:tabs>
        <w:numPr>
          <w:ilvl w:val="0"/>
          <w:numId w:val="450"/>
        </w:numPr>
        <w:rPr>
          <w:rFonts w:ascii="Arial" w:cs="Arial" w:eastAsia="Arial" w:hAnsi="Arial"/>
          <w:sz w:val="19"/>
          <w:szCs w:val="19"/>
          <w:color w:val="010000"/>
        </w:rPr>
      </w:pPr>
      <w:r>
        <w:rPr>
          <w:rFonts w:ascii="Arial" w:cs="Arial" w:eastAsia="Arial" w:hAnsi="Arial"/>
          <w:sz w:val="19"/>
          <w:szCs w:val="19"/>
          <w:color w:val="auto"/>
        </w:rPr>
        <w:t xml:space="preserve">Notwithstanding anything herein to the contrary, it is the understanding of the parties hereto that the Liens granted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prior to the Discharge of Additional Obligations that are Senior Priority Obligations, be pari passu and equal in priority to the Liens granted to any Additional Agent for the benefit of the holders of the applicable Additional Obligations that are Senior Priority Obligations to secure such Additional Obligations that are Senior Priority Obligations pursuant to the applicable Additional Collateral Documents (except as may be separately otherwise agreed between the Collateral Agent, on behalf of itself and the Secured Parties, and any Additional Agent, on behalf of itself and the Additional Credit Facility Secured Parties represented thereby). The Collateral Agent acknowledges and agrees that, in the event that it enters into an Intercreditor Agreement or an Other Intercreditor Agreement, the relative priority of the Liens granted to the Collateral Agent, the Administrative Agent and any Additional Agent shall be determined solely (as between the parties to such Intercreditor Agreement or Other Intercreditor Agreement and except as otherwise provided therein) pursuant to the applicable Intercreditor Agreements and Other Intercreditor Agreements, and not by priority as a matter of law or otherwise. Notwithstanding anything herein to the contrary, the Liens granted to the Collateral Agent pursuant to this SGR Security Agreement and the exercise of any right or remedy by the Collateral Agent hereunder are subject to the provisions of the applicable Intercreditor Agreements and Other Intercreditor Agreements. In the event of any conflict between the terms of any Intercreditor Agreement or any Other Intercreditor Agreement and this SGR Security Agreement, the terms of such Intercreditor Agreement or Other Intercreditor Agreement, as applicable, shall govern and control as among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the Collateral Agent and any Additional Agent, in the case of the Intercreditor Agreement, and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the Collateral Agent and any other secured creditor (or agent therefor) party thereto, in the case of any Other Intercreditor Agreement. In the event of any such conflict, the Grantors may act (or omit to act) in accordance with such Intercreditor Agreement or such Other Intercreditor Agreement, as applicable, and shall not be in breach, violation or default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49" w:name="page350"/>
    <w:bookmarkEnd w:id="349"/>
    <w:p>
      <w:pPr>
        <w:jc w:val="both"/>
        <w:spacing w:after="0" w:line="265" w:lineRule="auto"/>
        <w:rPr>
          <w:sz w:val="20"/>
          <w:szCs w:val="20"/>
          <w:color w:val="auto"/>
        </w:rPr>
      </w:pPr>
      <w:r>
        <w:rPr>
          <w:rFonts w:ascii="Arial" w:cs="Arial" w:eastAsia="Arial" w:hAnsi="Arial"/>
          <w:sz w:val="21"/>
          <w:szCs w:val="21"/>
          <w:color w:val="auto"/>
        </w:rPr>
        <w:t>obligations hereunder by reason of doing so. Notwithstanding any other provision hereof, for so long as any Additional Obligations that are Senior Priority Obligations remain outstanding, any obligation hereunder to deliver, transfer or assign to the Collateral Agent any Collateral shall be satisfied by causing such Collateral to be delivered, transferred or assigned to the applicable Senior Priority Representative to be held in accordance with the Intercreditor Agreement.</w:t>
      </w:r>
    </w:p>
    <w:p>
      <w:pPr>
        <w:spacing w:after="0" w:line="29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3. No Release.</w:t>
      </w:r>
    </w:p>
    <w:p>
      <w:pPr>
        <w:spacing w:after="0" w:line="220" w:lineRule="exact"/>
        <w:rPr>
          <w:sz w:val="20"/>
          <w:szCs w:val="20"/>
          <w:color w:val="auto"/>
        </w:rPr>
      </w:pPr>
    </w:p>
    <w:p>
      <w:pPr>
        <w:jc w:val="both"/>
        <w:ind w:firstLine="656"/>
        <w:spacing w:after="0" w:line="250" w:lineRule="auto"/>
        <w:tabs>
          <w:tab w:leader="none" w:pos="1188" w:val="left"/>
        </w:tabs>
        <w:numPr>
          <w:ilvl w:val="0"/>
          <w:numId w:val="451"/>
        </w:numPr>
        <w:rPr>
          <w:rFonts w:ascii="Arial" w:cs="Arial" w:eastAsia="Arial" w:hAnsi="Arial"/>
          <w:sz w:val="22"/>
          <w:szCs w:val="22"/>
          <w:color w:val="010000"/>
        </w:rPr>
      </w:pPr>
      <w:r>
        <w:rPr>
          <w:rFonts w:ascii="Arial" w:cs="Arial" w:eastAsia="Arial" w:hAnsi="Arial"/>
          <w:sz w:val="22"/>
          <w:szCs w:val="22"/>
          <w:color w:val="auto"/>
        </w:rPr>
        <w:t xml:space="preserve">Other than as provided in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of the proviso to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 nothing set forth in this SGR Security Agreement shall relieve any Grantor from the performance of any term, covenant, condition or agreement on such Grantor’s part to be performed or observed under or in respect of any of the Collateral or from any liability to any Person under or in respect of any of the Collateral.</w:t>
      </w:r>
    </w:p>
    <w:p>
      <w:pPr>
        <w:spacing w:after="0" w:line="187" w:lineRule="exact"/>
        <w:rPr>
          <w:rFonts w:ascii="Arial" w:cs="Arial" w:eastAsia="Arial" w:hAnsi="Arial"/>
          <w:sz w:val="22"/>
          <w:szCs w:val="22"/>
          <w:color w:val="010000"/>
        </w:rPr>
      </w:pPr>
    </w:p>
    <w:p>
      <w:pPr>
        <w:jc w:val="both"/>
        <w:ind w:firstLine="656"/>
        <w:spacing w:after="0" w:line="246" w:lineRule="auto"/>
        <w:tabs>
          <w:tab w:leader="none" w:pos="1310" w:val="left"/>
        </w:tabs>
        <w:numPr>
          <w:ilvl w:val="0"/>
          <w:numId w:val="451"/>
        </w:numPr>
        <w:rPr>
          <w:rFonts w:ascii="Arial" w:cs="Arial" w:eastAsia="Arial" w:hAnsi="Arial"/>
          <w:sz w:val="22"/>
          <w:szCs w:val="22"/>
          <w:color w:val="010000"/>
        </w:rPr>
      </w:pPr>
      <w:r>
        <w:rPr>
          <w:rFonts w:ascii="Arial" w:cs="Arial" w:eastAsia="Arial" w:hAnsi="Arial"/>
          <w:sz w:val="22"/>
          <w:szCs w:val="22"/>
          <w:color w:val="auto"/>
        </w:rPr>
        <w:t xml:space="preserve">Nothing set forth in this SGR Security Agreement shall impose any obligation on the Collateral Agent or any Secured Party to perform or observe any such term, covenant, condition or agreement on any Grantor’s part to be so performed or observed or impose any liability on the Collateral Agent or any Secured Party for any act or omission on the part of such Grantor relating thereto or for any breach of any representation or warranty on the part of such Grantor contained in this SGR Security Agreement, or in respect of the Collateral or made in connection herewith or therewith. This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shall survive the termination of this SGR Security Agreement and the discharge of the Grantors’ obligations hereunder and under the Loan Documents.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9"/>
          <w:szCs w:val="19"/>
          <w:color w:val="auto"/>
        </w:rPr>
        <w:t>Section 4. Representations and Warranties. Each Grantor represents and warrants as follows as of the date hereof:</w:t>
      </w:r>
    </w:p>
    <w:p>
      <w:pPr>
        <w:spacing w:after="0" w:line="254" w:lineRule="exact"/>
        <w:rPr>
          <w:sz w:val="20"/>
          <w:szCs w:val="20"/>
          <w:color w:val="auto"/>
        </w:rPr>
      </w:pPr>
    </w:p>
    <w:p>
      <w:pPr>
        <w:jc w:val="both"/>
        <w:ind w:firstLine="1304"/>
        <w:spacing w:after="0" w:line="258" w:lineRule="auto"/>
        <w:tabs>
          <w:tab w:leader="none" w:pos="1861" w:val="left"/>
        </w:tabs>
        <w:numPr>
          <w:ilvl w:val="0"/>
          <w:numId w:val="452"/>
        </w:numPr>
        <w:rPr>
          <w:rFonts w:ascii="Arial" w:cs="Arial" w:eastAsia="Arial" w:hAnsi="Arial"/>
          <w:sz w:val="21"/>
          <w:szCs w:val="21"/>
          <w:color w:val="010000"/>
        </w:rPr>
      </w:pPr>
      <w:r>
        <w:rPr>
          <w:rFonts w:ascii="Arial" w:cs="Arial" w:eastAsia="Arial" w:hAnsi="Arial"/>
          <w:sz w:val="21"/>
          <w:szCs w:val="21"/>
          <w:color w:val="auto"/>
        </w:rPr>
        <w:t>All UCC filings necessary or reasonably requested by the Collateral Agent to create, preserve, protect and perfect the security interests granted by such Grantor to the Collateral Agent for the benefit of the Secured Parties in respect of the Collateral (other than the Account Collateral) have been accomplished by such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hereof by execution and delivery of the Account Control Agreement. Subject to any Intercreditor Agreement and any Other Intercreditor Agreement, the security interests granted to the Collateral Agent for the benefit of the Secured Parties pursuant to this SGR Security Agreement in and to the Collateral constitute and hereafter at all times shall constitute a perfected security interest therein superior and prior to the rights of all other Persons therein (subject, in the case of priority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50" w:name="page351"/>
    <w:bookmarkEnd w:id="350"/>
    <w:p>
      <w:pPr>
        <w:jc w:val="both"/>
        <w:spacing w:after="0" w:line="271" w:lineRule="auto"/>
        <w:rPr>
          <w:sz w:val="20"/>
          <w:szCs w:val="20"/>
          <w:color w:val="auto"/>
        </w:rPr>
      </w:pPr>
      <w:r>
        <w:rPr>
          <w:rFonts w:ascii="Arial" w:cs="Arial" w:eastAsia="Arial" w:hAnsi="Arial"/>
          <w:sz w:val="21"/>
          <w:szCs w:val="21"/>
          <w:color w:val="auto"/>
        </w:rPr>
        <w:t>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w:t>
      </w:r>
    </w:p>
    <w:p>
      <w:pPr>
        <w:spacing w:after="0" w:line="167" w:lineRule="exact"/>
        <w:rPr>
          <w:sz w:val="20"/>
          <w:szCs w:val="20"/>
          <w:color w:val="auto"/>
        </w:rPr>
      </w:pPr>
    </w:p>
    <w:p>
      <w:pPr>
        <w:jc w:val="both"/>
        <w:ind w:firstLine="1304"/>
        <w:spacing w:after="0" w:line="253" w:lineRule="auto"/>
        <w:tabs>
          <w:tab w:leader="none" w:pos="1963" w:val="left"/>
        </w:tabs>
        <w:numPr>
          <w:ilvl w:val="0"/>
          <w:numId w:val="453"/>
        </w:numPr>
        <w:rPr>
          <w:rFonts w:ascii="Arial" w:cs="Arial" w:eastAsia="Arial" w:hAnsi="Arial"/>
          <w:sz w:val="22"/>
          <w:szCs w:val="22"/>
          <w:color w:val="010000"/>
        </w:rPr>
      </w:pPr>
      <w:r>
        <w:rPr>
          <w:rFonts w:ascii="Arial" w:cs="Arial" w:eastAsia="Arial" w:hAnsi="Arial"/>
          <w:sz w:val="22"/>
          <w:szCs w:val="22"/>
          <w:color w:val="auto"/>
        </w:rPr>
        <w:t>There are no filings, registrations or recordings under Title 49 necessary to create, preserve, protect or perfect the security interests granted by such Grantor to the Collateral Agent for the benefit of the Secured Parties in respect of the Collateral.</w:t>
      </w:r>
    </w:p>
    <w:p>
      <w:pPr>
        <w:spacing w:after="0" w:line="185" w:lineRule="exact"/>
        <w:rPr>
          <w:rFonts w:ascii="Arial" w:cs="Arial" w:eastAsia="Arial" w:hAnsi="Arial"/>
          <w:sz w:val="22"/>
          <w:szCs w:val="22"/>
          <w:color w:val="010000"/>
        </w:rPr>
      </w:pPr>
    </w:p>
    <w:p>
      <w:pPr>
        <w:jc w:val="both"/>
        <w:ind w:firstLine="1304"/>
        <w:spacing w:after="0" w:line="253" w:lineRule="auto"/>
        <w:tabs>
          <w:tab w:leader="none" w:pos="1826" w:val="left"/>
        </w:tabs>
        <w:numPr>
          <w:ilvl w:val="0"/>
          <w:numId w:val="453"/>
        </w:numPr>
        <w:rPr>
          <w:rFonts w:ascii="Arial" w:cs="Arial" w:eastAsia="Arial" w:hAnsi="Arial"/>
          <w:sz w:val="22"/>
          <w:szCs w:val="22"/>
          <w:color w:val="010000"/>
        </w:rPr>
      </w:pPr>
      <w:r>
        <w:rPr>
          <w:rFonts w:ascii="Arial" w:cs="Arial" w:eastAsia="Arial" w:hAnsi="Arial"/>
          <w:sz w:val="22"/>
          <w:szCs w:val="22"/>
          <w:color w:val="auto"/>
        </w:rPr>
        <w:t>Such Grantor is, and as to Collateral acquired by it from time to time after the date hereof such Grantor will be, the holder of all such Collateral free from any Lien except for (1) the Lien and security interest created by this SGR Security Agreement and (2) Permitted Liens.</w:t>
      </w:r>
    </w:p>
    <w:p>
      <w:pPr>
        <w:spacing w:after="0" w:line="185" w:lineRule="exact"/>
        <w:rPr>
          <w:rFonts w:ascii="Arial" w:cs="Arial" w:eastAsia="Arial" w:hAnsi="Arial"/>
          <w:sz w:val="22"/>
          <w:szCs w:val="22"/>
          <w:color w:val="010000"/>
        </w:rPr>
      </w:pPr>
    </w:p>
    <w:p>
      <w:pPr>
        <w:jc w:val="both"/>
        <w:ind w:firstLine="1304"/>
        <w:spacing w:after="0" w:line="271" w:lineRule="auto"/>
        <w:tabs>
          <w:tab w:leader="none" w:pos="1976" w:val="left"/>
        </w:tabs>
        <w:numPr>
          <w:ilvl w:val="0"/>
          <w:numId w:val="453"/>
        </w:numPr>
        <w:rPr>
          <w:rFonts w:ascii="Arial" w:cs="Arial" w:eastAsia="Arial" w:hAnsi="Arial"/>
          <w:sz w:val="21"/>
          <w:szCs w:val="21"/>
          <w:color w:val="010000"/>
        </w:rPr>
      </w:pPr>
      <w:r>
        <w:rPr>
          <w:rFonts w:ascii="Arial" w:cs="Arial" w:eastAsia="Arial" w:hAnsi="Arial"/>
          <w:sz w:val="21"/>
          <w:szCs w:val="21"/>
          <w:color w:val="auto"/>
        </w:rPr>
        <w:t>There is no UCC financing statement (or, to the knowledge of such Grantor, any similar statement or instrument of registration of a security interest under the law of any jurisdiction) in effect on the date hereof, covering or purporting to cover any security interest in the Collateral (other than those relating to Permitted Liens).</w:t>
      </w:r>
    </w:p>
    <w:p>
      <w:pPr>
        <w:spacing w:after="0" w:line="167" w:lineRule="exact"/>
        <w:rPr>
          <w:rFonts w:ascii="Arial" w:cs="Arial" w:eastAsia="Arial" w:hAnsi="Arial"/>
          <w:sz w:val="21"/>
          <w:szCs w:val="21"/>
          <w:color w:val="010000"/>
        </w:rPr>
      </w:pPr>
    </w:p>
    <w:p>
      <w:pPr>
        <w:ind w:left="1860" w:hanging="556"/>
        <w:spacing w:after="0"/>
        <w:tabs>
          <w:tab w:leader="none" w:pos="1860" w:val="left"/>
        </w:tabs>
        <w:numPr>
          <w:ilvl w:val="0"/>
          <w:numId w:val="453"/>
        </w:numPr>
        <w:rPr>
          <w:rFonts w:ascii="Arial" w:cs="Arial" w:eastAsia="Arial" w:hAnsi="Arial"/>
          <w:sz w:val="19"/>
          <w:szCs w:val="19"/>
          <w:color w:val="010000"/>
        </w:rPr>
      </w:pPr>
      <w:r>
        <w:rPr>
          <w:rFonts w:ascii="Arial" w:cs="Arial" w:eastAsia="Arial" w:hAnsi="Arial"/>
          <w:sz w:val="19"/>
          <w:szCs w:val="19"/>
          <w:color w:val="auto"/>
        </w:rPr>
        <w:t>The chief executive office of such Grantor is located at the address listed opposite such Grantor’s name in</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01" w:lineRule="exact"/>
        <w:rPr>
          <w:rFonts w:ascii="Arial" w:cs="Arial" w:eastAsia="Arial" w:hAnsi="Arial"/>
          <w:sz w:val="19"/>
          <w:szCs w:val="19"/>
          <w:color w:val="010000"/>
        </w:rPr>
      </w:pPr>
    </w:p>
    <w:p>
      <w:pPr>
        <w:jc w:val="both"/>
        <w:ind w:firstLine="1304"/>
        <w:spacing w:after="0" w:line="289" w:lineRule="auto"/>
        <w:tabs>
          <w:tab w:leader="none" w:pos="1944" w:val="left"/>
        </w:tabs>
        <w:numPr>
          <w:ilvl w:val="0"/>
          <w:numId w:val="453"/>
        </w:numPr>
        <w:rPr>
          <w:rFonts w:ascii="Arial" w:cs="Arial" w:eastAsia="Arial" w:hAnsi="Arial"/>
          <w:sz w:val="19"/>
          <w:szCs w:val="19"/>
          <w:color w:val="010000"/>
        </w:rPr>
      </w:pPr>
      <w:r>
        <w:rPr>
          <w:rFonts w:ascii="Arial" w:cs="Arial" w:eastAsia="Arial" w:hAnsi="Arial"/>
          <w:sz w:val="19"/>
          <w:szCs w:val="19"/>
          <w:color w:val="010000"/>
        </w:rPr>
        <w:t xml:space="preserve">With respect to its </w:t>
      </w:r>
      <w:r>
        <w:rPr>
          <w:rFonts w:ascii="Arial" w:cs="Arial" w:eastAsia="Arial" w:hAnsi="Arial"/>
          <w:sz w:val="19"/>
          <w:szCs w:val="19"/>
          <w:color w:val="000000"/>
        </w:rPr>
        <w:t>Pledged Route Authorities relating to the Scheduled Services, such Grantor holds the</w:t>
      </w:r>
      <w:r>
        <w:rPr>
          <w:rFonts w:ascii="Arial" w:cs="Arial" w:eastAsia="Arial" w:hAnsi="Arial"/>
          <w:sz w:val="19"/>
          <w:szCs w:val="19"/>
          <w:color w:val="010000"/>
        </w:rPr>
        <w:t xml:space="preserve"> </w:t>
      </w:r>
      <w:r>
        <w:rPr>
          <w:rFonts w:ascii="Arial" w:cs="Arial" w:eastAsia="Arial" w:hAnsi="Arial"/>
          <w:sz w:val="19"/>
          <w:szCs w:val="19"/>
          <w:color w:val="000000"/>
        </w:rPr>
        <w:t>requisite authority to operate over such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156" w:lineRule="exact"/>
        <w:rPr>
          <w:rFonts w:ascii="Arial" w:cs="Arial" w:eastAsia="Arial" w:hAnsi="Arial"/>
          <w:sz w:val="19"/>
          <w:szCs w:val="19"/>
          <w:color w:val="010000"/>
        </w:rPr>
      </w:pPr>
    </w:p>
    <w:p>
      <w:pPr>
        <w:jc w:val="both"/>
        <w:ind w:firstLine="1304"/>
        <w:spacing w:after="0" w:line="253" w:lineRule="auto"/>
        <w:tabs>
          <w:tab w:leader="none" w:pos="1826" w:val="left"/>
        </w:tabs>
        <w:numPr>
          <w:ilvl w:val="0"/>
          <w:numId w:val="453"/>
        </w:numPr>
        <w:rPr>
          <w:rFonts w:ascii="Arial" w:cs="Arial" w:eastAsia="Arial" w:hAnsi="Arial"/>
          <w:sz w:val="22"/>
          <w:szCs w:val="22"/>
          <w:color w:val="010000"/>
        </w:rPr>
      </w:pPr>
      <w:r>
        <w:rPr>
          <w:rFonts w:ascii="Arial" w:cs="Arial" w:eastAsia="Arial" w:hAnsi="Arial"/>
          <w:sz w:val="22"/>
          <w:szCs w:val="22"/>
          <w:color w:val="auto"/>
        </w:rPr>
        <w:t xml:space="preserve">Set forth in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is a true, correct and complete list of the Slots at IATA Level 3 airports as of the last calendar week prior to the Closing Date. Set forth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is a true, correct and complete list of the Scheduled Services as of the last calendar week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51" w:name="page352"/>
    <w:bookmarkEnd w:id="351"/>
    <w:p>
      <w:pPr>
        <w:jc w:val="both"/>
        <w:ind w:firstLine="1304"/>
        <w:spacing w:after="0" w:line="247" w:lineRule="auto"/>
        <w:tabs>
          <w:tab w:leader="none" w:pos="1855" w:val="left"/>
        </w:tabs>
        <w:numPr>
          <w:ilvl w:val="0"/>
          <w:numId w:val="454"/>
        </w:numPr>
        <w:rPr>
          <w:rFonts w:ascii="Arial" w:cs="Arial" w:eastAsia="Arial" w:hAnsi="Arial"/>
          <w:sz w:val="22"/>
          <w:szCs w:val="22"/>
          <w:color w:val="010000"/>
        </w:rPr>
      </w:pPr>
      <w:r>
        <w:rPr>
          <w:rFonts w:ascii="Arial" w:cs="Arial" w:eastAsia="Arial" w:hAnsi="Arial"/>
          <w:sz w:val="22"/>
          <w:szCs w:val="22"/>
          <w:color w:val="auto"/>
        </w:rPr>
        <w:t>Such Grantor holds each of its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w:t>
      </w:r>
    </w:p>
    <w:p>
      <w:pPr>
        <w:spacing w:after="0" w:line="192" w:lineRule="exact"/>
        <w:rPr>
          <w:rFonts w:ascii="Arial" w:cs="Arial" w:eastAsia="Arial" w:hAnsi="Arial"/>
          <w:sz w:val="22"/>
          <w:szCs w:val="22"/>
          <w:color w:val="010000"/>
        </w:rPr>
      </w:pPr>
    </w:p>
    <w:p>
      <w:pPr>
        <w:jc w:val="both"/>
        <w:ind w:firstLine="1304"/>
        <w:spacing w:after="0" w:line="261" w:lineRule="auto"/>
        <w:tabs>
          <w:tab w:leader="none" w:pos="1945" w:val="left"/>
        </w:tabs>
        <w:numPr>
          <w:ilvl w:val="0"/>
          <w:numId w:val="454"/>
        </w:numPr>
        <w:rPr>
          <w:rFonts w:ascii="Arial" w:cs="Arial" w:eastAsia="Arial" w:hAnsi="Arial"/>
          <w:sz w:val="21"/>
          <w:szCs w:val="21"/>
          <w:color w:val="010000"/>
        </w:rPr>
      </w:pPr>
      <w:r>
        <w:rPr>
          <w:rFonts w:ascii="Arial" w:cs="Arial" w:eastAsia="Arial" w:hAnsi="Arial"/>
          <w:sz w:val="21"/>
          <w:szCs w:val="21"/>
          <w:color w:val="auto"/>
        </w:rPr>
        <w:t>Such Grantor holds each of its Pledged Foreign Gate Leaseholds pursuant to authority granted by the applicable Airport Authority or Foreign Aviation Authority, and there exists no material violation by such Grantor of the regulations, terms, conditions or limitations of the relevant Airport Authority or Foreign Aviation Authority applicable to any such Pledged Foreign Gate Leasehold or any provision of law applicable to any such Pledged Foreign Gate Leasehold that gives any applicable Airport Authority or Foreign Aviation Authority the right to modify in any material respect, terminate, cancel or withdraw the rights of such Grantor in any such Pledged Foreign Gate Leasehold.</w:t>
      </w:r>
    </w:p>
    <w:p>
      <w:pPr>
        <w:spacing w:after="0" w:line="179" w:lineRule="exact"/>
        <w:rPr>
          <w:rFonts w:ascii="Arial" w:cs="Arial" w:eastAsia="Arial" w:hAnsi="Arial"/>
          <w:sz w:val="21"/>
          <w:szCs w:val="21"/>
          <w:color w:val="010000"/>
        </w:rPr>
      </w:pPr>
    </w:p>
    <w:p>
      <w:pPr>
        <w:jc w:val="both"/>
        <w:ind w:firstLine="1304"/>
        <w:spacing w:after="0" w:line="294" w:lineRule="auto"/>
        <w:tabs>
          <w:tab w:leader="none" w:pos="1863" w:val="left"/>
        </w:tabs>
        <w:numPr>
          <w:ilvl w:val="0"/>
          <w:numId w:val="454"/>
        </w:numPr>
        <w:rPr>
          <w:rFonts w:ascii="Arial" w:cs="Arial" w:eastAsia="Arial" w:hAnsi="Arial"/>
          <w:sz w:val="19"/>
          <w:szCs w:val="19"/>
          <w:color w:val="010000"/>
        </w:rPr>
      </w:pPr>
      <w:r>
        <w:rPr>
          <w:rFonts w:ascii="Arial" w:cs="Arial" w:eastAsia="Arial" w:hAnsi="Arial"/>
          <w:sz w:val="19"/>
          <w:szCs w:val="19"/>
          <w:color w:val="auto"/>
        </w:rPr>
        <w:t>Such Grantor is an “air carrier” within the meaning of Section 40102 of Title 49 and holds or co-holds a certificate under Section 41102 of Title 49. Such Grantor holds or co-holds an air carrier operating certificate issued pursuant to Chapter 447 of Title 49. Such Grantor is a United States Citizen. Such Grantor 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149" w:lineRule="exact"/>
        <w:rPr>
          <w:rFonts w:ascii="Arial" w:cs="Arial" w:eastAsia="Arial" w:hAnsi="Arial"/>
          <w:sz w:val="19"/>
          <w:szCs w:val="19"/>
          <w:color w:val="010000"/>
        </w:rPr>
      </w:pPr>
    </w:p>
    <w:p>
      <w:pPr>
        <w:ind w:firstLine="1304"/>
        <w:spacing w:after="0" w:line="263" w:lineRule="auto"/>
        <w:tabs>
          <w:tab w:leader="none" w:pos="1859" w:val="left"/>
        </w:tabs>
        <w:numPr>
          <w:ilvl w:val="0"/>
          <w:numId w:val="454"/>
        </w:numPr>
        <w:rPr>
          <w:rFonts w:ascii="Arial" w:cs="Arial" w:eastAsia="Arial" w:hAnsi="Arial"/>
          <w:sz w:val="22"/>
          <w:szCs w:val="22"/>
          <w:color w:val="010000"/>
        </w:rPr>
      </w:pPr>
      <w:r>
        <w:rPr>
          <w:rFonts w:ascii="Arial" w:cs="Arial" w:eastAsia="Arial" w:hAnsi="Arial"/>
          <w:sz w:val="22"/>
          <w:szCs w:val="22"/>
          <w:color w:val="auto"/>
        </w:rPr>
        <w:t>Such Grantor has full corporate power and authority and legal right to pledge all of the Collateral pursuant to, and as provided in, this SGR Security Agreement.</w:t>
      </w:r>
    </w:p>
    <w:p>
      <w:pPr>
        <w:spacing w:after="0" w:line="174" w:lineRule="exact"/>
        <w:rPr>
          <w:rFonts w:ascii="Arial" w:cs="Arial" w:eastAsia="Arial" w:hAnsi="Arial"/>
          <w:sz w:val="22"/>
          <w:szCs w:val="22"/>
          <w:color w:val="010000"/>
        </w:rPr>
      </w:pPr>
    </w:p>
    <w:p>
      <w:pPr>
        <w:jc w:val="both"/>
        <w:ind w:firstLine="1304"/>
        <w:spacing w:after="0" w:line="259" w:lineRule="auto"/>
        <w:tabs>
          <w:tab w:leader="none" w:pos="1843" w:val="left"/>
        </w:tabs>
        <w:numPr>
          <w:ilvl w:val="0"/>
          <w:numId w:val="454"/>
        </w:numPr>
        <w:rPr>
          <w:rFonts w:ascii="Arial" w:cs="Arial" w:eastAsia="Arial" w:hAnsi="Arial"/>
          <w:sz w:val="21"/>
          <w:szCs w:val="21"/>
          <w:color w:val="010000"/>
        </w:rPr>
      </w:pPr>
      <w:r>
        <w:rPr>
          <w:rFonts w:ascii="Arial" w:cs="Arial" w:eastAsia="Arial" w:hAnsi="Arial"/>
          <w:sz w:val="21"/>
          <w:szCs w:val="21"/>
          <w:color w:val="auto"/>
        </w:rPr>
        <w:t xml:space="preserve">Except for any Transfer Restriction, the execution, delivery and performance by such Grantor of this SGR Security Agreement do not require the consent, authorization by or approval of or notice to or filing or registration with any Governmental Authority or any other Person, other than ( </w:t>
      </w:r>
      <w:r>
        <w:rPr>
          <w:rFonts w:ascii="Arial" w:cs="Arial" w:eastAsia="Arial" w:hAnsi="Arial"/>
          <w:sz w:val="21"/>
          <w:szCs w:val="21"/>
          <w:u w:val="single" w:color="auto"/>
          <w:color w:val="auto"/>
        </w:rPr>
        <w:t>i</w:t>
      </w:r>
      <w:r>
        <w:rPr>
          <w:rFonts w:ascii="Arial" w:cs="Arial" w:eastAsia="Arial" w:hAnsi="Arial"/>
          <w:sz w:val="21"/>
          <w:szCs w:val="21"/>
          <w:color w:val="auto"/>
        </w:rPr>
        <w:t xml:space="preserve"> ) the filing of financing statements under the UCC or any continuation statement required or contemplated to be filed hereby, (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 such as may be required in order to perfect and register the security interests and liens purported to be created by this SGR Security Agreement, (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 approvals, consents and exemptions that have been obtained on or prior to the Closing Date and remain in full force and effect, ( </w:t>
      </w:r>
      <w:r>
        <w:rPr>
          <w:rFonts w:ascii="Arial" w:cs="Arial" w:eastAsia="Arial" w:hAnsi="Arial"/>
          <w:sz w:val="21"/>
          <w:szCs w:val="21"/>
          <w:u w:val="single" w:color="auto"/>
          <w:color w:val="auto"/>
        </w:rPr>
        <w:t>iv</w:t>
      </w:r>
      <w:r>
        <w:rPr>
          <w:rFonts w:ascii="Arial" w:cs="Arial" w:eastAsia="Arial" w:hAnsi="Arial"/>
          <w:sz w:val="21"/>
          <w:szCs w:val="21"/>
          <w:color w:val="auto"/>
        </w:rPr>
        <w:t xml:space="preserve"> ) consents, approvals and exemptions that the failure to obtain in the aggregate would not be reasonably expected to result in a Material Adverse Effect and ( </w:t>
      </w:r>
      <w:r>
        <w:rPr>
          <w:rFonts w:ascii="Arial" w:cs="Arial" w:eastAsia="Arial" w:hAnsi="Arial"/>
          <w:sz w:val="21"/>
          <w:szCs w:val="21"/>
          <w:u w:val="single" w:color="auto"/>
          <w:color w:val="auto"/>
        </w:rPr>
        <w:t>v</w:t>
      </w:r>
      <w:r>
        <w:rPr>
          <w:rFonts w:ascii="Arial" w:cs="Arial" w:eastAsia="Arial" w:hAnsi="Arial"/>
          <w:sz w:val="21"/>
          <w:szCs w:val="21"/>
          <w:color w:val="auto"/>
        </w:rPr>
        <w:t xml:space="preserve"> ) routine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52" w:name="page353"/>
    <w:bookmarkEnd w:id="352"/>
    <w:p>
      <w:pPr>
        <w:ind w:firstLine="1304"/>
        <w:spacing w:after="0" w:line="263" w:lineRule="auto"/>
        <w:tabs>
          <w:tab w:leader="none" w:pos="1908" w:val="left"/>
        </w:tabs>
        <w:numPr>
          <w:ilvl w:val="0"/>
          <w:numId w:val="455"/>
        </w:numPr>
        <w:rPr>
          <w:rFonts w:ascii="Arial" w:cs="Arial" w:eastAsia="Arial" w:hAnsi="Arial"/>
          <w:sz w:val="22"/>
          <w:szCs w:val="22"/>
          <w:color w:val="010000"/>
        </w:rPr>
      </w:pPr>
      <w:r>
        <w:rPr>
          <w:rFonts w:ascii="Arial" w:cs="Arial" w:eastAsia="Arial" w:hAnsi="Arial"/>
          <w:sz w:val="22"/>
          <w:szCs w:val="22"/>
          <w:color w:val="auto"/>
        </w:rPr>
        <w:t>This SGR Security Agreement is made with full recourse to such Grantor and pursuant to and upon all the warranties, representations, covenants and agreements on the part of such Grantor contained herein.</w:t>
      </w:r>
    </w:p>
    <w:p>
      <w:pPr>
        <w:spacing w:after="0" w:line="215" w:lineRule="exact"/>
        <w:rPr>
          <w:sz w:val="20"/>
          <w:szCs w:val="20"/>
          <w:color w:val="auto"/>
        </w:rPr>
      </w:pPr>
    </w:p>
    <w:p>
      <w:pPr>
        <w:ind w:left="1960" w:hanging="971"/>
        <w:spacing w:after="0" w:line="263" w:lineRule="auto"/>
        <w:rPr>
          <w:sz w:val="20"/>
          <w:szCs w:val="20"/>
          <w:color w:val="auto"/>
        </w:rPr>
      </w:pPr>
      <w:r>
        <w:rPr>
          <w:rFonts w:ascii="Arial" w:cs="Arial" w:eastAsia="Arial" w:hAnsi="Arial"/>
          <w:sz w:val="22"/>
          <w:szCs w:val="22"/>
          <w:color w:val="auto"/>
        </w:rPr>
        <w:t>Section 5. Covenants. Each Grantor covenants and agrees with the Collateral Agent that so long as this SGR Security Agreement is in effect:</w:t>
      </w:r>
    </w:p>
    <w:p>
      <w:pPr>
        <w:spacing w:after="0" w:line="175" w:lineRule="exact"/>
        <w:rPr>
          <w:sz w:val="20"/>
          <w:szCs w:val="20"/>
          <w:color w:val="auto"/>
        </w:rPr>
      </w:pPr>
    </w:p>
    <w:p>
      <w:pPr>
        <w:jc w:val="both"/>
        <w:ind w:firstLine="1304"/>
        <w:spacing w:after="0" w:line="302" w:lineRule="auto"/>
        <w:tabs>
          <w:tab w:leader="none" w:pos="1860" w:val="left"/>
        </w:tabs>
        <w:numPr>
          <w:ilvl w:val="0"/>
          <w:numId w:val="456"/>
        </w:numPr>
        <w:rPr>
          <w:rFonts w:ascii="Arial" w:cs="Arial" w:eastAsia="Arial" w:hAnsi="Arial"/>
          <w:sz w:val="19"/>
          <w:szCs w:val="19"/>
          <w:color w:val="010000"/>
        </w:rPr>
      </w:pPr>
      <w:r>
        <w:rPr>
          <w:rFonts w:ascii="Arial" w:cs="Arial" w:eastAsia="Arial" w:hAnsi="Arial"/>
          <w:sz w:val="19"/>
          <w:szCs w:val="19"/>
          <w:color w:val="auto"/>
        </w:rPr>
        <w:t xml:space="preserve">Such Grantor shall use commercially reasonable efforts to defend the Collateral against any and all claims and demands of all Persons at any time claiming any interest therein adverse to the Collateral Agent or any Secured Party (other than Permitted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such Grantor’s only obligations with respect to any Transfer Restriction described in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of the first proviso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be as stated in the second proviso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w:t>
      </w:r>
    </w:p>
    <w:p>
      <w:pPr>
        <w:spacing w:after="0" w:line="142" w:lineRule="exact"/>
        <w:rPr>
          <w:rFonts w:ascii="Arial" w:cs="Arial" w:eastAsia="Arial" w:hAnsi="Arial"/>
          <w:sz w:val="19"/>
          <w:szCs w:val="19"/>
          <w:color w:val="010000"/>
        </w:rPr>
      </w:pPr>
    </w:p>
    <w:p>
      <w:pPr>
        <w:jc w:val="both"/>
        <w:ind w:firstLine="1304"/>
        <w:spacing w:after="0" w:line="248" w:lineRule="auto"/>
        <w:tabs>
          <w:tab w:leader="none" w:pos="1830" w:val="left"/>
        </w:tabs>
        <w:numPr>
          <w:ilvl w:val="0"/>
          <w:numId w:val="456"/>
        </w:numPr>
        <w:rPr>
          <w:rFonts w:ascii="Arial" w:cs="Arial" w:eastAsia="Arial" w:hAnsi="Arial"/>
          <w:sz w:val="22"/>
          <w:szCs w:val="22"/>
          <w:color w:val="010000"/>
        </w:rPr>
      </w:pPr>
      <w:r>
        <w:rPr>
          <w:rFonts w:ascii="Arial" w:cs="Arial" w:eastAsia="Arial" w:hAnsi="Arial"/>
          <w:sz w:val="22"/>
          <w:szCs w:val="22"/>
          <w:color w:val="auto"/>
        </w:rPr>
        <w:t>Such Grantor shall not execute or authorize to be filed in any public office any UCC financing statement (or similar statement or instrument of registration of a security interest under the law of any jurisdiction) relating to the Collateral, except UCC financing statements (or similar statements or instruments of registration of a security interest under the law of any jurisdiction) filed or to be filed in respect of and covering the security interests granted hereby by such Grantor and except with respect to Permitted Liens.</w:t>
      </w:r>
    </w:p>
    <w:p>
      <w:pPr>
        <w:spacing w:after="0" w:line="191" w:lineRule="exact"/>
        <w:rPr>
          <w:rFonts w:ascii="Arial" w:cs="Arial" w:eastAsia="Arial" w:hAnsi="Arial"/>
          <w:sz w:val="22"/>
          <w:szCs w:val="22"/>
          <w:color w:val="010000"/>
        </w:rPr>
      </w:pPr>
    </w:p>
    <w:p>
      <w:pPr>
        <w:jc w:val="both"/>
        <w:ind w:firstLine="1304"/>
        <w:spacing w:after="0" w:line="259" w:lineRule="auto"/>
        <w:tabs>
          <w:tab w:leader="none" w:pos="1817" w:val="left"/>
        </w:tabs>
        <w:numPr>
          <w:ilvl w:val="0"/>
          <w:numId w:val="456"/>
        </w:numPr>
        <w:rPr>
          <w:rFonts w:ascii="Arial" w:cs="Arial" w:eastAsia="Arial" w:hAnsi="Arial"/>
          <w:sz w:val="21"/>
          <w:szCs w:val="21"/>
          <w:color w:val="010000"/>
        </w:rPr>
      </w:pPr>
      <w:r>
        <w:rPr>
          <w:rFonts w:ascii="Arial" w:cs="Arial" w:eastAsia="Arial" w:hAnsi="Arial"/>
          <w:sz w:val="21"/>
          <w:szCs w:val="21"/>
          <w:color w:val="auto"/>
        </w:rPr>
        <w:t xml:space="preserve">Such Grantor shall give to the Collateral Agent timely written notice (but in any event not later than 30 days prior to the expiration of the period of time specified under applicable law to prevent lapse of perfection) of any ( </w:t>
      </w:r>
      <w:r>
        <w:rPr>
          <w:rFonts w:ascii="Arial" w:cs="Arial" w:eastAsia="Arial" w:hAnsi="Arial"/>
          <w:sz w:val="21"/>
          <w:szCs w:val="21"/>
          <w:u w:val="single" w:color="auto"/>
          <w:color w:val="auto"/>
        </w:rPr>
        <w:t>i</w:t>
      </w:r>
      <w:r>
        <w:rPr>
          <w:rFonts w:ascii="Arial" w:cs="Arial" w:eastAsia="Arial" w:hAnsi="Arial"/>
          <w:sz w:val="21"/>
          <w:szCs w:val="21"/>
          <w:color w:val="auto"/>
        </w:rPr>
        <w:t xml:space="preserve"> ) change in its jurisdiction of incorporation, or (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 change in its name, identity or corporate or other organizational structure to such an extent that any UCC financing statement filed by the Collateral Agent in connection with this SGR Security Agreement would become seriously misleading; and such Grantor shall, in each case, provide such other information in connection therewith as the Collateral Agent may reasonably request and shall make all filings under the UCC reasonably requested by the Collateral Agent to maintain the perfection and priority of the security interests of the Collateral Agent on behalf of the Secured Parties in the Collateral intended to be granted hereby.</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6. Supplements, Further Assurances.</w:t>
      </w:r>
    </w:p>
    <w:p>
      <w:pPr>
        <w:spacing w:after="0" w:line="220" w:lineRule="exact"/>
        <w:rPr>
          <w:sz w:val="20"/>
          <w:szCs w:val="20"/>
          <w:color w:val="auto"/>
        </w:rPr>
      </w:pPr>
    </w:p>
    <w:p>
      <w:pPr>
        <w:jc w:val="both"/>
        <w:ind w:firstLine="656"/>
        <w:spacing w:after="0" w:line="247" w:lineRule="auto"/>
        <w:tabs>
          <w:tab w:leader="none" w:pos="1179" w:val="left"/>
        </w:tabs>
        <w:numPr>
          <w:ilvl w:val="0"/>
          <w:numId w:val="457"/>
        </w:numPr>
        <w:rPr>
          <w:rFonts w:ascii="Arial" w:cs="Arial" w:eastAsia="Arial" w:hAnsi="Arial"/>
          <w:sz w:val="22"/>
          <w:szCs w:val="22"/>
          <w:color w:val="010000"/>
        </w:rPr>
      </w:pPr>
      <w:r>
        <w:rPr>
          <w:rFonts w:ascii="Arial" w:cs="Arial" w:eastAsia="Arial" w:hAnsi="Arial"/>
          <w:sz w:val="22"/>
          <w:szCs w:val="22"/>
          <w:color w:val="auto"/>
        </w:rPr>
        <w:t xml:space="preserve">Any Grantor may, at any time and from time to time, execute and deliver to the Collateral Agent, and upon receipt the Collateral Agent shall execute and deliver, a supplement to this SGR Security Agreement in substantially the form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hereto (each such supplement, an “ </w:t>
      </w:r>
      <w:r>
        <w:rPr>
          <w:rFonts w:ascii="Arial" w:cs="Arial" w:eastAsia="Arial" w:hAnsi="Arial"/>
          <w:sz w:val="22"/>
          <w:szCs w:val="22"/>
          <w:u w:val="single" w:color="auto"/>
          <w:color w:val="auto"/>
        </w:rPr>
        <w:t>SGR Security Agreement Supplement</w:t>
      </w:r>
      <w:r>
        <w:rPr>
          <w:rFonts w:ascii="Arial" w:cs="Arial" w:eastAsia="Arial" w:hAnsi="Arial"/>
          <w:sz w:val="22"/>
          <w:szCs w:val="22"/>
          <w:color w:val="auto"/>
        </w:rPr>
        <w:t xml:space="preserve"> ”) designating any non-stop scheduled air carrier service being operated by such Grantor at such time (each, a “ </w:t>
      </w:r>
      <w:r>
        <w:rPr>
          <w:rFonts w:ascii="Arial" w:cs="Arial" w:eastAsia="Arial" w:hAnsi="Arial"/>
          <w:sz w:val="22"/>
          <w:szCs w:val="22"/>
          <w:u w:val="single" w:color="auto"/>
          <w:color w:val="auto"/>
        </w:rPr>
        <w:t>Designated Service</w:t>
      </w:r>
      <w:r>
        <w:rPr>
          <w:rFonts w:ascii="Arial" w:cs="Arial" w:eastAsia="Arial" w:hAnsi="Arial"/>
          <w:sz w:val="22"/>
          <w:szCs w:val="22"/>
          <w:color w:val="auto"/>
        </w:rPr>
        <w:t xml:space="preserve"> ”) as an additional Scheduled Service, identifying one or more airports (or if applicable, designating airports within a particular region) outside the United States that is an origin and/or destination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53" w:name="page354"/>
    <w:bookmarkEnd w:id="353"/>
    <w:p>
      <w:pPr>
        <w:jc w:val="both"/>
        <w:spacing w:after="0" w:line="248" w:lineRule="auto"/>
        <w:rPr>
          <w:sz w:val="20"/>
          <w:szCs w:val="20"/>
          <w:color w:val="auto"/>
        </w:rPr>
      </w:pPr>
      <w:r>
        <w:rPr>
          <w:rFonts w:ascii="Arial" w:cs="Arial" w:eastAsia="Arial" w:hAnsi="Arial"/>
          <w:sz w:val="22"/>
          <w:szCs w:val="22"/>
          <w:color w:val="auto"/>
        </w:rPr>
        <w:t xml:space="preserve">point for such Designated Service and, if applicable, identifying one or more route authorities to operate such Designated Service as an additional Route Authority. Upon the execution and delivery of such SGR Security Agreement Supplement, ( </w:t>
      </w:r>
      <w:r>
        <w:rPr>
          <w:rFonts w:ascii="Arial" w:cs="Arial" w:eastAsia="Arial" w:hAnsi="Arial"/>
          <w:sz w:val="22"/>
          <w:szCs w:val="22"/>
          <w:u w:val="single" w:color="auto"/>
          <w:color w:val="auto"/>
        </w:rPr>
        <w:t>i</w:t>
      </w:r>
      <w:r>
        <w:rPr>
          <w:rFonts w:ascii="Arial" w:cs="Arial" w:eastAsia="Arial" w:hAnsi="Arial"/>
          <w:sz w:val="22"/>
          <w:szCs w:val="22"/>
          <w:color w:val="auto"/>
        </w:rPr>
        <w:t xml:space="preserve"> ) each such Designated Service shall be included in the definition of “Scheduled Services”, (ii) each such route authority shall be included in the definition of “Route Authorities” and (iii) the Additional Collateral (as defined in such SGR Security Agreement Supplement) shall be Collateral hereunder.</w:t>
      </w:r>
    </w:p>
    <w:p>
      <w:pPr>
        <w:spacing w:after="0" w:line="192" w:lineRule="exact"/>
        <w:rPr>
          <w:sz w:val="20"/>
          <w:szCs w:val="20"/>
          <w:color w:val="auto"/>
        </w:rPr>
      </w:pPr>
    </w:p>
    <w:p>
      <w:pPr>
        <w:jc w:val="both"/>
        <w:ind w:firstLine="656"/>
        <w:spacing w:after="0" w:line="294" w:lineRule="auto"/>
        <w:tabs>
          <w:tab w:leader="none" w:pos="1177" w:val="left"/>
        </w:tabs>
        <w:numPr>
          <w:ilvl w:val="0"/>
          <w:numId w:val="458"/>
        </w:numPr>
        <w:rPr>
          <w:rFonts w:ascii="Arial" w:cs="Arial" w:eastAsia="Arial" w:hAnsi="Arial"/>
          <w:sz w:val="19"/>
          <w:szCs w:val="19"/>
          <w:color w:val="010000"/>
        </w:rPr>
      </w:pPr>
      <w:r>
        <w:rPr>
          <w:rFonts w:ascii="Arial" w:cs="Arial" w:eastAsia="Arial" w:hAnsi="Arial"/>
          <w:sz w:val="19"/>
          <w:szCs w:val="19"/>
          <w:color w:val="auto"/>
        </w:rPr>
        <w:t xml:space="preserve">Each Grantor agrees that at any time and from time to time, upon the reasonable request of the Collateral Agent and at the reasonable expense of such Grantor, such Grantor will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take, or cause to be taken, such action with respect to the due and timely recording, filing, re-recording and re-filing of any financing statements and any continuation statements under the UCC as are necessary to maintain the perfection of any security interest granted or purported to be granted or intended to be granted hereby, subject, in each case, to Permitted Liens, or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furnish the Collateral Agent with such financing statements and continuation statements, as may be required to enable the Collateral Agent to take such action.</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7. Provisions Concerning Collateral.</w:t>
      </w:r>
    </w:p>
    <w:p>
      <w:pPr>
        <w:spacing w:after="0" w:line="220" w:lineRule="exact"/>
        <w:rPr>
          <w:sz w:val="20"/>
          <w:szCs w:val="20"/>
          <w:color w:val="auto"/>
        </w:rPr>
      </w:pPr>
    </w:p>
    <w:p>
      <w:pPr>
        <w:jc w:val="both"/>
        <w:ind w:firstLine="1304"/>
        <w:spacing w:after="0" w:line="286" w:lineRule="auto"/>
        <w:tabs>
          <w:tab w:leader="none" w:pos="1968" w:val="left"/>
        </w:tabs>
        <w:numPr>
          <w:ilvl w:val="0"/>
          <w:numId w:val="459"/>
        </w:numPr>
        <w:rPr>
          <w:rFonts w:ascii="Arial" w:cs="Arial" w:eastAsia="Arial" w:hAnsi="Arial"/>
          <w:sz w:val="19"/>
          <w:szCs w:val="19"/>
          <w:color w:val="010000"/>
        </w:rPr>
      </w:pPr>
      <w:r>
        <w:rPr>
          <w:rFonts w:ascii="Arial" w:cs="Arial" w:eastAsia="Arial" w:hAnsi="Arial"/>
          <w:sz w:val="19"/>
          <w:szCs w:val="19"/>
          <w:u w:val="single" w:color="auto"/>
          <w:color w:val="auto"/>
        </w:rPr>
        <w:t>UCC Financing Statements</w:t>
      </w:r>
      <w:r>
        <w:rPr>
          <w:rFonts w:ascii="Arial" w:cs="Arial" w:eastAsia="Arial" w:hAnsi="Arial"/>
          <w:sz w:val="19"/>
          <w:szCs w:val="19"/>
          <w:color w:val="auto"/>
        </w:rPr>
        <w:t xml:space="preserve"> . Each Grantor hereby authorizes the Collateral Agent, at any time and from time to time, to file or record such UCC financing statements which reasonably describe the Collateral and amendments thereto, in the form provided to it by such Grantor, as may from time to time be required or necessary to grant, continue and maintain a valid, enforceable, first priority security interest in the Collateral as provided herein, subject to Permitted Liens (to the extent such perfection and priority can be obtained by filing a UCC financing statement), all in accordance with the UCC. Each Grantor shall pay any applicable filing fees and other reasonable out-of-pocket expenses related to the filing of such UCC financing statements and amendments thereto. The Collateral Agent hereby authorizes each Grantor to file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UCC financing statements and amendments to UCC financing statements filed on or prior to the date hereof in each case adding Collateral pursuant to an SGR Security Agreement Supplement and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continuation statements of any UCC financing statement naming the Collateral Agent, as secured party, and such Grantor, as debtor, in each case filed pursuant to the terms of this SGR Security Agreement, any SGR Security Agreement Supplement and the other Loan Documents. Notwithstanding the foregoing and for the avoidance of doubt, no Grantor shall be responsible for the filing of any continuation statements of any UCC financing statements referred to herein unless such filing is requested by, and expressly authorized by,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54" w:name="page355"/>
    <w:bookmarkEnd w:id="354"/>
    <w:p>
      <w:pPr>
        <w:jc w:val="both"/>
        <w:ind w:firstLine="1304"/>
        <w:spacing w:after="0" w:line="259" w:lineRule="exact"/>
        <w:tabs>
          <w:tab w:leader="none" w:pos="1872" w:val="left"/>
        </w:tabs>
        <w:numPr>
          <w:ilvl w:val="0"/>
          <w:numId w:val="460"/>
        </w:numPr>
        <w:rPr>
          <w:rFonts w:ascii="Arial" w:cs="Arial" w:eastAsia="Arial" w:hAnsi="Arial"/>
          <w:sz w:val="19"/>
          <w:szCs w:val="19"/>
          <w:color w:val="010000"/>
        </w:rPr>
      </w:pPr>
      <w:r>
        <w:rPr>
          <w:rFonts w:ascii="Arial" w:cs="Arial" w:eastAsia="Arial" w:hAnsi="Arial"/>
          <w:sz w:val="19"/>
          <w:szCs w:val="19"/>
          <w:u w:val="single" w:color="auto"/>
          <w:color w:val="auto"/>
        </w:rPr>
        <w:t>Compliance with Laws and Regulations</w:t>
      </w:r>
      <w:r>
        <w:rPr>
          <w:rFonts w:ascii="Arial" w:cs="Arial" w:eastAsia="Arial" w:hAnsi="Arial"/>
          <w:sz w:val="19"/>
          <w:szCs w:val="19"/>
          <w:color w:val="auto"/>
        </w:rPr>
        <w:t xml:space="preserve"> . Except for matters that would not reasonably be expected to result in a Material Adverse Effect, each Grantor shall comply with all laws, ordinances, orders, rules, regulations, and requirements of all federal, state, municipal or other governmental or quasi-governmental authorities or bodies including, without limitation, Foreign Aviation Authorities, then applicable to the Collateral (or any part thereof) and/or the use thereof by such Grantor, of every nature and kind (the “ </w:t>
      </w:r>
      <w:r>
        <w:rPr>
          <w:rFonts w:ascii="Arial" w:cs="Arial" w:eastAsia="Arial" w:hAnsi="Arial"/>
          <w:sz w:val="19"/>
          <w:szCs w:val="19"/>
          <w:u w:val="single" w:color="auto"/>
          <w:color w:val="auto"/>
        </w:rPr>
        <w:t>Requirements</w:t>
      </w:r>
      <w:r>
        <w:rPr>
          <w:rFonts w:ascii="Arial" w:cs="Arial" w:eastAsia="Arial" w:hAnsi="Arial"/>
          <w:sz w:val="19"/>
          <w:szCs w:val="19"/>
          <w:color w:val="auto"/>
        </w:rPr>
        <w:t xml:space="preserve"> ”), whether or not such Requirements shall now exist or shall hereafter be enacted or promulgated and whether or not the same may be said to be within the present contemplation of the parties hereto. Notwithstanding the foregoing, if any Grantor in good faith contests a Requirement, it shall not be obligated to comply with such Requirement to the extent such non</w:t>
      </w:r>
      <w:r>
        <w:rPr>
          <w:rFonts w:ascii="MS PGothic" w:cs="MS PGothic" w:eastAsia="MS PGothic" w:hAnsi="MS PGothic"/>
          <w:sz w:val="19"/>
          <w:szCs w:val="19"/>
          <w:color w:val="auto"/>
        </w:rPr>
        <w:t>‑</w:t>
      </w:r>
      <w:r>
        <w:rPr>
          <w:rFonts w:ascii="Arial" w:cs="Arial" w:eastAsia="Arial" w:hAnsi="Arial"/>
          <w:sz w:val="19"/>
          <w:szCs w:val="19"/>
          <w:color w:val="auto"/>
        </w:rPr>
        <w:t>compliance or deferral is consistent with law and does not have a Material Adverse Effect.</w:t>
      </w:r>
    </w:p>
    <w:p>
      <w:pPr>
        <w:spacing w:after="0" w:line="199" w:lineRule="exact"/>
        <w:rPr>
          <w:rFonts w:ascii="Arial" w:cs="Arial" w:eastAsia="Arial" w:hAnsi="Arial"/>
          <w:sz w:val="19"/>
          <w:szCs w:val="19"/>
          <w:color w:val="010000"/>
        </w:rPr>
      </w:pPr>
    </w:p>
    <w:p>
      <w:pPr>
        <w:jc w:val="both"/>
        <w:ind w:firstLine="1304"/>
        <w:spacing w:after="0" w:line="250" w:lineRule="auto"/>
        <w:tabs>
          <w:tab w:leader="none" w:pos="1995" w:val="left"/>
        </w:tabs>
        <w:numPr>
          <w:ilvl w:val="0"/>
          <w:numId w:val="460"/>
        </w:numPr>
        <w:rPr>
          <w:rFonts w:ascii="Arial" w:cs="Arial" w:eastAsia="Arial" w:hAnsi="Arial"/>
          <w:sz w:val="22"/>
          <w:szCs w:val="22"/>
          <w:color w:val="010000"/>
        </w:rPr>
      </w:pPr>
      <w:r>
        <w:rPr>
          <w:rFonts w:ascii="Arial" w:cs="Arial" w:eastAsia="Arial" w:hAnsi="Arial"/>
          <w:sz w:val="22"/>
          <w:szCs w:val="22"/>
          <w:u w:val="single" w:color="auto"/>
          <w:color w:val="auto"/>
        </w:rPr>
        <w:t>Notice of Violations</w:t>
      </w:r>
      <w:r>
        <w:rPr>
          <w:rFonts w:ascii="Arial" w:cs="Arial" w:eastAsia="Arial" w:hAnsi="Arial"/>
          <w:sz w:val="22"/>
          <w:szCs w:val="22"/>
          <w:color w:val="auto"/>
        </w:rPr>
        <w:t xml:space="preserve"> . Each Grantor agrees to give the Collateral Agent notice of any violations of any Requirement with respect to the Collateral or such Grantors’ use thereof that may reasonably be expected to have a Material Adverse Effect within fifteen (15) Business Days after a Responsible Officer of such Grantor obtains knowledge of such violation.</w:t>
      </w:r>
    </w:p>
    <w:p>
      <w:pPr>
        <w:spacing w:after="0" w:line="187" w:lineRule="exact"/>
        <w:rPr>
          <w:rFonts w:ascii="Arial" w:cs="Arial" w:eastAsia="Arial" w:hAnsi="Arial"/>
          <w:sz w:val="22"/>
          <w:szCs w:val="22"/>
          <w:color w:val="010000"/>
        </w:rPr>
      </w:pPr>
    </w:p>
    <w:p>
      <w:pPr>
        <w:jc w:val="both"/>
        <w:ind w:firstLine="1304"/>
        <w:spacing w:after="0" w:line="253" w:lineRule="auto"/>
        <w:tabs>
          <w:tab w:leader="none" w:pos="2074" w:val="left"/>
        </w:tabs>
        <w:numPr>
          <w:ilvl w:val="0"/>
          <w:numId w:val="460"/>
        </w:numPr>
        <w:rPr>
          <w:rFonts w:ascii="Arial" w:cs="Arial" w:eastAsia="Arial" w:hAnsi="Arial"/>
          <w:sz w:val="22"/>
          <w:szCs w:val="22"/>
          <w:color w:val="010000"/>
        </w:rPr>
      </w:pPr>
      <w:r>
        <w:rPr>
          <w:rFonts w:ascii="Arial" w:cs="Arial" w:eastAsia="Arial" w:hAnsi="Arial"/>
          <w:sz w:val="22"/>
          <w:szCs w:val="22"/>
          <w:u w:val="single" w:color="auto"/>
          <w:color w:val="auto"/>
        </w:rPr>
        <w:t>Disposition of Collateral</w:t>
      </w:r>
      <w:r>
        <w:rPr>
          <w:rFonts w:ascii="Arial" w:cs="Arial" w:eastAsia="Arial" w:hAnsi="Arial"/>
          <w:sz w:val="22"/>
          <w:szCs w:val="22"/>
          <w:color w:val="auto"/>
        </w:rPr>
        <w:t xml:space="preserve"> . Any or all of the Collateral may be sold, leased, conveyed, transferred or otherwise disposed of by any Grantor, subject to the terms of the Credit Agreement and each applicable Intercreditor Agreement and Other Intercreditor Agreement.</w:t>
      </w:r>
    </w:p>
    <w:p>
      <w:pPr>
        <w:spacing w:after="0" w:line="226" w:lineRule="exact"/>
        <w:rPr>
          <w:sz w:val="20"/>
          <w:szCs w:val="20"/>
          <w:color w:val="auto"/>
        </w:rPr>
      </w:pPr>
    </w:p>
    <w:p>
      <w:pPr>
        <w:jc w:val="both"/>
        <w:ind w:left="1960" w:hanging="971"/>
        <w:spacing w:after="0" w:line="292" w:lineRule="auto"/>
        <w:rPr>
          <w:sz w:val="20"/>
          <w:szCs w:val="20"/>
          <w:color w:val="auto"/>
        </w:rPr>
      </w:pPr>
      <w:r>
        <w:rPr>
          <w:rFonts w:ascii="Arial" w:cs="Arial" w:eastAsia="Arial" w:hAnsi="Arial"/>
          <w:sz w:val="19"/>
          <w:szCs w:val="19"/>
          <w:color w:val="auto"/>
        </w:rPr>
        <w:t>Section 8. Collateral Agent Appointed Attorney-in-Fact. The Grantors hereby appoint the Collateral Agent as each Grantor’s attorney-in-fact, with full authority in the place and stead of each Grantor and in the name of each Grantor or otherwise, from time to time in the Collateral Agent’s discretion, upon the occurrence and during the continuation of an Event of Default, and in accordance with and subject to any Intercreditor Agreement and any Other Intercreditor Agreement, to take any action and to execute any instrument which the Collateral Agent may reasonably deem necessary or advisable to accomplish the purposes of this SGR Security Agreement, which appointment as attorney-in-fact is coupled with an interest.</w:t>
      </w:r>
    </w:p>
    <w:p>
      <w:pPr>
        <w:spacing w:after="0" w:line="191" w:lineRule="exact"/>
        <w:rPr>
          <w:sz w:val="20"/>
          <w:szCs w:val="20"/>
          <w:color w:val="auto"/>
        </w:rPr>
      </w:pPr>
    </w:p>
    <w:p>
      <w:pPr>
        <w:jc w:val="both"/>
        <w:ind w:left="1960" w:hanging="971"/>
        <w:spacing w:after="0" w:line="246" w:lineRule="auto"/>
        <w:rPr>
          <w:sz w:val="20"/>
          <w:szCs w:val="20"/>
          <w:color w:val="auto"/>
        </w:rPr>
      </w:pPr>
      <w:r>
        <w:rPr>
          <w:rFonts w:ascii="Arial" w:cs="Arial" w:eastAsia="Arial" w:hAnsi="Arial"/>
          <w:sz w:val="22"/>
          <w:szCs w:val="22"/>
          <w:color w:val="auto"/>
        </w:rPr>
        <w:t>Section 9. Collateral Agent May Perform. If any Grantor fails to perform any agreement contained herein within a reasonable time after receipt of a written request to do so from the Collateral Agent, upon two (2) Business Days prior written notice the Collateral Agent may itself perform, or cause performance of, such agreement, and the reasonable expenses of the Collateral Agent, including, without limitation, the reasonable fees and out-of-pocket expenses of its counsel, incurred in connection therewith, shall be payable by the Borrower in accordance with Section 10.04 of the Credit Agreement and shall constitute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55" w:name="page356"/>
    <w:bookmarkEnd w:id="355"/>
    <w:p>
      <w:pPr>
        <w:jc w:val="both"/>
        <w:ind w:left="1960" w:hanging="971"/>
        <w:spacing w:after="0" w:line="288" w:lineRule="auto"/>
        <w:rPr>
          <w:sz w:val="20"/>
          <w:szCs w:val="20"/>
          <w:color w:val="auto"/>
        </w:rPr>
      </w:pPr>
      <w:r>
        <w:rPr>
          <w:rFonts w:ascii="Arial" w:cs="Arial" w:eastAsia="Arial" w:hAnsi="Arial"/>
          <w:sz w:val="19"/>
          <w:szCs w:val="19"/>
          <w:color w:val="auto"/>
        </w:rPr>
        <w:t>Section 10.The Collateral Agent. Each Grantor acknowledges that the rights and responsibilities of the Collateral Agent under this SGR Security Agreement with respect to any action taken by the Collateral Agent or the exercise or non-exercise by the Collateral Agent of any option, voting right, request, judgment or other right or remedy provided for herein or resulting or arising out of this SGR Security Agreement or any amendment, supplement or other modification of this SGR Security Agreement shall, as between the Collateral Agent and the Secured Parties, be governed by the Credit Agreement and by such other agreements with respect thereto as may exist from time to time among them, but, as between the Collateral Agent and each Grantor, the Collateral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11.Events of Default, Remedies.</w:t>
      </w:r>
    </w:p>
    <w:p>
      <w:pPr>
        <w:spacing w:after="0" w:line="220" w:lineRule="exact"/>
        <w:rPr>
          <w:sz w:val="20"/>
          <w:szCs w:val="20"/>
          <w:color w:val="auto"/>
        </w:rPr>
      </w:pPr>
    </w:p>
    <w:p>
      <w:pPr>
        <w:jc w:val="both"/>
        <w:ind w:firstLine="656"/>
        <w:spacing w:after="0" w:line="297" w:lineRule="auto"/>
        <w:tabs>
          <w:tab w:leader="none" w:pos="1225" w:val="left"/>
        </w:tabs>
        <w:numPr>
          <w:ilvl w:val="0"/>
          <w:numId w:val="461"/>
        </w:numPr>
        <w:rPr>
          <w:rFonts w:ascii="Arial" w:cs="Arial" w:eastAsia="Arial" w:hAnsi="Arial"/>
          <w:sz w:val="19"/>
          <w:szCs w:val="19"/>
          <w:color w:val="010000"/>
        </w:rPr>
      </w:pPr>
      <w:r>
        <w:rPr>
          <w:rFonts w:ascii="Arial" w:cs="Arial" w:eastAsia="Arial" w:hAnsi="Arial"/>
          <w:sz w:val="19"/>
          <w:szCs w:val="19"/>
          <w:u w:val="single" w:color="auto"/>
          <w:color w:val="auto"/>
        </w:rPr>
        <w:t>Remedies: Obtaining the Collateral Upon Event of Default</w:t>
      </w:r>
      <w:r>
        <w:rPr>
          <w:rFonts w:ascii="Arial" w:cs="Arial" w:eastAsia="Arial" w:hAnsi="Arial"/>
          <w:sz w:val="19"/>
          <w:szCs w:val="19"/>
          <w:color w:val="auto"/>
        </w:rPr>
        <w:t xml:space="preserve"> . In each case, subject to the requirements of applicable law (including without limitation the UCC and Title 49) and subject to the approval of all necessary Governmental Authorities, Foreign Aviation Authorities and Airport Authorities, if any Event of Default shall have occurred and be continuing, then and in every such case, the Collateral Agent may, subject to any Intercreditor Agreement and any Other Intercreditor Agreement, at any time or from time to time during the continuance of such Event of Default:</w:t>
      </w:r>
    </w:p>
    <w:p>
      <w:pPr>
        <w:spacing w:after="0" w:line="146" w:lineRule="exact"/>
        <w:rPr>
          <w:rFonts w:ascii="Arial" w:cs="Arial" w:eastAsia="Arial" w:hAnsi="Arial"/>
          <w:sz w:val="19"/>
          <w:szCs w:val="19"/>
          <w:color w:val="010000"/>
        </w:rPr>
      </w:pPr>
    </w:p>
    <w:p>
      <w:pPr>
        <w:jc w:val="both"/>
        <w:ind w:left="660" w:firstLine="644"/>
        <w:spacing w:after="0" w:line="287" w:lineRule="auto"/>
        <w:tabs>
          <w:tab w:leader="none" w:pos="1884" w:val="left"/>
        </w:tabs>
        <w:numPr>
          <w:ilvl w:val="1"/>
          <w:numId w:val="461"/>
        </w:numPr>
        <w:rPr>
          <w:rFonts w:ascii="Arial" w:cs="Arial" w:eastAsia="Arial" w:hAnsi="Arial"/>
          <w:sz w:val="19"/>
          <w:szCs w:val="19"/>
          <w:color w:val="010000"/>
        </w:rPr>
      </w:pPr>
      <w:r>
        <w:rPr>
          <w:rFonts w:ascii="Arial" w:cs="Arial" w:eastAsia="Arial" w:hAnsi="Arial"/>
          <w:sz w:val="19"/>
          <w:szCs w:val="19"/>
          <w:color w:val="auto"/>
        </w:rPr>
        <w:t xml:space="preserve">Declare the entire right, title and interest of any Grantor in and to the Collateral (other than the Account Collateral) vested, in which event such right, title and interest shall immediately vest in the Collateral Agent, in which case such Grantor agrees to execute and deliver such deeds of conveyance, assignments and other documents or instruments (including any notices or applications to the DOT, the FAA, applicable Foreign Aviation Authorities, Governmental Authorities or Airport Authorities having jurisdiction over any such Collateral or the use thereof) as shall be requested by the Collateral Agent in order to effectuate the transfer of such Collateral, together with copies of the certificates or orders issued by the DOT and the Foreign Aviation Authorities representing same and any other rights of such Grantor with respect thereto, to any designee or designees selected by the Collateral Agent and approved by all necessary Governmental Authorities, Foreign Aviation Authorities and Airport Authorities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of the foregoing is not permitted under applicable law or by the DOT or applicable Governmental Authority, Foreign Aviation Authority and/or Airport Authority, the Collateral Agent for the benefit of the Secured Parties shall nevertheless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56" w:name="page357"/>
    <w:bookmarkEnd w:id="356"/>
    <w:p>
      <w:pPr>
        <w:jc w:val="both"/>
        <w:ind w:left="660"/>
        <w:spacing w:after="0" w:line="250" w:lineRule="auto"/>
        <w:rPr>
          <w:sz w:val="20"/>
          <w:szCs w:val="20"/>
          <w:color w:val="auto"/>
        </w:rPr>
      </w:pPr>
      <w:r>
        <w:rPr>
          <w:rFonts w:ascii="Arial" w:cs="Arial" w:eastAsia="Arial" w:hAnsi="Arial"/>
          <w:sz w:val="22"/>
          <w:szCs w:val="22"/>
          <w:color w:val="auto"/>
        </w:rPr>
        <w:t>continue to have all of such Grantor’s right, title and interest in and to all of the Proceeds (of any kind) received or to be received by such Grantor upon the transfer or other disposition of such Collateral); it being understood that each Grantor’s obligation to deliver such Collateral and such documents and instruments with respect thereto, subject to the aforesaid limitations, is of the essence of this SGR Security Agreement;</w:t>
      </w:r>
    </w:p>
    <w:p>
      <w:pPr>
        <w:spacing w:after="0" w:line="188" w:lineRule="exact"/>
        <w:rPr>
          <w:sz w:val="20"/>
          <w:szCs w:val="20"/>
          <w:color w:val="auto"/>
        </w:rPr>
      </w:pPr>
    </w:p>
    <w:p>
      <w:pPr>
        <w:ind w:left="660" w:firstLine="644"/>
        <w:spacing w:after="0" w:line="263" w:lineRule="auto"/>
        <w:tabs>
          <w:tab w:leader="none" w:pos="1854" w:val="left"/>
        </w:tabs>
        <w:numPr>
          <w:ilvl w:val="1"/>
          <w:numId w:val="462"/>
        </w:numPr>
        <w:rPr>
          <w:rFonts w:ascii="Arial" w:cs="Arial" w:eastAsia="Arial" w:hAnsi="Arial"/>
          <w:sz w:val="22"/>
          <w:szCs w:val="22"/>
          <w:color w:val="010000"/>
        </w:rPr>
      </w:pPr>
      <w:r>
        <w:rPr>
          <w:rFonts w:ascii="Arial" w:cs="Arial" w:eastAsia="Arial" w:hAnsi="Arial"/>
          <w:sz w:val="22"/>
          <w:szCs w:val="22"/>
          <w:color w:val="auto"/>
        </w:rPr>
        <w:t>Sell or otherwise liquidate, or direct any Grantor to sell or otherwise liquidate, any or all of the Collateral or any part thereof and take possession of the Proceeds of any such sale or liquidation; and</w:t>
      </w:r>
    </w:p>
    <w:p>
      <w:pPr>
        <w:spacing w:after="0" w:line="174" w:lineRule="exact"/>
        <w:rPr>
          <w:rFonts w:ascii="Arial" w:cs="Arial" w:eastAsia="Arial" w:hAnsi="Arial"/>
          <w:sz w:val="22"/>
          <w:szCs w:val="22"/>
          <w:color w:val="010000"/>
        </w:rPr>
      </w:pPr>
    </w:p>
    <w:p>
      <w:pPr>
        <w:jc w:val="both"/>
        <w:ind w:left="660" w:firstLine="644"/>
        <w:spacing w:after="0" w:line="271" w:lineRule="auto"/>
        <w:tabs>
          <w:tab w:leader="none" w:pos="1983" w:val="left"/>
        </w:tabs>
        <w:numPr>
          <w:ilvl w:val="1"/>
          <w:numId w:val="462"/>
        </w:numPr>
        <w:rPr>
          <w:rFonts w:ascii="Arial" w:cs="Arial" w:eastAsia="Arial" w:hAnsi="Arial"/>
          <w:sz w:val="21"/>
          <w:szCs w:val="21"/>
          <w:color w:val="010000"/>
        </w:rPr>
      </w:pPr>
      <w:r>
        <w:rPr>
          <w:rFonts w:ascii="Arial" w:cs="Arial" w:eastAsia="Arial" w:hAnsi="Arial"/>
          <w:sz w:val="21"/>
          <w:szCs w:val="21"/>
          <w:color w:val="auto"/>
        </w:rPr>
        <w:t>Without notice to any Grantor except as required by law and at any time or from time to time, deliver a Notice of Exclusive Control (as defined in the Account Control Agreement), and charge, set off and otherwise apply all or any part of the Obligations against any funds held with respect to the Account Collateral.</w:t>
      </w:r>
    </w:p>
    <w:p>
      <w:pPr>
        <w:spacing w:after="0" w:line="167" w:lineRule="exact"/>
        <w:rPr>
          <w:rFonts w:ascii="Arial" w:cs="Arial" w:eastAsia="Arial" w:hAnsi="Arial"/>
          <w:sz w:val="21"/>
          <w:szCs w:val="21"/>
          <w:color w:val="010000"/>
        </w:rPr>
      </w:pPr>
    </w:p>
    <w:p>
      <w:pPr>
        <w:jc w:val="both"/>
        <w:ind w:firstLine="656"/>
        <w:spacing w:after="0" w:line="302" w:lineRule="auto"/>
        <w:tabs>
          <w:tab w:leader="none" w:pos="1332" w:val="left"/>
        </w:tabs>
        <w:numPr>
          <w:ilvl w:val="0"/>
          <w:numId w:val="463"/>
        </w:numPr>
        <w:rPr>
          <w:rFonts w:ascii="Arial" w:cs="Arial" w:eastAsia="Arial" w:hAnsi="Arial"/>
          <w:sz w:val="19"/>
          <w:szCs w:val="19"/>
          <w:color w:val="010000"/>
        </w:rPr>
      </w:pPr>
      <w:r>
        <w:rPr>
          <w:rFonts w:ascii="Arial" w:cs="Arial" w:eastAsia="Arial" w:hAnsi="Arial"/>
          <w:sz w:val="19"/>
          <w:szCs w:val="19"/>
          <w:u w:val="single" w:color="auto"/>
          <w:color w:val="auto"/>
        </w:rPr>
        <w:t>Remedies; Disposition of the Collateral</w:t>
      </w:r>
      <w:r>
        <w:rPr>
          <w:rFonts w:ascii="Arial" w:cs="Arial" w:eastAsia="Arial" w:hAnsi="Arial"/>
          <w:sz w:val="19"/>
          <w:szCs w:val="19"/>
          <w:color w:val="auto"/>
        </w:rPr>
        <w:t xml:space="preserve"> . In each case, subject to the requirements of applicable law (including without limitation the UCC and Title 49), subject to the Credit Agreement, and subject to any Intercreditor Agreement and any Other Intercreditor Agreement, and subject to the approval of all necessary Governmental Authorities, Foreign Aviation Authorities and Airport Authorities, if any Event of Default shall have occurred and be continuing:</w:t>
      </w:r>
    </w:p>
    <w:p>
      <w:pPr>
        <w:spacing w:after="0" w:line="142" w:lineRule="exact"/>
        <w:rPr>
          <w:rFonts w:ascii="Arial" w:cs="Arial" w:eastAsia="Arial" w:hAnsi="Arial"/>
          <w:sz w:val="19"/>
          <w:szCs w:val="19"/>
          <w:color w:val="010000"/>
        </w:rPr>
      </w:pPr>
    </w:p>
    <w:p>
      <w:pPr>
        <w:jc w:val="both"/>
        <w:ind w:left="660" w:firstLine="644"/>
        <w:spacing w:after="0" w:line="286" w:lineRule="auto"/>
        <w:tabs>
          <w:tab w:leader="none" w:pos="1849" w:val="left"/>
        </w:tabs>
        <w:numPr>
          <w:ilvl w:val="1"/>
          <w:numId w:val="463"/>
        </w:numPr>
        <w:rPr>
          <w:rFonts w:ascii="Arial" w:cs="Arial" w:eastAsia="Arial" w:hAnsi="Arial"/>
          <w:sz w:val="19"/>
          <w:szCs w:val="19"/>
          <w:color w:val="010000"/>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the Collateral Agent may from time to time exercise in respect of the Collateral, in addition to other rights and remedies provided for herein or otherwise available to it, and all the rights and remedies of a secured party on default under the UCC at the time of such Event of Default, and the Collateral Agent may also in its sole discretion, without notice except as specified below, sell the Collateral or any part thereof in one or more parcels at public or private sale, at any exchange, broker’s board or at any of the Collateral Agent’s offices or elsewhere, for cash, on credit or for future delivery, and at such price or prices and upon such other terms as the Collateral Agent may deem commercially reasonable,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the Collateral Agent or any other Secured Party may be the purchasers of any or all of the Collateral at any such sale and shall be entitled, for the purpose of bidding and making settlement or payment of the purchase price for all or any portion of the Collateral sold at such sale, to use and apply any of the Obligations owed to such Person as a credit on account of the purchase price of any Collateral payable by such Person at such sale,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 each purchaser at any such sale shall acquire the property sold absolutely free from any claim or right on the part of any Grantor, and each Grantor hereby waives, to the fullest extent permitted by law, all rights of redemption, stay or appraisal which it now has or may at any time in the future have under any rule of law or statute now existing or hereafter enacted, ( </w:t>
      </w:r>
      <w:r>
        <w:rPr>
          <w:rFonts w:ascii="Arial" w:cs="Arial" w:eastAsia="Arial" w:hAnsi="Arial"/>
          <w:sz w:val="19"/>
          <w:szCs w:val="19"/>
          <w:u w:val="single" w:color="auto"/>
          <w:color w:val="auto"/>
        </w:rPr>
        <w:t>D</w:t>
      </w:r>
      <w:r>
        <w:rPr>
          <w:rFonts w:ascii="Arial" w:cs="Arial" w:eastAsia="Arial" w:hAnsi="Arial"/>
          <w:sz w:val="19"/>
          <w:szCs w:val="19"/>
          <w:color w:val="auto"/>
        </w:rPr>
        <w:t xml:space="preserve"> ) each Grantor agrees that, to the extent notice of sale shall be required by law, at least ten (10) days’ notice to the Borrower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57" w:name="page358"/>
    <w:bookmarkEnd w:id="357"/>
    <w:p>
      <w:pPr>
        <w:jc w:val="both"/>
        <w:spacing w:after="0" w:line="292" w:lineRule="auto"/>
        <w:rPr>
          <w:sz w:val="20"/>
          <w:szCs w:val="20"/>
          <w:color w:val="auto"/>
        </w:rPr>
      </w:pPr>
      <w:r>
        <w:rPr>
          <w:rFonts w:ascii="Arial" w:cs="Arial" w:eastAsia="Arial" w:hAnsi="Arial"/>
          <w:sz w:val="19"/>
          <w:szCs w:val="19"/>
          <w:color w:val="auto"/>
        </w:rPr>
        <w:t xml:space="preserve">the time and place of any public sale or the time after which any private sale is to be made shall constitute reasonable notification, ( </w:t>
      </w:r>
      <w:r>
        <w:rPr>
          <w:rFonts w:ascii="Arial" w:cs="Arial" w:eastAsia="Arial" w:hAnsi="Arial"/>
          <w:sz w:val="19"/>
          <w:szCs w:val="19"/>
          <w:u w:val="single" w:color="auto"/>
          <w:color w:val="auto"/>
        </w:rPr>
        <w:t>E</w:t>
      </w:r>
      <w:r>
        <w:rPr>
          <w:rFonts w:ascii="Arial" w:cs="Arial" w:eastAsia="Arial" w:hAnsi="Arial"/>
          <w:sz w:val="19"/>
          <w:szCs w:val="19"/>
          <w:color w:val="auto"/>
        </w:rPr>
        <w:t xml:space="preserve"> ) the Collateral Agent shall not be obligated to make any sale of Collateral regardless of notice of sale having been given, ( </w:t>
      </w:r>
      <w:r>
        <w:rPr>
          <w:rFonts w:ascii="Arial" w:cs="Arial" w:eastAsia="Arial" w:hAnsi="Arial"/>
          <w:sz w:val="19"/>
          <w:szCs w:val="19"/>
          <w:u w:val="single" w:color="auto"/>
          <w:color w:val="auto"/>
        </w:rPr>
        <w:t>F</w:t>
      </w:r>
      <w:r>
        <w:rPr>
          <w:rFonts w:ascii="Arial" w:cs="Arial" w:eastAsia="Arial" w:hAnsi="Arial"/>
          <w:sz w:val="19"/>
          <w:szCs w:val="19"/>
          <w:color w:val="auto"/>
        </w:rPr>
        <w:t xml:space="preserve"> ) the Collateral Agent may adjourn any public or private sale from time to time by announcement at the time and place fixed therefor, and such sale may, without further notice, be made at the time and place to which it was so adjourned and (G) each Grantor hereby waives, to the full extent permitted by law, any claims against the Collateral Agent arising by reason of the fact that the price at which any Collateral may have been sold at such a private sale was less than the price which might have been obtained at a public sale;</w:t>
      </w:r>
    </w:p>
    <w:p>
      <w:pPr>
        <w:spacing w:after="0" w:line="151" w:lineRule="exact"/>
        <w:rPr>
          <w:sz w:val="20"/>
          <w:szCs w:val="20"/>
          <w:color w:val="auto"/>
        </w:rPr>
      </w:pPr>
    </w:p>
    <w:p>
      <w:pPr>
        <w:jc w:val="both"/>
        <w:ind w:firstLine="644"/>
        <w:spacing w:after="0" w:line="287" w:lineRule="auto"/>
        <w:tabs>
          <w:tab w:leader="none" w:pos="1260" w:val="left"/>
        </w:tabs>
        <w:numPr>
          <w:ilvl w:val="0"/>
          <w:numId w:val="464"/>
        </w:numPr>
        <w:rPr>
          <w:rFonts w:ascii="Arial" w:cs="Arial" w:eastAsia="Arial" w:hAnsi="Arial"/>
          <w:sz w:val="19"/>
          <w:szCs w:val="19"/>
          <w:color w:val="010000"/>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except as otherwise provided herein, each Grantor hereby waives, to the fullest extent permitted by applicable law: ( </w:t>
      </w:r>
      <w:r>
        <w:rPr>
          <w:rFonts w:ascii="Arial" w:cs="Arial" w:eastAsia="Arial" w:hAnsi="Arial"/>
          <w:sz w:val="19"/>
          <w:szCs w:val="19"/>
          <w:u w:val="single" w:color="auto"/>
          <w:color w:val="auto"/>
        </w:rPr>
        <w:t>w</w:t>
      </w:r>
      <w:r>
        <w:rPr>
          <w:rFonts w:ascii="Arial" w:cs="Arial" w:eastAsia="Arial" w:hAnsi="Arial"/>
          <w:sz w:val="19"/>
          <w:szCs w:val="19"/>
          <w:color w:val="auto"/>
        </w:rPr>
        <w:t xml:space="preserve"> ) notice or judicial hearing in connection with the Collateral Agent’s taking possession or the Collateral Agent’s disposition of any of the Collateral, including, without limitation, any and all prior notice and hearing for any prejudgment remedy or remedies and any such right which such Grantor would otherwise have under law; ( </w:t>
      </w:r>
      <w:r>
        <w:rPr>
          <w:rFonts w:ascii="Arial" w:cs="Arial" w:eastAsia="Arial" w:hAnsi="Arial"/>
          <w:sz w:val="19"/>
          <w:szCs w:val="19"/>
          <w:u w:val="single" w:color="auto"/>
          <w:color w:val="auto"/>
        </w:rPr>
        <w:t>x</w:t>
      </w:r>
      <w:r>
        <w:rPr>
          <w:rFonts w:ascii="Arial" w:cs="Arial" w:eastAsia="Arial" w:hAnsi="Arial"/>
          <w:sz w:val="19"/>
          <w:szCs w:val="19"/>
          <w:color w:val="auto"/>
        </w:rPr>
        <w:t xml:space="preserve"> ) all damages occasioned by such taking of possession; ( </w:t>
      </w:r>
      <w:r>
        <w:rPr>
          <w:rFonts w:ascii="Arial" w:cs="Arial" w:eastAsia="Arial" w:hAnsi="Arial"/>
          <w:sz w:val="19"/>
          <w:szCs w:val="19"/>
          <w:u w:val="single" w:color="auto"/>
          <w:color w:val="auto"/>
        </w:rPr>
        <w:t>y</w:t>
      </w:r>
      <w:r>
        <w:rPr>
          <w:rFonts w:ascii="Arial" w:cs="Arial" w:eastAsia="Arial" w:hAnsi="Arial"/>
          <w:sz w:val="19"/>
          <w:szCs w:val="19"/>
          <w:color w:val="auto"/>
        </w:rPr>
        <w:t xml:space="preserve"> ) all other requirements as to the time, place and terms of sale or other requirements with respect to the enforcement of the Collateral Agent’s rights hereunder; and ( </w:t>
      </w:r>
      <w:r>
        <w:rPr>
          <w:rFonts w:ascii="Arial" w:cs="Arial" w:eastAsia="Arial" w:hAnsi="Arial"/>
          <w:sz w:val="19"/>
          <w:szCs w:val="19"/>
          <w:u w:val="single" w:color="auto"/>
          <w:color w:val="auto"/>
        </w:rPr>
        <w:t>z</w:t>
      </w:r>
      <w:r>
        <w:rPr>
          <w:rFonts w:ascii="Arial" w:cs="Arial" w:eastAsia="Arial" w:hAnsi="Arial"/>
          <w:sz w:val="19"/>
          <w:szCs w:val="19"/>
          <w:color w:val="auto"/>
        </w:rPr>
        <w:t xml:space="preserve"> ) all rights of redemption, appraisement, valuation, stay, extension or moratorium now or hereafter in force under any applicable law and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any sale of, or the grant of options to purchase, or any other realization upon, any Collateral shall operate to divest all right, title, interest, claim and demand, either at law or in equity, of any Grantor therein and thereto, and shall be a perpetual bar both at law and in equity against any Grantor and against any and all Persons claiming or attempting to claim the Collateral so sold, optioned or realized upon, or any part thereof, from, through and under each Grantor; and</w:t>
      </w:r>
    </w:p>
    <w:p>
      <w:pPr>
        <w:spacing w:after="0" w:line="163" w:lineRule="exact"/>
        <w:rPr>
          <w:rFonts w:ascii="Arial" w:cs="Arial" w:eastAsia="Arial" w:hAnsi="Arial"/>
          <w:sz w:val="19"/>
          <w:szCs w:val="19"/>
          <w:color w:val="010000"/>
        </w:rPr>
      </w:pPr>
    </w:p>
    <w:p>
      <w:pPr>
        <w:jc w:val="both"/>
        <w:ind w:firstLine="644"/>
        <w:spacing w:after="0" w:line="259" w:lineRule="auto"/>
        <w:tabs>
          <w:tab w:leader="none" w:pos="1244" w:val="left"/>
        </w:tabs>
        <w:numPr>
          <w:ilvl w:val="0"/>
          <w:numId w:val="464"/>
        </w:numPr>
        <w:rPr>
          <w:rFonts w:ascii="Arial" w:cs="Arial" w:eastAsia="Arial" w:hAnsi="Arial"/>
          <w:sz w:val="21"/>
          <w:szCs w:val="21"/>
          <w:color w:val="010000"/>
        </w:rPr>
      </w:pPr>
      <w:r>
        <w:rPr>
          <w:rFonts w:ascii="Arial" w:cs="Arial" w:eastAsia="Arial" w:hAnsi="Arial"/>
          <w:sz w:val="21"/>
          <w:szCs w:val="21"/>
          <w:color w:val="auto"/>
        </w:rPr>
        <w:t>With respect to any Collateral other than Account Collateral, in connection with any foreclosure, collection, sale or other enforcement of Liens granted to the Collateral Agent in this SGR Security Agreement, each Grantor will reasonably cooperate in good faith with the Collateral Agent in transferring the right to use such Collateral to any designee of the Collateral Agent that is an air carrier or any other Person otherwise permitted to hold and use properties or rights as such Collateral and will, at the reasonable request of the Collateral Agent and in good faith, continue to operate and manage such Collateral and maintain such Grantor’s applicable regulatory licenses with respect to such Collateral until such time as such designee obtains such licenses and governmental approvals as may be necessary or (in the reasonable opinion of the Collateral Agent or its designee specified above) advisable to conduct aviation operations with respect to such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358" w:name="page359"/>
    <w:bookmarkEnd w:id="358"/>
    <w:p>
      <w:pPr>
        <w:ind w:left="324"/>
        <w:spacing w:after="0"/>
        <w:rPr>
          <w:sz w:val="20"/>
          <w:szCs w:val="20"/>
          <w:color w:val="auto"/>
        </w:rPr>
      </w:pPr>
      <w:r>
        <w:rPr>
          <w:rFonts w:ascii="Arial" w:cs="Arial" w:eastAsia="Arial" w:hAnsi="Arial"/>
          <w:sz w:val="22"/>
          <w:szCs w:val="22"/>
          <w:color w:val="auto"/>
        </w:rPr>
        <w:t>Section 12.Non-Lender Secured Parties.</w:t>
      </w:r>
    </w:p>
    <w:p>
      <w:pPr>
        <w:spacing w:after="0" w:line="220" w:lineRule="exact"/>
        <w:rPr>
          <w:sz w:val="20"/>
          <w:szCs w:val="20"/>
          <w:color w:val="auto"/>
        </w:rPr>
      </w:pPr>
    </w:p>
    <w:p>
      <w:pPr>
        <w:ind w:left="564" w:hanging="564"/>
        <w:spacing w:after="0"/>
        <w:tabs>
          <w:tab w:leader="none" w:pos="564" w:val="left"/>
        </w:tabs>
        <w:numPr>
          <w:ilvl w:val="0"/>
          <w:numId w:val="465"/>
        </w:numPr>
        <w:rPr>
          <w:rFonts w:ascii="Arial" w:cs="Arial" w:eastAsia="Arial" w:hAnsi="Arial"/>
          <w:sz w:val="22"/>
          <w:szCs w:val="22"/>
          <w:color w:val="010000"/>
        </w:rPr>
      </w:pPr>
      <w:r>
        <w:rPr>
          <w:rFonts w:ascii="Arial" w:cs="Arial" w:eastAsia="Arial" w:hAnsi="Arial"/>
          <w:sz w:val="22"/>
          <w:szCs w:val="22"/>
          <w:u w:val="single" w:color="auto"/>
          <w:color w:val="auto"/>
        </w:rPr>
        <w:t>Rights to Collateral</w:t>
      </w:r>
      <w:r>
        <w:rPr>
          <w:rFonts w:ascii="Arial" w:cs="Arial" w:eastAsia="Arial" w:hAnsi="Arial"/>
          <w:sz w:val="22"/>
          <w:szCs w:val="22"/>
          <w:color w:val="auto"/>
        </w:rPr>
        <w:t xml:space="preserve"> .</w:t>
      </w:r>
    </w:p>
    <w:p>
      <w:pPr>
        <w:spacing w:after="0" w:line="219" w:lineRule="exact"/>
        <w:rPr>
          <w:rFonts w:ascii="Arial" w:cs="Arial" w:eastAsia="Arial" w:hAnsi="Arial"/>
          <w:sz w:val="22"/>
          <w:szCs w:val="22"/>
          <w:color w:val="010000"/>
        </w:rPr>
      </w:pPr>
    </w:p>
    <w:p>
      <w:pPr>
        <w:jc w:val="both"/>
        <w:ind w:left="4" w:firstLine="644"/>
        <w:spacing w:after="0" w:line="285" w:lineRule="auto"/>
        <w:tabs>
          <w:tab w:leader="none" w:pos="1268" w:val="left"/>
        </w:tabs>
        <w:numPr>
          <w:ilvl w:val="1"/>
          <w:numId w:val="465"/>
        </w:numPr>
        <w:rPr>
          <w:rFonts w:ascii="Arial" w:cs="Arial" w:eastAsia="Arial" w:hAnsi="Arial"/>
          <w:sz w:val="19"/>
          <w:szCs w:val="19"/>
          <w:color w:val="010000"/>
        </w:rPr>
      </w:pPr>
      <w:r>
        <w:rPr>
          <w:rFonts w:ascii="Arial" w:cs="Arial" w:eastAsia="Arial" w:hAnsi="Arial"/>
          <w:sz w:val="19"/>
          <w:szCs w:val="19"/>
          <w:color w:val="auto"/>
        </w:rPr>
        <w:t xml:space="preserve">The Non-Lender Secured Parties shall not have any right whatsoever to do any of the following: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exercise any rights or remedies with respect to the Collateral or to direct the Collateral Agent to do the same, including, without limitation, the right to ( </w:t>
      </w:r>
      <w:r>
        <w:rPr>
          <w:rFonts w:ascii="Arial" w:cs="Arial" w:eastAsia="Arial" w:hAnsi="Arial"/>
          <w:sz w:val="19"/>
          <w:szCs w:val="19"/>
          <w:u w:val="single" w:color="auto"/>
          <w:color w:val="auto"/>
        </w:rPr>
        <w:t>1</w:t>
      </w:r>
      <w:r>
        <w:rPr>
          <w:rFonts w:ascii="Arial" w:cs="Arial" w:eastAsia="Arial" w:hAnsi="Arial"/>
          <w:sz w:val="19"/>
          <w:szCs w:val="19"/>
          <w:color w:val="auto"/>
        </w:rPr>
        <w:t xml:space="preserve"> ) enforce any Liens or sell or otherwise foreclose on any portion of the Collateral, ( </w:t>
      </w:r>
      <w:r>
        <w:rPr>
          <w:rFonts w:ascii="Arial" w:cs="Arial" w:eastAsia="Arial" w:hAnsi="Arial"/>
          <w:sz w:val="19"/>
          <w:szCs w:val="19"/>
          <w:u w:val="single" w:color="auto"/>
          <w:color w:val="auto"/>
        </w:rPr>
        <w:t>2</w:t>
      </w:r>
      <w:r>
        <w:rPr>
          <w:rFonts w:ascii="Arial" w:cs="Arial" w:eastAsia="Arial" w:hAnsi="Arial"/>
          <w:sz w:val="19"/>
          <w:szCs w:val="19"/>
          <w:color w:val="auto"/>
        </w:rPr>
        <w:t xml:space="preserve"> ) request any action, institute any proceedings, exercise any voting rights, give any instructions, make any election or make collections with respect to all or any portion of the Collateral or ( </w:t>
      </w:r>
      <w:r>
        <w:rPr>
          <w:rFonts w:ascii="Arial" w:cs="Arial" w:eastAsia="Arial" w:hAnsi="Arial"/>
          <w:sz w:val="19"/>
          <w:szCs w:val="19"/>
          <w:u w:val="single" w:color="auto"/>
          <w:color w:val="auto"/>
        </w:rPr>
        <w:t>3</w:t>
      </w:r>
      <w:r>
        <w:rPr>
          <w:rFonts w:ascii="Arial" w:cs="Arial" w:eastAsia="Arial" w:hAnsi="Arial"/>
          <w:sz w:val="19"/>
          <w:szCs w:val="19"/>
          <w:color w:val="auto"/>
        </w:rPr>
        <w:t xml:space="preserve"> ) release any Grantor under this SGR Security Agreement or release any Collateral from the Liens of any Collateral Document or consent to or otherwise approve any such release;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demand, accept or obtain any Lien on any Collateral (except for Liens arising under, and subject to the terms of, this SGR Security Agreement);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 vote in any Bankruptcy Case or similar proceeding in respect of Parent or any of its Subsidiaries (any such proceeding, for purposes of this clause (i), a “ </w:t>
      </w:r>
      <w:r>
        <w:rPr>
          <w:rFonts w:ascii="Arial" w:cs="Arial" w:eastAsia="Arial" w:hAnsi="Arial"/>
          <w:sz w:val="19"/>
          <w:szCs w:val="19"/>
          <w:u w:val="single" w:color="auto"/>
          <w:color w:val="auto"/>
        </w:rPr>
        <w:t>Bankruptcy</w:t>
      </w:r>
      <w:r>
        <w:rPr>
          <w:rFonts w:ascii="Arial" w:cs="Arial" w:eastAsia="Arial" w:hAnsi="Arial"/>
          <w:sz w:val="19"/>
          <w:szCs w:val="19"/>
          <w:color w:val="auto"/>
        </w:rPr>
        <w:t xml:space="preserve"> ”) with respect to, or take any other actions concerning the Collateral; ( </w:t>
      </w:r>
      <w:r>
        <w:rPr>
          <w:rFonts w:ascii="Arial" w:cs="Arial" w:eastAsia="Arial" w:hAnsi="Arial"/>
          <w:sz w:val="19"/>
          <w:szCs w:val="19"/>
          <w:u w:val="single" w:color="auto"/>
          <w:color w:val="auto"/>
        </w:rPr>
        <w:t>D</w:t>
      </w:r>
      <w:r>
        <w:rPr>
          <w:rFonts w:ascii="Arial" w:cs="Arial" w:eastAsia="Arial" w:hAnsi="Arial"/>
          <w:sz w:val="19"/>
          <w:szCs w:val="19"/>
          <w:color w:val="auto"/>
        </w:rPr>
        <w:t xml:space="preserve"> ) receive any proceeds from any sale, transfer or other disposition of any of the Collateral (except in accordance with this SGR Security Agreement); ( </w:t>
      </w:r>
      <w:r>
        <w:rPr>
          <w:rFonts w:ascii="Arial" w:cs="Arial" w:eastAsia="Arial" w:hAnsi="Arial"/>
          <w:sz w:val="19"/>
          <w:szCs w:val="19"/>
          <w:u w:val="single" w:color="auto"/>
          <w:color w:val="auto"/>
        </w:rPr>
        <w:t>E</w:t>
      </w:r>
      <w:r>
        <w:rPr>
          <w:rFonts w:ascii="Arial" w:cs="Arial" w:eastAsia="Arial" w:hAnsi="Arial"/>
          <w:sz w:val="19"/>
          <w:szCs w:val="19"/>
          <w:color w:val="auto"/>
        </w:rPr>
        <w:t xml:space="preserve"> ) oppose any sale, transfer or other disposition of the Collateral; ( </w:t>
      </w:r>
      <w:r>
        <w:rPr>
          <w:rFonts w:ascii="Arial" w:cs="Arial" w:eastAsia="Arial" w:hAnsi="Arial"/>
          <w:sz w:val="19"/>
          <w:szCs w:val="19"/>
          <w:u w:val="single" w:color="auto"/>
          <w:color w:val="auto"/>
        </w:rPr>
        <w:t>F</w:t>
      </w:r>
      <w:r>
        <w:rPr>
          <w:rFonts w:ascii="Arial" w:cs="Arial" w:eastAsia="Arial" w:hAnsi="Arial"/>
          <w:sz w:val="19"/>
          <w:szCs w:val="19"/>
          <w:color w:val="auto"/>
        </w:rPr>
        <w:t xml:space="preserve"> ) object to any debtor-in-possession financing in any Bankruptcy which is provided by one or more Lenders among others (including on a priming basis under Section 364(d) of the Bankruptcy Code); ( </w:t>
      </w:r>
      <w:r>
        <w:rPr>
          <w:rFonts w:ascii="Arial" w:cs="Arial" w:eastAsia="Arial" w:hAnsi="Arial"/>
          <w:sz w:val="19"/>
          <w:szCs w:val="19"/>
          <w:u w:val="single" w:color="auto"/>
          <w:color w:val="auto"/>
        </w:rPr>
        <w:t>G</w:t>
      </w:r>
      <w:r>
        <w:rPr>
          <w:rFonts w:ascii="Arial" w:cs="Arial" w:eastAsia="Arial" w:hAnsi="Arial"/>
          <w:sz w:val="19"/>
          <w:szCs w:val="19"/>
          <w:color w:val="auto"/>
        </w:rPr>
        <w:t xml:space="preserve"> ) object to the use of cash collateral in respect of the Collateral in any Bankruptcy; or ( </w:t>
      </w:r>
      <w:r>
        <w:rPr>
          <w:rFonts w:ascii="Arial" w:cs="Arial" w:eastAsia="Arial" w:hAnsi="Arial"/>
          <w:sz w:val="19"/>
          <w:szCs w:val="19"/>
          <w:u w:val="single" w:color="auto"/>
          <w:color w:val="auto"/>
        </w:rPr>
        <w:t>H</w:t>
      </w:r>
      <w:r>
        <w:rPr>
          <w:rFonts w:ascii="Arial" w:cs="Arial" w:eastAsia="Arial" w:hAnsi="Arial"/>
          <w:sz w:val="19"/>
          <w:szCs w:val="19"/>
          <w:color w:val="auto"/>
        </w:rPr>
        <w:t xml:space="preserve"> ) seek, or object to the Lenders, the Administrative Agent or the Collateral Agent seeking on an equal and ratable basis, any adequate protection or relief from the automatic stay with respect to the Collateral in any Bankruptcy.</w:t>
      </w:r>
    </w:p>
    <w:p>
      <w:pPr>
        <w:spacing w:after="0" w:line="168" w:lineRule="exact"/>
        <w:rPr>
          <w:rFonts w:ascii="Arial" w:cs="Arial" w:eastAsia="Arial" w:hAnsi="Arial"/>
          <w:sz w:val="19"/>
          <w:szCs w:val="19"/>
          <w:color w:val="010000"/>
        </w:rPr>
      </w:pPr>
    </w:p>
    <w:p>
      <w:pPr>
        <w:jc w:val="both"/>
        <w:ind w:left="4" w:firstLine="644"/>
        <w:spacing w:after="0" w:line="288" w:lineRule="auto"/>
        <w:tabs>
          <w:tab w:leader="none" w:pos="1224" w:val="left"/>
        </w:tabs>
        <w:numPr>
          <w:ilvl w:val="1"/>
          <w:numId w:val="465"/>
        </w:numPr>
        <w:rPr>
          <w:rFonts w:ascii="Arial" w:cs="Arial" w:eastAsia="Arial" w:hAnsi="Arial"/>
          <w:sz w:val="19"/>
          <w:szCs w:val="19"/>
          <w:color w:val="010000"/>
        </w:rPr>
      </w:pPr>
      <w:r>
        <w:rPr>
          <w:rFonts w:ascii="Arial" w:cs="Arial" w:eastAsia="Arial" w:hAnsi="Arial"/>
          <w:sz w:val="19"/>
          <w:szCs w:val="19"/>
          <w:color w:val="auto"/>
        </w:rPr>
        <w:t>Each Non-Lender Secured Party, by its acceptance of the benefits of this SGR Security Agreement and the other Collateral Documents, agrees that in exercising rights and remedies with respect to the Collateral, the Collateral Agent and the Lenders, with the consent of the Collateral Agent, may enforce the provisions of the Collateral Documents and exercise remedies thereunder and under any other Loan Documents (or refrain from enforcing rights and exercising remedies), all in such order and in such manner as they may determine in the exercise of their sole business judgment and subject to the terms of any Intercreditor Agreement and any Other Intercreditor Agreement. Such exercise and enforcement shall include, without limitation, the rights to collect, sell, dispose of or otherwise realize upon all or any part of the Collateral, to incur expenses in connection with such collection, sale, disposition or other realization and to exercise all the rights and remedies of a secured lender under the UCC. The Non-Lender Secured Parties by their acceptance of the benefits of this SGR Security Agreement and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20" w:right="339" w:bottom="1440" w:gutter="0" w:footer="0" w:header="0"/>
        </w:sectPr>
      </w:pPr>
    </w:p>
    <w:bookmarkStart w:id="359" w:name="page360"/>
    <w:bookmarkEnd w:id="359"/>
    <w:p>
      <w:pPr>
        <w:jc w:val="both"/>
        <w:ind w:left="660"/>
        <w:spacing w:after="0" w:line="248" w:lineRule="auto"/>
        <w:rPr>
          <w:sz w:val="20"/>
          <w:szCs w:val="20"/>
          <w:color w:val="auto"/>
        </w:rPr>
      </w:pPr>
      <w:r>
        <w:rPr>
          <w:rFonts w:ascii="Arial" w:cs="Arial" w:eastAsia="Arial" w:hAnsi="Arial"/>
          <w:sz w:val="22"/>
          <w:szCs w:val="22"/>
          <w:color w:val="auto"/>
        </w:rPr>
        <w:t>Collateral Documents hereby agree not to contest or otherwise challenge any such collection, sale, disposition or other realization of or upon all or any of the Collateral. Whether or not a Bankruptcy Case has been commenced, the Non-Lender Secured Parties shall be deemed to have consented to any sale or other disposition of any property, business or assets of Parent or any of its Subsidiaries and the release of any or all of the Collateral from the Liens of any Collateral Document in connection therewith.</w:t>
      </w:r>
    </w:p>
    <w:p>
      <w:pPr>
        <w:spacing w:after="0" w:line="192" w:lineRule="exact"/>
        <w:rPr>
          <w:sz w:val="20"/>
          <w:szCs w:val="20"/>
          <w:color w:val="auto"/>
        </w:rPr>
      </w:pPr>
    </w:p>
    <w:p>
      <w:pPr>
        <w:jc w:val="both"/>
        <w:ind w:left="660" w:firstLine="644"/>
        <w:spacing w:after="0" w:line="289" w:lineRule="auto"/>
        <w:tabs>
          <w:tab w:leader="none" w:pos="2040" w:val="left"/>
        </w:tabs>
        <w:numPr>
          <w:ilvl w:val="1"/>
          <w:numId w:val="466"/>
        </w:numPr>
        <w:rPr>
          <w:rFonts w:ascii="Arial" w:cs="Arial" w:eastAsia="Arial" w:hAnsi="Arial"/>
          <w:sz w:val="19"/>
          <w:szCs w:val="19"/>
          <w:color w:val="010000"/>
        </w:rPr>
      </w:pPr>
      <w:r>
        <w:rPr>
          <w:rFonts w:ascii="Arial" w:cs="Arial" w:eastAsia="Arial" w:hAnsi="Arial"/>
          <w:sz w:val="19"/>
          <w:szCs w:val="19"/>
          <w:color w:val="auto"/>
        </w:rPr>
        <w:t xml:space="preserve">Notwithstanding any provision of this Section 12(a), the Non-Lender Secured Parties shall be entitled, subject to any Intercreditor Agreement and any Other Intercreditor Agreement, to file any necessary responsive or defensive pleadings in opposition to any motion, claim, adversary proceeding or other pleadings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in order to prevent any Person from seeking to foreclose on the Collateral or supersede the Non-Lender Secured Parties’ claim thereto or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in opposition to any motion, claim, adversary proceeding or other pleading made by any Person objecting to or otherwise seeking the disallowance of the claims of the Non-Lender Secured Parties. Each Non-Lender Secured Party, by its acceptance of the benefits of this SGR Security Agreement, agrees to be bound by and to comply with any Intercreditor Agreement and any Other Intercreditor Agreement and authorizes the Collateral Agent to enter into the Intercreditor Agreements and Other Intercreditor Agreements on its behalf.</w:t>
      </w:r>
    </w:p>
    <w:p>
      <w:pPr>
        <w:spacing w:after="0" w:line="156" w:lineRule="exact"/>
        <w:rPr>
          <w:rFonts w:ascii="Arial" w:cs="Arial" w:eastAsia="Arial" w:hAnsi="Arial"/>
          <w:sz w:val="19"/>
          <w:szCs w:val="19"/>
          <w:color w:val="010000"/>
        </w:rPr>
      </w:pPr>
    </w:p>
    <w:p>
      <w:pPr>
        <w:jc w:val="both"/>
        <w:ind w:left="660" w:firstLine="644"/>
        <w:spacing w:after="0" w:line="248" w:lineRule="auto"/>
        <w:tabs>
          <w:tab w:leader="none" w:pos="1924" w:val="left"/>
        </w:tabs>
        <w:numPr>
          <w:ilvl w:val="1"/>
          <w:numId w:val="466"/>
        </w:numPr>
        <w:rPr>
          <w:rFonts w:ascii="Arial" w:cs="Arial" w:eastAsia="Arial" w:hAnsi="Arial"/>
          <w:sz w:val="22"/>
          <w:szCs w:val="22"/>
          <w:color w:val="010000"/>
        </w:rPr>
      </w:pPr>
      <w:r>
        <w:rPr>
          <w:rFonts w:ascii="Arial" w:cs="Arial" w:eastAsia="Arial" w:hAnsi="Arial"/>
          <w:sz w:val="22"/>
          <w:szCs w:val="22"/>
          <w:color w:val="auto"/>
        </w:rPr>
        <w:t>Each Non-Lender Secured Party, by its acceptance of the benefits of this SGR Security Agreement, agrees that the Collateral Agent and the Lenders may deal with the Collateral, including any exchange, taking or release of Collateral, may change or increase the amount of the Obligations, and may release any Grantor from its Obligations hereunder, all without any liability or obligation (except as may be otherwise expressly provided herein) to the Non-Lender Secured Parties.</w:t>
      </w:r>
    </w:p>
    <w:p>
      <w:pPr>
        <w:spacing w:after="0" w:line="191" w:lineRule="exact"/>
        <w:rPr>
          <w:rFonts w:ascii="Arial" w:cs="Arial" w:eastAsia="Arial" w:hAnsi="Arial"/>
          <w:sz w:val="22"/>
          <w:szCs w:val="22"/>
          <w:color w:val="010000"/>
        </w:rPr>
      </w:pPr>
    </w:p>
    <w:p>
      <w:pPr>
        <w:jc w:val="both"/>
        <w:ind w:firstLine="656"/>
        <w:spacing w:after="0" w:line="289" w:lineRule="auto"/>
        <w:tabs>
          <w:tab w:leader="none" w:pos="1318" w:val="left"/>
        </w:tabs>
        <w:numPr>
          <w:ilvl w:val="0"/>
          <w:numId w:val="467"/>
        </w:numPr>
        <w:rPr>
          <w:rFonts w:ascii="Arial" w:cs="Arial" w:eastAsia="Arial" w:hAnsi="Arial"/>
          <w:sz w:val="19"/>
          <w:szCs w:val="19"/>
          <w:color w:val="010000"/>
        </w:rPr>
      </w:pPr>
      <w:r>
        <w:rPr>
          <w:rFonts w:ascii="Arial" w:cs="Arial" w:eastAsia="Arial" w:hAnsi="Arial"/>
          <w:sz w:val="19"/>
          <w:szCs w:val="19"/>
          <w:u w:val="single" w:color="auto"/>
          <w:color w:val="auto"/>
        </w:rPr>
        <w:t>Appointment of Agent</w:t>
      </w:r>
      <w:r>
        <w:rPr>
          <w:rFonts w:ascii="Arial" w:cs="Arial" w:eastAsia="Arial" w:hAnsi="Arial"/>
          <w:sz w:val="19"/>
          <w:szCs w:val="19"/>
          <w:color w:val="auto"/>
        </w:rPr>
        <w:t xml:space="preserve"> . Each Non-Lender Secured Party, by its acceptance of the benefits of this SGR Security Agreement and the other Collateral Documents, shall be deemed irrevocably to make, constitute and appoint the Collateral Agent, as agent under the Credit Agreement (and all officers, employees or agents designated by the Collateral Agent) as such Person’s true and lawful agent and attorney-in-fact, and in such capacity, the Collateral Agent shall have the right, with power of substitution for the Non-Lender Secured Parties and in each such Person’s name or otherwise, to effectuate any sale, transfer or other disposition of the Collateral. It is understood and agreed that the appointment of the Collateral Agent as the agent and attorney-in-fact of the Non-Lender Secured Parties for the purposes set forth herein is coupled with an interest and is irrevocable. It is understood and agreed that the Collateral Agent has appointed the Administrative Agent as its agent for purposes of perfecting certain of the security interests created hereunder and for otherwise carrying out certain of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60" w:name="page361"/>
    <w:bookmarkEnd w:id="360"/>
    <w:p>
      <w:pPr>
        <w:jc w:val="both"/>
        <w:ind w:firstLine="656"/>
        <w:spacing w:after="0" w:line="258" w:lineRule="exact"/>
        <w:tabs>
          <w:tab w:leader="none" w:pos="1239" w:val="left"/>
        </w:tabs>
        <w:numPr>
          <w:ilvl w:val="0"/>
          <w:numId w:val="468"/>
        </w:numPr>
        <w:rPr>
          <w:rFonts w:ascii="Arial" w:cs="Arial" w:eastAsia="Arial" w:hAnsi="Arial"/>
          <w:sz w:val="21"/>
          <w:szCs w:val="21"/>
          <w:color w:val="010000"/>
        </w:rPr>
      </w:pPr>
      <w:r>
        <w:rPr>
          <w:rFonts w:ascii="Arial" w:cs="Arial" w:eastAsia="Arial" w:hAnsi="Arial"/>
          <w:sz w:val="21"/>
          <w:szCs w:val="21"/>
          <w:u w:val="single" w:color="auto"/>
          <w:color w:val="auto"/>
        </w:rPr>
        <w:t>Waiver of Claims</w:t>
      </w:r>
      <w:r>
        <w:rPr>
          <w:rFonts w:ascii="Arial" w:cs="Arial" w:eastAsia="Arial" w:hAnsi="Arial"/>
          <w:sz w:val="21"/>
          <w:szCs w:val="21"/>
          <w:color w:val="auto"/>
        </w:rPr>
        <w:t xml:space="preserve"> . To the maximum extent permitted by law, each Non</w:t>
      </w:r>
      <w:r>
        <w:rPr>
          <w:rFonts w:ascii="MS PGothic" w:cs="MS PGothic" w:eastAsia="MS PGothic" w:hAnsi="MS PGothic"/>
          <w:sz w:val="21"/>
          <w:szCs w:val="21"/>
          <w:color w:val="auto"/>
        </w:rPr>
        <w:t>‑</w:t>
      </w:r>
      <w:r>
        <w:rPr>
          <w:rFonts w:ascii="Arial" w:cs="Arial" w:eastAsia="Arial" w:hAnsi="Arial"/>
          <w:sz w:val="21"/>
          <w:szCs w:val="21"/>
          <w:color w:val="auto"/>
        </w:rPr>
        <w:t xml:space="preserve">Lender Secured Party waives any claim it might have against the Collateral Agent or the Lenders with respect to, or arising out of, any action or failure to act or any error of judgment, negligence, or mistake or oversight whatsoever on the part of the Collateral Agent or the Lenders or their respective directors, officers, employees or agents with respect to any exercise of rights or remedies under the Loan Documents or any transaction relating to the Collateral (including, without limitation, any such exercise described in </w:t>
      </w:r>
      <w:r>
        <w:rPr>
          <w:rFonts w:ascii="Arial" w:cs="Arial" w:eastAsia="Arial" w:hAnsi="Arial"/>
          <w:sz w:val="21"/>
          <w:szCs w:val="21"/>
          <w:u w:val="single" w:color="auto"/>
          <w:color w:val="auto"/>
        </w:rPr>
        <w:t>Section 12(a)(ii)</w:t>
      </w:r>
      <w:r>
        <w:rPr>
          <w:rFonts w:ascii="Arial" w:cs="Arial" w:eastAsia="Arial" w:hAnsi="Arial"/>
          <w:sz w:val="21"/>
          <w:szCs w:val="21"/>
          <w:color w:val="auto"/>
        </w:rPr>
        <w:t xml:space="preserve"> ), except for any such action or failure to act that constitutes willful misconduct or gross negligence of such Person. To the maximum extent permitted by applicable law, none of the Collateral Agent or any Lender or any of their respective directors, officers, employees or agents shall be liable for failure to demand, collect or realize upon any of the Collateral or for any delay in doing so or shall be under any obligation to sell or otherwise dispose of any Collateral upon the request of Parent, any Subsidiary of Parent, any Non-Lender Secured Party or any other Person or to take any other action or forbear from doing so whatsoever with regard to the Collateral or any part thereof, except for any such action or failure to act that constitutes willful misconduct or gross negligence of such Person.</w:t>
      </w:r>
    </w:p>
    <w:p>
      <w:pPr>
        <w:spacing w:after="0" w:line="24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13.Application of Proceeds.</w:t>
      </w:r>
    </w:p>
    <w:p>
      <w:pPr>
        <w:spacing w:after="0" w:line="220" w:lineRule="exact"/>
        <w:rPr>
          <w:sz w:val="20"/>
          <w:szCs w:val="20"/>
          <w:color w:val="auto"/>
        </w:rPr>
      </w:pPr>
    </w:p>
    <w:p>
      <w:pPr>
        <w:jc w:val="both"/>
        <w:ind w:firstLine="656"/>
        <w:spacing w:after="0" w:line="261" w:lineRule="auto"/>
        <w:tabs>
          <w:tab w:leader="none" w:pos="1265" w:val="left"/>
        </w:tabs>
        <w:numPr>
          <w:ilvl w:val="0"/>
          <w:numId w:val="469"/>
        </w:numPr>
        <w:rPr>
          <w:rFonts w:ascii="Arial" w:cs="Arial" w:eastAsia="Arial" w:hAnsi="Arial"/>
          <w:sz w:val="21"/>
          <w:szCs w:val="21"/>
          <w:color w:val="010000"/>
        </w:rPr>
      </w:pPr>
      <w:r>
        <w:rPr>
          <w:rFonts w:ascii="Arial" w:cs="Arial" w:eastAsia="Arial" w:hAnsi="Arial"/>
          <w:sz w:val="21"/>
          <w:szCs w:val="21"/>
          <w:color w:val="auto"/>
        </w:rPr>
        <w:t xml:space="preserve">Any cash held by the Collateral Agent as Collateral and all cash Proceeds received (including a distribution of Collateral in connection with any Bankruptcy Case or similar proceeding) by the Collateral Agent in respect of any sale of, collection from, or other realization upon all or any part of the Collateral pursuant to the exercise by the Collateral Agent of its remedies as a secured creditor as provided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this SGR Security Agreement shall, subject to the terms of any Intercreditor Agreement and any Other Intercreditor Agreement, be applied from time to time by the Collateral Agent in accordance with the terms of the Credit Agreement.</w:t>
      </w:r>
    </w:p>
    <w:p>
      <w:pPr>
        <w:spacing w:after="0" w:line="179" w:lineRule="exact"/>
        <w:rPr>
          <w:rFonts w:ascii="Arial" w:cs="Arial" w:eastAsia="Arial" w:hAnsi="Arial"/>
          <w:sz w:val="21"/>
          <w:szCs w:val="21"/>
          <w:color w:val="010000"/>
        </w:rPr>
      </w:pPr>
    </w:p>
    <w:p>
      <w:pPr>
        <w:ind w:right="20" w:firstLine="656"/>
        <w:spacing w:after="0" w:line="343" w:lineRule="auto"/>
        <w:tabs>
          <w:tab w:leader="none" w:pos="1188" w:val="left"/>
        </w:tabs>
        <w:numPr>
          <w:ilvl w:val="0"/>
          <w:numId w:val="469"/>
        </w:numPr>
        <w:rPr>
          <w:rFonts w:ascii="Arial" w:cs="Arial" w:eastAsia="Arial" w:hAnsi="Arial"/>
          <w:sz w:val="19"/>
          <w:szCs w:val="19"/>
          <w:color w:val="010000"/>
        </w:rPr>
      </w:pPr>
      <w:r>
        <w:rPr>
          <w:rFonts w:ascii="Arial" w:cs="Arial" w:eastAsia="Arial" w:hAnsi="Arial"/>
          <w:sz w:val="19"/>
          <w:szCs w:val="19"/>
          <w:color w:val="auto"/>
        </w:rPr>
        <w:t>It is understood that, to the extent permitted by applicable law, each Grantor shall remain liable to the extent of any deficiency between the amount of the Proceeds of the Collateral and the aggregate amount of the outstanding Obligations.</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14.No Waiver; Discontinuance of Proceeding.</w:t>
      </w:r>
    </w:p>
    <w:p>
      <w:pPr>
        <w:spacing w:after="0" w:line="220" w:lineRule="exact"/>
        <w:rPr>
          <w:sz w:val="20"/>
          <w:szCs w:val="20"/>
          <w:color w:val="auto"/>
        </w:rPr>
      </w:pPr>
    </w:p>
    <w:p>
      <w:pPr>
        <w:jc w:val="both"/>
        <w:ind w:firstLine="656"/>
        <w:spacing w:after="0" w:line="247" w:lineRule="auto"/>
        <w:tabs>
          <w:tab w:leader="none" w:pos="1180" w:val="left"/>
        </w:tabs>
        <w:numPr>
          <w:ilvl w:val="0"/>
          <w:numId w:val="470"/>
        </w:numPr>
        <w:rPr>
          <w:rFonts w:ascii="Arial" w:cs="Arial" w:eastAsia="Arial" w:hAnsi="Arial"/>
          <w:sz w:val="22"/>
          <w:szCs w:val="22"/>
          <w:color w:val="010000"/>
        </w:rPr>
      </w:pPr>
      <w:r>
        <w:rPr>
          <w:rFonts w:ascii="Arial" w:cs="Arial" w:eastAsia="Arial" w:hAnsi="Arial"/>
          <w:sz w:val="22"/>
          <w:szCs w:val="22"/>
          <w:color w:val="auto"/>
        </w:rPr>
        <w:t>Each and every right, power and remedy hereby specifically given to the Collateral Agent or otherwise in this SGR Security Agreement shall be cumulative and shall be in addition to every other right, power and remedy specifically given under this SGR Security Agreement or the other Loan Documents now or hereafter existing at law, in equity or by statute and each and every right, power and remedy whether specifically herein given or otherwise existing may be exercised from time to time or simultaneously and as often and in such order as may be deemed expedient by the Collateral Agent. All such rights, powers and remedies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61" w:name="page362"/>
    <w:bookmarkEnd w:id="361"/>
    <w:p>
      <w:pPr>
        <w:jc w:val="both"/>
        <w:spacing w:after="0" w:line="259" w:lineRule="auto"/>
        <w:rPr>
          <w:sz w:val="20"/>
          <w:szCs w:val="20"/>
          <w:color w:val="auto"/>
        </w:rPr>
      </w:pPr>
      <w:r>
        <w:rPr>
          <w:rFonts w:ascii="Arial" w:cs="Arial" w:eastAsia="Arial" w:hAnsi="Arial"/>
          <w:sz w:val="21"/>
          <w:szCs w:val="21"/>
          <w:color w:val="auto"/>
        </w:rPr>
        <w:t>be cumulative and the exercise or the beginning of the exercise of one shall not be deemed a waiver of the right to exercise any other or others. No delay or omission of the Collateral Agent in the exercise of any such right, power or remedy and no renewal or extension of any of the Obligations shall impair any such right, power or remedy or shall be construed to be a waiver of any default or Event of Default or an acquiescence therein. No notice to or demand on any Grantor in any case shall entitle it to any other or further notice or demand in similar or other circumstances or constitute a waiver of any of the rights of the Collateral Agent to any other or further action in any circumstances without notice or demand. In the event that the Collateral Agent shall bring any suit to enforce any of its rights hereunder and shall be entitled to judgment, then in such suit the Collateral Agent may recover reasonable out-of-pocket expenses, including reasonable attorneys’ fees, and the amounts thereof shall be included in such judgment.</w:t>
      </w:r>
    </w:p>
    <w:p>
      <w:pPr>
        <w:spacing w:after="0" w:line="179" w:lineRule="exact"/>
        <w:rPr>
          <w:sz w:val="20"/>
          <w:szCs w:val="20"/>
          <w:color w:val="auto"/>
        </w:rPr>
      </w:pPr>
    </w:p>
    <w:p>
      <w:pPr>
        <w:jc w:val="both"/>
        <w:ind w:firstLine="656"/>
        <w:spacing w:after="0" w:line="294" w:lineRule="auto"/>
        <w:tabs>
          <w:tab w:leader="none" w:pos="1204" w:val="left"/>
        </w:tabs>
        <w:numPr>
          <w:ilvl w:val="0"/>
          <w:numId w:val="471"/>
        </w:numPr>
        <w:rPr>
          <w:rFonts w:ascii="Arial" w:cs="Arial" w:eastAsia="Arial" w:hAnsi="Arial"/>
          <w:sz w:val="19"/>
          <w:szCs w:val="19"/>
          <w:color w:val="010000"/>
        </w:rPr>
      </w:pPr>
      <w:r>
        <w:rPr>
          <w:rFonts w:ascii="Arial" w:cs="Arial" w:eastAsia="Arial" w:hAnsi="Arial"/>
          <w:sz w:val="19"/>
          <w:szCs w:val="19"/>
          <w:color w:val="auto"/>
        </w:rPr>
        <w:t>In the event the Collateral Agent shall have instituted any proceeding to enforce any right, power or remedy under this SGR Security Agreement by foreclosure, sale, entry or otherwise, and such proceeding shall have been discontinued or abandoned for any reason or shall have been determined adversely to the Collateral Agent, then and in every such case each Grantor, the Collateral Agent and each Secured Party shall, to the extent permitted by applicable law, be restored to their respective former positions and rights hereunder with respect to the Collateral, and all rights, remedies and powers of the Collateral Agent and the Secured Parties shall continue as if no such proceeding had been instituted.</w:t>
      </w:r>
    </w:p>
    <w:p>
      <w:pPr>
        <w:spacing w:after="0" w:line="190" w:lineRule="exact"/>
        <w:rPr>
          <w:sz w:val="20"/>
          <w:szCs w:val="20"/>
          <w:color w:val="auto"/>
        </w:rPr>
      </w:pPr>
    </w:p>
    <w:p>
      <w:pPr>
        <w:jc w:val="both"/>
        <w:ind w:left="1960" w:hanging="971"/>
        <w:spacing w:after="0" w:line="286" w:lineRule="auto"/>
        <w:rPr>
          <w:sz w:val="20"/>
          <w:szCs w:val="20"/>
          <w:color w:val="auto"/>
        </w:rPr>
      </w:pPr>
      <w:r>
        <w:rPr>
          <w:rFonts w:ascii="Arial" w:cs="Arial" w:eastAsia="Arial" w:hAnsi="Arial"/>
          <w:sz w:val="19"/>
          <w:szCs w:val="19"/>
          <w:color w:val="auto"/>
        </w:rPr>
        <w:t xml:space="preserve">Section 15.Amendments, etc.. This SGR Security Agreement may not be amended, modified or waived except with the written consent of each Grantor and the Collateral Agent (who shall act pursuant to and in accordance with the terms of Section 10.08 of the Credit Agreement); provided that unless separately agreed in writing between each Grantor and any Non-Lender Secured Party, no such waiver and no such amendment or modification shall amend, modify or waive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(or the definition of “Non-Lender Secured Party” or “Secured Party” to the extent relating thereto) if such waiver, amendment, or modification would disproportionately directly and adversely affect a Non-Lender Secured Party as compared to the Lenders without the written consent of such affected Non-Lender Secured Party. Any amendment, modification or supplement of or to any provision of this SGR Security Agreement, any termination or waiver of any provision of this SGR Security Agreement and any consent to any departure by any Grantor from the terms of any provision of this SGR Security Agreement shall be effective only in the specific instance and for the specific purpose for which made or given. No notice to or demand upon any Grantor in any instance hereunder shall entitle such Grantor to any other or further notice or demand in similar or other circumstances. For the avoidance of doubt, it is understood and agreed that any amendment, amendment and restatement, waiver,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62" w:name="page363"/>
    <w:bookmarkEnd w:id="362"/>
    <w:p>
      <w:pPr>
        <w:jc w:val="both"/>
        <w:ind w:left="1300"/>
        <w:spacing w:after="0" w:line="242" w:lineRule="auto"/>
        <w:rPr>
          <w:sz w:val="20"/>
          <w:szCs w:val="20"/>
          <w:color w:val="auto"/>
        </w:rPr>
      </w:pPr>
      <w:r>
        <w:rPr>
          <w:rFonts w:ascii="Arial" w:cs="Arial" w:eastAsia="Arial" w:hAnsi="Arial"/>
          <w:sz w:val="19"/>
          <w:szCs w:val="19"/>
          <w:color w:val="auto"/>
        </w:rPr>
        <w:t xml:space="preserve">or other modification of or to any Intercreditor Agreement or any Other Intercreditor Agreement that would have the effect, directly or indirectly, through any reference herein to any Intercreditor Agreement or any Other Intercreditor Agreement or otherwise, of waiving, amending, supplementing or otherwise modifying this SGR Security Agreement, or any term or provision hereof, or any right or obligation of any Grantor hereunder or in respect hereof, shall not be given such effect except pursuant to a written instrument executed by such Grantor and the Collateral Agent in accordance with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 Notwithstanding the foregoing, the Grantors may cause the Schedules hereto to be amended, supplemented or otherwise modified without the consent of any Person in order to (i) evidence the addition of Collateral pursuant to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or the release of Collateral pursuant to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 or (ii) otherwise evidence the release or addition of Collateral in accordance with this SGR Security Agreement and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the addition or release of any Collateral consisting of Route Authorities, the Borrower shall, at the written request of the Collateral Agent, promptly amend, supplement or otherwise modify Schedule III to reflect such addition or release.</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16.Termination; Release.</w:t>
      </w:r>
    </w:p>
    <w:p>
      <w:pPr>
        <w:spacing w:after="0" w:line="220" w:lineRule="exact"/>
        <w:rPr>
          <w:sz w:val="20"/>
          <w:szCs w:val="20"/>
          <w:color w:val="auto"/>
        </w:rPr>
      </w:pPr>
    </w:p>
    <w:p>
      <w:pPr>
        <w:jc w:val="both"/>
        <w:ind w:firstLine="656"/>
        <w:spacing w:after="0" w:line="288" w:lineRule="auto"/>
        <w:tabs>
          <w:tab w:leader="none" w:pos="1225" w:val="left"/>
        </w:tabs>
        <w:numPr>
          <w:ilvl w:val="0"/>
          <w:numId w:val="472"/>
        </w:numPr>
        <w:rPr>
          <w:rFonts w:ascii="Arial" w:cs="Arial" w:eastAsia="Arial" w:hAnsi="Arial"/>
          <w:sz w:val="19"/>
          <w:szCs w:val="19"/>
          <w:color w:val="010000"/>
        </w:rPr>
      </w:pPr>
      <w:r>
        <w:rPr>
          <w:rFonts w:ascii="Arial" w:cs="Arial" w:eastAsia="Arial" w:hAnsi="Arial"/>
          <w:sz w:val="19"/>
          <w:szCs w:val="19"/>
          <w:color w:val="auto"/>
        </w:rPr>
        <w:t>At such time as the Obligations (other than any Obligations owing to a Non-Lender Secured Party) then due and owing shall have been paid in full, the Commitments under the Credit Agreement have been terminated and no Letters of Credit shall be outstanding (except for Letters of Credit that have been cash collateralized or otherwise provided for in a manner reasonably satisfactory to the Administrative Agent), all Collateral shall be automatically released from the Liens created hereby, and this SGR Security Agreement and all obligations (other than those expressly stated to survive such termination) of the Collateral Agent and each Grantor shall automatically terminate, all without delivery of any instrument or performance of any act by any party, and all rights to the Collateral shall revert to the applicable Grantor. At the request and sole expense of any Grantor following any such termination, the Collateral Agent shall promptly execute, acknowledge and deliver to such Grantor such releases, instruments or other documents (including without limitation UCC termination statements), and do or cause to be done all other acts, as such Grantor shall reasonably request to evidence such termination.</w:t>
      </w:r>
    </w:p>
    <w:p>
      <w:pPr>
        <w:spacing w:after="0" w:line="159" w:lineRule="exact"/>
        <w:rPr>
          <w:rFonts w:ascii="Arial" w:cs="Arial" w:eastAsia="Arial" w:hAnsi="Arial"/>
          <w:sz w:val="19"/>
          <w:szCs w:val="19"/>
          <w:color w:val="010000"/>
        </w:rPr>
      </w:pPr>
    </w:p>
    <w:p>
      <w:pPr>
        <w:jc w:val="both"/>
        <w:ind w:firstLine="656"/>
        <w:spacing w:after="0" w:line="248" w:lineRule="auto"/>
        <w:tabs>
          <w:tab w:leader="none" w:pos="1187" w:val="left"/>
        </w:tabs>
        <w:numPr>
          <w:ilvl w:val="0"/>
          <w:numId w:val="472"/>
        </w:numPr>
        <w:rPr>
          <w:rFonts w:ascii="Arial" w:cs="Arial" w:eastAsia="Arial" w:hAnsi="Arial"/>
          <w:sz w:val="22"/>
          <w:szCs w:val="22"/>
          <w:color w:val="010000"/>
        </w:rPr>
      </w:pPr>
      <w:r>
        <w:rPr>
          <w:rFonts w:ascii="Arial" w:cs="Arial" w:eastAsia="Arial" w:hAnsi="Arial"/>
          <w:sz w:val="22"/>
          <w:szCs w:val="22"/>
          <w:color w:val="auto"/>
        </w:rPr>
        <w:t>Upon any Permitted Disposition of Collateral (whether by way of the sale of assets or the sale of Capital Stock of a Grantor of such Collateral) of the type described in items (1), (2) (provided the requirements set forth in the first proviso to such section are satisfied), (4) and (5) of the definition of “Permitted Disposition” or any other type of Permitted Disposition involving divestiture of any Grantor’s title to the related Collateral under the Credit Agreement, the Lien pursuant to this SGR Security Agreement on such sold or disposed of Collateral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63" w:name="page364"/>
    <w:bookmarkEnd w:id="363"/>
    <w:p>
      <w:pPr>
        <w:jc w:val="both"/>
        <w:spacing w:after="0" w:line="292" w:lineRule="auto"/>
        <w:rPr>
          <w:sz w:val="20"/>
          <w:szCs w:val="20"/>
          <w:color w:val="auto"/>
        </w:rPr>
      </w:pPr>
      <w:r>
        <w:rPr>
          <w:rFonts w:ascii="Arial" w:cs="Arial" w:eastAsia="Arial" w:hAnsi="Arial"/>
          <w:sz w:val="19"/>
          <w:szCs w:val="19"/>
          <w:color w:val="auto"/>
        </w:rPr>
        <w:t>be automatically released. In connection with any other Disposition of Collateral not covered by the preceding sentence (whether by way of the sale of assets or the sale of Capital Stock of a Grantor of such Collateral) permitted under the Credit Agreement, the Collateral Agent shall, upon receipt from such Grantor of a written request for the release of the Collateral subject to such sale or other disposition (or in the case of a sale of Capital Stock of such Grantor, the release of such Grantor’s Collateral), at such Grantor’s sole cost and expense, promptly execute, acknowledge and deliver to such Grantor such releases, instruments or other documents (including without limitation UCC termination statements), and do or cause to be done all other acts, as such Grantor shall reasonably request to evidence or effect the release of the Liens created hereby (if any) on such Collateral.</w:t>
      </w:r>
    </w:p>
    <w:p>
      <w:pPr>
        <w:spacing w:after="0" w:line="151" w:lineRule="exact"/>
        <w:rPr>
          <w:sz w:val="20"/>
          <w:szCs w:val="20"/>
          <w:color w:val="auto"/>
        </w:rPr>
      </w:pPr>
    </w:p>
    <w:p>
      <w:pPr>
        <w:jc w:val="both"/>
        <w:ind w:firstLine="656"/>
        <w:spacing w:after="0" w:line="259" w:lineRule="auto"/>
        <w:tabs>
          <w:tab w:leader="none" w:pos="1201" w:val="left"/>
        </w:tabs>
        <w:numPr>
          <w:ilvl w:val="0"/>
          <w:numId w:val="473"/>
        </w:numPr>
        <w:rPr>
          <w:rFonts w:ascii="Arial" w:cs="Arial" w:eastAsia="Arial" w:hAnsi="Arial"/>
          <w:sz w:val="21"/>
          <w:szCs w:val="21"/>
          <w:color w:val="010000"/>
        </w:rPr>
      </w:pPr>
      <w:r>
        <w:rPr>
          <w:rFonts w:ascii="Arial" w:cs="Arial" w:eastAsia="Arial" w:hAnsi="Arial"/>
          <w:sz w:val="21"/>
          <w:szCs w:val="21"/>
          <w:color w:val="auto"/>
        </w:rPr>
        <w:t xml:space="preserve">For the avoidance of doubt, ( </w:t>
      </w:r>
      <w:r>
        <w:rPr>
          <w:rFonts w:ascii="Arial" w:cs="Arial" w:eastAsia="Arial" w:hAnsi="Arial"/>
          <w:sz w:val="21"/>
          <w:szCs w:val="21"/>
          <w:u w:val="single" w:color="auto"/>
          <w:color w:val="auto"/>
        </w:rPr>
        <w:t>i</w:t>
      </w:r>
      <w:r>
        <w:rPr>
          <w:rFonts w:ascii="Arial" w:cs="Arial" w:eastAsia="Arial" w:hAnsi="Arial"/>
          <w:sz w:val="21"/>
          <w:szCs w:val="21"/>
          <w:color w:val="auto"/>
        </w:rPr>
        <w:t xml:space="preserve"> ) if any Slot ceases to be included in the Collateral because it ceases to be actually utilized in connection with the Scheduled Services or any Foreign Gate Leasehold ceases to be included in the Collateral because it ceases to be used for servicing the Scheduled Services relating to the airport at which such Foreign Gate Leasehold is located, such Slot or Foreign Gate Leasehold shall be automatically released from the Lien of this SGR Security Agreement and (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 subject to clause (1) of the first proviso to Section 1 hereof, if any FAA Slot or Foreign Slot now held or hereafter acquired by any Grantor becomes an FAA Route Slot or a Foreign Route Slot, respectively, or any right, title, privilege, interest and authority now held or hereafter acquired by such Grantor in connection with the right to use or occupy space in an airport terminal becomes a Foreign Gate Leasehold, such FAA Slot, Foreign Slot or right, title, privilege, interest and authority shall be automatically subject to the Lien of this SGR Security Agreement.</w:t>
      </w:r>
    </w:p>
    <w:p>
      <w:pPr>
        <w:spacing w:after="0" w:line="179" w:lineRule="exact"/>
        <w:rPr>
          <w:rFonts w:ascii="Arial" w:cs="Arial" w:eastAsia="Arial" w:hAnsi="Arial"/>
          <w:sz w:val="21"/>
          <w:szCs w:val="21"/>
          <w:color w:val="010000"/>
        </w:rPr>
      </w:pPr>
    </w:p>
    <w:p>
      <w:pPr>
        <w:jc w:val="both"/>
        <w:ind w:firstLine="656"/>
        <w:spacing w:after="0" w:line="250" w:lineRule="auto"/>
        <w:tabs>
          <w:tab w:leader="none" w:pos="1256" w:val="left"/>
        </w:tabs>
        <w:numPr>
          <w:ilvl w:val="0"/>
          <w:numId w:val="473"/>
        </w:numPr>
        <w:rPr>
          <w:rFonts w:ascii="Arial" w:cs="Arial" w:eastAsia="Arial" w:hAnsi="Arial"/>
          <w:sz w:val="22"/>
          <w:szCs w:val="22"/>
          <w:color w:val="010000"/>
        </w:rPr>
      </w:pPr>
      <w:r>
        <w:rPr>
          <w:rFonts w:ascii="Arial" w:cs="Arial" w:eastAsia="Arial" w:hAnsi="Arial"/>
          <w:sz w:val="22"/>
          <w:szCs w:val="22"/>
          <w:color w:val="auto"/>
        </w:rPr>
        <w:t>The Liens on any Account Collateral that is withdrawn from any Account (in each case, in compliance with the Credit Agreement) prior to receipt of a Notice of Exclusive Control (as defined in the applicable Account Control Agreement) by the Securities Intermediary or after receipt of a Rescission Notice (as defined in the Account Control Agreement) by the Securities Intermediary shall be automatically released upon such withdrawal.</w:t>
      </w:r>
    </w:p>
    <w:p>
      <w:pPr>
        <w:spacing w:after="0" w:line="187" w:lineRule="exact"/>
        <w:rPr>
          <w:rFonts w:ascii="Arial" w:cs="Arial" w:eastAsia="Arial" w:hAnsi="Arial"/>
          <w:sz w:val="22"/>
          <w:szCs w:val="22"/>
          <w:color w:val="010000"/>
        </w:rPr>
      </w:pPr>
    </w:p>
    <w:p>
      <w:pPr>
        <w:jc w:val="both"/>
        <w:ind w:firstLine="656"/>
        <w:spacing w:after="0" w:line="290" w:lineRule="auto"/>
        <w:tabs>
          <w:tab w:leader="none" w:pos="1374" w:val="left"/>
        </w:tabs>
        <w:numPr>
          <w:ilvl w:val="0"/>
          <w:numId w:val="473"/>
        </w:numPr>
        <w:rPr>
          <w:rFonts w:ascii="Arial" w:cs="Arial" w:eastAsia="Arial" w:hAnsi="Arial"/>
          <w:sz w:val="19"/>
          <w:szCs w:val="19"/>
          <w:color w:val="010000"/>
        </w:rPr>
      </w:pPr>
      <w:r>
        <w:rPr>
          <w:rFonts w:ascii="Arial" w:cs="Arial" w:eastAsia="Arial" w:hAnsi="Arial"/>
          <w:sz w:val="19"/>
          <w:szCs w:val="19"/>
          <w:color w:val="010000"/>
        </w:rPr>
        <w:t>Upon the release of any Grantor from its guarantee of the Obligations pursuant to Section 9.05 of the Credit Agreement, such Grantor shall cease to be a Grantor hereunder and the items of Collateral owned by such Grantor shall be released from the Lien and security interest granted hereby, and in connection therewith, the Collateral Agent will, at the applicable Grantor’s expense, execute and deliver to such Grantor such documents as it shall reasonably request (without recourse and without any representation or warranty), including, without limitation, any UCC termination statements and any amendment or modification of this SGR Security Agreement pursuant to a SGR Security Agreement Supplement or otherwise, to evidence the release of such Grantor and such Grantor’s Collateral from the Lien and security interest granted hereby and reassignment of all right, title and interest of the Collateral Agent in all of such Grantor’s Collateral to such Grantor.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64" w:name="page365"/>
    <w:bookmarkEnd w:id="364"/>
    <w:p>
      <w:pPr>
        <w:jc w:val="both"/>
        <w:ind w:firstLine="656"/>
        <w:spacing w:after="0" w:line="259" w:lineRule="auto"/>
        <w:tabs>
          <w:tab w:leader="none" w:pos="1269" w:val="left"/>
        </w:tabs>
        <w:numPr>
          <w:ilvl w:val="0"/>
          <w:numId w:val="474"/>
        </w:numPr>
        <w:rPr>
          <w:rFonts w:ascii="Arial" w:cs="Arial" w:eastAsia="Arial" w:hAnsi="Arial"/>
          <w:sz w:val="21"/>
          <w:szCs w:val="21"/>
          <w:color w:val="010000"/>
        </w:rPr>
      </w:pPr>
      <w:r>
        <w:rPr>
          <w:rFonts w:ascii="Arial" w:cs="Arial" w:eastAsia="Arial" w:hAnsi="Arial"/>
          <w:sz w:val="21"/>
          <w:szCs w:val="21"/>
          <w:color w:val="010000"/>
        </w:rPr>
        <w:t>Upon the direction of the Borrower pursuant to and in accordance with Section 6.09(c) of the Credit Agreement, such items of Collateral as may be specified by the Borrower shall be released from the Lien and security interest granted hereby, and in connection therewith, the Collateral Agent will, at the applicable Grantor’s expense, execute and deliver to such Grantor such documents as it shall reasonably request (without recourse and without any representation or warranty), including, without limitation, any UCC termination statements and any amendment or modification of this SGR Security Agreement pursuant to a SGR Security Agreement Supplement or otherwise, to evidence the release of such items of Collateral from the Lien and security interest granted hereby and reassignment of all right, title and interest of the Collateral Agent in all of such Grantor’s specified Collateral to such Grantor.</w:t>
      </w:r>
    </w:p>
    <w:p>
      <w:pPr>
        <w:spacing w:after="0" w:line="183" w:lineRule="exact"/>
        <w:rPr>
          <w:rFonts w:ascii="Arial" w:cs="Arial" w:eastAsia="Arial" w:hAnsi="Arial"/>
          <w:sz w:val="21"/>
          <w:szCs w:val="21"/>
          <w:color w:val="010000"/>
        </w:rPr>
      </w:pPr>
    </w:p>
    <w:p>
      <w:pPr>
        <w:jc w:val="both"/>
        <w:ind w:firstLine="656"/>
        <w:spacing w:after="0" w:line="259" w:lineRule="auto"/>
        <w:tabs>
          <w:tab w:leader="none" w:pos="1345" w:val="left"/>
        </w:tabs>
        <w:numPr>
          <w:ilvl w:val="0"/>
          <w:numId w:val="474"/>
        </w:numPr>
        <w:rPr>
          <w:rFonts w:ascii="Arial" w:cs="Arial" w:eastAsia="Arial" w:hAnsi="Arial"/>
          <w:sz w:val="21"/>
          <w:szCs w:val="21"/>
          <w:color w:val="010000"/>
        </w:rPr>
      </w:pPr>
      <w:r>
        <w:rPr>
          <w:rFonts w:ascii="Arial" w:cs="Arial" w:eastAsia="Arial" w:hAnsi="Arial"/>
          <w:sz w:val="21"/>
          <w:szCs w:val="21"/>
          <w:color w:val="010000"/>
        </w:rPr>
        <w:t xml:space="preserve">If the Borrower or any other Grantor requests release documentation with respect to any Collateral released as provided in this </w:t>
      </w:r>
      <w:r>
        <w:rPr>
          <w:rFonts w:ascii="Arial" w:cs="Arial" w:eastAsia="Arial" w:hAnsi="Arial"/>
          <w:sz w:val="21"/>
          <w:szCs w:val="21"/>
          <w:u w:val="single" w:color="auto"/>
          <w:color w:val="010000"/>
        </w:rPr>
        <w:t>Section 16</w:t>
      </w:r>
      <w:r>
        <w:rPr>
          <w:rFonts w:ascii="Arial" w:cs="Arial" w:eastAsia="Arial" w:hAnsi="Arial"/>
          <w:sz w:val="21"/>
          <w:szCs w:val="21"/>
          <w:color w:val="010000"/>
        </w:rPr>
        <w:t xml:space="preserve"> , including UCC termination statements or other release-related documentation, the Borrower or other Grantor requesting such documentation shall deliver to the Collateral Agent an Officer’s Certificate stating that the release of such Grantor’s respective Collateral that is to be evidenced by such UCC termination statements or other instruments is permitted pursuant to this </w:t>
      </w:r>
      <w:r>
        <w:rPr>
          <w:rFonts w:ascii="Arial" w:cs="Arial" w:eastAsia="Arial" w:hAnsi="Arial"/>
          <w:sz w:val="21"/>
          <w:szCs w:val="21"/>
          <w:u w:val="single" w:color="auto"/>
          <w:color w:val="010000"/>
        </w:rPr>
        <w:t>Section 16</w:t>
      </w:r>
      <w:r>
        <w:rPr>
          <w:rFonts w:ascii="Arial" w:cs="Arial" w:eastAsia="Arial" w:hAnsi="Arial"/>
          <w:sz w:val="21"/>
          <w:szCs w:val="21"/>
          <w:color w:val="010000"/>
        </w:rPr>
        <w:t xml:space="preserve"> and the relevant provisions of the Credit Agreement ( </w:t>
      </w:r>
      <w:r>
        <w:rPr>
          <w:rFonts w:ascii="Arial" w:cs="Arial" w:eastAsia="Arial" w:hAnsi="Arial"/>
          <w:sz w:val="21"/>
          <w:szCs w:val="21"/>
          <w:u w:val="single" w:color="auto"/>
          <w:color w:val="010000"/>
        </w:rPr>
        <w:t>provided</w:t>
      </w:r>
      <w:r>
        <w:rPr>
          <w:rFonts w:ascii="Arial" w:cs="Arial" w:eastAsia="Arial" w:hAnsi="Arial"/>
          <w:sz w:val="21"/>
          <w:szCs w:val="21"/>
          <w:color w:val="010000"/>
        </w:rPr>
        <w:t xml:space="preserve"> that an Officer’s Certificate delivered to the Administrative Agent pursuant to Section 6.09(c) of the Credit Agreement shall be deemed to satisfy the requirements of this </w:t>
      </w:r>
      <w:r>
        <w:rPr>
          <w:rFonts w:ascii="Arial" w:cs="Arial" w:eastAsia="Arial" w:hAnsi="Arial"/>
          <w:sz w:val="21"/>
          <w:szCs w:val="21"/>
          <w:u w:val="single" w:color="auto"/>
          <w:color w:val="010000"/>
        </w:rPr>
        <w:t>clause (g)</w:t>
      </w:r>
      <w:r>
        <w:rPr>
          <w:rFonts w:ascii="Arial" w:cs="Arial" w:eastAsia="Arial" w:hAnsi="Arial"/>
          <w:sz w:val="21"/>
          <w:szCs w:val="21"/>
          <w:color w:val="010000"/>
        </w:rPr>
        <w:t xml:space="preserve"> ). The Collateral Agent shall have no liability whatsoever to any Secured Party as the result of any release of Collateral by it as permitted by this </w:t>
      </w:r>
      <w:r>
        <w:rPr>
          <w:rFonts w:ascii="Arial" w:cs="Arial" w:eastAsia="Arial" w:hAnsi="Arial"/>
          <w:sz w:val="21"/>
          <w:szCs w:val="21"/>
          <w:u w:val="single" w:color="auto"/>
          <w:color w:val="010000"/>
        </w:rPr>
        <w:t>Section 16</w:t>
      </w:r>
      <w:r>
        <w:rPr>
          <w:rFonts w:ascii="Arial" w:cs="Arial" w:eastAsia="Arial" w:hAnsi="Arial"/>
          <w:sz w:val="21"/>
          <w:szCs w:val="21"/>
          <w:color w:val="010000"/>
        </w:rPr>
        <w:t xml:space="preserve"> .</w:t>
      </w:r>
    </w:p>
    <w:p>
      <w:pPr>
        <w:spacing w:after="0" w:line="22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17.Definitions; Rules of Interpretation.</w:t>
      </w:r>
    </w:p>
    <w:p>
      <w:pPr>
        <w:spacing w:after="0" w:line="220" w:lineRule="exact"/>
        <w:rPr>
          <w:sz w:val="20"/>
          <w:szCs w:val="20"/>
          <w:color w:val="auto"/>
        </w:rPr>
      </w:pPr>
    </w:p>
    <w:p>
      <w:pPr>
        <w:ind w:left="1300" w:right="3740" w:hanging="644"/>
        <w:spacing w:after="0" w:line="519" w:lineRule="auto"/>
        <w:tabs>
          <w:tab w:leader="none" w:pos="1216" w:val="left"/>
        </w:tabs>
        <w:numPr>
          <w:ilvl w:val="0"/>
          <w:numId w:val="475"/>
        </w:numPr>
        <w:rPr>
          <w:rFonts w:ascii="Arial" w:cs="Arial" w:eastAsia="Arial" w:hAnsi="Arial"/>
          <w:sz w:val="19"/>
          <w:szCs w:val="19"/>
          <w:color w:val="010000"/>
        </w:rPr>
      </w:pP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 The following terms shall have the following meanings: “ </w:t>
      </w:r>
      <w:r>
        <w:rPr>
          <w:rFonts w:ascii="Arial" w:cs="Arial" w:eastAsia="Arial" w:hAnsi="Arial"/>
          <w:sz w:val="19"/>
          <w:szCs w:val="19"/>
          <w:u w:val="single" w:color="auto"/>
          <w:color w:val="auto"/>
        </w:rPr>
        <w:t>Account</w:t>
      </w:r>
      <w:r>
        <w:rPr>
          <w:rFonts w:ascii="Arial" w:cs="Arial" w:eastAsia="Arial" w:hAnsi="Arial"/>
          <w:sz w:val="19"/>
          <w:szCs w:val="19"/>
          <w:color w:val="auto"/>
        </w:rPr>
        <w:t xml:space="preserve"> ” shall have the meaning provided in the recitals hereof.</w:t>
      </w:r>
    </w:p>
    <w:p>
      <w:pPr>
        <w:ind w:left="1300"/>
        <w:spacing w:after="0"/>
        <w:rPr>
          <w:rFonts w:ascii="Arial" w:cs="Arial" w:eastAsia="Arial" w:hAnsi="Arial"/>
          <w:sz w:val="19"/>
          <w:szCs w:val="19"/>
          <w:color w:val="010000"/>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Account Collateral</w:t>
      </w:r>
      <w:r>
        <w:rPr>
          <w:rFonts w:ascii="Arial" w:cs="Arial" w:eastAsia="Arial" w:hAnsi="Arial"/>
          <w:sz w:val="22"/>
          <w:szCs w:val="22"/>
          <w:color w:val="auto"/>
        </w:rPr>
        <w:t xml:space="preserve"> ” shall have the meaning provided in </w:t>
      </w:r>
      <w:r>
        <w:rPr>
          <w:rFonts w:ascii="Arial" w:cs="Arial" w:eastAsia="Arial" w:hAnsi="Arial"/>
          <w:sz w:val="22"/>
          <w:szCs w:val="22"/>
          <w:u w:val="single" w:color="auto"/>
          <w:color w:val="auto"/>
        </w:rPr>
        <w:t>Section 1(b)</w:t>
      </w:r>
      <w:r>
        <w:rPr>
          <w:rFonts w:ascii="Arial" w:cs="Arial" w:eastAsia="Arial" w:hAnsi="Arial"/>
          <w:sz w:val="22"/>
          <w:szCs w:val="22"/>
          <w:color w:val="auto"/>
        </w:rPr>
        <w:t xml:space="preserve"> hereof.</w:t>
      </w:r>
    </w:p>
    <w:p>
      <w:pPr>
        <w:spacing w:after="0" w:line="219" w:lineRule="exact"/>
        <w:rPr>
          <w:rFonts w:ascii="Arial" w:cs="Arial" w:eastAsia="Arial" w:hAnsi="Arial"/>
          <w:sz w:val="19"/>
          <w:szCs w:val="19"/>
          <w:color w:val="010000"/>
        </w:rPr>
      </w:pPr>
    </w:p>
    <w:p>
      <w:pPr>
        <w:ind w:left="1300" w:right="2120"/>
        <w:spacing w:after="0" w:line="519" w:lineRule="auto"/>
        <w:rPr>
          <w:rFonts w:ascii="Arial" w:cs="Arial" w:eastAsia="Arial" w:hAnsi="Arial"/>
          <w:sz w:val="19"/>
          <w:szCs w:val="19"/>
          <w:color w:val="010000"/>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 Control Agreement</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Additional Agent</w:t>
      </w:r>
      <w:r>
        <w:rPr>
          <w:rFonts w:ascii="Arial" w:cs="Arial" w:eastAsia="Arial" w:hAnsi="Arial"/>
          <w:sz w:val="19"/>
          <w:szCs w:val="19"/>
          <w:color w:val="auto"/>
        </w:rPr>
        <w:t xml:space="preserve"> ” shall have the meaning provided in the Intercreditor Agreement.</w:t>
      </w:r>
    </w:p>
    <w:p>
      <w:pPr>
        <w:ind w:left="1300"/>
        <w:spacing w:after="0"/>
        <w:rPr>
          <w:rFonts w:ascii="Arial" w:cs="Arial" w:eastAsia="Arial" w:hAnsi="Arial"/>
          <w:sz w:val="19"/>
          <w:szCs w:val="19"/>
          <w:color w:val="010000"/>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Collateral Documents</w:t>
      </w:r>
      <w:r>
        <w:rPr>
          <w:rFonts w:ascii="Arial" w:cs="Arial" w:eastAsia="Arial" w:hAnsi="Arial"/>
          <w:sz w:val="22"/>
          <w:szCs w:val="22"/>
          <w:color w:val="auto"/>
        </w:rPr>
        <w:t xml:space="preserve"> ” shall have the meaning provided in the Intercreditor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65" w:name="page366"/>
    <w:bookmarkEnd w:id="365"/>
    <w:p>
      <w:pPr>
        <w:ind w:left="640" w:right="420"/>
        <w:spacing w:after="0" w:line="46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Additional Credit Facility Secured Parties</w:t>
      </w:r>
      <w:r>
        <w:rPr>
          <w:rFonts w:ascii="Arial" w:cs="Arial" w:eastAsia="Arial" w:hAnsi="Arial"/>
          <w:sz w:val="21"/>
          <w:szCs w:val="21"/>
          <w:color w:val="auto"/>
        </w:rPr>
        <w:t xml:space="preserve"> ” shall have the meaning provided in the Intercreditor Agreement. “ </w:t>
      </w:r>
      <w:r>
        <w:rPr>
          <w:rFonts w:ascii="Arial" w:cs="Arial" w:eastAsia="Arial" w:hAnsi="Arial"/>
          <w:sz w:val="21"/>
          <w:szCs w:val="21"/>
          <w:u w:val="single" w:color="auto"/>
          <w:color w:val="auto"/>
        </w:rPr>
        <w:t>Additional Obligations</w:t>
      </w:r>
      <w:r>
        <w:rPr>
          <w:rFonts w:ascii="Arial" w:cs="Arial" w:eastAsia="Arial" w:hAnsi="Arial"/>
          <w:sz w:val="21"/>
          <w:szCs w:val="21"/>
          <w:color w:val="auto"/>
        </w:rPr>
        <w:t xml:space="preserve"> ” shall have the meaning provided in the Intercreditor Agreement.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Airport Authority</w:t>
      </w:r>
      <w:r>
        <w:rPr>
          <w:rFonts w:ascii="Arial" w:cs="Arial" w:eastAsia="Arial" w:hAnsi="Arial"/>
          <w:sz w:val="19"/>
          <w:szCs w:val="19"/>
          <w:color w:val="auto"/>
        </w:rPr>
        <w:t xml:space="preserve"> ” shall mean any city or any public or private board or other body or organization chartered or otherwise established for the purpose of administering, operating or managing an airport or related facilities.</w:t>
      </w:r>
    </w:p>
    <w:p>
      <w:pPr>
        <w:spacing w:after="0" w:line="10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Banking Product Provider</w:t>
      </w:r>
      <w:r>
        <w:rPr>
          <w:rFonts w:ascii="Arial" w:cs="Arial" w:eastAsia="Arial" w:hAnsi="Arial"/>
          <w:sz w:val="22"/>
          <w:szCs w:val="22"/>
          <w:color w:val="auto"/>
        </w:rPr>
        <w:t xml:space="preserve"> ” shall mean any Person that has entered into a Designated Banking Product Agreement with Parent or the Grantor.</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Bankruptcy Case</w:t>
      </w:r>
      <w:r>
        <w:rPr>
          <w:rFonts w:ascii="Arial" w:cs="Arial" w:eastAsia="Arial" w:hAnsi="Arial"/>
          <w:sz w:val="19"/>
          <w:szCs w:val="19"/>
          <w:color w:val="auto"/>
        </w:rPr>
        <w:t xml:space="preserve"> ” shall mean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pursuant to or within the meaning of Bankruptcy Law,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a voluntary case commenced by Parent or any of its Subsidiaries,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an involuntary case in which Parent or any of its Subsidiaries consent to the entry of an order for relief against it,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an appointment consented to by Parent or any of its Subsidiaries of a custodian of it or for all or substantially all of its property, (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 the making of a general assignment for the benefit of its creditors by Parent or any of its Subsidiaries or ( </w:t>
      </w:r>
      <w:r>
        <w:rPr>
          <w:rFonts w:ascii="Arial" w:cs="Arial" w:eastAsia="Arial" w:hAnsi="Arial"/>
          <w:sz w:val="19"/>
          <w:szCs w:val="19"/>
          <w:u w:val="single" w:color="auto"/>
          <w:color w:val="auto"/>
        </w:rPr>
        <w:t>v</w:t>
      </w:r>
      <w:r>
        <w:rPr>
          <w:rFonts w:ascii="Arial" w:cs="Arial" w:eastAsia="Arial" w:hAnsi="Arial"/>
          <w:sz w:val="19"/>
          <w:szCs w:val="19"/>
          <w:color w:val="auto"/>
        </w:rPr>
        <w:t xml:space="preserve"> ) the admission in writing of Parent’s or any of its Subsidiaries’ inability generally to pay its debts or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an order or decree under any Bankruptcy Law entered by a court of competent jurisdiction that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is for relief against Parent or any of its Subsidiaries in an involuntary case,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appoints a custodian of Parent or any of its Subsidiaries for all or substantially all of the property of Parent or any of its Subsidiaries,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orders the liquidation of Parent or any of its Subsidiaries, and in each case of this clause (b) the order or decree remains unstayed and in effect for 60 consecutive days.</w:t>
      </w:r>
    </w:p>
    <w:p>
      <w:pPr>
        <w:spacing w:after="0" w:line="200" w:lineRule="exact"/>
        <w:rPr>
          <w:sz w:val="20"/>
          <w:szCs w:val="20"/>
          <w:color w:val="auto"/>
        </w:rPr>
      </w:pPr>
    </w:p>
    <w:p>
      <w:pPr>
        <w:spacing w:after="0" w:line="213" w:lineRule="exact"/>
        <w:rPr>
          <w:sz w:val="20"/>
          <w:szCs w:val="20"/>
          <w:color w:val="auto"/>
        </w:rPr>
      </w:pPr>
    </w:p>
    <w:p>
      <w:pPr>
        <w:jc w:val="both"/>
        <w:ind w:left="640" w:right="306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Bankruptcy Code</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Bankruptcy Law</w:t>
      </w:r>
      <w:r>
        <w:rPr>
          <w:rFonts w:ascii="Arial" w:cs="Arial" w:eastAsia="Arial" w:hAnsi="Arial"/>
          <w:sz w:val="19"/>
          <w:szCs w:val="19"/>
          <w:color w:val="auto"/>
        </w:rPr>
        <w:t xml:space="preserve"> ” shall have the meaning provided in the Credit Agreement.</w:t>
      </w:r>
    </w:p>
    <w:p>
      <w:pPr>
        <w:ind w:firstLine="648"/>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 shall mean any day other than a Saturday, a Sunday or a day on which banking institutions in the City of New York or at a place of payment are authorized by law, regulation or executive order to remain closed.</w:t>
      </w:r>
    </w:p>
    <w:p>
      <w:pPr>
        <w:spacing w:after="0" w:line="104" w:lineRule="exact"/>
        <w:rPr>
          <w:sz w:val="20"/>
          <w:szCs w:val="20"/>
          <w:color w:val="auto"/>
        </w:rPr>
      </w:pPr>
    </w:p>
    <w:p>
      <w:pPr>
        <w:ind w:left="640" w:right="3400"/>
        <w:spacing w:after="0" w:line="58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 Stock</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 shall have the meaning provided in Section 1 hereof.</w:t>
      </w:r>
    </w:p>
    <w:p>
      <w:pPr>
        <w:spacing w:after="0" w:line="200" w:lineRule="exact"/>
        <w:rPr>
          <w:sz w:val="20"/>
          <w:szCs w:val="20"/>
          <w:color w:val="auto"/>
        </w:rPr>
      </w:pPr>
    </w:p>
    <w:p>
      <w:pPr>
        <w:spacing w:after="0" w:line="33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366" w:name="page367"/>
    <w:bookmarkEnd w:id="366"/>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 shall have the meaning provided in the preamble hereof.</w:t>
      </w:r>
    </w:p>
    <w:p>
      <w:pPr>
        <w:spacing w:after="0" w:line="219" w:lineRule="exact"/>
        <w:rPr>
          <w:sz w:val="20"/>
          <w:szCs w:val="20"/>
          <w:color w:val="auto"/>
        </w:rPr>
      </w:pPr>
    </w:p>
    <w:p>
      <w:pPr>
        <w:ind w:left="640" w:right="26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 shall have the meaning provided in the Credit Agreement.</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 shall have the meaning provided in the recitals hereof.</w:t>
      </w:r>
    </w:p>
    <w:p>
      <w:pPr>
        <w:spacing w:after="0" w:line="219" w:lineRule="exact"/>
        <w:rPr>
          <w:sz w:val="20"/>
          <w:szCs w:val="20"/>
          <w:color w:val="auto"/>
        </w:rPr>
      </w:pPr>
    </w:p>
    <w:p>
      <w:pPr>
        <w:ind w:left="640" w:right="10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Designated Banking Product Agreement</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Designated Hedging Agreement</w:t>
      </w:r>
      <w:r>
        <w:rPr>
          <w:rFonts w:ascii="Arial" w:cs="Arial" w:eastAsia="Arial" w:hAnsi="Arial"/>
          <w:sz w:val="19"/>
          <w:szCs w:val="19"/>
          <w:color w:val="auto"/>
        </w:rPr>
        <w:t xml:space="preserve"> ” shall have the meaning provided in the Credit Agreement.</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Designated Service</w:t>
      </w:r>
      <w:r>
        <w:rPr>
          <w:rFonts w:ascii="Arial" w:cs="Arial" w:eastAsia="Arial" w:hAnsi="Arial"/>
          <w:sz w:val="22"/>
          <w:szCs w:val="22"/>
          <w:color w:val="auto"/>
        </w:rPr>
        <w:t xml:space="preserve"> ” shall have the meaning provided in Section 6(a) hereof.</w:t>
      </w:r>
    </w:p>
    <w:p>
      <w:pPr>
        <w:spacing w:after="0" w:line="219" w:lineRule="exact"/>
        <w:rPr>
          <w:sz w:val="20"/>
          <w:szCs w:val="20"/>
          <w:color w:val="auto"/>
        </w:rPr>
      </w:pPr>
    </w:p>
    <w:p>
      <w:pPr>
        <w:ind w:left="640" w:right="8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Discharge of Additional Obligations</w:t>
      </w:r>
      <w:r>
        <w:rPr>
          <w:rFonts w:ascii="Arial" w:cs="Arial" w:eastAsia="Arial" w:hAnsi="Arial"/>
          <w:sz w:val="19"/>
          <w:szCs w:val="19"/>
          <w:color w:val="auto"/>
        </w:rPr>
        <w:t xml:space="preserve"> ” shall have the meaning provided in the Intercreditor Agreement. “ </w:t>
      </w:r>
      <w:r>
        <w:rPr>
          <w:rFonts w:ascii="Arial" w:cs="Arial" w:eastAsia="Arial" w:hAnsi="Arial"/>
          <w:sz w:val="19"/>
          <w:szCs w:val="19"/>
          <w:u w:val="single" w:color="auto"/>
          <w:color w:val="auto"/>
        </w:rPr>
        <w:t>DOT</w:t>
      </w:r>
      <w:r>
        <w:rPr>
          <w:rFonts w:ascii="Arial" w:cs="Arial" w:eastAsia="Arial" w:hAnsi="Arial"/>
          <w:sz w:val="19"/>
          <w:szCs w:val="19"/>
          <w:color w:val="auto"/>
        </w:rPr>
        <w:t xml:space="preserve"> ” shall mean the United States Department of Transportation and any successor thereto.</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FAA</w:t>
      </w:r>
      <w:r>
        <w:rPr>
          <w:rFonts w:ascii="Arial" w:cs="Arial" w:eastAsia="Arial" w:hAnsi="Arial"/>
          <w:sz w:val="22"/>
          <w:szCs w:val="22"/>
          <w:color w:val="auto"/>
        </w:rPr>
        <w:t xml:space="preserve"> ” shall mean the United States Federal Aviation Administration and any successor thereto.</w:t>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FAA Route Slot</w:t>
      </w:r>
      <w:r>
        <w:rPr>
          <w:rFonts w:ascii="Arial" w:cs="Arial" w:eastAsia="Arial" w:hAnsi="Arial"/>
          <w:sz w:val="21"/>
          <w:szCs w:val="21"/>
          <w:color w:val="auto"/>
        </w:rPr>
        <w:t xml:space="preserve"> ” shall mean, at any time of determination, any FAA Slot of such Grantor at any airport in the United States that is an origin and/or destination point with respect to any Scheduled Service, in each case only to the extent such FAA Slot is being utilized by such Grantor (or any other Grantor on behalf of such Grantor) to provide such Scheduled Service, but in each case excluding any Temporary FAA Slot.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FAA Slot</w:t>
      </w:r>
      <w:r>
        <w:rPr>
          <w:rFonts w:ascii="Arial" w:cs="Arial" w:eastAsia="Arial" w:hAnsi="Arial"/>
          <w:sz w:val="21"/>
          <w:szCs w:val="21"/>
          <w:color w:val="auto"/>
        </w:rPr>
        <w:t xml:space="preserve"> ”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367" w:name="page368"/>
    <w:bookmarkEnd w:id="367"/>
    <w:p>
      <w:pPr>
        <w:jc w:val="both"/>
        <w:ind w:firstLine="648"/>
        <w:spacing w:after="0" w:line="260"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Aviation Authority</w:t>
      </w:r>
      <w:r>
        <w:rPr>
          <w:rFonts w:ascii="Arial" w:cs="Arial" w:eastAsia="Arial" w:hAnsi="Arial"/>
          <w:sz w:val="22"/>
          <w:szCs w:val="22"/>
          <w:color w:val="auto"/>
        </w:rPr>
        <w:t xml:space="preserve"> ” shall mean any non-U.S. governmental, quasi</w:t>
      </w:r>
      <w:r>
        <w:rPr>
          <w:rFonts w:ascii="MS PGothic" w:cs="MS PGothic" w:eastAsia="MS PGothic" w:hAnsi="MS PGothic"/>
          <w:sz w:val="22"/>
          <w:szCs w:val="22"/>
          <w:color w:val="auto"/>
        </w:rPr>
        <w:t>‑</w:t>
      </w:r>
      <w:r>
        <w:rPr>
          <w:rFonts w:ascii="Arial" w:cs="Arial" w:eastAsia="Arial" w:hAnsi="Arial"/>
          <w:sz w:val="22"/>
          <w:szCs w:val="22"/>
          <w:color w:val="auto"/>
        </w:rPr>
        <w:t xml:space="preserve">governmental, regulatory or other agency, public corporation or private entity that exercises jurisdiction over the issuance or authorization ( </w:t>
      </w:r>
      <w:r>
        <w:rPr>
          <w:rFonts w:ascii="Arial" w:cs="Arial" w:eastAsia="Arial" w:hAnsi="Arial"/>
          <w:sz w:val="22"/>
          <w:szCs w:val="22"/>
          <w:u w:val="single" w:color="auto"/>
          <w:color w:val="auto"/>
        </w:rPr>
        <w:t>i</w:t>
      </w:r>
      <w:r>
        <w:rPr>
          <w:rFonts w:ascii="Arial" w:cs="Arial" w:eastAsia="Arial" w:hAnsi="Arial"/>
          <w:sz w:val="22"/>
          <w:szCs w:val="22"/>
          <w:color w:val="auto"/>
        </w:rPr>
        <w:t xml:space="preserve"> ) to serve any non-U.S. point on any Scheduled Service that any Grantor is serving at any time and/or to conduct operations related to any Scheduled Service and Foreign Gate Leaseholds at any time and/or (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 to hold and operate any Foreign Route Slots at any time.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Gate Leasehold</w:t>
      </w:r>
      <w:r>
        <w:rPr>
          <w:rFonts w:ascii="Arial" w:cs="Arial" w:eastAsia="Arial" w:hAnsi="Arial"/>
          <w:sz w:val="22"/>
          <w:szCs w:val="22"/>
          <w:color w:val="auto"/>
        </w:rPr>
        <w:t xml:space="preserve"> ” shall mean, at any time of determination, all of the right, title, privilege, interest and authority of a Grantor to use or occupy space in an airport terminal at any airport outside the United States, that is an origin and/or destination point with respect to any Scheduled Service, in each case only to the extent necessary for such Grantor to provide such Scheduled Service.</w:t>
      </w:r>
    </w:p>
    <w:p>
      <w:pPr>
        <w:spacing w:after="0" w:line="18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Foreign Route Slot</w:t>
      </w:r>
      <w:r>
        <w:rPr>
          <w:rFonts w:ascii="Arial" w:cs="Arial" w:eastAsia="Arial" w:hAnsi="Arial"/>
          <w:sz w:val="21"/>
          <w:szCs w:val="21"/>
          <w:color w:val="auto"/>
        </w:rPr>
        <w:t xml:space="preserve"> ” shall mean, at any time of determination, any Foreign Slot of a Grantor at any airport outside the United States, that is an origin and/or destination point with respect to any Scheduled Service, in each case only to the extent such Foreign Slot is being utilized by such Grantor (or any other Grantor on behalf of such Grantor) to provide such Scheduled Service, but in each case excluding any Temporary Foreign Slot.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Slot</w:t>
      </w:r>
      <w:r>
        <w:rPr>
          <w:rFonts w:ascii="Arial" w:cs="Arial" w:eastAsia="Arial" w:hAnsi="Arial"/>
          <w:sz w:val="22"/>
          <w:szCs w:val="22"/>
          <w:color w:val="auto"/>
        </w:rPr>
        <w:t xml:space="preserve"> ” shall mean, at any time of determination, in the case of airports outside the United States, the right and operational authority to conduct one landing or take-off operation at a specific time or during a specific time period at such airport.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General Intangible</w:t>
      </w:r>
      <w:r>
        <w:rPr>
          <w:rFonts w:ascii="Arial" w:cs="Arial" w:eastAsia="Arial" w:hAnsi="Arial"/>
          <w:sz w:val="22"/>
          <w:szCs w:val="22"/>
          <w:color w:val="auto"/>
        </w:rPr>
        <w:t xml:space="preserve"> ” shall have the meaning provided in the NY UCC.</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xml:space="preserve"> ” shall mean the government of the United States of America, any other nation or any political subdivision thereof, whether state or local, and any agency (including without limitation the DOT and the FAA), authority, instrumentality, regulatory body, court, central bank organization, or other entity exercising executive, legislative, judicial, taxing or regulatory powers or functions of or pertaining to government (including any supra-national bodies such as the European Union). Governmental Authority shall not include any Person in its capacity as an Airport Authority.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Grantor</w:t>
      </w:r>
      <w:r>
        <w:rPr>
          <w:rFonts w:ascii="Arial" w:cs="Arial" w:eastAsia="Arial" w:hAnsi="Arial"/>
          <w:sz w:val="22"/>
          <w:szCs w:val="22"/>
          <w:color w:val="auto"/>
        </w:rPr>
        <w:t xml:space="preserve"> ” shall have the meaning provided in the preamble hereof.</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Hedging Provider</w:t>
      </w:r>
      <w:r>
        <w:rPr>
          <w:rFonts w:ascii="Arial" w:cs="Arial" w:eastAsia="Arial" w:hAnsi="Arial"/>
          <w:sz w:val="22"/>
          <w:szCs w:val="22"/>
          <w:color w:val="auto"/>
        </w:rPr>
        <w:t xml:space="preserve"> ” shall mean any Person that has entered into a Designated Hedging Agreement with Parent or the Grantor.</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xml:space="preserve"> ” shall have the meaning provided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368" w:name="page369"/>
    <w:bookmarkEnd w:id="368"/>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Joinder Agreement</w:t>
      </w:r>
      <w:r>
        <w:rPr>
          <w:rFonts w:ascii="Arial" w:cs="Arial" w:eastAsia="Arial" w:hAnsi="Arial"/>
          <w:sz w:val="22"/>
          <w:szCs w:val="22"/>
          <w:color w:val="auto"/>
        </w:rPr>
        <w:t xml:space="preserve"> ” shall mean a Joinder Agreement to this SGR Security Agreement,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 shall have the meaning provided in the recitals hereof.</w:t>
      </w:r>
    </w:p>
    <w:p>
      <w:pPr>
        <w:spacing w:after="0" w:line="219" w:lineRule="exact"/>
        <w:rPr>
          <w:sz w:val="20"/>
          <w:szCs w:val="20"/>
          <w:color w:val="auto"/>
        </w:rPr>
      </w:pPr>
    </w:p>
    <w:p>
      <w:pPr>
        <w:ind w:left="640" w:right="322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Liens</w:t>
      </w:r>
      <w:r>
        <w:rPr>
          <w:rFonts w:ascii="Arial" w:cs="Arial" w:eastAsia="Arial" w:hAnsi="Arial"/>
          <w:sz w:val="19"/>
          <w:szCs w:val="19"/>
          <w:color w:val="auto"/>
        </w:rPr>
        <w:t xml:space="preserve"> ” shall have the meaning provided in the Credit Agreement.</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Non-Lender Secured Parties</w:t>
      </w:r>
      <w:r>
        <w:rPr>
          <w:rFonts w:ascii="Arial" w:cs="Arial" w:eastAsia="Arial" w:hAnsi="Arial"/>
          <w:sz w:val="19"/>
          <w:szCs w:val="19"/>
          <w:color w:val="auto"/>
        </w:rPr>
        <w:t xml:space="preserve"> ” shall mean, collectively, all Banking Product Providers and Hedging Providers and their respective successors, assigns and transferees. For the avoidance of doubt, “Non-Lender Secured Parties” shall exclude Banking Product Providers and Hedging Providers in their capacities as Lenders, if applicable.</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NY UCC</w:t>
      </w:r>
      <w:r>
        <w:rPr>
          <w:rFonts w:ascii="Arial" w:cs="Arial" w:eastAsia="Arial" w:hAnsi="Arial"/>
          <w:sz w:val="19"/>
          <w:szCs w:val="19"/>
          <w:color w:val="auto"/>
        </w:rPr>
        <w:t xml:space="preserve"> ” shall mean the Uniform Commercial Code, as in effect in the state of New York from time to time.</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Obligations</w:t>
      </w:r>
      <w:r>
        <w:rPr>
          <w:rFonts w:ascii="Arial" w:cs="Arial" w:eastAsia="Arial" w:hAnsi="Arial"/>
          <w:sz w:val="22"/>
          <w:szCs w:val="22"/>
          <w:color w:val="auto"/>
        </w:rPr>
        <w:t xml:space="preserve"> ” shall have the meaning provided in the Credit Agreement. For the avoidance of doubt, “Obligations” does not include any Indebtedness or other obligations under any Pari Passu Notes (as defined in the Credit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right="1940"/>
        <w:spacing w:after="0" w:line="4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Other Intercreditor Agreement</w:t>
      </w:r>
      <w:r>
        <w:rPr>
          <w:rFonts w:ascii="Arial" w:cs="Arial" w:eastAsia="Arial" w:hAnsi="Arial"/>
          <w:sz w:val="22"/>
          <w:szCs w:val="22"/>
          <w:color w:val="auto"/>
        </w:rPr>
        <w:t xml:space="preserve"> ” shall have the meaning provided in the Credit Agreement. “ </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 shall have the meaning provided in the recitals hereof.</w:t>
      </w:r>
    </w:p>
    <w:p>
      <w:pPr>
        <w:ind w:left="640" w:right="2680"/>
        <w:spacing w:after="0" w:line="58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Permitted Disposition</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 shall have the meaning provided in the Credit Agreement.</w:t>
      </w:r>
    </w:p>
    <w:p>
      <w:pPr>
        <w:spacing w:after="0" w:line="200" w:lineRule="exact"/>
        <w:rPr>
          <w:sz w:val="20"/>
          <w:szCs w:val="20"/>
          <w:color w:val="auto"/>
        </w:rPr>
      </w:pPr>
    </w:p>
    <w:p>
      <w:pPr>
        <w:spacing w:after="0" w:line="33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369" w:name="page370"/>
    <w:bookmarkEnd w:id="369"/>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Person</w:t>
      </w:r>
      <w:r>
        <w:rPr>
          <w:rFonts w:ascii="Arial" w:cs="Arial" w:eastAsia="Arial" w:hAnsi="Arial"/>
          <w:sz w:val="22"/>
          <w:szCs w:val="22"/>
          <w:color w:val="auto"/>
        </w:rPr>
        <w:t xml:space="preserve"> ” shall mean any person, including any individual, corporation, partnership, joint venture, association, joint-stock company, trust, unincorporated organization, limited liability company or government or other entity and, for the avoidance of doubt, includes the DOT, the FAA, any Airport Authority, any Foreign Aviation Authority and any other Governmental Authority.</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Pledged Foreign Gate Leaseholds</w:t>
      </w:r>
      <w:r>
        <w:rPr>
          <w:rFonts w:ascii="Arial" w:cs="Arial" w:eastAsia="Arial" w:hAnsi="Arial"/>
          <w:sz w:val="22"/>
          <w:szCs w:val="22"/>
          <w:color w:val="auto"/>
        </w:rPr>
        <w:t xml:space="preserve"> ” shall mean, as of any date, the Foreign Gate Leaseholds included in the Collateral as of such date.</w:t>
      </w:r>
    </w:p>
    <w:p>
      <w:pPr>
        <w:spacing w:after="0" w:line="17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Pledged Route Authorities</w:t>
      </w:r>
      <w:r>
        <w:rPr>
          <w:rFonts w:ascii="Arial" w:cs="Arial" w:eastAsia="Arial" w:hAnsi="Arial"/>
          <w:sz w:val="22"/>
          <w:szCs w:val="22"/>
          <w:color w:val="auto"/>
        </w:rPr>
        <w:t xml:space="preserve"> ” shall mean, as of any date, the Route Authorities included in the Collateral as of such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Pledged Slots</w:t>
      </w:r>
      <w:r>
        <w:rPr>
          <w:rFonts w:ascii="Arial" w:cs="Arial" w:eastAsia="Arial" w:hAnsi="Arial"/>
          <w:sz w:val="22"/>
          <w:szCs w:val="22"/>
          <w:color w:val="auto"/>
        </w:rPr>
        <w:t xml:space="preserve"> ” shall mean, as of any date, the Slots included in the Collateral as of such date.</w:t>
      </w:r>
    </w:p>
    <w:p>
      <w:pPr>
        <w:spacing w:after="0" w:line="21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Proceeds</w:t>
      </w:r>
      <w:r>
        <w:rPr>
          <w:rFonts w:ascii="Arial" w:cs="Arial" w:eastAsia="Arial" w:hAnsi="Arial"/>
          <w:sz w:val="19"/>
          <w:szCs w:val="19"/>
          <w:color w:val="auto"/>
        </w:rPr>
        <w:t xml:space="preserve"> ” shall have the meaning assigned to that term under the NY UCC or under other relevant law and, in any event, shall include, but not be limited to, any and all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proceeds of any insurance, indemnity, warranty or guarantee payable to the Collateral Agent or to any Grantor from time to time with respect to physical damage to any of the Collateral,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payments (in any form whatsoever), made or due and payable to any Grantor from time to time in connection with any requisition, confiscation, condemnation, seizure or forfeiture of all or any part of the Collateral by any Governmental Authority (or any Person acting under color of Governmental Authority), and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instruments representing obligations to pay amounts to any Grantor in respect of the Collateral.</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Requirements</w:t>
      </w:r>
      <w:r>
        <w:rPr>
          <w:rFonts w:ascii="Arial" w:cs="Arial" w:eastAsia="Arial" w:hAnsi="Arial"/>
          <w:sz w:val="22"/>
          <w:szCs w:val="22"/>
          <w:color w:val="auto"/>
        </w:rPr>
        <w:t xml:space="preserve"> ” shall have the meaning provided in Section 7(b) hereof.</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Responsible Officer</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Route Authorities</w:t>
      </w:r>
      <w:r>
        <w:rPr>
          <w:rFonts w:ascii="Arial" w:cs="Arial" w:eastAsia="Arial" w:hAnsi="Arial"/>
          <w:sz w:val="19"/>
          <w:szCs w:val="19"/>
          <w:color w:val="auto"/>
        </w:rPr>
        <w:t xml:space="preserve"> ” shall mean, at any time of determination, any route authority identified in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as such Schedule may be amended or modified from time to time pursuant to </w:t>
      </w:r>
      <w:r>
        <w:rPr>
          <w:rFonts w:ascii="Arial" w:cs="Arial" w:eastAsia="Arial" w:hAnsi="Arial"/>
          <w:sz w:val="19"/>
          <w:szCs w:val="19"/>
          <w:u w:val="single" w:color="auto"/>
          <w:color w:val="auto"/>
        </w:rPr>
        <w:t>Sections 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15</w:t>
      </w:r>
      <w:r>
        <w:rPr>
          <w:rFonts w:ascii="Arial" w:cs="Arial" w:eastAsia="Arial" w:hAnsi="Arial"/>
          <w:sz w:val="19"/>
          <w:szCs w:val="19"/>
          <w:color w:val="auto"/>
        </w:rPr>
        <w:t xml:space="preserve"> hereof or any SGR Security Agreement Supplement, as applicable, as the route authority with respect to any additional Scheduled Service being designated by this SGR Security Agreement or such SGR Security Agreement Supplement, as applicable, and “ </w:t>
      </w:r>
      <w:r>
        <w:rPr>
          <w:rFonts w:ascii="Arial" w:cs="Arial" w:eastAsia="Arial" w:hAnsi="Arial"/>
          <w:sz w:val="19"/>
          <w:szCs w:val="19"/>
          <w:u w:val="single" w:color="auto"/>
          <w:color w:val="auto"/>
        </w:rPr>
        <w:t>Route Authority</w:t>
      </w:r>
      <w:r>
        <w:rPr>
          <w:rFonts w:ascii="Arial" w:cs="Arial" w:eastAsia="Arial" w:hAnsi="Arial"/>
          <w:sz w:val="19"/>
          <w:szCs w:val="19"/>
          <w:color w:val="auto"/>
        </w:rPr>
        <w:t xml:space="preserve"> ” shall mean any of such route authorities as the context requires, in each case whether or not such route authority is utilized at such time by a Grantor and including, without limitation, any other route authority held by a Grantor pursuant to certificates, orders, notices and approvals issued to a Grantor from time to time, but in each case solely to the extent relating to such route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370" w:name="page371"/>
    <w:bookmarkEnd w:id="370"/>
    <w:p>
      <w:pPr>
        <w:jc w:val="both"/>
        <w:ind w:firstLine="648"/>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Scheduled Services</w:t>
      </w:r>
      <w:r>
        <w:rPr>
          <w:rFonts w:ascii="Arial" w:cs="Arial" w:eastAsia="Arial" w:hAnsi="Arial"/>
          <w:sz w:val="22"/>
          <w:szCs w:val="22"/>
          <w:color w:val="auto"/>
        </w:rPr>
        <w:t xml:space="preserve"> ” shall mean, at any time of determination, (i) each non-stop scheduled air carrier service being operated by a Grantor, in each case, as identified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 (as such Schedule may be amended or modified from time to time pursuant to </w:t>
      </w:r>
      <w:r>
        <w:rPr>
          <w:rFonts w:ascii="Arial" w:cs="Arial" w:eastAsia="Arial" w:hAnsi="Arial"/>
          <w:sz w:val="22"/>
          <w:szCs w:val="22"/>
          <w:u w:val="single" w:color="auto"/>
          <w:color w:val="auto"/>
        </w:rPr>
        <w:t>Sections 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15</w:t>
      </w:r>
      <w:r>
        <w:rPr>
          <w:rFonts w:ascii="Arial" w:cs="Arial" w:eastAsia="Arial" w:hAnsi="Arial"/>
          <w:sz w:val="22"/>
          <w:szCs w:val="22"/>
          <w:color w:val="auto"/>
        </w:rPr>
        <w:t xml:space="preserve"> hereof) and (ii) any other non-stop scheduled air carrier service being operated by a Grantor at such time that has been designated as an additional “Scheduled Service” pursuant to any SGR Security Agreement Supplement, and “Scheduled Service” shall mean any of such Scheduled Services as the context requires.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Secured Parties</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right="90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 Intermediary</w:t>
      </w:r>
      <w:r>
        <w:rPr>
          <w:rFonts w:ascii="Arial" w:cs="Arial" w:eastAsia="Arial" w:hAnsi="Arial"/>
          <w:sz w:val="19"/>
          <w:szCs w:val="19"/>
          <w:color w:val="auto"/>
        </w:rPr>
        <w:t xml:space="preserve"> ” shall mean Citibank N.A., together with its successors and permitted assigns. “ </w:t>
      </w:r>
      <w:r>
        <w:rPr>
          <w:rFonts w:ascii="Arial" w:cs="Arial" w:eastAsia="Arial" w:hAnsi="Arial"/>
          <w:sz w:val="19"/>
          <w:szCs w:val="19"/>
          <w:u w:val="single" w:color="auto"/>
          <w:color w:val="auto"/>
        </w:rPr>
        <w:t>Senior Priority Obligations</w:t>
      </w:r>
      <w:r>
        <w:rPr>
          <w:rFonts w:ascii="Arial" w:cs="Arial" w:eastAsia="Arial" w:hAnsi="Arial"/>
          <w:sz w:val="19"/>
          <w:szCs w:val="19"/>
          <w:color w:val="auto"/>
        </w:rPr>
        <w:t xml:space="preserve"> ” shall have the meaning provided in the Intercreditor Agreement.</w:t>
      </w:r>
    </w:p>
    <w:p>
      <w:pPr>
        <w:ind w:left="640" w:right="142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Priority Representative</w:t>
      </w:r>
      <w:r>
        <w:rPr>
          <w:rFonts w:ascii="Arial" w:cs="Arial" w:eastAsia="Arial" w:hAnsi="Arial"/>
          <w:sz w:val="19"/>
          <w:szCs w:val="19"/>
          <w:color w:val="auto"/>
        </w:rPr>
        <w:t xml:space="preserve"> ” shall have the meaning provided in the Intercreditor Agreement. “ </w:t>
      </w:r>
      <w:r>
        <w:rPr>
          <w:rFonts w:ascii="Arial" w:cs="Arial" w:eastAsia="Arial" w:hAnsi="Arial"/>
          <w:sz w:val="19"/>
          <w:szCs w:val="19"/>
          <w:u w:val="single" w:color="auto"/>
          <w:color w:val="auto"/>
        </w:rPr>
        <w:t>SGR Security Agreement</w:t>
      </w:r>
      <w:r>
        <w:rPr>
          <w:rFonts w:ascii="Arial" w:cs="Arial" w:eastAsia="Arial" w:hAnsi="Arial"/>
          <w:sz w:val="19"/>
          <w:szCs w:val="19"/>
          <w:color w:val="auto"/>
        </w:rPr>
        <w:t xml:space="preserve"> ” shall have the meaning provided in the preamble hereof.</w:t>
      </w:r>
    </w:p>
    <w:p>
      <w:pPr>
        <w:ind w:left="640" w:right="150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SGR Security Agreement Supplement</w:t>
      </w:r>
      <w:r>
        <w:rPr>
          <w:rFonts w:ascii="Arial" w:cs="Arial" w:eastAsia="Arial" w:hAnsi="Arial"/>
          <w:sz w:val="19"/>
          <w:szCs w:val="19"/>
          <w:color w:val="auto"/>
        </w:rPr>
        <w:t xml:space="preserve"> ” shall have the meaning provided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hereof. “ </w:t>
      </w:r>
      <w:r>
        <w:rPr>
          <w:rFonts w:ascii="Arial" w:cs="Arial" w:eastAsia="Arial" w:hAnsi="Arial"/>
          <w:sz w:val="19"/>
          <w:szCs w:val="19"/>
          <w:u w:val="single" w:color="auto"/>
          <w:color w:val="auto"/>
        </w:rPr>
        <w:t>Slots</w:t>
      </w:r>
      <w:r>
        <w:rPr>
          <w:rFonts w:ascii="Arial" w:cs="Arial" w:eastAsia="Arial" w:hAnsi="Arial"/>
          <w:sz w:val="19"/>
          <w:szCs w:val="19"/>
          <w:color w:val="auto"/>
        </w:rPr>
        <w:t xml:space="preserve"> ” shall mean each FAA Route Slot and each Foreign Route Slot, or any of them.</w:t>
      </w: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Temporary FAA Slot</w:t>
      </w:r>
      <w:r>
        <w:rPr>
          <w:rFonts w:ascii="Arial" w:cs="Arial" w:eastAsia="Arial" w:hAnsi="Arial"/>
          <w:sz w:val="22"/>
          <w:szCs w:val="22"/>
          <w:color w:val="auto"/>
        </w:rPr>
        <w:t xml:space="preserve"> ” shall mean an FAA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Temporary Foreign Slot</w:t>
      </w:r>
      <w:r>
        <w:rPr>
          <w:rFonts w:ascii="Arial" w:cs="Arial" w:eastAsia="Arial" w:hAnsi="Arial"/>
          <w:sz w:val="22"/>
          <w:szCs w:val="22"/>
          <w:color w:val="auto"/>
        </w:rPr>
        <w:t xml:space="preserve"> ”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Title 14</w:t>
      </w:r>
      <w:r>
        <w:rPr>
          <w:rFonts w:ascii="Arial" w:cs="Arial" w:eastAsia="Arial" w:hAnsi="Arial"/>
          <w:sz w:val="22"/>
          <w:szCs w:val="22"/>
          <w:color w:val="auto"/>
        </w:rPr>
        <w:t xml:space="preserve"> ” shall mean Title 14 of the United States Code of Federal Regulations, including Part 93, Subparts K and S thereof, as amended from time to time or any subsequent regulation that amends, supplements or supersedes such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80" w:right="339" w:bottom="1440" w:gutter="0" w:footer="0" w:header="0"/>
        </w:sectPr>
      </w:pPr>
    </w:p>
    <w:bookmarkStart w:id="371" w:name="page372"/>
    <w:bookmarkEnd w:id="371"/>
    <w:p>
      <w:pPr>
        <w:jc w:val="both"/>
        <w:ind w:left="660" w:right="20"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Title 49</w:t>
      </w:r>
      <w:r>
        <w:rPr>
          <w:rFonts w:ascii="Arial" w:cs="Arial" w:eastAsia="Arial" w:hAnsi="Arial"/>
          <w:sz w:val="19"/>
          <w:szCs w:val="19"/>
          <w:color w:val="auto"/>
        </w:rPr>
        <w:t xml:space="preserve"> ” shall mean Title 49 of the United States Code, which, among other things, recodified and replaced the U.S. Federal Aviation Act of 1958, and the rules and regulations promulgated pursuant thereto, as amended from time to time or any subsequent legislation that amends, supplements or supersedes such provisions.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Transfer Restriction</w:t>
      </w:r>
      <w:r>
        <w:rPr>
          <w:rFonts w:ascii="Arial" w:cs="Arial" w:eastAsia="Arial" w:hAnsi="Arial"/>
          <w:sz w:val="22"/>
          <w:szCs w:val="22"/>
          <w:color w:val="auto"/>
        </w:rPr>
        <w:t xml:space="preserve"> ” shall have the meaning provided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hereof.</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 shall mean the Uniform Commercial Code, as in effect from time to time in any applicable jurisdiction.</w:t>
      </w:r>
    </w:p>
    <w:p>
      <w:pPr>
        <w:spacing w:after="0" w:line="254"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United States Citizen</w:t>
      </w:r>
      <w:r>
        <w:rPr>
          <w:rFonts w:ascii="Arial" w:cs="Arial" w:eastAsia="Arial" w:hAnsi="Arial"/>
          <w:sz w:val="22"/>
          <w:szCs w:val="22"/>
          <w:color w:val="auto"/>
        </w:rPr>
        <w:t xml:space="preserve"> ” shall mean a “citizen of the United States” as defined in Section 40102(a)(15) of Title 49 and as that statutory provision has been interpreted by the DOT pursuant to its policies.</w:t>
      </w:r>
    </w:p>
    <w:p>
      <w:pPr>
        <w:spacing w:after="0" w:line="174" w:lineRule="exact"/>
        <w:rPr>
          <w:sz w:val="20"/>
          <w:szCs w:val="20"/>
          <w:color w:val="auto"/>
        </w:rPr>
      </w:pPr>
    </w:p>
    <w:p>
      <w:pPr>
        <w:ind w:left="1240" w:hanging="584"/>
        <w:spacing w:after="0"/>
        <w:tabs>
          <w:tab w:leader="none" w:pos="1240" w:val="left"/>
        </w:tabs>
        <w:numPr>
          <w:ilvl w:val="0"/>
          <w:numId w:val="482"/>
        </w:numPr>
        <w:rPr>
          <w:rFonts w:ascii="Arial" w:cs="Arial" w:eastAsia="Arial" w:hAnsi="Arial"/>
          <w:sz w:val="22"/>
          <w:szCs w:val="22"/>
          <w:color w:val="010000"/>
        </w:rPr>
      </w:pPr>
      <w:r>
        <w:rPr>
          <w:rFonts w:ascii="Arial" w:cs="Arial" w:eastAsia="Arial" w:hAnsi="Arial"/>
          <w:sz w:val="22"/>
          <w:szCs w:val="22"/>
          <w:u w:val="single" w:color="auto"/>
          <w:color w:val="auto"/>
        </w:rPr>
        <w:t>Rules of Interpretation</w:t>
      </w:r>
      <w:r>
        <w:rPr>
          <w:rFonts w:ascii="Arial" w:cs="Arial" w:eastAsia="Arial" w:hAnsi="Arial"/>
          <w:sz w:val="22"/>
          <w:szCs w:val="22"/>
          <w:color w:val="auto"/>
        </w:rPr>
        <w:t xml:space="preserve"> .</w:t>
      </w:r>
    </w:p>
    <w:p>
      <w:pPr>
        <w:spacing w:after="0" w:line="220" w:lineRule="exact"/>
        <w:rPr>
          <w:sz w:val="20"/>
          <w:szCs w:val="20"/>
          <w:color w:val="auto"/>
        </w:rPr>
      </w:pPr>
    </w:p>
    <w:p>
      <w:pPr>
        <w:ind w:left="1780" w:hanging="476"/>
        <w:spacing w:after="0"/>
        <w:tabs>
          <w:tab w:leader="none" w:pos="1780" w:val="left"/>
        </w:tabs>
        <w:numPr>
          <w:ilvl w:val="0"/>
          <w:numId w:val="483"/>
        </w:numPr>
        <w:rPr>
          <w:rFonts w:ascii="Arial" w:cs="Arial" w:eastAsia="Arial" w:hAnsi="Arial"/>
          <w:sz w:val="19"/>
          <w:szCs w:val="19"/>
          <w:color w:val="010000"/>
        </w:rPr>
      </w:pPr>
      <w:r>
        <w:rPr>
          <w:rFonts w:ascii="Arial" w:cs="Arial" w:eastAsia="Arial" w:hAnsi="Arial"/>
          <w:sz w:val="19"/>
          <w:szCs w:val="19"/>
          <w:color w:val="auto"/>
        </w:rPr>
        <w:t>The definitions stated herein shall be equally applicable to the singular and plural forms of the terms defined.</w:t>
      </w:r>
    </w:p>
    <w:p>
      <w:pPr>
        <w:spacing w:after="0" w:line="254" w:lineRule="exact"/>
        <w:rPr>
          <w:rFonts w:ascii="Arial" w:cs="Arial" w:eastAsia="Arial" w:hAnsi="Arial"/>
          <w:sz w:val="19"/>
          <w:szCs w:val="19"/>
          <w:color w:val="010000"/>
        </w:rPr>
      </w:pPr>
    </w:p>
    <w:p>
      <w:pPr>
        <w:ind w:firstLine="1304"/>
        <w:spacing w:after="0" w:line="263" w:lineRule="auto"/>
        <w:tabs>
          <w:tab w:leader="none" w:pos="1832" w:val="left"/>
        </w:tabs>
        <w:numPr>
          <w:ilvl w:val="0"/>
          <w:numId w:val="483"/>
        </w:numPr>
        <w:rPr>
          <w:rFonts w:ascii="Arial" w:cs="Arial" w:eastAsia="Arial" w:hAnsi="Arial"/>
          <w:sz w:val="22"/>
          <w:szCs w:val="22"/>
          <w:color w:val="010000"/>
        </w:rPr>
      </w:pPr>
      <w:r>
        <w:rPr>
          <w:rFonts w:ascii="Arial" w:cs="Arial" w:eastAsia="Arial" w:hAnsi="Arial"/>
          <w:sz w:val="22"/>
          <w:szCs w:val="22"/>
          <w:color w:val="auto"/>
        </w:rPr>
        <w:t>For the avoidance of doubt, references herein to any airport shall, in the event of a name change with respect to any such airport, include such renamed airport.</w:t>
      </w:r>
    </w:p>
    <w:p>
      <w:pPr>
        <w:spacing w:after="0" w:line="174" w:lineRule="exact"/>
        <w:rPr>
          <w:rFonts w:ascii="Arial" w:cs="Arial" w:eastAsia="Arial" w:hAnsi="Arial"/>
          <w:sz w:val="22"/>
          <w:szCs w:val="22"/>
          <w:color w:val="010000"/>
        </w:rPr>
      </w:pPr>
    </w:p>
    <w:p>
      <w:pPr>
        <w:jc w:val="both"/>
        <w:ind w:firstLine="1304"/>
        <w:spacing w:after="0" w:line="343" w:lineRule="auto"/>
        <w:tabs>
          <w:tab w:leader="none" w:pos="1915" w:val="left"/>
        </w:tabs>
        <w:numPr>
          <w:ilvl w:val="0"/>
          <w:numId w:val="483"/>
        </w:numPr>
        <w:rPr>
          <w:rFonts w:ascii="Arial" w:cs="Arial" w:eastAsia="Arial" w:hAnsi="Arial"/>
          <w:sz w:val="19"/>
          <w:szCs w:val="19"/>
          <w:color w:val="010000"/>
        </w:rPr>
      </w:pPr>
      <w:r>
        <w:rPr>
          <w:rFonts w:ascii="Arial" w:cs="Arial" w:eastAsia="Arial" w:hAnsi="Arial"/>
          <w:sz w:val="19"/>
          <w:szCs w:val="19"/>
          <w:color w:val="auto"/>
        </w:rPr>
        <w:t>The parties to this SGR Security Agreement agree that the rules of interpretation set out in Section 1.02 of the Credit Agreement shall apply to this SGR Security Agreement mutatis mutandis as if set out in this SGR Security Agreement.</w:t>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18.Notices.</w:t>
      </w:r>
    </w:p>
    <w:p>
      <w:pPr>
        <w:spacing w:after="0" w:line="220" w:lineRule="exact"/>
        <w:rPr>
          <w:sz w:val="20"/>
          <w:szCs w:val="20"/>
          <w:color w:val="auto"/>
        </w:rPr>
      </w:pPr>
    </w:p>
    <w:p>
      <w:pPr>
        <w:jc w:val="both"/>
        <w:ind w:firstLine="656"/>
        <w:spacing w:after="0" w:line="250" w:lineRule="auto"/>
        <w:tabs>
          <w:tab w:leader="none" w:pos="1158" w:val="left"/>
        </w:tabs>
        <w:numPr>
          <w:ilvl w:val="0"/>
          <w:numId w:val="484"/>
        </w:numPr>
        <w:rPr>
          <w:rFonts w:ascii="Arial" w:cs="Arial" w:eastAsia="Arial" w:hAnsi="Arial"/>
          <w:sz w:val="22"/>
          <w:szCs w:val="22"/>
          <w:color w:val="010000"/>
        </w:rPr>
      </w:pPr>
      <w:r>
        <w:rPr>
          <w:rFonts w:ascii="Arial" w:cs="Arial" w:eastAsia="Arial" w:hAnsi="Arial"/>
          <w:sz w:val="22"/>
          <w:szCs w:val="22"/>
          <w:color w:val="auto"/>
        </w:rPr>
        <w:t>Except in the case of notices and other communications expressly permitted to be given by telephone (and subject to paragraph (b) below), all notices and other communications provided for herein shall be in writing (including by facsimile or electronic mail), and shall be delivered by hand or overnight courier service, mailed by certified or registered mail or sent by facsimile, as follows:</w:t>
      </w:r>
    </w:p>
    <w:p>
      <w:pPr>
        <w:spacing w:after="0" w:line="187" w:lineRule="exact"/>
        <w:rPr>
          <w:rFonts w:ascii="Arial" w:cs="Arial" w:eastAsia="Arial" w:hAnsi="Arial"/>
          <w:sz w:val="22"/>
          <w:szCs w:val="22"/>
          <w:color w:val="010000"/>
        </w:rPr>
      </w:pPr>
    </w:p>
    <w:p>
      <w:pPr>
        <w:ind w:left="1780" w:hanging="476"/>
        <w:spacing w:after="0"/>
        <w:tabs>
          <w:tab w:leader="none" w:pos="1780" w:val="left"/>
        </w:tabs>
        <w:numPr>
          <w:ilvl w:val="1"/>
          <w:numId w:val="484"/>
        </w:numPr>
        <w:rPr>
          <w:rFonts w:ascii="Arial" w:cs="Arial" w:eastAsia="Arial" w:hAnsi="Arial"/>
          <w:sz w:val="22"/>
          <w:szCs w:val="22"/>
          <w:color w:val="010000"/>
        </w:rPr>
      </w:pPr>
      <w:r>
        <w:rPr>
          <w:rFonts w:ascii="Arial" w:cs="Arial" w:eastAsia="Arial" w:hAnsi="Arial"/>
          <w:sz w:val="22"/>
          <w:szCs w:val="22"/>
          <w:color w:val="auto"/>
        </w:rPr>
        <w:t xml:space="preserve">if to any Grantor, to it at the notice address provided for such Grantor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19" w:lineRule="exact"/>
        <w:rPr>
          <w:rFonts w:ascii="Arial" w:cs="Arial" w:eastAsia="Arial" w:hAnsi="Arial"/>
          <w:sz w:val="22"/>
          <w:szCs w:val="22"/>
          <w:color w:val="010000"/>
        </w:rPr>
      </w:pPr>
    </w:p>
    <w:p>
      <w:pPr>
        <w:ind w:left="1900" w:hanging="596"/>
        <w:spacing w:after="0"/>
        <w:tabs>
          <w:tab w:leader="none" w:pos="1900" w:val="left"/>
        </w:tabs>
        <w:numPr>
          <w:ilvl w:val="1"/>
          <w:numId w:val="484"/>
        </w:numPr>
        <w:rPr>
          <w:rFonts w:ascii="Arial" w:cs="Arial" w:eastAsia="Arial" w:hAnsi="Arial"/>
          <w:sz w:val="19"/>
          <w:szCs w:val="19"/>
          <w:color w:val="010000"/>
        </w:rPr>
      </w:pPr>
      <w:r>
        <w:rPr>
          <w:rFonts w:ascii="Arial" w:cs="Arial" w:eastAsia="Arial" w:hAnsi="Arial"/>
          <w:sz w:val="19"/>
          <w:szCs w:val="19"/>
          <w:color w:val="010000"/>
        </w:rPr>
        <w:t>if to the Collateral Agent: CRMS Documentation Unit, 580 Crosspoint Pkwy, Getzville, NY 14068, and by</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010000"/>
        </w:rPr>
        <w:t xml:space="preserve">email at ### </w:t>
      </w:r>
      <w:r>
        <w:rPr>
          <w:rFonts w:ascii="Arial" w:cs="Arial" w:eastAsia="Arial" w:hAnsi="Arial"/>
          <w:sz w:val="22"/>
          <w:szCs w:val="22"/>
          <w:color w:val="000000"/>
        </w:rPr>
        <w:t>.</w:t>
      </w:r>
    </w:p>
    <w:p>
      <w:pPr>
        <w:spacing w:after="0" w:line="201" w:lineRule="exact"/>
        <w:rPr>
          <w:rFonts w:ascii="Arial" w:cs="Arial" w:eastAsia="Arial" w:hAnsi="Arial"/>
          <w:sz w:val="19"/>
          <w:szCs w:val="19"/>
          <w:color w:val="010000"/>
        </w:rPr>
      </w:pPr>
    </w:p>
    <w:p>
      <w:pPr>
        <w:ind w:firstLine="656"/>
        <w:spacing w:after="0" w:line="263" w:lineRule="auto"/>
        <w:tabs>
          <w:tab w:leader="none" w:pos="1439" w:val="left"/>
        </w:tabs>
        <w:numPr>
          <w:ilvl w:val="0"/>
          <w:numId w:val="484"/>
        </w:numPr>
        <w:rPr>
          <w:rFonts w:ascii="Arial" w:cs="Arial" w:eastAsia="Arial" w:hAnsi="Arial"/>
          <w:sz w:val="22"/>
          <w:szCs w:val="22"/>
          <w:color w:val="010000"/>
        </w:rPr>
      </w:pPr>
      <w:r>
        <w:rPr>
          <w:rFonts w:ascii="Arial" w:cs="Arial" w:eastAsia="Arial" w:hAnsi="Arial"/>
          <w:sz w:val="22"/>
          <w:szCs w:val="22"/>
          <w:color w:val="auto"/>
        </w:rPr>
        <w:t>The Collateral Agent or any Grantor may, in its reasonable discretion, agree to accept notices and other communications to it hereunder by electronic communications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72" w:name="page373"/>
    <w:bookmarkEnd w:id="372"/>
    <w:p>
      <w:pPr>
        <w:spacing w:after="0"/>
        <w:rPr>
          <w:sz w:val="20"/>
          <w:szCs w:val="20"/>
          <w:color w:val="auto"/>
        </w:rPr>
      </w:pPr>
      <w:r>
        <w:rPr>
          <w:rFonts w:ascii="Arial" w:cs="Arial" w:eastAsia="Arial" w:hAnsi="Arial"/>
          <w:sz w:val="19"/>
          <w:szCs w:val="19"/>
          <w:color w:val="auto"/>
        </w:rPr>
        <w:t xml:space="preserve">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254" w:lineRule="exact"/>
        <w:rPr>
          <w:sz w:val="20"/>
          <w:szCs w:val="20"/>
          <w:color w:val="auto"/>
        </w:rPr>
      </w:pPr>
    </w:p>
    <w:p>
      <w:pPr>
        <w:jc w:val="both"/>
        <w:ind w:firstLine="656"/>
        <w:spacing w:after="0" w:line="312" w:lineRule="auto"/>
        <w:tabs>
          <w:tab w:leader="none" w:pos="1200" w:val="left"/>
        </w:tabs>
        <w:numPr>
          <w:ilvl w:val="0"/>
          <w:numId w:val="485"/>
        </w:numPr>
        <w:rPr>
          <w:rFonts w:ascii="Arial" w:cs="Arial" w:eastAsia="Arial" w:hAnsi="Arial"/>
          <w:sz w:val="19"/>
          <w:szCs w:val="19"/>
          <w:color w:val="010000"/>
        </w:rPr>
      </w:pPr>
      <w:r>
        <w:rPr>
          <w:rFonts w:ascii="Arial" w:cs="Arial" w:eastAsia="Arial" w:hAnsi="Arial"/>
          <w:sz w:val="19"/>
          <w:szCs w:val="19"/>
          <w:color w:val="auto"/>
        </w:rPr>
        <w:t>Any party hereto may change its address or facsimile number for notices and other communications hereunder by notice to the other parties hereto. All notices and other communications given to any party hereto in accordance with the provisions of this SGR Security Agreement shall be deemed to have been given on the date of receipt.</w:t>
      </w:r>
    </w:p>
    <w:p>
      <w:pPr>
        <w:spacing w:after="0" w:line="174" w:lineRule="exact"/>
        <w:rPr>
          <w:sz w:val="20"/>
          <w:szCs w:val="20"/>
          <w:color w:val="auto"/>
        </w:rPr>
      </w:pPr>
    </w:p>
    <w:p>
      <w:pPr>
        <w:jc w:val="both"/>
        <w:ind w:left="1960" w:hanging="971"/>
        <w:spacing w:after="0" w:line="286" w:lineRule="auto"/>
        <w:rPr>
          <w:sz w:val="20"/>
          <w:szCs w:val="20"/>
          <w:color w:val="auto"/>
        </w:rPr>
      </w:pPr>
      <w:r>
        <w:rPr>
          <w:rFonts w:ascii="Arial" w:cs="Arial" w:eastAsia="Arial" w:hAnsi="Arial"/>
          <w:sz w:val="19"/>
          <w:szCs w:val="19"/>
          <w:color w:val="auto"/>
        </w:rPr>
        <w:t xml:space="preserve">Section 19.Continuing Security Interest; Transfer of Indebtedness. This SGR Security Agreement shall create a continuing security interest in the Collateral and shall (i) remain in full force and effect until the termination of this SGR Security Agreement in accordance with </w:t>
      </w:r>
      <w:r>
        <w:rPr>
          <w:rFonts w:ascii="Arial" w:cs="Arial" w:eastAsia="Arial" w:hAnsi="Arial"/>
          <w:sz w:val="19"/>
          <w:szCs w:val="19"/>
          <w:u w:val="single" w:color="auto"/>
          <w:color w:val="auto"/>
        </w:rPr>
        <w:t>Section 16(a)</w:t>
      </w:r>
      <w:r>
        <w:rPr>
          <w:rFonts w:ascii="Arial" w:cs="Arial" w:eastAsia="Arial" w:hAnsi="Arial"/>
          <w:sz w:val="19"/>
          <w:szCs w:val="19"/>
          <w:color w:val="auto"/>
        </w:rPr>
        <w:t xml:space="preserve"> , (ii) be binding upon each Grantor, its successors and assigns, and (iii) inure, together with the rights and remedies of the Collateral Agent hereunder, to the benefit of the Collateral Agent and each other Secured Party and each of their respective successors, permitted transferees and permitted assigns; no other persons (including, without limitation, any other creditor of any Grantor) shall have any interest herein or any right or benefit with respect hereto. Without limiting the generality of the foregoing clause (iii) and subject to the provisions of the applicable Loan Documents (including any Intercreditor Agreement and any Other Intercreditor Agreement), any Secured Party may assign or otherwise transfer any indebtedness held by it secured by this SGR Security Agreement to any other Person, and following such assignment or transfer, the Collateral Agent shall hold the security interest and mortgage of this SGR Security Agreement for the benefit of such other Person, subject, however, to the provisions of the applicable Loan Documents (including any Intercreditor Agreement and any Other Intercreditor Agreement).</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21"/>
          <w:szCs w:val="21"/>
          <w:color w:val="auto"/>
        </w:rPr>
        <w:t xml:space="preserve">Section 20.Governing Law. </w:t>
      </w:r>
      <w:r>
        <w:rPr>
          <w:rFonts w:ascii="Arial" w:cs="Arial" w:eastAsia="Arial" w:hAnsi="Arial"/>
          <w:sz w:val="21"/>
          <w:szCs w:val="21"/>
          <w:b w:val="1"/>
          <w:bCs w:val="1"/>
          <w:color w:val="auto"/>
        </w:rPr>
        <w:t>THIS SGR SECURITY AGREEMENT HAS BEEN DELIVERED IN THE STATE</w:t>
      </w:r>
    </w:p>
    <w:p>
      <w:pPr>
        <w:spacing w:after="0" w:line="39" w:lineRule="exact"/>
        <w:rPr>
          <w:sz w:val="20"/>
          <w:szCs w:val="20"/>
          <w:color w:val="auto"/>
        </w:rPr>
      </w:pPr>
    </w:p>
    <w:p>
      <w:pPr>
        <w:jc w:val="both"/>
        <w:ind w:left="1960"/>
        <w:spacing w:after="0" w:line="244" w:lineRule="auto"/>
        <w:rPr>
          <w:sz w:val="20"/>
          <w:szCs w:val="20"/>
          <w:color w:val="auto"/>
        </w:rPr>
      </w:pPr>
      <w:r>
        <w:rPr>
          <w:rFonts w:ascii="Arial" w:cs="Arial" w:eastAsia="Arial" w:hAnsi="Arial"/>
          <w:sz w:val="22"/>
          <w:szCs w:val="22"/>
          <w:b w:val="1"/>
          <w:bCs w:val="1"/>
          <w:color w:val="auto"/>
        </w:rPr>
        <w:t xml:space="preserve">OF NEW YORK, AND THIS SGR SECURITY AGREEMENT AND THE RIGHTS AND OBLIGATIONS OF THE PARTIES UNDER THIS SGR SECURITY AGREEMENT SHALL BE GOVERNED BY, AND CONSTRUED AND INTERPRETED IN ACCORDANCE WITH, THE LAWS OF THE STATE OF NEW YORK </w:t>
      </w:r>
      <w:r>
        <w:rPr>
          <w:rFonts w:ascii="Arial" w:cs="Arial" w:eastAsia="Arial" w:hAnsi="Arial"/>
          <w:sz w:val="22"/>
          <w:szCs w:val="22"/>
          <w:color w:val="auto"/>
        </w:rPr>
        <w:t>.</w:t>
      </w:r>
    </w:p>
    <w:p>
      <w:pPr>
        <w:spacing w:after="0" w:line="230" w:lineRule="exact"/>
        <w:rPr>
          <w:sz w:val="20"/>
          <w:szCs w:val="20"/>
          <w:color w:val="auto"/>
        </w:rPr>
      </w:pPr>
    </w:p>
    <w:p>
      <w:pPr>
        <w:ind w:left="980"/>
        <w:spacing w:after="0"/>
        <w:rPr>
          <w:sz w:val="20"/>
          <w:szCs w:val="20"/>
          <w:color w:val="auto"/>
        </w:rPr>
      </w:pPr>
      <w:r>
        <w:rPr>
          <w:rFonts w:ascii="Arial" w:cs="Arial" w:eastAsia="Arial" w:hAnsi="Arial"/>
          <w:sz w:val="21"/>
          <w:szCs w:val="21"/>
          <w:color w:val="auto"/>
        </w:rPr>
        <w:t xml:space="preserve">Section 21.Waiver of Jury Trial. </w:t>
      </w:r>
      <w:r>
        <w:rPr>
          <w:rFonts w:ascii="Arial" w:cs="Arial" w:eastAsia="Arial" w:hAnsi="Arial"/>
          <w:sz w:val="21"/>
          <w:szCs w:val="21"/>
          <w:b w:val="1"/>
          <w:bCs w:val="1"/>
          <w:color w:val="auto"/>
        </w:rPr>
        <w:t>EACH PARTY HERETO HEREBY WAIVES, TO THE FULLEST EXTENT</w:t>
      </w:r>
    </w:p>
    <w:p>
      <w:pPr>
        <w:spacing w:after="0" w:line="39" w:lineRule="exact"/>
        <w:rPr>
          <w:sz w:val="20"/>
          <w:szCs w:val="20"/>
          <w:color w:val="auto"/>
        </w:rPr>
      </w:pPr>
    </w:p>
    <w:p>
      <w:pPr>
        <w:jc w:val="both"/>
        <w:ind w:left="1960"/>
        <w:spacing w:after="0" w:line="245" w:lineRule="auto"/>
        <w:rPr>
          <w:sz w:val="20"/>
          <w:szCs w:val="20"/>
          <w:color w:val="auto"/>
        </w:rPr>
      </w:pPr>
      <w:r>
        <w:rPr>
          <w:rFonts w:ascii="Arial" w:cs="Arial" w:eastAsia="Arial" w:hAnsi="Arial"/>
          <w:sz w:val="22"/>
          <w:szCs w:val="22"/>
          <w:b w:val="1"/>
          <w:bCs w:val="1"/>
          <w:color w:val="auto"/>
        </w:rPr>
        <w:t>PERMITTED BY APPLICABLE LAW, ANY RIGHT IT MAY HAVE TO A TRIAL BY JURY IN ANY LEGAL PROCEEDING DIRECTLY OR INDIRECTLY ARISING OUT OF OR RELATING TO THIS SGR SECURITY AGREEMENT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73" w:name="page374"/>
    <w:bookmarkEnd w:id="373"/>
    <w:p>
      <w:pPr>
        <w:jc w:val="both"/>
        <w:ind w:left="1300"/>
        <w:spacing w:after="0" w:line="223" w:lineRule="auto"/>
        <w:rPr>
          <w:sz w:val="20"/>
          <w:szCs w:val="20"/>
          <w:color w:val="auto"/>
        </w:rPr>
      </w:pPr>
      <w:r>
        <w:rPr>
          <w:rFonts w:ascii="Arial" w:cs="Arial" w:eastAsia="Arial" w:hAnsi="Arial"/>
          <w:sz w:val="21"/>
          <w:szCs w:val="21"/>
          <w:b w:val="1"/>
          <w:bCs w:val="1"/>
          <w:color w:val="auto"/>
        </w:rPr>
        <w:t xml:space="preserve">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SGR SECURITY AGREEMENT BY, AMONG OTHER THINGS, THE MUTUAL WAIVERS AND CERTIFICATIONS IN THIS </w:t>
      </w:r>
      <w:r>
        <w:rPr>
          <w:rFonts w:ascii="Arial" w:cs="Arial" w:eastAsia="Arial" w:hAnsi="Arial"/>
          <w:sz w:val="21"/>
          <w:szCs w:val="21"/>
          <w:b w:val="1"/>
          <w:bCs w:val="1"/>
          <w:u w:val="single" w:color="auto"/>
          <w:color w:val="auto"/>
        </w:rPr>
        <w:t>SECTION 21</w:t>
      </w:r>
      <w:r>
        <w:rPr>
          <w:rFonts w:ascii="Arial" w:cs="Arial" w:eastAsia="Arial" w:hAnsi="Arial"/>
          <w:sz w:val="21"/>
          <w:szCs w:val="21"/>
          <w:b w:val="1"/>
          <w:bCs w:val="1"/>
          <w:color w:val="auto"/>
        </w:rPr>
        <w:t xml:space="preserve"> .</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22.Consent to Jurisdiction and Service of Process.</w:t>
      </w:r>
    </w:p>
    <w:p>
      <w:pPr>
        <w:spacing w:after="0" w:line="220" w:lineRule="exact"/>
        <w:rPr>
          <w:sz w:val="20"/>
          <w:szCs w:val="20"/>
          <w:color w:val="auto"/>
        </w:rPr>
      </w:pPr>
    </w:p>
    <w:p>
      <w:pPr>
        <w:jc w:val="both"/>
        <w:ind w:firstLine="656"/>
        <w:spacing w:after="0" w:line="259" w:lineRule="auto"/>
        <w:tabs>
          <w:tab w:leader="none" w:pos="1201" w:val="left"/>
        </w:tabs>
        <w:numPr>
          <w:ilvl w:val="0"/>
          <w:numId w:val="486"/>
        </w:numPr>
        <w:rPr>
          <w:rFonts w:ascii="Arial" w:cs="Arial" w:eastAsia="Arial" w:hAnsi="Arial"/>
          <w:sz w:val="21"/>
          <w:szCs w:val="21"/>
          <w:color w:val="010000"/>
        </w:rPr>
      </w:pPr>
      <w:r>
        <w:rPr>
          <w:rFonts w:ascii="Arial" w:cs="Arial" w:eastAsia="Arial" w:hAnsi="Arial"/>
          <w:sz w:val="21"/>
          <w:szCs w:val="21"/>
          <w:color w:val="auto"/>
        </w:rPr>
        <w:t>Each party hereto hereby irrevocably and unconditionally submits, for itself and its property in any legal action or proceeding relating to this SGR Security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any appellate court from any thereof, in any action or proceeding arising out of or relating to this SGR Security Agreement,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79" w:lineRule="exact"/>
        <w:rPr>
          <w:rFonts w:ascii="Arial" w:cs="Arial" w:eastAsia="Arial" w:hAnsi="Arial"/>
          <w:sz w:val="21"/>
          <w:szCs w:val="21"/>
          <w:color w:val="010000"/>
        </w:rPr>
      </w:pPr>
    </w:p>
    <w:p>
      <w:pPr>
        <w:jc w:val="both"/>
        <w:ind w:firstLine="656"/>
        <w:spacing w:after="0" w:line="248" w:lineRule="auto"/>
        <w:tabs>
          <w:tab w:leader="none" w:pos="1183" w:val="left"/>
        </w:tabs>
        <w:numPr>
          <w:ilvl w:val="0"/>
          <w:numId w:val="486"/>
        </w:numPr>
        <w:rPr>
          <w:rFonts w:ascii="Arial" w:cs="Arial" w:eastAsia="Arial" w:hAnsi="Arial"/>
          <w:sz w:val="22"/>
          <w:szCs w:val="22"/>
          <w:color w:val="010000"/>
        </w:rPr>
      </w:pPr>
      <w:r>
        <w:rPr>
          <w:rFonts w:ascii="Arial" w:cs="Arial" w:eastAsia="Arial" w:hAnsi="Arial"/>
          <w:sz w:val="22"/>
          <w:szCs w:val="22"/>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SGR Security Agreement in any court referred to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 Each of the parties hereto hereby irrevocably waives, to the fullest extent permitted by law, the defense of an inconvenient forum to the maintenance of such action or proceeding in any such court.</w:t>
      </w:r>
    </w:p>
    <w:p>
      <w:pPr>
        <w:spacing w:after="0" w:line="191" w:lineRule="exact"/>
        <w:rPr>
          <w:rFonts w:ascii="Arial" w:cs="Arial" w:eastAsia="Arial" w:hAnsi="Arial"/>
          <w:sz w:val="22"/>
          <w:szCs w:val="22"/>
          <w:color w:val="010000"/>
        </w:rPr>
      </w:pPr>
    </w:p>
    <w:p>
      <w:pPr>
        <w:jc w:val="both"/>
        <w:ind w:firstLine="656"/>
        <w:spacing w:after="0" w:line="253" w:lineRule="auto"/>
        <w:tabs>
          <w:tab w:leader="none" w:pos="1177" w:val="left"/>
        </w:tabs>
        <w:numPr>
          <w:ilvl w:val="0"/>
          <w:numId w:val="486"/>
        </w:numPr>
        <w:rPr>
          <w:rFonts w:ascii="Arial" w:cs="Arial" w:eastAsia="Arial" w:hAnsi="Arial"/>
          <w:sz w:val="22"/>
          <w:szCs w:val="22"/>
          <w:color w:val="010000"/>
        </w:rPr>
      </w:pPr>
      <w:r>
        <w:rPr>
          <w:rFonts w:ascii="Arial" w:cs="Arial" w:eastAsia="Arial" w:hAnsi="Arial"/>
          <w:sz w:val="22"/>
          <w:szCs w:val="22"/>
          <w:color w:val="auto"/>
        </w:rPr>
        <w:t xml:space="preserve">Each party hereto hereby irrevocably and unconditionally consents to service of process in the manner provided for notices in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 Nothing in this SGR Security Agreement will affect the right of any party to this SGR Security Agreement to serve process in any other manner permitted by law.</w:t>
      </w:r>
    </w:p>
    <w:p>
      <w:pPr>
        <w:spacing w:after="0" w:line="199" w:lineRule="exact"/>
        <w:rPr>
          <w:sz w:val="20"/>
          <w:szCs w:val="20"/>
          <w:color w:val="auto"/>
        </w:rPr>
      </w:pPr>
    </w:p>
    <w:p>
      <w:pPr>
        <w:ind w:firstLine="972"/>
        <w:spacing w:after="0" w:line="232" w:lineRule="auto"/>
        <w:rPr>
          <w:sz w:val="20"/>
          <w:szCs w:val="20"/>
          <w:color w:val="auto"/>
        </w:rPr>
      </w:pPr>
      <w:r>
        <w:rPr>
          <w:rFonts w:ascii="Arial" w:cs="Arial" w:eastAsia="Arial" w:hAnsi="Arial"/>
          <w:sz w:val="22"/>
          <w:szCs w:val="22"/>
          <w:color w:val="auto"/>
        </w:rPr>
        <w:t>Section 23. Security Interest Absolute. To the extent permitted by applicable law, the obligations of the Grantors hereunder shall remain in full force and effect without regard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374" w:name="page375"/>
    <w:bookmarkEnd w:id="374"/>
    <w:p>
      <w:pPr>
        <w:jc w:val="both"/>
        <w:spacing w:after="0" w:line="247" w:lineRule="auto"/>
        <w:rPr>
          <w:sz w:val="20"/>
          <w:szCs w:val="20"/>
          <w:color w:val="auto"/>
        </w:rPr>
      </w:pPr>
      <w:r>
        <w:rPr>
          <w:rFonts w:ascii="Arial" w:cs="Arial" w:eastAsia="Arial" w:hAnsi="Arial"/>
          <w:sz w:val="19"/>
          <w:szCs w:val="19"/>
          <w:color w:val="auto"/>
        </w:rPr>
        <w:t>to, and shall not be impaired by (a) any bankruptcy, insolvency, reorganization, arrangement, readjustment, composition, liquidation or the like of any Grantor, except to the extent that the enforceability thereof may be limited by any such event;</w:t>
      </w:r>
    </w:p>
    <w:p>
      <w:pPr>
        <w:jc w:val="both"/>
        <w:ind w:firstLine="8"/>
        <w:spacing w:after="0" w:line="224" w:lineRule="exact"/>
        <w:tabs>
          <w:tab w:leader="none" w:pos="312" w:val="left"/>
        </w:tabs>
        <w:numPr>
          <w:ilvl w:val="0"/>
          <w:numId w:val="487"/>
        </w:numPr>
        <w:rPr>
          <w:rFonts w:ascii="Arial" w:cs="Arial" w:eastAsia="Arial" w:hAnsi="Arial"/>
          <w:sz w:val="19"/>
          <w:szCs w:val="19"/>
          <w:color w:val="auto"/>
        </w:rPr>
      </w:pPr>
      <w:r>
        <w:rPr>
          <w:rFonts w:ascii="Arial" w:cs="Arial" w:eastAsia="Arial" w:hAnsi="Arial"/>
          <w:sz w:val="19"/>
          <w:szCs w:val="19"/>
          <w:color w:val="auto"/>
        </w:rPr>
        <w:t>any exercise or non</w:t>
      </w:r>
      <w:r>
        <w:rPr>
          <w:rFonts w:ascii="MS PGothic" w:cs="MS PGothic" w:eastAsia="MS PGothic" w:hAnsi="MS PGothic"/>
          <w:sz w:val="19"/>
          <w:szCs w:val="19"/>
          <w:color w:val="auto"/>
        </w:rPr>
        <w:t>‑</w:t>
      </w:r>
      <w:r>
        <w:rPr>
          <w:rFonts w:ascii="Arial" w:cs="Arial" w:eastAsia="Arial" w:hAnsi="Arial"/>
          <w:sz w:val="19"/>
          <w:szCs w:val="19"/>
          <w:color w:val="auto"/>
        </w:rPr>
        <w:t>exercise, or any waiver of any right, remedy, power or privilege under or in respect of this SGR Security Agreement or any other Loan Documents, except as specifically set forth in a waiver granted pursuant to Section 15; (c) any lack of validity or enforceability of the Liens granted hereunder; or (d) any other circumstances which might otherwise constitute a defense available to, or a discharge of, any Grantor (other than payment or performance in accordance with the terms of the Loan Documents (including any Intercreditor Agreement and any Other Intercreditor Agreement)).</w:t>
      </w:r>
    </w:p>
    <w:p>
      <w:pPr>
        <w:spacing w:after="0" w:line="199" w:lineRule="exact"/>
        <w:rPr>
          <w:sz w:val="20"/>
          <w:szCs w:val="20"/>
          <w:color w:val="auto"/>
        </w:rPr>
      </w:pPr>
    </w:p>
    <w:p>
      <w:pPr>
        <w:jc w:val="both"/>
        <w:ind w:firstLine="972"/>
        <w:spacing w:after="0" w:line="216" w:lineRule="auto"/>
        <w:rPr>
          <w:sz w:val="20"/>
          <w:szCs w:val="20"/>
          <w:color w:val="auto"/>
        </w:rPr>
      </w:pPr>
      <w:r>
        <w:rPr>
          <w:rFonts w:ascii="Arial" w:cs="Arial" w:eastAsia="Arial" w:hAnsi="Arial"/>
          <w:sz w:val="22"/>
          <w:szCs w:val="22"/>
          <w:color w:val="auto"/>
        </w:rPr>
        <w:t>Section 24. Severability of Provisions. To the extent permitted by applicable law, any provision of this SGR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98" w:lineRule="exact"/>
        <w:rPr>
          <w:sz w:val="20"/>
          <w:szCs w:val="20"/>
          <w:color w:val="auto"/>
        </w:rPr>
      </w:pPr>
    </w:p>
    <w:p>
      <w:pPr>
        <w:jc w:val="both"/>
        <w:ind w:firstLine="972"/>
        <w:spacing w:after="0" w:line="232" w:lineRule="auto"/>
        <w:rPr>
          <w:sz w:val="20"/>
          <w:szCs w:val="20"/>
          <w:color w:val="auto"/>
        </w:rPr>
      </w:pPr>
      <w:r>
        <w:rPr>
          <w:rFonts w:ascii="Arial" w:cs="Arial" w:eastAsia="Arial" w:hAnsi="Arial"/>
          <w:sz w:val="22"/>
          <w:szCs w:val="22"/>
          <w:color w:val="auto"/>
        </w:rPr>
        <w:t>Section 25. Headings. Section headings used herein are for convenience only and are not to affect the construction of or be taken into consideration in interpreting this SGR Security Agreement.</w:t>
      </w:r>
    </w:p>
    <w:p>
      <w:pPr>
        <w:spacing w:after="0" w:line="199" w:lineRule="exact"/>
        <w:rPr>
          <w:sz w:val="20"/>
          <w:szCs w:val="20"/>
          <w:color w:val="auto"/>
        </w:rPr>
      </w:pPr>
    </w:p>
    <w:p>
      <w:pPr>
        <w:jc w:val="both"/>
        <w:ind w:firstLine="972"/>
        <w:spacing w:after="0" w:line="216" w:lineRule="auto"/>
        <w:rPr>
          <w:sz w:val="20"/>
          <w:szCs w:val="20"/>
          <w:color w:val="auto"/>
        </w:rPr>
      </w:pPr>
      <w:r>
        <w:rPr>
          <w:rFonts w:ascii="Arial" w:cs="Arial" w:eastAsia="Arial" w:hAnsi="Arial"/>
          <w:sz w:val="22"/>
          <w:szCs w:val="22"/>
          <w:color w:val="auto"/>
        </w:rPr>
        <w:t>Section 26. Execution in Counterparts. This SGR Security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SGR Security Agreement by facsimile or electronic .pdf copy shall be effective as delivery of a manually executed counterpart of this SGR Security Agreement.</w:t>
      </w:r>
    </w:p>
    <w:p>
      <w:pPr>
        <w:spacing w:after="0" w:line="198" w:lineRule="exact"/>
        <w:rPr>
          <w:sz w:val="20"/>
          <w:szCs w:val="20"/>
          <w:color w:val="auto"/>
        </w:rPr>
      </w:pPr>
    </w:p>
    <w:p>
      <w:pPr>
        <w:jc w:val="both"/>
        <w:ind w:firstLine="972"/>
        <w:spacing w:after="0" w:line="249" w:lineRule="auto"/>
        <w:rPr>
          <w:sz w:val="20"/>
          <w:szCs w:val="20"/>
          <w:color w:val="auto"/>
        </w:rPr>
      </w:pPr>
      <w:r>
        <w:rPr>
          <w:rFonts w:ascii="Arial" w:cs="Arial" w:eastAsia="Arial" w:hAnsi="Arial"/>
          <w:sz w:val="19"/>
          <w:szCs w:val="19"/>
          <w:color w:val="auto"/>
        </w:rPr>
        <w:t xml:space="preserve">Section 27. Additional Grantors. If, at the option of the Borrower or as required pursuant to Section 5.09 of the Credit Agreement, the Borrower shall cause any Affiliate that is not a Grantor to become a Grantor hereunder, such Affiliate shall execute and deliver to the Collateral Agent a Joinder Agreement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and shall thereafter for all purposes be a party hereto and have the same rights, benefits and obligations as a Grantor party hereto on the Closing Date, it being understood that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apply to, and the representations and warranties contained in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be made by, such Affiliate only after such Affiliate executes and delivers to the Administrative Agent a Joinder Agreement.</w:t>
      </w:r>
    </w:p>
    <w:p>
      <w:pPr>
        <w:spacing w:after="0" w:line="192" w:lineRule="exact"/>
        <w:rPr>
          <w:sz w:val="20"/>
          <w:szCs w:val="20"/>
          <w:color w:val="auto"/>
        </w:rPr>
      </w:pPr>
    </w:p>
    <w:p>
      <w:pPr>
        <w:jc w:val="both"/>
        <w:ind w:right="20" w:firstLine="972"/>
        <w:spacing w:after="0" w:line="232" w:lineRule="auto"/>
        <w:rPr>
          <w:sz w:val="20"/>
          <w:szCs w:val="20"/>
          <w:color w:val="auto"/>
        </w:rPr>
      </w:pPr>
      <w:r>
        <w:rPr>
          <w:rFonts w:ascii="Arial" w:cs="Arial" w:eastAsia="Arial" w:hAnsi="Arial"/>
          <w:sz w:val="22"/>
          <w:szCs w:val="22"/>
          <w:color w:val="auto"/>
        </w:rPr>
        <w:t>Section 28. Successors and Assigns. This SGR Security Agreement shall be binding upon each Grantor and its successors and assigns and shall inure to the benefit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75" w:name="page376"/>
    <w:bookmarkEnd w:id="375"/>
    <w:p>
      <w:pPr>
        <w:jc w:val="both"/>
        <w:spacing w:after="0" w:line="212" w:lineRule="auto"/>
        <w:rPr>
          <w:sz w:val="20"/>
          <w:szCs w:val="20"/>
          <w:color w:val="auto"/>
        </w:rPr>
      </w:pPr>
      <w:r>
        <w:rPr>
          <w:rFonts w:ascii="Arial" w:cs="Arial" w:eastAsia="Arial" w:hAnsi="Arial"/>
          <w:sz w:val="22"/>
          <w:szCs w:val="22"/>
          <w:color w:val="auto"/>
        </w:rPr>
        <w:t>Agent and each Secured Party and their respective successors and permitted assigns; provided that no Grantor may transfer or assign any or all of its rights or obligations hereunder without the prior written consent of the Collateral Agent, unless otherwise permitted by the applicable Loan Documents. All agreements, statements, representations and warranties made by any Grantor herein or in any certificate or other instrument delivered by such Grantor or on its behalf under this SGR Security Agreement shall be considered to have been relied upon by the Secured Parties and shall survive the execution and delivery of this SGR Security Agreement and the other Loan Documents regardless of any investigation made by the Secured Parties or on their behalf.</w:t>
      </w:r>
    </w:p>
    <w:p>
      <w:pPr>
        <w:spacing w:after="0" w:line="204" w:lineRule="exact"/>
        <w:rPr>
          <w:sz w:val="20"/>
          <w:szCs w:val="20"/>
          <w:color w:val="auto"/>
        </w:rPr>
      </w:pPr>
    </w:p>
    <w:p>
      <w:pPr>
        <w:jc w:val="both"/>
        <w:ind w:firstLine="972"/>
        <w:spacing w:after="0" w:line="246" w:lineRule="auto"/>
        <w:rPr>
          <w:sz w:val="20"/>
          <w:szCs w:val="20"/>
          <w:color w:val="auto"/>
        </w:rPr>
      </w:pPr>
      <w:r>
        <w:rPr>
          <w:rFonts w:ascii="Arial" w:cs="Arial" w:eastAsia="Arial" w:hAnsi="Arial"/>
          <w:sz w:val="19"/>
          <w:szCs w:val="19"/>
          <w:color w:val="auto"/>
        </w:rPr>
        <w:t>Section 29. Limited Obligations. It is the desire and intent of each Grantor, the Collateral Agent and the Secured Parties that this SGR Security Agreement shall be enforced against each Grantor to the fullest extent permissible under the laws and public policies applied in each jurisdiction in which enforcement is sought. If and to the extent that the obligations of any Grantor under this SGR Security Agreement shall be adjudicated to be invalid or unenforceable for any reason (including, without limitation, because of any applicable state or federal law relating to fraudulent conveyances or transfers, which laws would determine the solvency of such Grantor by reference to the full amount of the Obligations at the time of the execution and delivery of this SGR Security Agreement), then the amount of the Obligations of such Grantor shall be deemed to be reduced and such Grantor shall pay the maximum amount of the Obligations which would be permissible under the applicable law.</w:t>
      </w:r>
    </w:p>
    <w:p>
      <w:pPr>
        <w:spacing w:after="0" w:line="193"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9"/>
          <w:szCs w:val="19"/>
          <w:color w:val="auto"/>
        </w:rPr>
        <w:t xml:space="preserve">Section 30. Construction of Schedules. It is understood and agreed that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is intended to be descriptive of the Slots listed on such Schedule as of the last calendar week prior to the date hereof and that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is intended to be descriptive of the Scheduled Services listed on such Schedule as of the date hereof, and such Schedules shall not be construed as expanding or limiting in any way the Collateral subject to this SGR Security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76" w:name="page377"/>
    <w:bookmarkEnd w:id="376"/>
    <w:p>
      <w:pPr>
        <w:ind w:firstLine="1296"/>
        <w:spacing w:after="0" w:line="287" w:lineRule="auto"/>
        <w:rPr>
          <w:sz w:val="20"/>
          <w:szCs w:val="20"/>
          <w:color w:val="auto"/>
        </w:rPr>
      </w:pPr>
      <w:r>
        <w:rPr>
          <w:rFonts w:ascii="Arial" w:cs="Arial" w:eastAsia="Arial" w:hAnsi="Arial"/>
          <w:sz w:val="21"/>
          <w:szCs w:val="21"/>
          <w:color w:val="auto"/>
        </w:rPr>
        <w:t>IN WITNESS WHEREOF, t he Grantors and the Collateral Agent each has caused this SGR Security Agreement to be duly executed and delivered by its officer thereunto duly authorized as of the date first above written .</w:t>
      </w:r>
    </w:p>
    <w:p>
      <w:pPr>
        <w:spacing w:after="0" w:line="1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82296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First Lien Security Agreement (Slots, Foreign Gate Leaseholds and Route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77" w:name="page378"/>
    <w:bookmarkEnd w:id="377"/>
    <w:p>
      <w:pPr>
        <w:ind w:left="278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First Lien Collateral Agent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-17780</wp:posOffset>
            </wp:positionV>
            <wp:extent cx="6858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144145</wp:posOffset>
            </wp:positionV>
            <wp:extent cx="5486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4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First Lien Security Agreement (Slots, Foreign Gate Leaseholds and Route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78" w:name="page379"/>
    <w:bookmarkEnd w:id="378"/>
    <w:p>
      <w:pPr>
        <w:jc w:val="right"/>
        <w:spacing w:after="0"/>
        <w:rPr>
          <w:sz w:val="20"/>
          <w:szCs w:val="20"/>
          <w:color w:val="auto"/>
        </w:rPr>
      </w:pPr>
      <w:r>
        <w:rPr>
          <w:rFonts w:ascii="Arial" w:cs="Arial" w:eastAsia="Arial" w:hAnsi="Arial"/>
          <w:sz w:val="22"/>
          <w:szCs w:val="22"/>
          <w:color w:val="auto"/>
        </w:rPr>
        <w:t>Schedule 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 OF GRANTORS; LOCATIONS OF CHIEF EXECUTIVE OFFICES AND ADDRESSES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0" w:type="dxa"/>
            <w:vAlign w:val="bottom"/>
            <w:tcBorders>
              <w:right w:val="single" w:sz="8" w:color="auto"/>
            </w:tcBorders>
          </w:tcPr>
          <w:p>
            <w:pPr>
              <w:spacing w:after="0"/>
              <w:rPr>
                <w:sz w:val="24"/>
                <w:szCs w:val="24"/>
                <w:color w:val="auto"/>
              </w:rPr>
            </w:pPr>
          </w:p>
        </w:tc>
        <w:tc>
          <w:tcPr>
            <w:tcW w:w="51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Grantor</w:t>
            </w:r>
          </w:p>
        </w:tc>
        <w:tc>
          <w:tcPr>
            <w:tcW w:w="5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Address</w:t>
            </w:r>
          </w:p>
        </w:tc>
        <w:tc>
          <w:tcPr>
            <w:tcW w:w="460" w:type="dxa"/>
            <w:vAlign w:val="bottom"/>
          </w:tcPr>
          <w:p>
            <w:pPr>
              <w:spacing w:after="0"/>
              <w:rPr>
                <w:sz w:val="24"/>
                <w:szCs w:val="24"/>
                <w:color w:val="auto"/>
              </w:rPr>
            </w:pPr>
          </w:p>
        </w:tc>
      </w:tr>
      <w:tr>
        <w:trPr>
          <w:trHeight w:val="249"/>
        </w:trPr>
        <w:tc>
          <w:tcPr>
            <w:tcW w:w="520" w:type="dxa"/>
            <w:vAlign w:val="bottom"/>
            <w:tcBorders>
              <w:right w:val="single" w:sz="8" w:color="auto"/>
            </w:tcBorders>
          </w:tcPr>
          <w:p>
            <w:pPr>
              <w:spacing w:after="0"/>
              <w:rPr>
                <w:sz w:val="21"/>
                <w:szCs w:val="21"/>
                <w:color w:val="auto"/>
              </w:rPr>
            </w:pPr>
          </w:p>
        </w:tc>
        <w:tc>
          <w:tcPr>
            <w:tcW w:w="512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American Airlines, Inc.</w:t>
            </w:r>
          </w:p>
        </w:tc>
        <w:tc>
          <w:tcPr>
            <w:tcW w:w="51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1 Skyview Drive,</w:t>
            </w:r>
          </w:p>
        </w:tc>
        <w:tc>
          <w:tcPr>
            <w:tcW w:w="460" w:type="dxa"/>
            <w:vAlign w:val="bottom"/>
          </w:tcPr>
          <w:p>
            <w:pPr>
              <w:spacing w:after="0"/>
              <w:rPr>
                <w:sz w:val="21"/>
                <w:szCs w:val="21"/>
                <w:color w:val="auto"/>
              </w:rPr>
            </w:pPr>
          </w:p>
        </w:tc>
      </w:tr>
      <w:tr>
        <w:trPr>
          <w:trHeight w:val="285"/>
        </w:trPr>
        <w:tc>
          <w:tcPr>
            <w:tcW w:w="520" w:type="dxa"/>
            <w:vAlign w:val="bottom"/>
            <w:tcBorders>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Fort Worth, Texas 76155</w:t>
            </w:r>
          </w:p>
        </w:tc>
        <w:tc>
          <w:tcPr>
            <w:tcW w:w="460" w:type="dxa"/>
            <w:vAlign w:val="bottom"/>
          </w:tcPr>
          <w:p>
            <w:pPr>
              <w:spacing w:after="0"/>
              <w:rPr>
                <w:sz w:val="24"/>
                <w:szCs w:val="24"/>
                <w:color w:val="auto"/>
              </w:rPr>
            </w:pPr>
          </w:p>
        </w:tc>
      </w:tr>
      <w:tr>
        <w:trPr>
          <w:trHeight w:val="1262"/>
        </w:trPr>
        <w:tc>
          <w:tcPr>
            <w:tcW w:w="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379" w:name="page380"/>
    <w:bookmarkEnd w:id="379"/>
    <w:p>
      <w:pPr>
        <w:jc w:val="right"/>
        <w:spacing w:after="0"/>
        <w:rPr>
          <w:sz w:val="20"/>
          <w:szCs w:val="20"/>
          <w:color w:val="auto"/>
        </w:rPr>
      </w:pPr>
      <w:r>
        <w:rPr>
          <w:rFonts w:ascii="Arial" w:cs="Arial" w:eastAsia="Arial" w:hAnsi="Arial"/>
          <w:sz w:val="22"/>
          <w:szCs w:val="22"/>
          <w:color w:val="auto"/>
        </w:rPr>
        <w:t>Schedule II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SLOTS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IATA SUMMER 2020 SEASON</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100" w:type="dxa"/>
            <w:vAlign w:val="bottom"/>
            <w:gridSpan w:val="2"/>
          </w:tcPr>
          <w:p>
            <w:pPr>
              <w:jc w:val="center"/>
              <w:ind w:left="752"/>
              <w:spacing w:after="0"/>
              <w:rPr>
                <w:sz w:val="20"/>
                <w:szCs w:val="20"/>
                <w:color w:val="auto"/>
              </w:rPr>
            </w:pPr>
            <w:r>
              <w:rPr>
                <w:rFonts w:ascii="Arial" w:cs="Arial" w:eastAsia="Arial" w:hAnsi="Arial"/>
                <w:sz w:val="22"/>
                <w:szCs w:val="22"/>
                <w:b w:val="1"/>
                <w:bCs w:val="1"/>
                <w:color w:val="auto"/>
                <w:w w:val="89"/>
              </w:rPr>
              <w:t>Mexico City, Mexico</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2160" w:type="dxa"/>
            <w:vAlign w:val="bottom"/>
          </w:tcPr>
          <w:p>
            <w:pPr>
              <w:spacing w:after="0"/>
              <w:rPr>
                <w:sz w:val="24"/>
                <w:szCs w:val="24"/>
                <w:color w:val="auto"/>
              </w:rPr>
            </w:pPr>
          </w:p>
        </w:tc>
        <w:tc>
          <w:tcPr>
            <w:tcW w:w="14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Arvl Time</w:t>
            </w:r>
          </w:p>
        </w:tc>
        <w:tc>
          <w:tcPr>
            <w:tcW w:w="150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Dept Time</w:t>
            </w:r>
          </w:p>
        </w:tc>
        <w:tc>
          <w:tcPr>
            <w:tcW w:w="16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Frequency</w:t>
            </w: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Dept</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8"/>
              </w:rPr>
              <w:t>Arvl</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6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5"/>
              </w:rPr>
              <w:t>Airport</w:t>
            </w:r>
          </w:p>
        </w:tc>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5"/>
              </w:rPr>
              <w:t>Airport</w:t>
            </w: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6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12:45</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13:35</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w w:val="91"/>
              </w:rPr>
              <w:t>CLT</w:t>
            </w:r>
          </w:p>
        </w:tc>
        <w:tc>
          <w:tcPr>
            <w:tcW w:w="1200" w:type="dxa"/>
            <w:vAlign w:val="bottom"/>
          </w:tcPr>
          <w:p>
            <w:pPr>
              <w:jc w:val="center"/>
              <w:spacing w:after="0"/>
              <w:rPr>
                <w:sz w:val="20"/>
                <w:szCs w:val="20"/>
                <w:color w:val="auto"/>
              </w:rPr>
            </w:pPr>
            <w:r>
              <w:rPr>
                <w:rFonts w:ascii="Arial" w:cs="Arial" w:eastAsia="Arial" w:hAnsi="Arial"/>
                <w:sz w:val="22"/>
                <w:szCs w:val="22"/>
                <w:color w:val="auto"/>
                <w:w w:val="91"/>
              </w:rPr>
              <w:t>CLT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11:25</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12:20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120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13:10</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14:10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120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17:05</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18:05</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120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19:10</w:t>
            </w:r>
          </w:p>
        </w:tc>
        <w:tc>
          <w:tcPr>
            <w:tcW w:w="1500" w:type="dxa"/>
            <w:vAlign w:val="bottom"/>
          </w:tcPr>
          <w:p>
            <w:pPr>
              <w:jc w:val="center"/>
              <w:spacing w:after="0"/>
              <w:rPr>
                <w:sz w:val="20"/>
                <w:szCs w:val="20"/>
                <w:color w:val="auto"/>
              </w:rPr>
            </w:pPr>
            <w:r>
              <w:rPr>
                <w:rFonts w:ascii="Arial" w:cs="Arial" w:eastAsia="Arial" w:hAnsi="Arial"/>
                <w:sz w:val="22"/>
                <w:szCs w:val="22"/>
                <w:color w:val="auto"/>
                <w:w w:val="88"/>
              </w:rPr>
              <w:t>8:00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120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21:20</w:t>
            </w:r>
          </w:p>
        </w:tc>
        <w:tc>
          <w:tcPr>
            <w:tcW w:w="1500" w:type="dxa"/>
            <w:vAlign w:val="bottom"/>
          </w:tcPr>
          <w:p>
            <w:pPr>
              <w:jc w:val="center"/>
              <w:spacing w:after="0"/>
              <w:rPr>
                <w:sz w:val="20"/>
                <w:szCs w:val="20"/>
                <w:color w:val="auto"/>
              </w:rPr>
            </w:pPr>
            <w:r>
              <w:rPr>
                <w:rFonts w:ascii="Arial" w:cs="Arial" w:eastAsia="Arial" w:hAnsi="Arial"/>
                <w:sz w:val="22"/>
                <w:szCs w:val="22"/>
                <w:color w:val="auto"/>
                <w:w w:val="88"/>
              </w:rPr>
              <w:t>6:00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1200" w:type="dxa"/>
            <w:vAlign w:val="bottom"/>
          </w:tcPr>
          <w:p>
            <w:pPr>
              <w:jc w:val="center"/>
              <w:spacing w:after="0"/>
              <w:rPr>
                <w:sz w:val="20"/>
                <w:szCs w:val="20"/>
                <w:color w:val="auto"/>
              </w:rPr>
            </w:pPr>
            <w:r>
              <w:rPr>
                <w:rFonts w:ascii="Arial" w:cs="Arial" w:eastAsia="Arial" w:hAnsi="Arial"/>
                <w:sz w:val="22"/>
                <w:szCs w:val="22"/>
                <w:color w:val="auto"/>
                <w:w w:val="95"/>
              </w:rPr>
              <w:t>DFW</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15:35</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16:30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rPr>
              <w:t>LAX</w:t>
            </w:r>
          </w:p>
        </w:tc>
        <w:tc>
          <w:tcPr>
            <w:tcW w:w="1200" w:type="dxa"/>
            <w:vAlign w:val="bottom"/>
          </w:tcPr>
          <w:p>
            <w:pPr>
              <w:jc w:val="center"/>
              <w:spacing w:after="0"/>
              <w:rPr>
                <w:sz w:val="20"/>
                <w:szCs w:val="20"/>
                <w:color w:val="auto"/>
              </w:rPr>
            </w:pPr>
            <w:r>
              <w:rPr>
                <w:rFonts w:ascii="Arial" w:cs="Arial" w:eastAsia="Arial" w:hAnsi="Arial"/>
                <w:sz w:val="22"/>
                <w:szCs w:val="22"/>
                <w:color w:val="auto"/>
              </w:rPr>
              <w:t>LAX</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8"/>
              </w:rPr>
              <w:t>0:30</w:t>
            </w:r>
          </w:p>
        </w:tc>
        <w:tc>
          <w:tcPr>
            <w:tcW w:w="1500" w:type="dxa"/>
            <w:vAlign w:val="bottom"/>
          </w:tcPr>
          <w:p>
            <w:pPr>
              <w:jc w:val="center"/>
              <w:spacing w:after="0"/>
              <w:rPr>
                <w:sz w:val="20"/>
                <w:szCs w:val="20"/>
                <w:color w:val="auto"/>
              </w:rPr>
            </w:pPr>
            <w:r>
              <w:rPr>
                <w:rFonts w:ascii="Arial" w:cs="Arial" w:eastAsia="Arial" w:hAnsi="Arial"/>
                <w:sz w:val="22"/>
                <w:szCs w:val="22"/>
                <w:color w:val="auto"/>
                <w:w w:val="88"/>
              </w:rPr>
              <w:t>1:10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rPr>
              <w:t>MIA</w:t>
            </w:r>
          </w:p>
        </w:tc>
        <w:tc>
          <w:tcPr>
            <w:tcW w:w="1200" w:type="dxa"/>
            <w:vAlign w:val="bottom"/>
          </w:tcPr>
          <w:p>
            <w:pPr>
              <w:jc w:val="center"/>
              <w:spacing w:after="0"/>
              <w:rPr>
                <w:sz w:val="20"/>
                <w:szCs w:val="20"/>
                <w:color w:val="auto"/>
              </w:rPr>
            </w:pPr>
            <w:r>
              <w:rPr>
                <w:rFonts w:ascii="Arial" w:cs="Arial" w:eastAsia="Arial" w:hAnsi="Arial"/>
                <w:sz w:val="22"/>
                <w:szCs w:val="22"/>
                <w:color w:val="auto"/>
              </w:rPr>
              <w:t>MIA</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8"/>
              </w:rPr>
              <w:t>9:35</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11:20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rPr>
              <w:t>MIA</w:t>
            </w:r>
          </w:p>
        </w:tc>
        <w:tc>
          <w:tcPr>
            <w:tcW w:w="1200" w:type="dxa"/>
            <w:vAlign w:val="bottom"/>
          </w:tcPr>
          <w:p>
            <w:pPr>
              <w:jc w:val="center"/>
              <w:spacing w:after="0"/>
              <w:rPr>
                <w:sz w:val="20"/>
                <w:szCs w:val="20"/>
                <w:color w:val="auto"/>
              </w:rPr>
            </w:pPr>
            <w:r>
              <w:rPr>
                <w:rFonts w:ascii="Arial" w:cs="Arial" w:eastAsia="Arial" w:hAnsi="Arial"/>
                <w:sz w:val="22"/>
                <w:szCs w:val="22"/>
                <w:color w:val="auto"/>
              </w:rPr>
              <w:t>MIA</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12:50</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13:40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rPr>
              <w:t>MIA</w:t>
            </w:r>
          </w:p>
        </w:tc>
        <w:tc>
          <w:tcPr>
            <w:tcW w:w="1200" w:type="dxa"/>
            <w:vAlign w:val="bottom"/>
          </w:tcPr>
          <w:p>
            <w:pPr>
              <w:jc w:val="center"/>
              <w:spacing w:after="0"/>
              <w:rPr>
                <w:sz w:val="20"/>
                <w:szCs w:val="20"/>
                <w:color w:val="auto"/>
              </w:rPr>
            </w:pPr>
            <w:r>
              <w:rPr>
                <w:rFonts w:ascii="Arial" w:cs="Arial" w:eastAsia="Arial" w:hAnsi="Arial"/>
                <w:sz w:val="22"/>
                <w:szCs w:val="22"/>
                <w:color w:val="auto"/>
              </w:rPr>
              <w:t>MIA</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15:30</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16:20</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rPr>
              <w:t>MIA</w:t>
            </w:r>
          </w:p>
        </w:tc>
        <w:tc>
          <w:tcPr>
            <w:tcW w:w="1200" w:type="dxa"/>
            <w:vAlign w:val="bottom"/>
          </w:tcPr>
          <w:p>
            <w:pPr>
              <w:jc w:val="center"/>
              <w:spacing w:after="0"/>
              <w:rPr>
                <w:sz w:val="20"/>
                <w:szCs w:val="20"/>
                <w:color w:val="auto"/>
              </w:rPr>
            </w:pPr>
            <w:r>
              <w:rPr>
                <w:rFonts w:ascii="Arial" w:cs="Arial" w:eastAsia="Arial" w:hAnsi="Arial"/>
                <w:sz w:val="22"/>
                <w:szCs w:val="22"/>
                <w:color w:val="auto"/>
              </w:rPr>
              <w:t>MIA</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21:15</w:t>
            </w:r>
          </w:p>
        </w:tc>
        <w:tc>
          <w:tcPr>
            <w:tcW w:w="1500" w:type="dxa"/>
            <w:vAlign w:val="bottom"/>
          </w:tcPr>
          <w:p>
            <w:pPr>
              <w:jc w:val="center"/>
              <w:spacing w:after="0"/>
              <w:rPr>
                <w:sz w:val="20"/>
                <w:szCs w:val="20"/>
                <w:color w:val="auto"/>
              </w:rPr>
            </w:pPr>
            <w:r>
              <w:rPr>
                <w:rFonts w:ascii="Arial" w:cs="Arial" w:eastAsia="Arial" w:hAnsi="Arial"/>
                <w:sz w:val="22"/>
                <w:szCs w:val="22"/>
                <w:color w:val="auto"/>
                <w:w w:val="88"/>
              </w:rPr>
              <w:t>6:25</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rPr>
              <w:t>MIA</w:t>
            </w:r>
          </w:p>
        </w:tc>
        <w:tc>
          <w:tcPr>
            <w:tcW w:w="1200" w:type="dxa"/>
            <w:vAlign w:val="bottom"/>
          </w:tcPr>
          <w:p>
            <w:pPr>
              <w:jc w:val="center"/>
              <w:spacing w:after="0"/>
              <w:rPr>
                <w:sz w:val="20"/>
                <w:szCs w:val="20"/>
                <w:color w:val="auto"/>
              </w:rPr>
            </w:pPr>
            <w:r>
              <w:rPr>
                <w:rFonts w:ascii="Arial" w:cs="Arial" w:eastAsia="Arial" w:hAnsi="Arial"/>
                <w:sz w:val="22"/>
                <w:szCs w:val="22"/>
                <w:color w:val="auto"/>
              </w:rPr>
              <w:t>MIA</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1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2"/>
                <w:szCs w:val="22"/>
                <w:color w:val="auto"/>
                <w:w w:val="87"/>
              </w:rPr>
              <w:t>14:05</w:t>
            </w:r>
          </w:p>
        </w:tc>
        <w:tc>
          <w:tcPr>
            <w:tcW w:w="1500" w:type="dxa"/>
            <w:vAlign w:val="bottom"/>
          </w:tcPr>
          <w:p>
            <w:pPr>
              <w:jc w:val="center"/>
              <w:spacing w:after="0"/>
              <w:rPr>
                <w:sz w:val="20"/>
                <w:szCs w:val="20"/>
                <w:color w:val="auto"/>
              </w:rPr>
            </w:pPr>
            <w:r>
              <w:rPr>
                <w:rFonts w:ascii="Arial" w:cs="Arial" w:eastAsia="Arial" w:hAnsi="Arial"/>
                <w:sz w:val="22"/>
                <w:szCs w:val="22"/>
                <w:color w:val="auto"/>
                <w:w w:val="90"/>
              </w:rPr>
              <w:t>15:05</w:t>
            </w:r>
          </w:p>
        </w:tc>
        <w:tc>
          <w:tcPr>
            <w:tcW w:w="1600" w:type="dxa"/>
            <w:vAlign w:val="bottom"/>
          </w:tcPr>
          <w:p>
            <w:pPr>
              <w:jc w:val="center"/>
              <w:spacing w:after="0"/>
              <w:rPr>
                <w:sz w:val="20"/>
                <w:szCs w:val="20"/>
                <w:color w:val="auto"/>
              </w:rPr>
            </w:pPr>
            <w:r>
              <w:rPr>
                <w:rFonts w:ascii="Arial" w:cs="Arial" w:eastAsia="Arial" w:hAnsi="Arial"/>
                <w:sz w:val="22"/>
                <w:szCs w:val="22"/>
                <w:color w:val="auto"/>
                <w:w w:val="98"/>
              </w:rPr>
              <w:t>Daily</w:t>
            </w:r>
          </w:p>
        </w:tc>
        <w:tc>
          <w:tcPr>
            <w:tcW w:w="1140" w:type="dxa"/>
            <w:vAlign w:val="bottom"/>
          </w:tcPr>
          <w:p>
            <w:pPr>
              <w:jc w:val="center"/>
              <w:spacing w:after="0"/>
              <w:rPr>
                <w:sz w:val="20"/>
                <w:szCs w:val="20"/>
                <w:color w:val="auto"/>
              </w:rPr>
            </w:pPr>
            <w:r>
              <w:rPr>
                <w:rFonts w:ascii="Arial" w:cs="Arial" w:eastAsia="Arial" w:hAnsi="Arial"/>
                <w:sz w:val="22"/>
                <w:szCs w:val="22"/>
                <w:color w:val="auto"/>
                <w:w w:val="97"/>
              </w:rPr>
              <w:t>PHX</w:t>
            </w:r>
          </w:p>
        </w:tc>
        <w:tc>
          <w:tcPr>
            <w:tcW w:w="1200" w:type="dxa"/>
            <w:vAlign w:val="bottom"/>
          </w:tcPr>
          <w:p>
            <w:pPr>
              <w:jc w:val="center"/>
              <w:spacing w:after="0"/>
              <w:rPr>
                <w:sz w:val="20"/>
                <w:szCs w:val="20"/>
                <w:color w:val="auto"/>
              </w:rPr>
            </w:pPr>
            <w:r>
              <w:rPr>
                <w:rFonts w:ascii="Arial" w:cs="Arial" w:eastAsia="Arial" w:hAnsi="Arial"/>
                <w:sz w:val="22"/>
                <w:szCs w:val="22"/>
                <w:color w:val="auto"/>
                <w:w w:val="92"/>
              </w:rPr>
              <w:t>PHX</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jc w:val="right"/>
              <w:ind w:right="952"/>
              <w:spacing w:after="0"/>
              <w:rPr>
                <w:sz w:val="20"/>
                <w:szCs w:val="20"/>
                <w:color w:val="auto"/>
              </w:rPr>
            </w:pPr>
            <w:r>
              <w:rPr>
                <w:rFonts w:ascii="Arial" w:cs="Arial" w:eastAsia="Arial" w:hAnsi="Arial"/>
                <w:sz w:val="22"/>
                <w:szCs w:val="22"/>
                <w:color w:val="auto"/>
              </w:rPr>
              <w:t>2</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1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0" w:name="page381"/>
    <w:bookmarkEnd w:id="380"/>
    <w:p>
      <w:pPr>
        <w:jc w:val="right"/>
        <w:spacing w:after="0"/>
        <w:rPr>
          <w:sz w:val="20"/>
          <w:szCs w:val="20"/>
          <w:color w:val="auto"/>
        </w:rPr>
      </w:pPr>
      <w:r>
        <w:rPr>
          <w:rFonts w:ascii="Arial" w:cs="Arial" w:eastAsia="Arial" w:hAnsi="Arial"/>
          <w:sz w:val="22"/>
          <w:szCs w:val="22"/>
          <w:color w:val="auto"/>
        </w:rPr>
        <w:t>Schedule III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SCHEDULED SERVICES</w:t>
      </w:r>
    </w:p>
    <w:p>
      <w:pPr>
        <w:spacing w:after="0" w:line="220" w:lineRule="exact"/>
        <w:rPr>
          <w:sz w:val="20"/>
          <w:szCs w:val="20"/>
          <w:color w:val="auto"/>
        </w:rPr>
      </w:pPr>
    </w:p>
    <w:p>
      <w:pPr>
        <w:jc w:val="both"/>
        <w:ind w:right="300"/>
        <w:spacing w:after="0" w:line="253" w:lineRule="auto"/>
        <w:rPr>
          <w:sz w:val="20"/>
          <w:szCs w:val="20"/>
          <w:color w:val="auto"/>
        </w:rPr>
      </w:pPr>
      <w:r>
        <w:rPr>
          <w:rFonts w:ascii="Arial" w:cs="Arial" w:eastAsia="Arial" w:hAnsi="Arial"/>
          <w:sz w:val="22"/>
          <w:szCs w:val="22"/>
          <w:color w:val="auto"/>
        </w:rPr>
        <w:t>For purposes of this Schedule III, “Central American Countries” means any of (i) Belize, Costa Rica, El Salvador, Guatemala, Honduras, Nicaragua, and Panama, and (ii) each other country located in Central America “Central American Country” means any one of them.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Scheduled Services</w:t>
      </w:r>
    </w:p>
    <w:p>
      <w:pPr>
        <w:spacing w:after="0" w:line="220"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color w:val="auto"/>
        </w:rPr>
        <w:t>Non-stop scheduled air carrier service being operated by Grantor between (i) any airport in the United States and any airport in any Central American Country and (ii) any airport in the United States and any airport in Mexico.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Route Authorities</w:t>
      </w:r>
    </w:p>
    <w:p>
      <w:pPr>
        <w:spacing w:after="0" w:line="193" w:lineRule="exact"/>
        <w:rPr>
          <w:sz w:val="20"/>
          <w:szCs w:val="20"/>
          <w:color w:val="auto"/>
        </w:rPr>
      </w:pPr>
    </w:p>
    <w:p>
      <w:pPr>
        <w:ind w:right="60" w:firstLine="656"/>
        <w:spacing w:after="0" w:line="249" w:lineRule="auto"/>
        <w:tabs>
          <w:tab w:leader="none" w:pos="1518" w:val="left"/>
        </w:tabs>
        <w:numPr>
          <w:ilvl w:val="0"/>
          <w:numId w:val="488"/>
        </w:numPr>
        <w:rPr>
          <w:rFonts w:ascii="Arial" w:cs="Arial" w:eastAsia="Arial" w:hAnsi="Arial"/>
          <w:sz w:val="19"/>
          <w:szCs w:val="19"/>
          <w:color w:val="auto"/>
        </w:rPr>
      </w:pPr>
      <w:r>
        <w:rPr>
          <w:rFonts w:ascii="Arial" w:cs="Arial" w:eastAsia="Arial" w:hAnsi="Arial"/>
          <w:sz w:val="19"/>
          <w:szCs w:val="19"/>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Belize signed on October 16, 2018, as amended or modified from time to time, to operate air carrier service between points in the United States and points in Belize, or (y) such other agreements or treaties entered into by the applicable U.S. Governmental Authority and as in effect from time to time that permit Grantor and its successors and/or permitted assigns to operate air carrier service between points in the United States and Belize;</w:t>
      </w:r>
    </w:p>
    <w:p>
      <w:pPr>
        <w:spacing w:after="0" w:line="151" w:lineRule="exact"/>
        <w:rPr>
          <w:rFonts w:ascii="Arial" w:cs="Arial" w:eastAsia="Arial" w:hAnsi="Arial"/>
          <w:sz w:val="19"/>
          <w:szCs w:val="19"/>
          <w:color w:val="auto"/>
        </w:rPr>
      </w:pPr>
    </w:p>
    <w:p>
      <w:pPr>
        <w:ind w:right="40" w:firstLine="656"/>
        <w:spacing w:after="0" w:line="212" w:lineRule="auto"/>
        <w:tabs>
          <w:tab w:leader="none" w:pos="1530" w:val="left"/>
        </w:tabs>
        <w:numPr>
          <w:ilvl w:val="0"/>
          <w:numId w:val="488"/>
        </w:numPr>
        <w:rPr>
          <w:rFonts w:ascii="Arial" w:cs="Arial" w:eastAsia="Arial" w:hAnsi="Arial"/>
          <w:sz w:val="22"/>
          <w:szCs w:val="22"/>
          <w:color w:val="auto"/>
        </w:rPr>
      </w:pPr>
      <w:r>
        <w:rPr>
          <w:rFonts w:ascii="Arial" w:cs="Arial" w:eastAsia="Arial" w:hAnsi="Arial"/>
          <w:sz w:val="22"/>
          <w:szCs w:val="22"/>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the Republic of Costa Rica signed on May 8, 1997, as amended or modified from time to time, to operate air carrier service between points in the United States and points in Costa Rica, or (y) such other agreements or treaties entered into by the applicable U.S. Governmental Authority and as in effect from time to time that permit Grantor and its successors and/or permitted assigns to operate air carrier service between points in the United States and Costa Rica;</w:t>
      </w:r>
    </w:p>
    <w:p>
      <w:pPr>
        <w:spacing w:after="0" w:line="163" w:lineRule="exact"/>
        <w:rPr>
          <w:rFonts w:ascii="Arial" w:cs="Arial" w:eastAsia="Arial" w:hAnsi="Arial"/>
          <w:sz w:val="22"/>
          <w:szCs w:val="22"/>
          <w:color w:val="auto"/>
        </w:rPr>
      </w:pPr>
    </w:p>
    <w:p>
      <w:pPr>
        <w:ind w:right="180" w:firstLine="656"/>
        <w:spacing w:after="0" w:line="216" w:lineRule="auto"/>
        <w:tabs>
          <w:tab w:leader="none" w:pos="1518" w:val="left"/>
        </w:tabs>
        <w:numPr>
          <w:ilvl w:val="0"/>
          <w:numId w:val="488"/>
        </w:numPr>
        <w:rPr>
          <w:rFonts w:ascii="Arial" w:cs="Arial" w:eastAsia="Arial" w:hAnsi="Arial"/>
          <w:sz w:val="22"/>
          <w:szCs w:val="22"/>
          <w:color w:val="auto"/>
        </w:rPr>
      </w:pPr>
      <w:r>
        <w:rPr>
          <w:rFonts w:ascii="Arial" w:cs="Arial" w:eastAsia="Arial" w:hAnsi="Arial"/>
          <w:sz w:val="22"/>
          <w:szCs w:val="22"/>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the Republic of El Salvador signed on May 8, 1997, as amended or modified from time to time, to operate air carrier service between points in the United States and points in El Salvador, or (y) such other agreements or treaties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81" w:name="page382"/>
    <w:bookmarkEnd w:id="381"/>
    <w:p>
      <w:pPr>
        <w:ind w:right="740"/>
        <w:spacing w:after="0" w:line="298" w:lineRule="auto"/>
        <w:rPr>
          <w:sz w:val="20"/>
          <w:szCs w:val="20"/>
          <w:color w:val="auto"/>
        </w:rPr>
      </w:pPr>
      <w:r>
        <w:rPr>
          <w:rFonts w:ascii="Arial" w:cs="Arial" w:eastAsia="Arial" w:hAnsi="Arial"/>
          <w:sz w:val="19"/>
          <w:szCs w:val="19"/>
          <w:color w:val="auto"/>
        </w:rPr>
        <w:t>entered into by the applicable U.S. Governmental Authority and as in effect from time to time that permit Grantor and its successors and/or permitted assigns to operate air carrier service between points in the United States and El Salvador;</w:t>
      </w:r>
    </w:p>
    <w:p>
      <w:pPr>
        <w:spacing w:after="0" w:line="105" w:lineRule="exact"/>
        <w:rPr>
          <w:sz w:val="20"/>
          <w:szCs w:val="20"/>
          <w:color w:val="auto"/>
        </w:rPr>
      </w:pPr>
    </w:p>
    <w:p>
      <w:pPr>
        <w:ind w:firstLine="656"/>
        <w:spacing w:after="0" w:line="222" w:lineRule="auto"/>
        <w:tabs>
          <w:tab w:leader="none" w:pos="1530" w:val="left"/>
        </w:tabs>
        <w:numPr>
          <w:ilvl w:val="0"/>
          <w:numId w:val="489"/>
        </w:numPr>
        <w:rPr>
          <w:rFonts w:ascii="Arial" w:cs="Arial" w:eastAsia="Arial" w:hAnsi="Arial"/>
          <w:sz w:val="21"/>
          <w:szCs w:val="21"/>
          <w:color w:val="auto"/>
        </w:rPr>
      </w:pPr>
      <w:r>
        <w:rPr>
          <w:rFonts w:ascii="Arial" w:cs="Arial" w:eastAsia="Arial" w:hAnsi="Arial"/>
          <w:sz w:val="21"/>
          <w:szCs w:val="21"/>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the Republic of Guatemala signed on May 8, 1997, as amended or modified from time to time, to operate air carrier service between points in the United States and points in Guatemala, or (y) such other agreements or treaties entered into by the applicable U.S. Governmental Authority and as in effect from time to time that permit Grantor and its successors and/or permitted assigns to operate air carrier service between points in the United States and Guatemala;</w:t>
      </w:r>
    </w:p>
    <w:p>
      <w:pPr>
        <w:spacing w:after="0" w:line="164" w:lineRule="exact"/>
        <w:rPr>
          <w:rFonts w:ascii="Arial" w:cs="Arial" w:eastAsia="Arial" w:hAnsi="Arial"/>
          <w:sz w:val="21"/>
          <w:szCs w:val="21"/>
          <w:color w:val="auto"/>
        </w:rPr>
      </w:pPr>
    </w:p>
    <w:p>
      <w:pPr>
        <w:ind w:right="60" w:firstLine="656"/>
        <w:spacing w:after="0" w:line="249" w:lineRule="auto"/>
        <w:tabs>
          <w:tab w:leader="none" w:pos="1518" w:val="left"/>
        </w:tabs>
        <w:numPr>
          <w:ilvl w:val="0"/>
          <w:numId w:val="489"/>
        </w:numPr>
        <w:rPr>
          <w:rFonts w:ascii="Arial" w:cs="Arial" w:eastAsia="Arial" w:hAnsi="Arial"/>
          <w:sz w:val="19"/>
          <w:szCs w:val="19"/>
          <w:color w:val="auto"/>
        </w:rPr>
      </w:pPr>
      <w:r>
        <w:rPr>
          <w:rFonts w:ascii="Arial" w:cs="Arial" w:eastAsia="Arial" w:hAnsi="Arial"/>
          <w:sz w:val="19"/>
          <w:szCs w:val="19"/>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Honduras signed on May 8, 1997, as amended or modified from time to time, to operate air carrier service between points in the United States and points in Honduras, or (y) such other agreements or treaties entered into by the applicable U.S. Governmental Authority and as in effect from time to time that permit Grantor and its successors and/or permitted assigns to operate air carrier service between points in the United States and Honduras;</w:t>
      </w:r>
    </w:p>
    <w:p>
      <w:pPr>
        <w:spacing w:after="0" w:line="151" w:lineRule="exact"/>
        <w:rPr>
          <w:rFonts w:ascii="Arial" w:cs="Arial" w:eastAsia="Arial" w:hAnsi="Arial"/>
          <w:sz w:val="19"/>
          <w:szCs w:val="19"/>
          <w:color w:val="auto"/>
        </w:rPr>
      </w:pPr>
    </w:p>
    <w:p>
      <w:pPr>
        <w:ind w:right="40" w:firstLine="656"/>
        <w:spacing w:after="0" w:line="222" w:lineRule="auto"/>
        <w:tabs>
          <w:tab w:leader="none" w:pos="1494" w:val="left"/>
        </w:tabs>
        <w:numPr>
          <w:ilvl w:val="0"/>
          <w:numId w:val="489"/>
        </w:numPr>
        <w:rPr>
          <w:rFonts w:ascii="Arial" w:cs="Arial" w:eastAsia="Arial" w:hAnsi="Arial"/>
          <w:sz w:val="21"/>
          <w:szCs w:val="21"/>
          <w:color w:val="auto"/>
        </w:rPr>
      </w:pPr>
      <w:r>
        <w:rPr>
          <w:rFonts w:ascii="Arial" w:cs="Arial" w:eastAsia="Arial" w:hAnsi="Arial"/>
          <w:sz w:val="21"/>
          <w:szCs w:val="21"/>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the Republic of Nicaragua signed on May 8, 1997, as amended or modified from time to time, to operate air carrier service between points in the United States and points in Nicaragua, or (y) such other agreements or treaties entered into by the applicable U.S. Governmental Authority and as in effect from time to time that permit Grantor and its successors and/or permitted assigns to operate air carrier service between points in the United States and Nicaragua;</w:t>
      </w:r>
    </w:p>
    <w:p>
      <w:pPr>
        <w:spacing w:after="0" w:line="164" w:lineRule="exact"/>
        <w:rPr>
          <w:rFonts w:ascii="Arial" w:cs="Arial" w:eastAsia="Arial" w:hAnsi="Arial"/>
          <w:sz w:val="21"/>
          <w:szCs w:val="21"/>
          <w:color w:val="auto"/>
        </w:rPr>
      </w:pPr>
    </w:p>
    <w:p>
      <w:pPr>
        <w:ind w:right="20" w:firstLine="656"/>
        <w:spacing w:after="0" w:line="249" w:lineRule="auto"/>
        <w:tabs>
          <w:tab w:leader="none" w:pos="1530" w:val="left"/>
        </w:tabs>
        <w:numPr>
          <w:ilvl w:val="0"/>
          <w:numId w:val="489"/>
        </w:numPr>
        <w:rPr>
          <w:rFonts w:ascii="Arial" w:cs="Arial" w:eastAsia="Arial" w:hAnsi="Arial"/>
          <w:sz w:val="19"/>
          <w:szCs w:val="19"/>
          <w:color w:val="auto"/>
        </w:rPr>
      </w:pPr>
      <w:r>
        <w:rPr>
          <w:rFonts w:ascii="Arial" w:cs="Arial" w:eastAsia="Arial" w:hAnsi="Arial"/>
          <w:sz w:val="19"/>
          <w:szCs w:val="19"/>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the Republic of Panama signed on May 8, 1997, as amended or modified from time to time, to operate air carrier service between points in the United States and points in Panama, or (y) such other agreements or treaties entered into by the applicable U.S. Governmental Authority and as in effect from time to time that permit Grantor and its successors and/or permitted assigns to operate air carrier service between points in the United States and Panama;</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52" w:right="379" w:bottom="1440" w:gutter="0" w:footer="0" w:header="0"/>
        </w:sectPr>
      </w:pPr>
    </w:p>
    <w:bookmarkStart w:id="382" w:name="page383"/>
    <w:bookmarkEnd w:id="382"/>
    <w:p>
      <w:pPr>
        <w:ind w:left="-120" w:firstLine="656"/>
        <w:spacing w:after="0" w:line="212" w:lineRule="auto"/>
        <w:tabs>
          <w:tab w:leader="none" w:pos="1410" w:val="left"/>
        </w:tabs>
        <w:numPr>
          <w:ilvl w:val="0"/>
          <w:numId w:val="490"/>
        </w:numPr>
        <w:rPr>
          <w:rFonts w:ascii="Arial" w:cs="Arial" w:eastAsia="Arial" w:hAnsi="Arial"/>
          <w:sz w:val="22"/>
          <w:szCs w:val="22"/>
          <w:color w:val="auto"/>
        </w:rPr>
      </w:pPr>
      <w:r>
        <w:rPr>
          <w:rFonts w:ascii="Arial" w:cs="Arial" w:eastAsia="Arial" w:hAnsi="Arial"/>
          <w:sz w:val="22"/>
          <w:szCs w:val="22"/>
          <w:color w:val="auto"/>
        </w:rPr>
        <w:t>the route authority or authorities (including any applicable certificate, exemption and frequency authorities, or portion thereof) granted by the DOT and held by Grantor pursuant to (x) the Air Transport Agreement between the Government of the United States of America and the Government of the United Mexican States signed on December 18, 2015, as amended or modified from time to time, to operate air carrier service between points in the United States and points in Mexico, or (y) such other agreements or treaties entered into by the applicable U.S. Governmental Authority and as in effect from time to time that permit Grantor and its successors and/or permitted assigns to operate air carrier service between points in the United States and Mexico;</w:t>
      </w:r>
    </w:p>
    <w:p>
      <w:pPr>
        <w:spacing w:after="0" w:line="163" w:lineRule="exact"/>
        <w:rPr>
          <w:rFonts w:ascii="Arial" w:cs="Arial" w:eastAsia="Arial" w:hAnsi="Arial"/>
          <w:sz w:val="22"/>
          <w:szCs w:val="22"/>
          <w:color w:val="auto"/>
        </w:rPr>
      </w:pPr>
    </w:p>
    <w:p>
      <w:pPr>
        <w:ind w:left="-120" w:right="80" w:firstLine="656"/>
        <w:spacing w:after="0" w:line="222" w:lineRule="auto"/>
        <w:tabs>
          <w:tab w:leader="none" w:pos="1362" w:val="left"/>
        </w:tabs>
        <w:numPr>
          <w:ilvl w:val="0"/>
          <w:numId w:val="490"/>
        </w:numPr>
        <w:rPr>
          <w:rFonts w:ascii="Arial" w:cs="Arial" w:eastAsia="Arial" w:hAnsi="Arial"/>
          <w:sz w:val="21"/>
          <w:szCs w:val="21"/>
          <w:color w:val="auto"/>
        </w:rPr>
      </w:pPr>
      <w:r>
        <w:rPr>
          <w:rFonts w:ascii="Arial" w:cs="Arial" w:eastAsia="Arial" w:hAnsi="Arial"/>
          <w:sz w:val="21"/>
          <w:szCs w:val="21"/>
          <w:color w:val="auto"/>
        </w:rPr>
        <w:t>any other route authority or authorities (including any applicable certificate, exemption and frequency authorities, or portion thereof) relating to the operation commenced by Grantor after the Closing Date of any Scheduled Service between any airport in the United States and any airport in any country described in clause (ii) of the definition of Central American Country or Mexico that are granted by the DOT and held by Grantor pursuant to such agreements or treaties entered into by the applicable U.S. Governmental Authority and as in effect from time to time that permit Grantor and its successors and/or permitted assigns to operate air carrier service between points in the United States and points in such other Central American Country or Mexico as may be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66040</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752" w:right="439" w:bottom="1440" w:gutter="0" w:footer="0" w:header="0"/>
        </w:sectPr>
      </w:pPr>
    </w:p>
    <w:bookmarkStart w:id="383" w:name="page384"/>
    <w:bookmarkEnd w:id="383"/>
    <w:p>
      <w:pPr>
        <w:jc w:val="right"/>
        <w:spacing w:after="0"/>
        <w:rPr>
          <w:sz w:val="20"/>
          <w:szCs w:val="20"/>
          <w:color w:val="auto"/>
        </w:rPr>
      </w:pPr>
      <w:r>
        <w:rPr>
          <w:rFonts w:ascii="Arial" w:cs="Arial" w:eastAsia="Arial" w:hAnsi="Arial"/>
          <w:sz w:val="22"/>
          <w:szCs w:val="22"/>
          <w:color w:val="auto"/>
        </w:rPr>
        <w:t>Exhibit 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SGR Security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SGR FIRST LIEN SECURITY AGREEMENT SUPPLEMENT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SGR First Lien Security Agreement Supplement No. 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SGR FIRST LIEN SECURITY AGREEMENT SUPPLEMENT NO. __ , dated _____________, ____ (“ </w:t>
      </w:r>
      <w:r>
        <w:rPr>
          <w:rFonts w:ascii="Arial" w:cs="Arial" w:eastAsia="Arial" w:hAnsi="Arial"/>
          <w:sz w:val="19"/>
          <w:szCs w:val="19"/>
          <w:u w:val="single" w:color="auto"/>
          <w:color w:val="auto"/>
        </w:rPr>
        <w:t>SGR Security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Agreement Supplement</w:t>
      </w:r>
      <w:r>
        <w:rPr>
          <w:rFonts w:ascii="Arial" w:cs="Arial" w:eastAsia="Arial" w:hAnsi="Arial"/>
          <w:sz w:val="19"/>
          <w:szCs w:val="19"/>
          <w:color w:val="auto"/>
        </w:rPr>
        <w:t xml:space="preserve"> ”), between [_________], a [_______] corporation (together with its permitted successors and assigns,</w:t>
      </w:r>
    </w:p>
    <w:p>
      <w:pPr>
        <w:spacing w:after="0" w:line="3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the “ </w:t>
      </w:r>
      <w:r>
        <w:rPr>
          <w:rFonts w:ascii="Arial" w:cs="Arial" w:eastAsia="Arial" w:hAnsi="Arial"/>
          <w:sz w:val="22"/>
          <w:szCs w:val="22"/>
          <w:u w:val="single" w:color="auto"/>
          <w:color w:val="auto"/>
        </w:rPr>
        <w:t>Grantor</w:t>
      </w:r>
      <w:r>
        <w:rPr>
          <w:rFonts w:ascii="Arial" w:cs="Arial" w:eastAsia="Arial" w:hAnsi="Arial"/>
          <w:sz w:val="22"/>
          <w:szCs w:val="22"/>
          <w:color w:val="auto"/>
        </w:rPr>
        <w:t xml:space="preserve"> ”) and CITIBANK N.A., as First Lien Collateral Agent (in such capacity, together with its successors and permitted assigns in such capacity, the “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0" w:lineRule="exact"/>
        <w:rPr>
          <w:sz w:val="20"/>
          <w:szCs w:val="20"/>
          <w:color w:val="auto"/>
        </w:rPr>
      </w:pPr>
    </w:p>
    <w:p>
      <w:pPr>
        <w:spacing w:after="0" w:line="236" w:lineRule="exact"/>
        <w:rPr>
          <w:sz w:val="20"/>
          <w:szCs w:val="20"/>
          <w:color w:val="auto"/>
        </w:rPr>
      </w:pPr>
    </w:p>
    <w:p>
      <w:pPr>
        <w:jc w:val="both"/>
        <w:ind w:firstLine="656"/>
        <w:spacing w:after="0" w:line="271" w:lineRule="auto"/>
        <w:tabs>
          <w:tab w:leader="none" w:pos="1162" w:val="left"/>
        </w:tabs>
        <w:numPr>
          <w:ilvl w:val="0"/>
          <w:numId w:val="491"/>
        </w:numPr>
        <w:rPr>
          <w:rFonts w:ascii="Arial" w:cs="Arial" w:eastAsia="Arial" w:hAnsi="Arial"/>
          <w:sz w:val="21"/>
          <w:szCs w:val="21"/>
          <w:color w:val="auto"/>
        </w:rPr>
      </w:pPr>
      <w:r>
        <w:rPr>
          <w:rFonts w:ascii="Arial" w:cs="Arial" w:eastAsia="Arial" w:hAnsi="Arial"/>
          <w:sz w:val="21"/>
          <w:szCs w:val="21"/>
          <w:color w:val="auto"/>
        </w:rPr>
        <w:t xml:space="preserve">Reference is made to the First Lien Security Agreement (Slots, Foreign Gate Leaseholds and Route Authorities), dated as of March 18, 2020 (as may be amended, supplemented or otherwise modified from time to time, the “ </w:t>
      </w:r>
      <w:r>
        <w:rPr>
          <w:rFonts w:ascii="Arial" w:cs="Arial" w:eastAsia="Arial" w:hAnsi="Arial"/>
          <w:sz w:val="21"/>
          <w:szCs w:val="21"/>
          <w:u w:val="single" w:color="auto"/>
          <w:color w:val="auto"/>
        </w:rPr>
        <w:t>SGR Security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 between the Grantor, the other Grantors named therein and the Collateral Agent.</w:t>
      </w:r>
    </w:p>
    <w:p>
      <w:pPr>
        <w:spacing w:after="0" w:line="167" w:lineRule="exact"/>
        <w:rPr>
          <w:rFonts w:ascii="Arial" w:cs="Arial" w:eastAsia="Arial" w:hAnsi="Arial"/>
          <w:sz w:val="21"/>
          <w:szCs w:val="21"/>
          <w:color w:val="auto"/>
        </w:rPr>
      </w:pPr>
    </w:p>
    <w:p>
      <w:pPr>
        <w:ind w:firstLine="656"/>
        <w:spacing w:after="0" w:line="263" w:lineRule="auto"/>
        <w:tabs>
          <w:tab w:leader="none" w:pos="1072" w:val="left"/>
        </w:tabs>
        <w:numPr>
          <w:ilvl w:val="0"/>
          <w:numId w:val="491"/>
        </w:numPr>
        <w:rPr>
          <w:rFonts w:ascii="Arial" w:cs="Arial" w:eastAsia="Arial" w:hAnsi="Arial"/>
          <w:sz w:val="22"/>
          <w:szCs w:val="22"/>
          <w:color w:val="auto"/>
        </w:rPr>
      </w:pPr>
      <w:r>
        <w:rPr>
          <w:rFonts w:ascii="Arial" w:cs="Arial" w:eastAsia="Arial" w:hAnsi="Arial"/>
          <w:sz w:val="22"/>
          <w:szCs w:val="22"/>
          <w:color w:val="auto"/>
        </w:rPr>
        <w:t>Capitalized terms used herein and not otherwise defined herein shall have the meanings assigned to such terms in the SGR Security Agreement.</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24" w:val="left"/>
        </w:tabs>
        <w:numPr>
          <w:ilvl w:val="0"/>
          <w:numId w:val="491"/>
        </w:numPr>
        <w:rPr>
          <w:rFonts w:ascii="Arial" w:cs="Arial" w:eastAsia="Arial" w:hAnsi="Arial"/>
          <w:sz w:val="22"/>
          <w:szCs w:val="22"/>
          <w:color w:val="auto"/>
        </w:rPr>
      </w:pPr>
      <w:r>
        <w:rPr>
          <w:rFonts w:ascii="Arial" w:cs="Arial" w:eastAsia="Arial" w:hAnsi="Arial"/>
          <w:sz w:val="22"/>
          <w:szCs w:val="22"/>
          <w:u w:val="single" w:color="auto"/>
          <w:color w:val="auto"/>
        </w:rPr>
        <w:t>Section 6(a)</w:t>
      </w:r>
      <w:r>
        <w:rPr>
          <w:rFonts w:ascii="Arial" w:cs="Arial" w:eastAsia="Arial" w:hAnsi="Arial"/>
          <w:sz w:val="22"/>
          <w:szCs w:val="22"/>
          <w:color w:val="auto"/>
        </w:rPr>
        <w:t xml:space="preserve"> of the SGR Security Agreement provides that the Grantor may, at any time and from time to time, designate additional non-stop scheduled air carrier services being operated by the Grantor at such time as additional Scheduled Services by execution and delivery of supplements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Grantor and the Collateral Agent agree as follows: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6(a)</w:t>
      </w:r>
      <w:r>
        <w:rPr>
          <w:rFonts w:ascii="Arial" w:cs="Arial" w:eastAsia="Arial" w:hAnsi="Arial"/>
          <w:sz w:val="22"/>
          <w:szCs w:val="22"/>
          <w:color w:val="auto"/>
        </w:rPr>
        <w:t xml:space="preserve"> of the SGR Security Agreement:</w:t>
      </w:r>
    </w:p>
    <w:p>
      <w:pPr>
        <w:spacing w:after="0" w:line="220" w:lineRule="exact"/>
        <w:rPr>
          <w:sz w:val="20"/>
          <w:szCs w:val="20"/>
          <w:color w:val="auto"/>
        </w:rPr>
      </w:pPr>
    </w:p>
    <w:p>
      <w:pPr>
        <w:jc w:val="both"/>
        <w:ind w:firstLine="656"/>
        <w:spacing w:after="0" w:line="312" w:lineRule="auto"/>
        <w:tabs>
          <w:tab w:leader="none" w:pos="1143" w:val="left"/>
        </w:tabs>
        <w:numPr>
          <w:ilvl w:val="0"/>
          <w:numId w:val="492"/>
        </w:numPr>
        <w:rPr>
          <w:rFonts w:ascii="Arial" w:cs="Arial" w:eastAsia="Arial" w:hAnsi="Arial"/>
          <w:sz w:val="19"/>
          <w:szCs w:val="19"/>
          <w:color w:val="auto"/>
        </w:rPr>
      </w:pPr>
      <w:r>
        <w:rPr>
          <w:rFonts w:ascii="Arial" w:cs="Arial" w:eastAsia="Arial" w:hAnsi="Arial"/>
          <w:sz w:val="19"/>
          <w:szCs w:val="19"/>
          <w:color w:val="auto"/>
        </w:rPr>
        <w:t xml:space="preserve">the non-stop scheduled air carrier service[s] listed below (the “ </w:t>
      </w:r>
      <w:r>
        <w:rPr>
          <w:rFonts w:ascii="Arial" w:cs="Arial" w:eastAsia="Arial" w:hAnsi="Arial"/>
          <w:sz w:val="19"/>
          <w:szCs w:val="19"/>
          <w:u w:val="single" w:color="auto"/>
          <w:color w:val="auto"/>
        </w:rPr>
        <w:t>Designated Service[s]</w:t>
      </w:r>
      <w:r>
        <w:rPr>
          <w:rFonts w:ascii="Arial" w:cs="Arial" w:eastAsia="Arial" w:hAnsi="Arial"/>
          <w:sz w:val="19"/>
          <w:szCs w:val="19"/>
          <w:color w:val="auto"/>
        </w:rPr>
        <w:t xml:space="preserve"> ”) [is][are] hereby designated as [a] Scheduled Service[s] under the SGR Security Agreement, and Schedule III of the SGR Security Agreement is hereby amended and supplemented to include such Designated Service[s] for all purposes of the SGR Security Agreement.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Designated Services</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[list Designated Service(s)]. </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107315</wp:posOffset>
            </wp:positionV>
            <wp:extent cx="68580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98" w:lineRule="exact"/>
        <w:rPr>
          <w:sz w:val="20"/>
          <w:szCs w:val="20"/>
          <w:color w:val="auto"/>
        </w:rPr>
      </w:pPr>
    </w:p>
    <w:p>
      <w:pPr>
        <w:ind w:left="5580" w:right="2080" w:hanging="5572"/>
        <w:spacing w:after="0" w:line="392" w:lineRule="auto"/>
        <w:tabs>
          <w:tab w:leader="none" w:pos="666" w:val="left"/>
        </w:tabs>
        <w:numPr>
          <w:ilvl w:val="0"/>
          <w:numId w:val="493"/>
        </w:numPr>
        <w:rPr>
          <w:rFonts w:ascii="Arial" w:cs="Arial" w:eastAsia="Arial" w:hAnsi="Arial"/>
          <w:sz w:val="29"/>
          <w:szCs w:val="29"/>
          <w:color w:val="auto"/>
          <w:vertAlign w:val="superscript"/>
        </w:rPr>
      </w:pPr>
      <w:r>
        <w:rPr>
          <w:rFonts w:ascii="Arial" w:cs="Arial" w:eastAsia="Arial" w:hAnsi="Arial"/>
          <w:sz w:val="22"/>
          <w:szCs w:val="22"/>
          <w:color w:val="auto"/>
        </w:rPr>
        <w:t>Specify airport-to-airport, region to airport, or region to region Designated Services, as applicable.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84" w:name="page385"/>
    <w:bookmarkEnd w:id="384"/>
    <w:p>
      <w:pPr>
        <w:jc w:val="both"/>
        <w:ind w:firstLine="648"/>
        <w:spacing w:after="0" w:line="312" w:lineRule="auto"/>
        <w:rPr>
          <w:sz w:val="20"/>
          <w:szCs w:val="20"/>
          <w:color w:val="auto"/>
        </w:rPr>
      </w:pPr>
      <w:r>
        <w:rPr>
          <w:rFonts w:ascii="Arial" w:cs="Arial" w:eastAsia="Arial" w:hAnsi="Arial"/>
          <w:sz w:val="19"/>
          <w:szCs w:val="19"/>
          <w:color w:val="auto"/>
        </w:rPr>
        <w:t xml:space="preserve">NOW, THEREFORE, to secure all of the Obligations, the Grantor hereby pledges, grants and creates a security interest and mortgage in favor of the Collateral Agent for its benefit and the benefit of the other Secured Parties in all of the following assets, rights and properties, whether real or personal and whether tangible or intangible (the “ </w:t>
      </w:r>
      <w:r>
        <w:rPr>
          <w:rFonts w:ascii="Arial" w:cs="Arial" w:eastAsia="Arial" w:hAnsi="Arial"/>
          <w:sz w:val="19"/>
          <w:szCs w:val="19"/>
          <w:u w:val="single" w:color="auto"/>
          <w:color w:val="auto"/>
        </w:rPr>
        <w:t>Additional Collateral</w:t>
      </w:r>
      <w:r>
        <w:rPr>
          <w:rFonts w:ascii="Arial" w:cs="Arial" w:eastAsia="Arial" w:hAnsi="Arial"/>
          <w:sz w:val="19"/>
          <w:szCs w:val="19"/>
          <w:color w:val="auto"/>
        </w:rPr>
        <w:t xml:space="preserve"> ”):</w:t>
      </w:r>
    </w:p>
    <w:p>
      <w:pPr>
        <w:spacing w:after="0" w:line="133" w:lineRule="exact"/>
        <w:rPr>
          <w:sz w:val="20"/>
          <w:szCs w:val="20"/>
          <w:color w:val="auto"/>
        </w:rPr>
      </w:pPr>
    </w:p>
    <w:p>
      <w:pPr>
        <w:jc w:val="both"/>
        <w:ind w:left="660" w:firstLine="644"/>
        <w:spacing w:after="0" w:line="250" w:lineRule="auto"/>
        <w:tabs>
          <w:tab w:leader="none" w:pos="1803" w:val="left"/>
        </w:tabs>
        <w:numPr>
          <w:ilvl w:val="0"/>
          <w:numId w:val="494"/>
        </w:numPr>
        <w:rPr>
          <w:rFonts w:ascii="Arial" w:cs="Arial" w:eastAsia="Arial" w:hAnsi="Arial"/>
          <w:sz w:val="22"/>
          <w:szCs w:val="22"/>
          <w:color w:val="auto"/>
        </w:rPr>
      </w:pPr>
      <w:r>
        <w:rPr>
          <w:rFonts w:ascii="Arial" w:cs="Arial" w:eastAsia="Arial" w:hAnsi="Arial"/>
          <w:sz w:val="22"/>
          <w:szCs w:val="22"/>
          <w:color w:val="auto"/>
        </w:rPr>
        <w:t>all of the right, title and interest of the Grantor in, to and under [the Additional Slots] and [the Additional Foreign Gate Leaseholds], whether now owned or held or hereafter acquired and whether such assets, rights or properties constitute General Intangibles or another type or category of collateral under the NY UCC or any other type of asset, right or property; and</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jc w:val="both"/>
        <w:ind w:left="660" w:firstLine="644"/>
        <w:spacing w:after="0" w:line="302" w:lineRule="auto"/>
        <w:tabs>
          <w:tab w:leader="none" w:pos="1825" w:val="left"/>
        </w:tabs>
        <w:numPr>
          <w:ilvl w:val="0"/>
          <w:numId w:val="494"/>
        </w:numPr>
        <w:rPr>
          <w:rFonts w:ascii="Arial" w:cs="Arial" w:eastAsia="Arial" w:hAnsi="Arial"/>
          <w:sz w:val="19"/>
          <w:szCs w:val="19"/>
          <w:color w:val="auto"/>
        </w:rPr>
      </w:pPr>
      <w:r>
        <w:rPr>
          <w:rFonts w:ascii="Arial" w:cs="Arial" w:eastAsia="Arial" w:hAnsi="Arial"/>
          <w:sz w:val="19"/>
          <w:szCs w:val="19"/>
          <w:color w:val="auto"/>
        </w:rPr>
        <w:t>all of the right, title and interest of the Grantor in, to and under all Proceeds of any and all of the foregoing (including, without limitation, all Proceeds (of any kind) received or to be received by the Grantor upon the transfer or other disposition of any of the assets, rights and properties described in clause (i), notwithstanding whether the mortgage, pledge and grant of the security interest in any such asset, right or property is legally effective under applicable law);</w:t>
      </w:r>
    </w:p>
    <w:p>
      <w:pPr>
        <w:spacing w:after="0" w:line="3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notwithstanding the foregoing or any other provision of any provision of the SGR Security Agreement, if a Transfer Restriction would be applicable to the pledge, grant or creation of a security interest in or mortgage on any asset, right or property described above, then so long as such Transfer Restriction is in effect, the SGR Security Agreement and this SGR Security Agreement Supplement shall not pledge, grant or create any security interest in or mortgage on, and the terms “Additional Collateral” and “Collateral” shall not include, any such asset, right or property.</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shall have the following meanings:</w:t>
      </w:r>
    </w:p>
    <w:p>
      <w:pPr>
        <w:spacing w:after="0" w:line="20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Slots</w:t>
      </w:r>
      <w:r>
        <w:rPr>
          <w:rFonts w:ascii="Arial" w:cs="Arial" w:eastAsia="Arial" w:hAnsi="Arial"/>
          <w:sz w:val="22"/>
          <w:szCs w:val="22"/>
          <w:color w:val="auto"/>
        </w:rPr>
        <w:t xml:space="preserve"> ” shall mean, at any time of determination, ( </w:t>
      </w:r>
      <w:r>
        <w:rPr>
          <w:rFonts w:ascii="Arial" w:cs="Arial" w:eastAsia="Arial" w:hAnsi="Arial"/>
          <w:sz w:val="22"/>
          <w:szCs w:val="22"/>
          <w:u w:val="single" w:color="auto"/>
          <w:color w:val="auto"/>
        </w:rPr>
        <w:t>x</w:t>
      </w:r>
      <w:r>
        <w:rPr>
          <w:rFonts w:ascii="Arial" w:cs="Arial" w:eastAsia="Arial" w:hAnsi="Arial"/>
          <w:sz w:val="22"/>
          <w:szCs w:val="22"/>
          <w:color w:val="auto"/>
        </w:rPr>
        <w:t xml:space="preserve"> ) any Foreign Slot of the Grantor at [ ] </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 in each case only to the extent such Foreign Slot is being utilized by the Grantor (or any other “Grantor” as defined in the SGR Security Agreement on behalf of the Grantor) to provide any Designated Service, but in each case excluding any Temporary Foreign Slot, and ( </w:t>
      </w:r>
      <w:r>
        <w:rPr>
          <w:rFonts w:ascii="Arial" w:cs="Arial" w:eastAsia="Arial" w:hAnsi="Arial"/>
          <w:sz w:val="22"/>
          <w:szCs w:val="22"/>
          <w:u w:val="single" w:color="auto"/>
          <w:color w:val="auto"/>
        </w:rPr>
        <w:t>y</w:t>
      </w:r>
      <w:r>
        <w:rPr>
          <w:rFonts w:ascii="Arial" w:cs="Arial" w:eastAsia="Arial" w:hAnsi="Arial"/>
          <w:sz w:val="22"/>
          <w:szCs w:val="22"/>
          <w:color w:val="auto"/>
        </w:rPr>
        <w:t xml:space="preserve"> ) any FAA Slot of the Grantor [at any airport in the United States] </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that is an origin and/or destination point with respect to any Designated Service, in each case only to the extent such FAA Slot is being utilized by the Grantor (or any other “Grantor” as defined in the SGR Security Agreement on behalf of the Grantor) to provide such Designated Service, but in each case excluding any Temporary FAA Slot.]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132715</wp:posOffset>
            </wp:positionV>
            <wp:extent cx="6858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To list any foreign airport or airports within any region that is or are an origin and/or destination point(s) with respect to the Designated Service(s).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Alternately identify specific US airports.</w:t>
      </w:r>
    </w:p>
    <w:p>
      <w:pPr>
        <w:spacing w:after="0" w:line="220"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779" w:right="339" w:bottom="1440" w:gutter="0" w:footer="0" w:header="0"/>
          <w:type w:val="continuous"/>
        </w:sectPr>
      </w:pPr>
    </w:p>
    <w:bookmarkStart w:id="385" w:name="page386"/>
    <w:bookmarkEnd w:id="385"/>
    <w:p>
      <w:pPr>
        <w:jc w:val="both"/>
        <w:ind w:firstLine="648"/>
        <w:spacing w:after="0" w:line="22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Foreign Gate Leaseholds</w:t>
      </w:r>
      <w:r>
        <w:rPr>
          <w:rFonts w:ascii="Arial" w:cs="Arial" w:eastAsia="Arial" w:hAnsi="Arial"/>
          <w:sz w:val="22"/>
          <w:szCs w:val="22"/>
          <w:color w:val="auto"/>
        </w:rPr>
        <w:t xml:space="preserve"> ” shall mean, at any time of determination, all of the right, title, privilege, interest and authority of the Grantor to use or occupy space in an airport terminal at [ ] </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 in each case only to the extent necessary for the Grantor to provide any Designated Service.]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reference to “Collateral” in the SGR Security Agreement shall be deemed to include the Additional Collateral.</w:t>
      </w:r>
    </w:p>
    <w:p>
      <w:pPr>
        <w:spacing w:after="0" w:line="25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SGR Security Agreement Supplement shall be construed as supplemental to the SGR Security Agreement and shall form a part thereof, and the SGR Security Agreement as so supplemented is hereby ratified, approved and confirmed.</w:t>
      </w:r>
    </w:p>
    <w:p>
      <w:pPr>
        <w:spacing w:after="0" w:line="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SGR SECURITY AGREEMENT SUPPLEMENT HAS BEEN DELIVERED IN THE STATE OF NEW YORK, AND THIS SGR SECURITY AGREEMENT SUPPLEMENT AND THE RIGHTS AND OBLIGATIONS OF THE PARTIES UNDER THIS SGR SECURITY AGREEMENT SUPPLEMENT SHALL BE GOVERNED BY, AND CONSTRUED AND INTERPRETED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3705860</wp:posOffset>
            </wp:positionV>
            <wp:extent cx="68580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220" w:hanging="652"/>
        <w:spacing w:after="0" w:line="217" w:lineRule="auto"/>
        <w:tabs>
          <w:tab w:leader="none" w:pos="660" w:val="left"/>
        </w:tabs>
        <w:numPr>
          <w:ilvl w:val="0"/>
          <w:numId w:val="495"/>
        </w:numPr>
        <w:rPr>
          <w:rFonts w:ascii="Arial" w:cs="Arial" w:eastAsia="Arial" w:hAnsi="Arial"/>
          <w:sz w:val="29"/>
          <w:szCs w:val="29"/>
          <w:color w:val="auto"/>
          <w:vertAlign w:val="superscript"/>
        </w:rPr>
      </w:pPr>
      <w:r>
        <w:rPr>
          <w:rFonts w:ascii="Arial" w:cs="Arial" w:eastAsia="Arial" w:hAnsi="Arial"/>
          <w:sz w:val="22"/>
          <w:szCs w:val="22"/>
          <w:color w:val="auto"/>
        </w:rPr>
        <w:t>To list any foreign airport or airports within any region that is or are an origin and/or destination point(s) with respect to the Designated Service(s).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86" w:name="page387"/>
    <w:bookmarkEnd w:id="386"/>
    <w:p>
      <w:pPr>
        <w:ind w:firstLine="1296"/>
        <w:spacing w:after="0" w:line="291" w:lineRule="auto"/>
        <w:rPr>
          <w:sz w:val="20"/>
          <w:szCs w:val="20"/>
          <w:color w:val="auto"/>
        </w:rPr>
      </w:pPr>
      <w:r>
        <w:rPr>
          <w:rFonts w:ascii="Arial" w:cs="Arial" w:eastAsia="Arial" w:hAnsi="Arial"/>
          <w:sz w:val="19"/>
          <w:szCs w:val="19"/>
          <w:color w:val="auto"/>
        </w:rPr>
        <w:t>IN WITNESS WHEREOF, the Grantor and the Collateral Agent each has caused this SGR Security Agreement Supplement No. __ to be duly executed and delivered by its officer thereunto duly authorized as of the date first above written.</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as Grantor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8229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387" w:name="page388"/>
    <w:bookmarkEnd w:id="387"/>
    <w:p>
      <w:pPr>
        <w:ind w:left="278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as First Lien Collateral Agent</w:t>
      </w:r>
    </w:p>
    <w:p>
      <w:pPr>
        <w:spacing w:after="0" w:line="23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8229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388" w:name="page389"/>
    <w:bookmarkEnd w:id="388"/>
    <w:p>
      <w:pPr>
        <w:jc w:val="right"/>
        <w:spacing w:after="0"/>
        <w:rPr>
          <w:sz w:val="20"/>
          <w:szCs w:val="20"/>
          <w:color w:val="auto"/>
        </w:rPr>
      </w:pPr>
      <w:r>
        <w:rPr>
          <w:rFonts w:ascii="Arial" w:cs="Arial" w:eastAsia="Arial" w:hAnsi="Arial"/>
          <w:sz w:val="22"/>
          <w:szCs w:val="22"/>
          <w:color w:val="auto"/>
        </w:rPr>
        <w:t>Schedule [_]</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Exhibit A</w:t>
      </w:r>
    </w:p>
    <w:p>
      <w:pPr>
        <w:spacing w:after="0" w:line="200" w:lineRule="exact"/>
        <w:rPr>
          <w:sz w:val="20"/>
          <w:szCs w:val="20"/>
          <w:color w:val="auto"/>
        </w:rPr>
      </w:pPr>
    </w:p>
    <w:p>
      <w:pPr>
        <w:spacing w:after="0" w:line="236" w:lineRule="exact"/>
        <w:rPr>
          <w:sz w:val="20"/>
          <w:szCs w:val="20"/>
          <w:color w:val="auto"/>
        </w:rPr>
      </w:pPr>
    </w:p>
    <w:p>
      <w:pPr>
        <w:ind w:left="3780"/>
        <w:spacing w:after="0"/>
        <w:rPr>
          <w:sz w:val="20"/>
          <w:szCs w:val="20"/>
          <w:color w:val="auto"/>
        </w:rPr>
      </w:pPr>
      <w:r>
        <w:rPr>
          <w:rFonts w:ascii="Arial" w:cs="Arial" w:eastAsia="Arial" w:hAnsi="Arial"/>
          <w:sz w:val="22"/>
          <w:szCs w:val="22"/>
          <w:u w:val="single" w:color="auto"/>
          <w:color w:val="auto"/>
        </w:rPr>
        <w:t>SCHEDULE [_]</w:t>
      </w:r>
    </w:p>
    <w:p>
      <w:pPr>
        <w:spacing w:after="0" w:line="200" w:lineRule="exact"/>
        <w:rPr>
          <w:sz w:val="20"/>
          <w:szCs w:val="20"/>
          <w:color w:val="auto"/>
        </w:rPr>
      </w:pPr>
    </w:p>
    <w:p>
      <w:pPr>
        <w:spacing w:after="0" w:line="236" w:lineRule="exact"/>
        <w:rPr>
          <w:sz w:val="20"/>
          <w:szCs w:val="20"/>
          <w:color w:val="auto"/>
        </w:rPr>
      </w:pPr>
    </w:p>
    <w:p>
      <w:pPr>
        <w:ind w:left="1140"/>
        <w:spacing w:after="0"/>
        <w:rPr>
          <w:sz w:val="20"/>
          <w:szCs w:val="20"/>
          <w:color w:val="auto"/>
        </w:rPr>
      </w:pPr>
      <w:r>
        <w:rPr>
          <w:rFonts w:ascii="Arial" w:cs="Arial" w:eastAsia="Arial" w:hAnsi="Arial"/>
          <w:sz w:val="22"/>
          <w:szCs w:val="22"/>
          <w:u w:val="single" w:color="auto"/>
          <w:color w:val="auto"/>
        </w:rPr>
        <w:t>TO SGR FIRST LIEN SECURITY AGREEMENT SUPPLEMENT NO. [__]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79" w:right="339" w:bottom="1440" w:gutter="0" w:footer="0" w:header="0"/>
        </w:sectPr>
      </w:pPr>
    </w:p>
    <w:bookmarkStart w:id="389" w:name="page390"/>
    <w:bookmarkEnd w:id="389"/>
    <w:p>
      <w:pPr>
        <w:jc w:val="right"/>
        <w:spacing w:after="0"/>
        <w:rPr>
          <w:sz w:val="20"/>
          <w:szCs w:val="20"/>
          <w:color w:val="auto"/>
        </w:rPr>
      </w:pPr>
      <w:r>
        <w:rPr>
          <w:rFonts w:ascii="Arial" w:cs="Arial" w:eastAsia="Arial" w:hAnsi="Arial"/>
          <w:sz w:val="22"/>
          <w:szCs w:val="22"/>
          <w:color w:val="auto"/>
        </w:rPr>
        <w:t>EXHIBIT B</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SGR Security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JOINDER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JOINDER AGREEMENT, dated as of _________ __, 20__, is delivered pursuant to Section 27 of the First</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Lien Security Agreement (Slots, Foreign Gate Leaseholds and Route Authorities), dated as of March 18, 2020 (as may be amended, supplemented and/or otherwise modified from time to time, the “ </w:t>
      </w:r>
      <w:r>
        <w:rPr>
          <w:rFonts w:ascii="Arial" w:cs="Arial" w:eastAsia="Arial" w:hAnsi="Arial"/>
          <w:sz w:val="21"/>
          <w:szCs w:val="21"/>
          <w:u w:val="single" w:color="auto"/>
          <w:color w:val="auto"/>
        </w:rPr>
        <w:t>SGR Security Agreement</w:t>
      </w:r>
      <w:r>
        <w:rPr>
          <w:rFonts w:ascii="Arial" w:cs="Arial" w:eastAsia="Arial" w:hAnsi="Arial"/>
          <w:sz w:val="21"/>
          <w:szCs w:val="21"/>
          <w:color w:val="auto"/>
        </w:rPr>
        <w:t xml:space="preserve"> ”), between the parties listed in Schedule I thereto as Grantors, and Citibank, N.A., as first lien collateral agent for the Secured Parties referred to therein. Capitalized terms used herein without definition are used as defined in the SGR Security Agreement.</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By executing and delivering this Joinder Agreement, the undersigned, as provided in Section 27 of the SGR Security Agreement, hereby becomes a party to the SGR Security Agreement as a Grantor thereunder with the same force and effect as if originally named as a Grantor therein and, without limiting the generality of the foregoing, as collateral security for the prompt and complete payment and performance when due (whether at stated maturity, by acceleration or otherwise) of the Obligations of the undersigned, hereby grants, pledges and creates a security interest and mortgage in favor of the Collateral Agent for its benefit and the benefit of the other Secured Parties in all of its right, title and interest in, to and under the Collateral of the undersigned, whether real or personal and whether tangible or intangible and expressly assumes all obligations and liabilities of a Grantor thereunder.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hereby agrees to be bound as a Grantor for the purposes of the SGR Security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information set forth in the schedules to this Joinder Agreement is hereby added to the information set forth in Schedules I through III of the SGR Security Agreement. By acknowledging and agreeing to this Joinder Agreement, the undersigned hereby agrees that this Joinder Agreement may be attached to the SGR Security Agreement and that the Collateral listed on the schedule to this Joinder Agreement shall be and become part of the Collateral referred to in the SGR Security Agreement and shall secure all Obligations of the undersigned.</w:t>
      </w:r>
    </w:p>
    <w:p>
      <w:pPr>
        <w:spacing w:after="0" w:line="19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undersigned hereby represents and warrants that each of the representations and warranties contained in Section 4 of the SGR Security Agreement applicable to it is true and correct on and as the date hereof as if made on and as of such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390" w:name="page391"/>
    <w:bookmarkEnd w:id="390"/>
    <w:p>
      <w:pPr>
        <w:ind w:firstLine="1296"/>
        <w:spacing w:after="0" w:line="263" w:lineRule="auto"/>
        <w:rPr>
          <w:sz w:val="20"/>
          <w:szCs w:val="20"/>
          <w:color w:val="auto"/>
        </w:rPr>
      </w:pPr>
      <w:r>
        <w:rPr>
          <w:rFonts w:ascii="Arial" w:cs="Arial" w:eastAsia="Arial" w:hAnsi="Arial"/>
          <w:sz w:val="22"/>
          <w:szCs w:val="22"/>
          <w:color w:val="auto"/>
        </w:rPr>
        <w:t>IN WITNESS WHEREOF, the undersigned has caused this Joinder Agreement to be duly executed and delivered as of the date first above written .</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[ADDITIONAL GRANTOR]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8229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91" w:name="page392"/>
    <w:bookmarkEnd w:id="391"/>
    <w:p>
      <w:pPr>
        <w:jc w:val="right"/>
        <w:spacing w:after="0"/>
        <w:rPr>
          <w:sz w:val="20"/>
          <w:szCs w:val="20"/>
          <w:color w:val="auto"/>
        </w:rPr>
      </w:pPr>
      <w:r>
        <w:rPr>
          <w:rFonts w:ascii="Arial" w:cs="Arial" w:eastAsia="Arial" w:hAnsi="Arial"/>
          <w:sz w:val="22"/>
          <w:szCs w:val="22"/>
          <w:color w:val="auto"/>
        </w:rPr>
        <w:t>EXHIBIT A-1-B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Form of Second Lien SGR Security Agreement</w:t>
      </w:r>
    </w:p>
    <w:p>
      <w:pPr>
        <w:spacing w:after="0" w:line="386"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341630</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95" w:right="339" w:bottom="1440" w:gutter="0" w:footer="0" w:header="0"/>
        </w:sectPr>
      </w:pPr>
    </w:p>
    <w:bookmarkStart w:id="392" w:name="page393"/>
    <w:bookmarkEnd w:id="392"/>
    <w:p>
      <w:pPr>
        <w:jc w:val="right"/>
        <w:spacing w:after="0"/>
        <w:rPr>
          <w:sz w:val="20"/>
          <w:szCs w:val="20"/>
          <w:color w:val="auto"/>
        </w:rPr>
      </w:pPr>
      <w:r>
        <w:rPr>
          <w:rFonts w:ascii="Arial" w:cs="Arial" w:eastAsia="Arial" w:hAnsi="Arial"/>
          <w:sz w:val="22"/>
          <w:szCs w:val="22"/>
          <w:color w:val="auto"/>
        </w:rPr>
        <w:t>EXHIBIT A-1-B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SECOND LIEN SECURITY AGREEMENT</w:t>
      </w:r>
    </w:p>
    <w:p>
      <w:pPr>
        <w:spacing w:after="0" w:line="200" w:lineRule="exact"/>
        <w:rPr>
          <w:sz w:val="20"/>
          <w:szCs w:val="20"/>
          <w:color w:val="auto"/>
        </w:rPr>
      </w:pPr>
    </w:p>
    <w:p>
      <w:pPr>
        <w:spacing w:after="0" w:line="236"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(SLOTS, FOREIGN GATE LEASEHOLDS AND ROUTE AUTHORITIES)</w:t>
      </w: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36"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THE GRANTORS LISTED IN SCHEDULE 1 HERETO,</w:t>
      </w:r>
    </w:p>
    <w:p>
      <w:pPr>
        <w:spacing w:after="0" w:line="200" w:lineRule="exact"/>
        <w:rPr>
          <w:sz w:val="20"/>
          <w:szCs w:val="20"/>
          <w:color w:val="auto"/>
        </w:rPr>
      </w:pPr>
    </w:p>
    <w:p>
      <w:pPr>
        <w:spacing w:after="0" w:line="23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Grantors</w:t>
      </w:r>
    </w:p>
    <w:p>
      <w:pPr>
        <w:spacing w:after="0" w:line="200" w:lineRule="exact"/>
        <w:rPr>
          <w:sz w:val="20"/>
          <w:szCs w:val="20"/>
          <w:color w:val="auto"/>
        </w:rPr>
      </w:pPr>
    </w:p>
    <w:p>
      <w:pPr>
        <w:spacing w:after="0" w:line="23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36"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as Second Lien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36"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Dated as of March 18, 2020</w:t>
      </w:r>
    </w:p>
    <w:p>
      <w:pPr>
        <w:spacing w:after="0" w:line="200" w:lineRule="exact"/>
        <w:rPr>
          <w:sz w:val="20"/>
          <w:szCs w:val="20"/>
          <w:color w:val="auto"/>
        </w:rPr>
      </w:pPr>
    </w:p>
    <w:p>
      <w:pPr>
        <w:spacing w:after="0" w:line="236" w:lineRule="exact"/>
        <w:rPr>
          <w:sz w:val="20"/>
          <w:szCs w:val="20"/>
          <w:color w:val="auto"/>
        </w:rPr>
      </w:pPr>
    </w:p>
    <w:p>
      <w:pPr>
        <w:ind w:left="284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2" w:right="339" w:bottom="1440" w:gutter="0" w:footer="0" w:header="0"/>
        </w:sectPr>
      </w:pPr>
    </w:p>
    <w:bookmarkStart w:id="393" w:name="page394"/>
    <w:bookmarkEnd w:id="393"/>
    <w:p>
      <w:pPr>
        <w:ind w:left="4340"/>
        <w:spacing w:after="0"/>
        <w:rPr>
          <w:sz w:val="20"/>
          <w:szCs w:val="20"/>
          <w:color w:val="auto"/>
        </w:rPr>
      </w:pPr>
      <w:r>
        <w:rPr>
          <w:rFonts w:ascii="Arial" w:cs="Arial" w:eastAsia="Arial" w:hAnsi="Arial"/>
          <w:sz w:val="22"/>
          <w:szCs w:val="22"/>
          <w:u w:val="single" w:color="auto"/>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tabs>
          <w:tab w:leader="none" w:pos="1420" w:val="left"/>
          <w:tab w:leader="dot" w:pos="84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2"/>
          <w:szCs w:val="22"/>
          <w:color w:val="auto"/>
        </w:rPr>
        <w:t>Grant of Security Interest</w:t>
      </w:r>
      <w:r>
        <w:rPr>
          <w:sz w:val="20"/>
          <w:szCs w:val="20"/>
          <w:color w:val="auto"/>
        </w:rPr>
        <w:tab/>
      </w:r>
      <w:r>
        <w:rPr>
          <w:rFonts w:ascii="Arial" w:cs="Arial" w:eastAsia="Arial" w:hAnsi="Arial"/>
          <w:sz w:val="17"/>
          <w:szCs w:val="17"/>
          <w:color w:val="auto"/>
        </w:rPr>
        <w:t>1</w:t>
      </w:r>
    </w:p>
    <w:p>
      <w:pPr>
        <w:spacing w:after="0" w:line="368" w:lineRule="exact"/>
        <w:rPr>
          <w:sz w:val="20"/>
          <w:szCs w:val="20"/>
          <w:color w:val="auto"/>
        </w:rPr>
      </w:pPr>
    </w:p>
    <w:p>
      <w:pPr>
        <w:spacing w:after="0"/>
        <w:tabs>
          <w:tab w:leader="none" w:pos="1420" w:val="left"/>
          <w:tab w:leader="dot" w:pos="84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2"/>
          <w:szCs w:val="22"/>
          <w:color w:val="auto"/>
        </w:rPr>
        <w:t>Security for Obligations; Intercreditor Relations</w:t>
      </w:r>
      <w:r>
        <w:rPr>
          <w:sz w:val="20"/>
          <w:szCs w:val="20"/>
          <w:color w:val="auto"/>
        </w:rPr>
        <w:tab/>
      </w:r>
      <w:r>
        <w:rPr>
          <w:rFonts w:ascii="Arial" w:cs="Arial" w:eastAsia="Arial" w:hAnsi="Arial"/>
          <w:sz w:val="17"/>
          <w:szCs w:val="17"/>
          <w:color w:val="auto"/>
        </w:rPr>
        <w:t>3</w:t>
      </w:r>
    </w:p>
    <w:p>
      <w:pPr>
        <w:spacing w:after="0" w:line="368" w:lineRule="exact"/>
        <w:rPr>
          <w:sz w:val="20"/>
          <w:szCs w:val="20"/>
          <w:color w:val="auto"/>
        </w:rPr>
      </w:pPr>
    </w:p>
    <w:p>
      <w:pPr>
        <w:spacing w:after="0"/>
        <w:tabs>
          <w:tab w:leader="none" w:pos="1420" w:val="left"/>
          <w:tab w:leader="dot" w:pos="84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2"/>
          <w:szCs w:val="22"/>
          <w:color w:val="auto"/>
        </w:rPr>
        <w:t>No Release</w:t>
      </w:r>
      <w:r>
        <w:rPr>
          <w:sz w:val="20"/>
          <w:szCs w:val="20"/>
          <w:color w:val="auto"/>
        </w:rPr>
        <w:tab/>
      </w:r>
      <w:r>
        <w:rPr>
          <w:rFonts w:ascii="Arial" w:cs="Arial" w:eastAsia="Arial" w:hAnsi="Arial"/>
          <w:sz w:val="21"/>
          <w:szCs w:val="21"/>
          <w:color w:val="auto"/>
        </w:rPr>
        <w:t>4</w:t>
      </w:r>
    </w:p>
    <w:p>
      <w:pPr>
        <w:spacing w:after="0" w:line="368" w:lineRule="exact"/>
        <w:rPr>
          <w:sz w:val="20"/>
          <w:szCs w:val="20"/>
          <w:color w:val="auto"/>
        </w:rPr>
      </w:pPr>
    </w:p>
    <w:p>
      <w:pPr>
        <w:spacing w:after="0"/>
        <w:tabs>
          <w:tab w:leader="none" w:pos="1420" w:val="left"/>
          <w:tab w:leader="dot" w:pos="84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color w:val="auto"/>
        </w:rPr>
        <w:t>Representations and Warranties</w:t>
      </w:r>
      <w:r>
        <w:rPr>
          <w:sz w:val="20"/>
          <w:szCs w:val="20"/>
          <w:color w:val="auto"/>
        </w:rPr>
        <w:tab/>
      </w:r>
      <w:r>
        <w:rPr>
          <w:rFonts w:ascii="Arial" w:cs="Arial" w:eastAsia="Arial" w:hAnsi="Arial"/>
          <w:sz w:val="17"/>
          <w:szCs w:val="17"/>
          <w:color w:val="auto"/>
        </w:rPr>
        <w:t>4</w:t>
      </w:r>
    </w:p>
    <w:p>
      <w:pPr>
        <w:spacing w:after="0" w:line="368" w:lineRule="exact"/>
        <w:rPr>
          <w:sz w:val="20"/>
          <w:szCs w:val="20"/>
          <w:color w:val="auto"/>
        </w:rPr>
      </w:pPr>
    </w:p>
    <w:p>
      <w:pPr>
        <w:spacing w:after="0"/>
        <w:tabs>
          <w:tab w:leader="none" w:pos="1420" w:val="left"/>
          <w:tab w:leader="dot" w:pos="838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2"/>
          <w:szCs w:val="22"/>
          <w:color w:val="auto"/>
        </w:rPr>
        <w:t>Covenants.</w:t>
      </w:r>
      <w:r>
        <w:rPr>
          <w:sz w:val="20"/>
          <w:szCs w:val="20"/>
          <w:color w:val="auto"/>
        </w:rPr>
        <w:tab/>
      </w:r>
      <w:r>
        <w:rPr>
          <w:rFonts w:ascii="Arial" w:cs="Arial" w:eastAsia="Arial" w:hAnsi="Arial"/>
          <w:sz w:val="21"/>
          <w:szCs w:val="21"/>
          <w:color w:val="auto"/>
        </w:rPr>
        <w:t>7</w:t>
      </w:r>
    </w:p>
    <w:p>
      <w:pPr>
        <w:spacing w:after="0" w:line="368" w:lineRule="exact"/>
        <w:rPr>
          <w:sz w:val="20"/>
          <w:szCs w:val="20"/>
          <w:color w:val="auto"/>
        </w:rPr>
      </w:pPr>
    </w:p>
    <w:p>
      <w:pPr>
        <w:spacing w:after="0"/>
        <w:tabs>
          <w:tab w:leader="none" w:pos="1420" w:val="left"/>
          <w:tab w:leader="dot" w:pos="84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2"/>
          <w:szCs w:val="22"/>
          <w:color w:val="auto"/>
        </w:rPr>
        <w:t>Supplements, Further Assurances</w:t>
      </w:r>
      <w:r>
        <w:rPr>
          <w:sz w:val="20"/>
          <w:szCs w:val="20"/>
          <w:color w:val="auto"/>
        </w:rPr>
        <w:tab/>
      </w:r>
      <w:r>
        <w:rPr>
          <w:rFonts w:ascii="Arial" w:cs="Arial" w:eastAsia="Arial" w:hAnsi="Arial"/>
          <w:sz w:val="21"/>
          <w:szCs w:val="21"/>
          <w:color w:val="auto"/>
        </w:rPr>
        <w:t>8</w:t>
      </w:r>
    </w:p>
    <w:p>
      <w:pPr>
        <w:spacing w:after="0" w:line="368" w:lineRule="exact"/>
        <w:rPr>
          <w:sz w:val="20"/>
          <w:szCs w:val="20"/>
          <w:color w:val="auto"/>
        </w:rPr>
      </w:pPr>
    </w:p>
    <w:p>
      <w:pPr>
        <w:spacing w:after="0"/>
        <w:tabs>
          <w:tab w:leader="none" w:pos="1420" w:val="left"/>
          <w:tab w:leader="dot" w:pos="840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2"/>
          <w:szCs w:val="22"/>
          <w:color w:val="auto"/>
        </w:rPr>
        <w:t>Provisions Concerning Collateral</w:t>
      </w:r>
      <w:r>
        <w:rPr>
          <w:sz w:val="20"/>
          <w:szCs w:val="20"/>
          <w:color w:val="auto"/>
        </w:rPr>
        <w:tab/>
      </w:r>
      <w:r>
        <w:rPr>
          <w:rFonts w:ascii="Arial" w:cs="Arial" w:eastAsia="Arial" w:hAnsi="Arial"/>
          <w:sz w:val="21"/>
          <w:szCs w:val="21"/>
          <w:color w:val="auto"/>
        </w:rPr>
        <w:t>8</w:t>
      </w:r>
    </w:p>
    <w:p>
      <w:pPr>
        <w:spacing w:after="0" w:line="368" w:lineRule="exact"/>
        <w:rPr>
          <w:sz w:val="20"/>
          <w:szCs w:val="20"/>
          <w:color w:val="auto"/>
        </w:rPr>
      </w:pPr>
    </w:p>
    <w:p>
      <w:pPr>
        <w:spacing w:after="0"/>
        <w:tabs>
          <w:tab w:leader="none" w:pos="1420" w:val="left"/>
          <w:tab w:leader="dot" w:pos="850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2"/>
          <w:szCs w:val="22"/>
          <w:color w:val="auto"/>
        </w:rPr>
        <w:t>Collateral Agent Appointed Attorney-in Fact</w:t>
      </w:r>
      <w:r>
        <w:rPr>
          <w:sz w:val="20"/>
          <w:szCs w:val="20"/>
          <w:color w:val="auto"/>
        </w:rPr>
        <w:tab/>
      </w:r>
      <w:r>
        <w:rPr>
          <w:rFonts w:ascii="Arial" w:cs="Arial" w:eastAsia="Arial" w:hAnsi="Arial"/>
          <w:sz w:val="17"/>
          <w:szCs w:val="17"/>
          <w:color w:val="auto"/>
        </w:rPr>
        <w:t>9</w:t>
      </w:r>
    </w:p>
    <w:p>
      <w:pPr>
        <w:spacing w:after="0" w:line="368" w:lineRule="exact"/>
        <w:rPr>
          <w:sz w:val="20"/>
          <w:szCs w:val="20"/>
          <w:color w:val="auto"/>
        </w:rPr>
      </w:pPr>
    </w:p>
    <w:p>
      <w:pPr>
        <w:spacing w:after="0"/>
        <w:tabs>
          <w:tab w:leader="none" w:pos="1420" w:val="left"/>
          <w:tab w:leader="dot" w:pos="83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2"/>
          <w:szCs w:val="22"/>
          <w:color w:val="auto"/>
        </w:rPr>
        <w:t>Collateral Agent May Perform</w:t>
      </w:r>
      <w:r>
        <w:rPr>
          <w:sz w:val="20"/>
          <w:szCs w:val="20"/>
          <w:color w:val="auto"/>
        </w:rPr>
        <w:tab/>
      </w:r>
      <w:r>
        <w:rPr>
          <w:rFonts w:ascii="Arial" w:cs="Arial" w:eastAsia="Arial" w:hAnsi="Arial"/>
          <w:sz w:val="19"/>
          <w:szCs w:val="19"/>
          <w:color w:val="auto"/>
        </w:rPr>
        <w:t>10</w:t>
      </w:r>
    </w:p>
    <w:p>
      <w:pPr>
        <w:spacing w:after="0" w:line="368" w:lineRule="exact"/>
        <w:rPr>
          <w:sz w:val="20"/>
          <w:szCs w:val="20"/>
          <w:color w:val="auto"/>
        </w:rPr>
      </w:pPr>
    </w:p>
    <w:p>
      <w:pPr>
        <w:spacing w:after="0"/>
        <w:tabs>
          <w:tab w:leader="none" w:pos="1420" w:val="left"/>
          <w:tab w:leader="dot" w:pos="83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22"/>
          <w:szCs w:val="22"/>
          <w:color w:val="auto"/>
        </w:rPr>
        <w:t>The Collateral Agent</w:t>
      </w:r>
      <w:r>
        <w:rPr>
          <w:sz w:val="20"/>
          <w:szCs w:val="20"/>
          <w:color w:val="auto"/>
        </w:rPr>
        <w:tab/>
      </w:r>
      <w:r>
        <w:rPr>
          <w:rFonts w:ascii="Arial" w:cs="Arial" w:eastAsia="Arial" w:hAnsi="Arial"/>
          <w:sz w:val="19"/>
          <w:szCs w:val="19"/>
          <w:color w:val="auto"/>
        </w:rPr>
        <w:t>10</w:t>
      </w:r>
    </w:p>
    <w:p>
      <w:pPr>
        <w:spacing w:after="0" w:line="368" w:lineRule="exact"/>
        <w:rPr>
          <w:sz w:val="20"/>
          <w:szCs w:val="20"/>
          <w:color w:val="auto"/>
        </w:rPr>
      </w:pPr>
    </w:p>
    <w:p>
      <w:pPr>
        <w:spacing w:after="0"/>
        <w:tabs>
          <w:tab w:leader="none" w:pos="1420" w:val="left"/>
          <w:tab w:leader="dot" w:pos="834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22"/>
          <w:szCs w:val="22"/>
          <w:color w:val="auto"/>
        </w:rPr>
        <w:t>Events of Default, Remedies</w:t>
      </w:r>
      <w:r>
        <w:rPr>
          <w:sz w:val="20"/>
          <w:szCs w:val="20"/>
          <w:color w:val="auto"/>
        </w:rPr>
        <w:tab/>
      </w:r>
      <w:r>
        <w:rPr>
          <w:rFonts w:ascii="Arial" w:cs="Arial" w:eastAsia="Arial" w:hAnsi="Arial"/>
          <w:sz w:val="19"/>
          <w:szCs w:val="19"/>
          <w:color w:val="auto"/>
        </w:rPr>
        <w:t>10</w:t>
      </w:r>
    </w:p>
    <w:p>
      <w:pPr>
        <w:spacing w:after="0" w:line="368" w:lineRule="exact"/>
        <w:rPr>
          <w:sz w:val="20"/>
          <w:szCs w:val="20"/>
          <w:color w:val="auto"/>
        </w:rPr>
      </w:pPr>
    </w:p>
    <w:p>
      <w:pPr>
        <w:spacing w:after="0"/>
        <w:tabs>
          <w:tab w:leader="none" w:pos="1420" w:val="left"/>
          <w:tab w:leader="dot" w:pos="830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22"/>
          <w:szCs w:val="22"/>
          <w:color w:val="auto"/>
        </w:rPr>
        <w:t>Non-Lender Secured Parties</w:t>
      </w:r>
      <w:r>
        <w:rPr>
          <w:sz w:val="20"/>
          <w:szCs w:val="20"/>
          <w:color w:val="auto"/>
        </w:rPr>
        <w:tab/>
      </w:r>
      <w:r>
        <w:rPr>
          <w:rFonts w:ascii="Arial" w:cs="Arial" w:eastAsia="Arial" w:hAnsi="Arial"/>
          <w:sz w:val="19"/>
          <w:szCs w:val="19"/>
          <w:color w:val="auto"/>
        </w:rPr>
        <w:t>13</w:t>
      </w:r>
    </w:p>
    <w:p>
      <w:pPr>
        <w:spacing w:after="0" w:line="368" w:lineRule="exact"/>
        <w:rPr>
          <w:sz w:val="20"/>
          <w:szCs w:val="20"/>
          <w:color w:val="auto"/>
        </w:rPr>
      </w:pPr>
    </w:p>
    <w:p>
      <w:pPr>
        <w:spacing w:after="0"/>
        <w:tabs>
          <w:tab w:leader="none" w:pos="1420" w:val="left"/>
          <w:tab w:leader="dot" w:pos="832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2"/>
          <w:szCs w:val="22"/>
          <w:color w:val="auto"/>
        </w:rPr>
        <w:t>Application of Proceeds</w:t>
      </w:r>
      <w:r>
        <w:rPr>
          <w:sz w:val="20"/>
          <w:szCs w:val="20"/>
          <w:color w:val="auto"/>
        </w:rPr>
        <w:tab/>
      </w:r>
      <w:r>
        <w:rPr>
          <w:rFonts w:ascii="Arial" w:cs="Arial" w:eastAsia="Arial" w:hAnsi="Arial"/>
          <w:sz w:val="19"/>
          <w:szCs w:val="19"/>
          <w:color w:val="auto"/>
        </w:rPr>
        <w:t>15</w:t>
      </w:r>
    </w:p>
    <w:p>
      <w:pPr>
        <w:spacing w:after="0" w:line="368" w:lineRule="exact"/>
        <w:rPr>
          <w:sz w:val="20"/>
          <w:szCs w:val="20"/>
          <w:color w:val="auto"/>
        </w:rPr>
      </w:pPr>
    </w:p>
    <w:p>
      <w:pPr>
        <w:spacing w:after="0"/>
        <w:tabs>
          <w:tab w:leader="none" w:pos="1420" w:val="left"/>
          <w:tab w:leader="dot" w:pos="83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2"/>
          <w:szCs w:val="22"/>
          <w:color w:val="auto"/>
        </w:rPr>
        <w:t>No Waiver; Discontinuance of Proceeding</w:t>
      </w:r>
      <w:r>
        <w:rPr>
          <w:sz w:val="20"/>
          <w:szCs w:val="20"/>
          <w:color w:val="auto"/>
        </w:rPr>
        <w:tab/>
      </w:r>
      <w:r>
        <w:rPr>
          <w:rFonts w:ascii="Arial" w:cs="Arial" w:eastAsia="Arial" w:hAnsi="Arial"/>
          <w:sz w:val="17"/>
          <w:szCs w:val="17"/>
          <w:color w:val="auto"/>
        </w:rPr>
        <w:t>16</w:t>
      </w:r>
    </w:p>
    <w:p>
      <w:pPr>
        <w:spacing w:after="0" w:line="368" w:lineRule="exact"/>
        <w:rPr>
          <w:sz w:val="20"/>
          <w:szCs w:val="20"/>
          <w:color w:val="auto"/>
        </w:rPr>
      </w:pPr>
    </w:p>
    <w:p>
      <w:pPr>
        <w:spacing w:after="0"/>
        <w:tabs>
          <w:tab w:leader="none" w:pos="1420" w:val="left"/>
          <w:tab w:leader="dot" w:pos="8280" w:val="left"/>
        </w:tabs>
        <w:rPr>
          <w:sz w:val="20"/>
          <w:szCs w:val="20"/>
          <w:color w:val="auto"/>
        </w:rPr>
      </w:pPr>
      <w:r>
        <w:rPr>
          <w:rFonts w:ascii="Arial" w:cs="Arial" w:eastAsia="Arial" w:hAnsi="Arial"/>
          <w:sz w:val="22"/>
          <w:szCs w:val="22"/>
          <w:color w:val="auto"/>
        </w:rPr>
        <w:t>Section 15.</w:t>
      </w:r>
      <w:r>
        <w:rPr>
          <w:sz w:val="20"/>
          <w:szCs w:val="20"/>
          <w:color w:val="auto"/>
        </w:rPr>
        <w:tab/>
      </w:r>
      <w:r>
        <w:rPr>
          <w:rFonts w:ascii="Arial" w:cs="Arial" w:eastAsia="Arial" w:hAnsi="Arial"/>
          <w:sz w:val="22"/>
          <w:szCs w:val="22"/>
          <w:color w:val="auto"/>
        </w:rPr>
        <w:t>Amendments, etc</w:t>
      </w:r>
      <w:r>
        <w:rPr>
          <w:sz w:val="20"/>
          <w:szCs w:val="20"/>
          <w:color w:val="auto"/>
        </w:rPr>
        <w:tab/>
      </w:r>
      <w:r>
        <w:rPr>
          <w:rFonts w:ascii="Arial" w:cs="Arial" w:eastAsia="Arial" w:hAnsi="Arial"/>
          <w:sz w:val="19"/>
          <w:szCs w:val="19"/>
          <w:color w:val="auto"/>
        </w:rPr>
        <w:t>16</w:t>
      </w:r>
    </w:p>
    <w:p>
      <w:pPr>
        <w:spacing w:after="0" w:line="368" w:lineRule="exact"/>
        <w:rPr>
          <w:sz w:val="20"/>
          <w:szCs w:val="20"/>
          <w:color w:val="auto"/>
        </w:rPr>
      </w:pPr>
    </w:p>
    <w:p>
      <w:pPr>
        <w:spacing w:after="0"/>
        <w:tabs>
          <w:tab w:leader="none" w:pos="1420" w:val="left"/>
          <w:tab w:leader="dot" w:pos="8280" w:val="left"/>
        </w:tabs>
        <w:rPr>
          <w:sz w:val="20"/>
          <w:szCs w:val="20"/>
          <w:color w:val="auto"/>
        </w:rPr>
      </w:pPr>
      <w:r>
        <w:rPr>
          <w:rFonts w:ascii="Arial" w:cs="Arial" w:eastAsia="Arial" w:hAnsi="Arial"/>
          <w:sz w:val="22"/>
          <w:szCs w:val="22"/>
          <w:color w:val="auto"/>
        </w:rPr>
        <w:t>Section 16.</w:t>
      </w:r>
      <w:r>
        <w:rPr>
          <w:sz w:val="20"/>
          <w:szCs w:val="20"/>
          <w:color w:val="auto"/>
        </w:rPr>
        <w:tab/>
      </w:r>
      <w:r>
        <w:rPr>
          <w:rFonts w:ascii="Arial" w:cs="Arial" w:eastAsia="Arial" w:hAnsi="Arial"/>
          <w:sz w:val="22"/>
          <w:szCs w:val="22"/>
          <w:color w:val="auto"/>
        </w:rPr>
        <w:t>Termination; Release</w:t>
      </w:r>
      <w:r>
        <w:rPr>
          <w:sz w:val="20"/>
          <w:szCs w:val="20"/>
          <w:color w:val="auto"/>
        </w:rPr>
        <w:tab/>
      </w:r>
      <w:r>
        <w:rPr>
          <w:rFonts w:ascii="Arial" w:cs="Arial" w:eastAsia="Arial" w:hAnsi="Arial"/>
          <w:sz w:val="19"/>
          <w:szCs w:val="19"/>
          <w:color w:val="auto"/>
        </w:rPr>
        <w:t>17</w:t>
      </w:r>
    </w:p>
    <w:p>
      <w:pPr>
        <w:spacing w:after="0" w:line="368" w:lineRule="exact"/>
        <w:rPr>
          <w:sz w:val="20"/>
          <w:szCs w:val="20"/>
          <w:color w:val="auto"/>
        </w:rPr>
      </w:pPr>
    </w:p>
    <w:p>
      <w:pPr>
        <w:spacing w:after="0"/>
        <w:tabs>
          <w:tab w:leader="none" w:pos="1420" w:val="left"/>
          <w:tab w:leader="dot" w:pos="8360" w:val="left"/>
        </w:tabs>
        <w:rPr>
          <w:sz w:val="20"/>
          <w:szCs w:val="20"/>
          <w:color w:val="auto"/>
        </w:rPr>
      </w:pPr>
      <w:r>
        <w:rPr>
          <w:rFonts w:ascii="Arial" w:cs="Arial" w:eastAsia="Arial" w:hAnsi="Arial"/>
          <w:sz w:val="22"/>
          <w:szCs w:val="22"/>
          <w:color w:val="auto"/>
        </w:rPr>
        <w:t>Section 17.</w:t>
      </w:r>
      <w:r>
        <w:rPr>
          <w:sz w:val="20"/>
          <w:szCs w:val="20"/>
          <w:color w:val="auto"/>
        </w:rPr>
        <w:tab/>
      </w:r>
      <w:r>
        <w:rPr>
          <w:rFonts w:ascii="Arial" w:cs="Arial" w:eastAsia="Arial" w:hAnsi="Arial"/>
          <w:sz w:val="22"/>
          <w:szCs w:val="22"/>
          <w:color w:val="auto"/>
        </w:rPr>
        <w:t>Definitions; Rules of Interpretation</w:t>
      </w:r>
      <w:r>
        <w:rPr>
          <w:sz w:val="20"/>
          <w:szCs w:val="20"/>
          <w:color w:val="auto"/>
        </w:rPr>
        <w:tab/>
      </w:r>
      <w:r>
        <w:rPr>
          <w:rFonts w:ascii="Arial" w:cs="Arial" w:eastAsia="Arial" w:hAnsi="Arial"/>
          <w:sz w:val="19"/>
          <w:szCs w:val="19"/>
          <w:color w:val="auto"/>
        </w:rPr>
        <w:t>19</w:t>
      </w:r>
    </w:p>
    <w:p>
      <w:pPr>
        <w:spacing w:after="0" w:line="368" w:lineRule="exact"/>
        <w:rPr>
          <w:sz w:val="20"/>
          <w:szCs w:val="20"/>
          <w:color w:val="auto"/>
        </w:rPr>
      </w:pPr>
    </w:p>
    <w:p>
      <w:pPr>
        <w:spacing w:after="0"/>
        <w:tabs>
          <w:tab w:leader="none" w:pos="1420" w:val="left"/>
          <w:tab w:leader="dot" w:pos="8300" w:val="left"/>
        </w:tabs>
        <w:rPr>
          <w:sz w:val="20"/>
          <w:szCs w:val="20"/>
          <w:color w:val="auto"/>
        </w:rPr>
      </w:pPr>
      <w:r>
        <w:rPr>
          <w:rFonts w:ascii="Arial" w:cs="Arial" w:eastAsia="Arial" w:hAnsi="Arial"/>
          <w:sz w:val="22"/>
          <w:szCs w:val="22"/>
          <w:color w:val="auto"/>
        </w:rPr>
        <w:t>Section 18.</w:t>
      </w:r>
      <w:r>
        <w:rPr>
          <w:sz w:val="20"/>
          <w:szCs w:val="20"/>
          <w:color w:val="auto"/>
        </w:rPr>
        <w:tab/>
      </w:r>
      <w:r>
        <w:rPr>
          <w:rFonts w:ascii="Arial" w:cs="Arial" w:eastAsia="Arial" w:hAnsi="Arial"/>
          <w:sz w:val="22"/>
          <w:szCs w:val="22"/>
          <w:color w:val="auto"/>
        </w:rPr>
        <w:t>Notices</w:t>
      </w:r>
      <w:r>
        <w:rPr>
          <w:sz w:val="20"/>
          <w:szCs w:val="20"/>
          <w:color w:val="auto"/>
        </w:rPr>
        <w:tab/>
      </w:r>
      <w:r>
        <w:rPr>
          <w:rFonts w:ascii="Arial" w:cs="Arial" w:eastAsia="Arial" w:hAnsi="Arial"/>
          <w:sz w:val="19"/>
          <w:szCs w:val="19"/>
          <w:color w:val="auto"/>
        </w:rPr>
        <w:t>27</w:t>
      </w:r>
    </w:p>
    <w:p>
      <w:pPr>
        <w:spacing w:after="0" w:line="368" w:lineRule="exact"/>
        <w:rPr>
          <w:sz w:val="20"/>
          <w:szCs w:val="20"/>
          <w:color w:val="auto"/>
        </w:rPr>
      </w:pPr>
    </w:p>
    <w:p>
      <w:pPr>
        <w:spacing w:after="0"/>
        <w:tabs>
          <w:tab w:leader="none" w:pos="1420" w:val="left"/>
          <w:tab w:leader="dot" w:pos="834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22"/>
          <w:szCs w:val="22"/>
          <w:color w:val="auto"/>
        </w:rPr>
        <w:t>Continuing Security Interest; Transfer of Indebtedness</w:t>
      </w:r>
      <w:r>
        <w:rPr>
          <w:sz w:val="20"/>
          <w:szCs w:val="20"/>
          <w:color w:val="auto"/>
        </w:rPr>
        <w:tab/>
      </w:r>
      <w:r>
        <w:rPr>
          <w:rFonts w:ascii="Arial" w:cs="Arial" w:eastAsia="Arial" w:hAnsi="Arial"/>
          <w:sz w:val="19"/>
          <w:szCs w:val="19"/>
          <w:color w:val="auto"/>
        </w:rPr>
        <w:t>27</w:t>
      </w:r>
    </w:p>
    <w:p>
      <w:pPr>
        <w:spacing w:after="0" w:line="368" w:lineRule="exact"/>
        <w:rPr>
          <w:sz w:val="20"/>
          <w:szCs w:val="20"/>
          <w:color w:val="auto"/>
        </w:rPr>
      </w:pPr>
    </w:p>
    <w:p>
      <w:pPr>
        <w:spacing w:after="0"/>
        <w:tabs>
          <w:tab w:leader="none" w:pos="1420" w:val="left"/>
          <w:tab w:leader="dot" w:pos="8280" w:val="left"/>
        </w:tabs>
        <w:rPr>
          <w:sz w:val="20"/>
          <w:szCs w:val="20"/>
          <w:color w:val="auto"/>
        </w:rPr>
      </w:pPr>
      <w:r>
        <w:rPr>
          <w:rFonts w:ascii="Arial" w:cs="Arial" w:eastAsia="Arial" w:hAnsi="Arial"/>
          <w:sz w:val="22"/>
          <w:szCs w:val="22"/>
          <w:color w:val="auto"/>
        </w:rPr>
        <w:t>Section 20.</w:t>
      </w:r>
      <w:r>
        <w:rPr>
          <w:sz w:val="20"/>
          <w:szCs w:val="20"/>
          <w:color w:val="auto"/>
        </w:rPr>
        <w:tab/>
      </w:r>
      <w:r>
        <w:rPr>
          <w:rFonts w:ascii="Arial" w:cs="Arial" w:eastAsia="Arial" w:hAnsi="Arial"/>
          <w:sz w:val="22"/>
          <w:szCs w:val="22"/>
          <w:color w:val="auto"/>
        </w:rPr>
        <w:t>Governing Law</w:t>
      </w:r>
      <w:r>
        <w:rPr>
          <w:sz w:val="20"/>
          <w:szCs w:val="20"/>
          <w:color w:val="auto"/>
        </w:rPr>
        <w:tab/>
      </w:r>
      <w:r>
        <w:rPr>
          <w:rFonts w:ascii="Arial" w:cs="Arial" w:eastAsia="Arial" w:hAnsi="Arial"/>
          <w:sz w:val="19"/>
          <w:szCs w:val="19"/>
          <w:color w:val="auto"/>
        </w:rPr>
        <w:t>28</w:t>
      </w:r>
    </w:p>
    <w:p>
      <w:pPr>
        <w:spacing w:after="0" w:line="368" w:lineRule="exact"/>
        <w:rPr>
          <w:sz w:val="20"/>
          <w:szCs w:val="20"/>
          <w:color w:val="auto"/>
        </w:rPr>
      </w:pPr>
    </w:p>
    <w:p>
      <w:pPr>
        <w:spacing w:after="0"/>
        <w:tabs>
          <w:tab w:leader="none" w:pos="1420" w:val="left"/>
          <w:tab w:leader="dot" w:pos="83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22"/>
          <w:szCs w:val="22"/>
          <w:color w:val="auto"/>
        </w:rPr>
        <w:t>Waiver of Jury Trial</w:t>
      </w:r>
      <w:r>
        <w:rPr>
          <w:sz w:val="20"/>
          <w:szCs w:val="20"/>
          <w:color w:val="auto"/>
        </w:rPr>
        <w:tab/>
      </w:r>
      <w:r>
        <w:rPr>
          <w:rFonts w:ascii="Arial" w:cs="Arial" w:eastAsia="Arial" w:hAnsi="Arial"/>
          <w:sz w:val="19"/>
          <w:szCs w:val="19"/>
          <w:color w:val="auto"/>
        </w:rPr>
        <w:t>28</w:t>
      </w:r>
    </w:p>
    <w:p>
      <w:pPr>
        <w:spacing w:after="0" w:line="368" w:lineRule="exact"/>
        <w:rPr>
          <w:sz w:val="20"/>
          <w:szCs w:val="20"/>
          <w:color w:val="auto"/>
        </w:rPr>
      </w:pPr>
    </w:p>
    <w:p>
      <w:pPr>
        <w:spacing w:after="0"/>
        <w:tabs>
          <w:tab w:leader="none" w:pos="1420" w:val="left"/>
          <w:tab w:leader="dot" w:pos="834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2"/>
          <w:szCs w:val="22"/>
          <w:color w:val="auto"/>
        </w:rPr>
        <w:t>Consent to Jurisdiction and Service of Process</w:t>
      </w:r>
      <w:r>
        <w:rPr>
          <w:sz w:val="20"/>
          <w:szCs w:val="20"/>
          <w:color w:val="auto"/>
        </w:rPr>
        <w:tab/>
      </w:r>
      <w:r>
        <w:rPr>
          <w:rFonts w:ascii="Arial" w:cs="Arial" w:eastAsia="Arial" w:hAnsi="Arial"/>
          <w:sz w:val="19"/>
          <w:szCs w:val="19"/>
          <w:color w:val="auto"/>
        </w:rPr>
        <w:t>28</w:t>
      </w:r>
    </w:p>
    <w:p>
      <w:pPr>
        <w:sectPr>
          <w:pgSz w:w="11900" w:h="16838" w:orient="portrait"/>
          <w:cols w:equalWidth="0" w:num="1">
            <w:col w:w="9619"/>
          </w:cols>
          <w:pgMar w:left="840" w:top="563" w:right="1440" w:bottom="931" w:gutter="0" w:footer="0" w:header="0"/>
        </w:sectPr>
      </w:pPr>
    </w:p>
    <w:p>
      <w:pPr>
        <w:spacing w:after="0" w:line="200" w:lineRule="exact"/>
        <w:rPr>
          <w:sz w:val="20"/>
          <w:szCs w:val="20"/>
          <w:color w:val="auto"/>
        </w:rPr>
      </w:pPr>
    </w:p>
    <w:p>
      <w:pPr>
        <w:spacing w:after="0" w:line="37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67310</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19"/>
          </w:cols>
          <w:pgMar w:left="840" w:top="563" w:right="1440" w:bottom="931" w:gutter="0" w:footer="0" w:header="0"/>
          <w:type w:val="continuous"/>
        </w:sectPr>
      </w:pPr>
    </w:p>
    <w:bookmarkStart w:id="394" w:name="page395"/>
    <w:bookmarkEnd w:id="394"/>
    <w:p>
      <w:pPr>
        <w:ind w:left="520"/>
        <w:spacing w:after="0"/>
        <w:tabs>
          <w:tab w:leader="none" w:pos="1940" w:val="left"/>
          <w:tab w:leader="dot" w:pos="8840" w:val="left"/>
        </w:tabs>
        <w:rPr>
          <w:sz w:val="20"/>
          <w:szCs w:val="20"/>
          <w:color w:val="auto"/>
        </w:rPr>
      </w:pPr>
      <w:r>
        <w:rPr>
          <w:rFonts w:ascii="Arial" w:cs="Arial" w:eastAsia="Arial" w:hAnsi="Arial"/>
          <w:sz w:val="22"/>
          <w:szCs w:val="22"/>
          <w:color w:val="auto"/>
        </w:rPr>
        <w:t>Section 23.</w:t>
      </w:r>
      <w:r>
        <w:rPr>
          <w:sz w:val="20"/>
          <w:szCs w:val="20"/>
          <w:color w:val="auto"/>
        </w:rPr>
        <w:tab/>
      </w:r>
      <w:r>
        <w:rPr>
          <w:rFonts w:ascii="Arial" w:cs="Arial" w:eastAsia="Arial" w:hAnsi="Arial"/>
          <w:sz w:val="22"/>
          <w:szCs w:val="22"/>
          <w:color w:val="auto"/>
        </w:rPr>
        <w:t>Security Interest Absolute</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520"/>
        <w:spacing w:after="0"/>
        <w:tabs>
          <w:tab w:leader="none" w:pos="1940" w:val="left"/>
          <w:tab w:leader="dot" w:pos="884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22"/>
          <w:szCs w:val="22"/>
          <w:color w:val="auto"/>
        </w:rPr>
        <w:t>Severability of Provisions</w:t>
      </w:r>
      <w:r>
        <w:rPr>
          <w:sz w:val="20"/>
          <w:szCs w:val="20"/>
          <w:color w:val="auto"/>
        </w:rPr>
        <w:tab/>
      </w:r>
      <w:r>
        <w:rPr>
          <w:rFonts w:ascii="Arial" w:cs="Arial" w:eastAsia="Arial" w:hAnsi="Arial"/>
          <w:sz w:val="17"/>
          <w:szCs w:val="17"/>
          <w:color w:val="auto"/>
        </w:rPr>
        <w:t>29</w:t>
      </w:r>
    </w:p>
    <w:p>
      <w:pPr>
        <w:spacing w:after="0" w:line="368" w:lineRule="exact"/>
        <w:rPr>
          <w:sz w:val="20"/>
          <w:szCs w:val="20"/>
          <w:color w:val="auto"/>
        </w:rPr>
      </w:pPr>
    </w:p>
    <w:p>
      <w:pPr>
        <w:ind w:left="520"/>
        <w:spacing w:after="0"/>
        <w:tabs>
          <w:tab w:leader="none" w:pos="1940" w:val="left"/>
          <w:tab w:leader="dot" w:pos="880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22"/>
          <w:szCs w:val="22"/>
          <w:color w:val="auto"/>
        </w:rPr>
        <w:t>Headings</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520"/>
        <w:spacing w:after="0"/>
        <w:tabs>
          <w:tab w:leader="none" w:pos="1940" w:val="left"/>
          <w:tab w:leader="dot" w:pos="886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22"/>
          <w:szCs w:val="22"/>
          <w:color w:val="auto"/>
        </w:rPr>
        <w:t>Execution in Counterparts</w:t>
      </w:r>
      <w:r>
        <w:rPr>
          <w:sz w:val="20"/>
          <w:szCs w:val="20"/>
          <w:color w:val="auto"/>
        </w:rPr>
        <w:tab/>
      </w:r>
      <w:r>
        <w:rPr>
          <w:rFonts w:ascii="Arial" w:cs="Arial" w:eastAsia="Arial" w:hAnsi="Arial"/>
          <w:sz w:val="19"/>
          <w:szCs w:val="19"/>
          <w:color w:val="auto"/>
        </w:rPr>
        <w:t>29</w:t>
      </w:r>
    </w:p>
    <w:p>
      <w:pPr>
        <w:spacing w:after="0" w:line="368" w:lineRule="exact"/>
        <w:rPr>
          <w:sz w:val="20"/>
          <w:szCs w:val="20"/>
          <w:color w:val="auto"/>
        </w:rPr>
      </w:pPr>
    </w:p>
    <w:p>
      <w:pPr>
        <w:ind w:left="520"/>
        <w:spacing w:after="0"/>
        <w:tabs>
          <w:tab w:leader="none" w:pos="1940" w:val="left"/>
          <w:tab w:leader="dot" w:pos="880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22"/>
          <w:szCs w:val="22"/>
          <w:color w:val="auto"/>
        </w:rPr>
        <w:t>Additional Grantors</w:t>
      </w:r>
      <w:r>
        <w:rPr>
          <w:sz w:val="20"/>
          <w:szCs w:val="20"/>
          <w:color w:val="auto"/>
        </w:rPr>
        <w:tab/>
      </w:r>
      <w:r>
        <w:rPr>
          <w:rFonts w:ascii="Arial" w:cs="Arial" w:eastAsia="Arial" w:hAnsi="Arial"/>
          <w:sz w:val="19"/>
          <w:szCs w:val="19"/>
          <w:color w:val="auto"/>
        </w:rPr>
        <w:t>30</w:t>
      </w:r>
    </w:p>
    <w:p>
      <w:pPr>
        <w:spacing w:after="0" w:line="368" w:lineRule="exact"/>
        <w:rPr>
          <w:sz w:val="20"/>
          <w:szCs w:val="20"/>
          <w:color w:val="auto"/>
        </w:rPr>
      </w:pPr>
    </w:p>
    <w:p>
      <w:pPr>
        <w:ind w:left="520"/>
        <w:spacing w:after="0"/>
        <w:tabs>
          <w:tab w:leader="none" w:pos="1940" w:val="left"/>
          <w:tab w:leader="dot" w:pos="886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22"/>
          <w:szCs w:val="22"/>
          <w:color w:val="auto"/>
        </w:rPr>
        <w:t>Successors and Assigns</w:t>
      </w:r>
      <w:r>
        <w:rPr>
          <w:sz w:val="20"/>
          <w:szCs w:val="20"/>
          <w:color w:val="auto"/>
        </w:rPr>
        <w:tab/>
      </w:r>
      <w:r>
        <w:rPr>
          <w:rFonts w:ascii="Arial" w:cs="Arial" w:eastAsia="Arial" w:hAnsi="Arial"/>
          <w:sz w:val="19"/>
          <w:szCs w:val="19"/>
          <w:color w:val="auto"/>
        </w:rPr>
        <w:t>30</w:t>
      </w:r>
    </w:p>
    <w:p>
      <w:pPr>
        <w:spacing w:after="0" w:line="368" w:lineRule="exact"/>
        <w:rPr>
          <w:sz w:val="20"/>
          <w:szCs w:val="20"/>
          <w:color w:val="auto"/>
        </w:rPr>
      </w:pPr>
    </w:p>
    <w:p>
      <w:pPr>
        <w:ind w:left="520"/>
        <w:spacing w:after="0"/>
        <w:tabs>
          <w:tab w:leader="none" w:pos="1940" w:val="left"/>
          <w:tab w:leader="dot" w:pos="882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22"/>
          <w:szCs w:val="22"/>
          <w:color w:val="auto"/>
        </w:rPr>
        <w:t>Limited Obligations</w:t>
      </w:r>
      <w:r>
        <w:rPr>
          <w:sz w:val="20"/>
          <w:szCs w:val="20"/>
          <w:color w:val="auto"/>
        </w:rPr>
        <w:tab/>
      </w:r>
      <w:r>
        <w:rPr>
          <w:rFonts w:ascii="Arial" w:cs="Arial" w:eastAsia="Arial" w:hAnsi="Arial"/>
          <w:sz w:val="19"/>
          <w:szCs w:val="19"/>
          <w:color w:val="auto"/>
        </w:rPr>
        <w:t>30</w:t>
      </w:r>
    </w:p>
    <w:p>
      <w:pPr>
        <w:spacing w:after="0" w:line="368" w:lineRule="exact"/>
        <w:rPr>
          <w:sz w:val="20"/>
          <w:szCs w:val="20"/>
          <w:color w:val="auto"/>
        </w:rPr>
      </w:pPr>
    </w:p>
    <w:p>
      <w:pPr>
        <w:ind w:left="520"/>
        <w:spacing w:after="0"/>
        <w:tabs>
          <w:tab w:leader="none" w:pos="1940" w:val="left"/>
          <w:tab w:leader="dot" w:pos="8820" w:val="left"/>
        </w:tabs>
        <w:rPr>
          <w:sz w:val="20"/>
          <w:szCs w:val="20"/>
          <w:color w:val="auto"/>
        </w:rPr>
      </w:pPr>
      <w:r>
        <w:rPr>
          <w:rFonts w:ascii="Arial" w:cs="Arial" w:eastAsia="Arial" w:hAnsi="Arial"/>
          <w:sz w:val="22"/>
          <w:szCs w:val="22"/>
          <w:color w:val="auto"/>
        </w:rPr>
        <w:t>Section 30.</w:t>
      </w:r>
      <w:r>
        <w:rPr>
          <w:sz w:val="20"/>
          <w:szCs w:val="20"/>
          <w:color w:val="auto"/>
        </w:rPr>
        <w:tab/>
      </w:r>
      <w:r>
        <w:rPr>
          <w:rFonts w:ascii="Arial" w:cs="Arial" w:eastAsia="Arial" w:hAnsi="Arial"/>
          <w:sz w:val="22"/>
          <w:szCs w:val="22"/>
          <w:color w:val="auto"/>
        </w:rPr>
        <w:t>Construction of Schedules</w:t>
      </w:r>
      <w:r>
        <w:rPr>
          <w:sz w:val="20"/>
          <w:szCs w:val="20"/>
          <w:color w:val="auto"/>
        </w:rPr>
        <w:tab/>
      </w:r>
      <w:r>
        <w:rPr>
          <w:rFonts w:ascii="Arial" w:cs="Arial" w:eastAsia="Arial" w:hAnsi="Arial"/>
          <w:sz w:val="19"/>
          <w:szCs w:val="19"/>
          <w:color w:val="auto"/>
        </w:rPr>
        <w:t>30</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Schedule I </w:t>
      </w:r>
      <w:r>
        <w:rPr>
          <w:rFonts w:ascii="Arial" w:cs="Arial" w:eastAsia="Arial" w:hAnsi="Arial"/>
          <w:sz w:val="18"/>
          <w:szCs w:val="18"/>
          <w:color w:val="auto"/>
        </w:rPr>
        <w:t>–</w:t>
      </w:r>
      <w:r>
        <w:rPr>
          <w:rFonts w:ascii="Arial" w:cs="Arial" w:eastAsia="Arial" w:hAnsi="Arial"/>
          <w:sz w:val="22"/>
          <w:szCs w:val="22"/>
          <w:color w:val="auto"/>
        </w:rPr>
        <w:t xml:space="preserve"> Grantors; Location of Chief Executive Offices and Addresses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Schedule II </w:t>
      </w:r>
      <w:r>
        <w:rPr>
          <w:rFonts w:ascii="Arial" w:cs="Arial" w:eastAsia="Arial" w:hAnsi="Arial"/>
          <w:sz w:val="18"/>
          <w:szCs w:val="18"/>
          <w:color w:val="auto"/>
        </w:rPr>
        <w:t>–</w:t>
      </w:r>
      <w:r>
        <w:rPr>
          <w:rFonts w:ascii="Arial" w:cs="Arial" w:eastAsia="Arial" w:hAnsi="Arial"/>
          <w:sz w:val="22"/>
          <w:szCs w:val="22"/>
          <w:color w:val="auto"/>
        </w:rPr>
        <w:t xml:space="preserve"> Slots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Schedule III </w:t>
      </w:r>
      <w:r>
        <w:rPr>
          <w:rFonts w:ascii="Arial" w:cs="Arial" w:eastAsia="Arial" w:hAnsi="Arial"/>
          <w:sz w:val="18"/>
          <w:szCs w:val="18"/>
          <w:color w:val="auto"/>
        </w:rPr>
        <w:t>–</w:t>
      </w:r>
      <w:r>
        <w:rPr>
          <w:rFonts w:ascii="Arial" w:cs="Arial" w:eastAsia="Arial" w:hAnsi="Arial"/>
          <w:sz w:val="22"/>
          <w:szCs w:val="22"/>
          <w:color w:val="auto"/>
        </w:rPr>
        <w:t xml:space="preserve"> Scheduled Services</w:t>
      </w:r>
    </w:p>
    <w:p>
      <w:pPr>
        <w:spacing w:after="0" w:line="229" w:lineRule="exact"/>
        <w:rPr>
          <w:sz w:val="20"/>
          <w:szCs w:val="20"/>
          <w:color w:val="auto"/>
        </w:rPr>
      </w:pPr>
    </w:p>
    <w:p>
      <w:pPr>
        <w:ind w:right="5019"/>
        <w:spacing w:after="0" w:line="276" w:lineRule="auto"/>
        <w:rPr>
          <w:sz w:val="20"/>
          <w:szCs w:val="20"/>
          <w:color w:val="auto"/>
        </w:rPr>
      </w:pPr>
      <w:r>
        <w:rPr>
          <w:rFonts w:ascii="Arial" w:cs="Arial" w:eastAsia="Arial" w:hAnsi="Arial"/>
          <w:sz w:val="22"/>
          <w:szCs w:val="22"/>
          <w:color w:val="auto"/>
        </w:rPr>
        <w:t xml:space="preserve">Exhibit A </w:t>
      </w:r>
      <w:r>
        <w:rPr>
          <w:rFonts w:ascii="Arial" w:cs="Arial" w:eastAsia="Arial" w:hAnsi="Arial"/>
          <w:sz w:val="18"/>
          <w:szCs w:val="18"/>
          <w:color w:val="auto"/>
        </w:rPr>
        <w:t>–</w:t>
      </w:r>
      <w:r>
        <w:rPr>
          <w:rFonts w:ascii="Arial" w:cs="Arial" w:eastAsia="Arial" w:hAnsi="Arial"/>
          <w:sz w:val="22"/>
          <w:szCs w:val="22"/>
          <w:color w:val="auto"/>
        </w:rPr>
        <w:t xml:space="preserve"> Form of SGR Security Agreement Supplement Exhibit B </w:t>
      </w:r>
      <w:r>
        <w:rPr>
          <w:rFonts w:ascii="Arial" w:cs="Arial" w:eastAsia="Arial" w:hAnsi="Arial"/>
          <w:sz w:val="18"/>
          <w:szCs w:val="18"/>
          <w:color w:val="auto"/>
        </w:rPr>
        <w:t>–</w:t>
      </w:r>
      <w:r>
        <w:rPr>
          <w:rFonts w:ascii="Arial" w:cs="Arial" w:eastAsia="Arial" w:hAnsi="Arial"/>
          <w:sz w:val="22"/>
          <w:szCs w:val="22"/>
          <w:color w:val="auto"/>
        </w:rPr>
        <w:t xml:space="preserve"> Form of Joinder Agreement</w:t>
      </w:r>
    </w:p>
    <w:p>
      <w:pPr>
        <w:spacing w:after="0" w:line="39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12" w:right="1440" w:bottom="1440" w:gutter="0" w:footer="0" w:header="0"/>
        </w:sectPr>
      </w:pPr>
    </w:p>
    <w:bookmarkStart w:id="395" w:name="page396"/>
    <w:bookmarkEnd w:id="395"/>
    <w:p>
      <w:pPr>
        <w:jc w:val="center"/>
        <w:spacing w:after="0"/>
        <w:rPr>
          <w:sz w:val="20"/>
          <w:szCs w:val="20"/>
          <w:color w:val="auto"/>
        </w:rPr>
      </w:pPr>
      <w:r>
        <w:rPr>
          <w:rFonts w:ascii="Arial" w:cs="Arial" w:eastAsia="Arial" w:hAnsi="Arial"/>
          <w:sz w:val="22"/>
          <w:szCs w:val="22"/>
          <w:b w:val="1"/>
          <w:bCs w:val="1"/>
          <w:color w:val="auto"/>
        </w:rPr>
        <w:t>SECOND LIEN SECURITY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(SLOTS, FOREIGN GATE LEASEHOLDS AND ROUTE AUTHORITIES)</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This SECOND LIEN SECURITY AGREEMENT (Slots, Foreign Gate Leaseholds and Route Authorities), dated as of March 18, 2020 (as may be amended, supplemented and/ or otherwise modified from time to time, this “ </w:t>
      </w:r>
      <w:r>
        <w:rPr>
          <w:rFonts w:ascii="Arial" w:cs="Arial" w:eastAsia="Arial" w:hAnsi="Arial"/>
          <w:sz w:val="21"/>
          <w:szCs w:val="21"/>
          <w:u w:val="single" w:color="auto"/>
          <w:color w:val="auto"/>
        </w:rPr>
        <w:t>SGR Security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 by and among the Persons listed in the signature pages hereto and those Persons that become a Party hereto pursuant to </w:t>
      </w:r>
      <w:r>
        <w:rPr>
          <w:rFonts w:ascii="Arial" w:cs="Arial" w:eastAsia="Arial" w:hAnsi="Arial"/>
          <w:sz w:val="21"/>
          <w:szCs w:val="21"/>
          <w:u w:val="single" w:color="auto"/>
          <w:color w:val="auto"/>
        </w:rPr>
        <w:t>Section 27</w:t>
      </w:r>
      <w:r>
        <w:rPr>
          <w:rFonts w:ascii="Arial" w:cs="Arial" w:eastAsia="Arial" w:hAnsi="Arial"/>
          <w:sz w:val="21"/>
          <w:szCs w:val="21"/>
          <w:color w:val="auto"/>
        </w:rPr>
        <w:t xml:space="preserve"> (together with their respective successors and permitted assigns, the “ </w:t>
      </w:r>
      <w:r>
        <w:rPr>
          <w:rFonts w:ascii="Arial" w:cs="Arial" w:eastAsia="Arial" w:hAnsi="Arial"/>
          <w:sz w:val="21"/>
          <w:szCs w:val="21"/>
          <w:u w:val="single" w:color="auto"/>
          <w:color w:val="auto"/>
        </w:rPr>
        <w:t>Grantors</w:t>
      </w:r>
      <w:r>
        <w:rPr>
          <w:rFonts w:ascii="Arial" w:cs="Arial" w:eastAsia="Arial" w:hAnsi="Arial"/>
          <w:sz w:val="21"/>
          <w:szCs w:val="21"/>
          <w:color w:val="auto"/>
        </w:rPr>
        <w:t xml:space="preserve"> ”) and CITIBANK N.A., as second lien collateral agent (in such capacity, and together with its successors and permitted assigns in such capacity, the “ </w:t>
      </w:r>
      <w:r>
        <w:rPr>
          <w:rFonts w:ascii="Arial" w:cs="Arial" w:eastAsia="Arial" w:hAnsi="Arial"/>
          <w:sz w:val="21"/>
          <w:szCs w:val="21"/>
          <w:u w:val="single" w:color="auto"/>
          <w:color w:val="auto"/>
        </w:rPr>
        <w:t>Collateral Agent</w:t>
      </w:r>
      <w:r>
        <w:rPr>
          <w:rFonts w:ascii="Arial" w:cs="Arial" w:eastAsia="Arial" w:hAnsi="Arial"/>
          <w:sz w:val="21"/>
          <w:szCs w:val="21"/>
          <w:color w:val="auto"/>
        </w:rPr>
        <w:t xml:space="preserve"> ”), for its benefit and the benefit of the other Secured Parties. Capitalized terms used herein without other definition are used as defined and interpreted in </w:t>
      </w:r>
      <w:r>
        <w:rPr>
          <w:rFonts w:ascii="Arial" w:cs="Arial" w:eastAsia="Arial" w:hAnsi="Arial"/>
          <w:sz w:val="21"/>
          <w:szCs w:val="21"/>
          <w:u w:val="single" w:color="auto"/>
          <w:color w:val="auto"/>
        </w:rPr>
        <w:t>Section 17</w:t>
      </w:r>
      <w:r>
        <w:rPr>
          <w:rFonts w:ascii="Arial" w:cs="Arial" w:eastAsia="Arial" w:hAnsi="Arial"/>
          <w:sz w:val="21"/>
          <w:szCs w:val="21"/>
          <w:color w:val="auto"/>
        </w:rPr>
        <w:t xml:space="preserve"> .</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WHEREAS, the Grantors and the Collateral Agent are parties to that certain Credit and Guaranty Agreement, dated as of March 18, 2020 (as may be amended, supplemented or otherwise modified from time to time, the “ </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 by and among American Airlines, Inc., as Borrower, American Airlines Group Inc., (“ </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 as guarantor party thereto, the other guarantors from time to time party thereto, the lenders from time to time party thereto (collectively, the “ </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 the Collateral Agent and the Administrative Agent;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WHEREAS, the Grantors may establish one or more accounts for cash and to hold securities and other financial assets (each an “ </w:t>
      </w:r>
      <w:r>
        <w:rPr>
          <w:rFonts w:ascii="Arial" w:cs="Arial" w:eastAsia="Arial" w:hAnsi="Arial"/>
          <w:sz w:val="22"/>
          <w:szCs w:val="22"/>
          <w:u w:val="single" w:color="auto"/>
          <w:color w:val="auto"/>
        </w:rPr>
        <w:t>Account</w:t>
      </w:r>
      <w:r>
        <w:rPr>
          <w:rFonts w:ascii="Arial" w:cs="Arial" w:eastAsia="Arial" w:hAnsi="Arial"/>
          <w:sz w:val="22"/>
          <w:szCs w:val="22"/>
          <w:color w:val="auto"/>
        </w:rPr>
        <w:t xml:space="preserve"> ”) that will be subject to one or more Account Control Agreements;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each Grantor has agreed to grant a continuing Lien on the Collateral (as defined below) to secure the Obligations; and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Collateral Agent has entered into the Intercreditor Agreement, and one or more Additional Agents may in the future enter into one or more intercreditor agreements and/or Other Intercreditor Agreements;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premises, the mutual agreements set forth herein and other good and valuable consideration, the receipt and sufficiency of which are hereby acknowledged, the parties to this SGR Security Agreement hereby agree as follows:</w:t>
      </w:r>
    </w:p>
    <w:p>
      <w:pPr>
        <w:spacing w:after="0" w:line="185" w:lineRule="exact"/>
        <w:rPr>
          <w:sz w:val="20"/>
          <w:szCs w:val="20"/>
          <w:color w:val="auto"/>
        </w:rPr>
      </w:pPr>
    </w:p>
    <w:p>
      <w:pPr>
        <w:ind w:left="1300" w:right="20" w:hanging="323"/>
        <w:spacing w:after="0" w:line="263" w:lineRule="auto"/>
        <w:rPr>
          <w:sz w:val="20"/>
          <w:szCs w:val="20"/>
          <w:color w:val="auto"/>
        </w:rPr>
      </w:pPr>
      <w:r>
        <w:rPr>
          <w:rFonts w:ascii="Arial" w:cs="Arial" w:eastAsia="Arial" w:hAnsi="Arial"/>
          <w:sz w:val="22"/>
          <w:szCs w:val="22"/>
          <w:color w:val="auto"/>
        </w:rPr>
        <w:t>Section 1. Grant of Security Interest. To secure all of the Obligations, each Grantor hereby pledges, grants and creates a security interest and mortgage in favor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96" w:name="page397"/>
    <w:bookmarkEnd w:id="396"/>
    <w:p>
      <w:pPr>
        <w:ind w:left="1300" w:right="20"/>
        <w:spacing w:after="0" w:line="287" w:lineRule="auto"/>
        <w:rPr>
          <w:sz w:val="20"/>
          <w:szCs w:val="20"/>
          <w:color w:val="auto"/>
        </w:rPr>
      </w:pPr>
      <w:r>
        <w:rPr>
          <w:rFonts w:ascii="Arial" w:cs="Arial" w:eastAsia="Arial" w:hAnsi="Arial"/>
          <w:sz w:val="21"/>
          <w:szCs w:val="21"/>
          <w:color w:val="auto"/>
        </w:rPr>
        <w:t xml:space="preserve">the Collateral Agent for its benefit and the benefit of the other Secured Parties in all of the following assets, rights and properties, whether real or personal and whether tangible or intangible (the “ </w:t>
      </w:r>
      <w:r>
        <w:rPr>
          <w:rFonts w:ascii="Arial" w:cs="Arial" w:eastAsia="Arial" w:hAnsi="Arial"/>
          <w:sz w:val="21"/>
          <w:szCs w:val="21"/>
          <w:u w:val="single" w:color="auto"/>
          <w:color w:val="auto"/>
        </w:rPr>
        <w:t>Collateral</w:t>
      </w:r>
      <w:r>
        <w:rPr>
          <w:rFonts w:ascii="Arial" w:cs="Arial" w:eastAsia="Arial" w:hAnsi="Arial"/>
          <w:sz w:val="21"/>
          <w:szCs w:val="21"/>
          <w:color w:val="auto"/>
        </w:rPr>
        <w:t xml:space="preserve"> ”):</w:t>
      </w:r>
    </w:p>
    <w:p>
      <w:pPr>
        <w:spacing w:after="0" w:line="151" w:lineRule="exact"/>
        <w:rPr>
          <w:sz w:val="20"/>
          <w:szCs w:val="20"/>
          <w:color w:val="auto"/>
        </w:rPr>
      </w:pPr>
    </w:p>
    <w:p>
      <w:pPr>
        <w:jc w:val="both"/>
        <w:ind w:firstLine="1304"/>
        <w:spacing w:after="0" w:line="250" w:lineRule="auto"/>
        <w:tabs>
          <w:tab w:leader="none" w:pos="1887" w:val="left"/>
        </w:tabs>
        <w:numPr>
          <w:ilvl w:val="0"/>
          <w:numId w:val="496"/>
        </w:numPr>
        <w:rPr>
          <w:rFonts w:ascii="Arial" w:cs="Arial" w:eastAsia="Arial" w:hAnsi="Arial"/>
          <w:sz w:val="22"/>
          <w:szCs w:val="22"/>
          <w:color w:val="010000"/>
        </w:rPr>
      </w:pPr>
      <w:r>
        <w:rPr>
          <w:rFonts w:ascii="Arial" w:cs="Arial" w:eastAsia="Arial" w:hAnsi="Arial"/>
          <w:sz w:val="22"/>
          <w:szCs w:val="22"/>
          <w:color w:val="auto"/>
        </w:rPr>
        <w:t>all of the right, title and interest of such Grantor in, to and under the Route Authorities, the Slots and the Foreign Gate Leaseholds, whether now owned or held or hereafter acquired and whether such assets, rights or properties constitute General Intangibles or another type or category of collateral under the NY UCC or any other type of asset, right or property;</w:t>
      </w:r>
    </w:p>
    <w:p>
      <w:pPr>
        <w:spacing w:after="0" w:line="187" w:lineRule="exact"/>
        <w:rPr>
          <w:rFonts w:ascii="Arial" w:cs="Arial" w:eastAsia="Arial" w:hAnsi="Arial"/>
          <w:sz w:val="22"/>
          <w:szCs w:val="22"/>
          <w:color w:val="010000"/>
        </w:rPr>
      </w:pPr>
    </w:p>
    <w:p>
      <w:pPr>
        <w:jc w:val="both"/>
        <w:ind w:firstLine="1304"/>
        <w:spacing w:after="0" w:line="253" w:lineRule="auto"/>
        <w:tabs>
          <w:tab w:leader="none" w:pos="1845" w:val="left"/>
        </w:tabs>
        <w:numPr>
          <w:ilvl w:val="0"/>
          <w:numId w:val="496"/>
        </w:numPr>
        <w:rPr>
          <w:rFonts w:ascii="Arial" w:cs="Arial" w:eastAsia="Arial" w:hAnsi="Arial"/>
          <w:sz w:val="22"/>
          <w:szCs w:val="22"/>
          <w:color w:val="010000"/>
        </w:rPr>
      </w:pPr>
      <w:r>
        <w:rPr>
          <w:rFonts w:ascii="Arial" w:cs="Arial" w:eastAsia="Arial" w:hAnsi="Arial"/>
          <w:sz w:val="22"/>
          <w:szCs w:val="22"/>
          <w:color w:val="auto"/>
        </w:rPr>
        <w:t xml:space="preserve">all of the right, title and interest of such Grantor in, to and under each Account and all cash, checks, money orders and other items of value of such Grantor now or hereafter paid, deposited, credited or held (whether for collection, provisionally or otherwise) in each Account (the “ </w:t>
      </w:r>
      <w:r>
        <w:rPr>
          <w:rFonts w:ascii="Arial" w:cs="Arial" w:eastAsia="Arial" w:hAnsi="Arial"/>
          <w:sz w:val="22"/>
          <w:szCs w:val="22"/>
          <w:u w:val="single" w:color="auto"/>
          <w:color w:val="auto"/>
        </w:rPr>
        <w:t>Account Collateral</w:t>
      </w:r>
      <w:r>
        <w:rPr>
          <w:rFonts w:ascii="Arial" w:cs="Arial" w:eastAsia="Arial" w:hAnsi="Arial"/>
          <w:sz w:val="22"/>
          <w:szCs w:val="22"/>
          <w:color w:val="auto"/>
        </w:rPr>
        <w:t xml:space="preserve"> ”); and</w:t>
      </w:r>
    </w:p>
    <w:p>
      <w:pPr>
        <w:spacing w:after="0" w:line="185" w:lineRule="exact"/>
        <w:rPr>
          <w:rFonts w:ascii="Arial" w:cs="Arial" w:eastAsia="Arial" w:hAnsi="Arial"/>
          <w:sz w:val="22"/>
          <w:szCs w:val="22"/>
          <w:color w:val="010000"/>
        </w:rPr>
      </w:pPr>
    </w:p>
    <w:p>
      <w:pPr>
        <w:jc w:val="both"/>
        <w:ind w:right="20" w:firstLine="1304"/>
        <w:spacing w:after="0" w:line="302" w:lineRule="auto"/>
        <w:tabs>
          <w:tab w:leader="none" w:pos="1818" w:val="left"/>
        </w:tabs>
        <w:numPr>
          <w:ilvl w:val="0"/>
          <w:numId w:val="496"/>
        </w:numPr>
        <w:rPr>
          <w:rFonts w:ascii="Arial" w:cs="Arial" w:eastAsia="Arial" w:hAnsi="Arial"/>
          <w:sz w:val="19"/>
          <w:szCs w:val="19"/>
          <w:color w:val="010000"/>
        </w:rPr>
      </w:pPr>
      <w:r>
        <w:rPr>
          <w:rFonts w:ascii="Arial" w:cs="Arial" w:eastAsia="Arial" w:hAnsi="Arial"/>
          <w:sz w:val="19"/>
          <w:szCs w:val="19"/>
          <w:color w:val="auto"/>
        </w:rPr>
        <w:t>all of the right, title and interest of such Grantor in, to and under all Proceeds of any and all of the foregoing (including, without limitation, all Proceeds (of any kind) received or to be received by such Grantor upon the transfer or other disposition of any of the assets, rights and properties described in clause (a), notwithstanding whether the mortgage, pledge and grant of the security interest in any such asset, right or property is legally effective under applicable law);</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notwithstanding the foregoing or any other provision of this SGR Security Agreement, ( </w:t>
      </w:r>
      <w:r>
        <w:rPr>
          <w:rFonts w:ascii="Arial" w:cs="Arial" w:eastAsia="Arial" w:hAnsi="Arial"/>
          <w:sz w:val="19"/>
          <w:szCs w:val="19"/>
          <w:u w:val="single" w:color="auto"/>
          <w:color w:val="auto"/>
        </w:rPr>
        <w:t>1</w:t>
      </w:r>
      <w:r>
        <w:rPr>
          <w:rFonts w:ascii="Arial" w:cs="Arial" w:eastAsia="Arial" w:hAnsi="Arial"/>
          <w:sz w:val="19"/>
          <w:szCs w:val="19"/>
          <w:color w:val="auto"/>
        </w:rPr>
        <w:t xml:space="preserve"> ) if a Transfer Restriction would be applicable to the pledge, grant or creation of a security interest in or mortgage on any asset, right or property described above (other than in the Route Authorities or Proceeds thereof), then so long as such Transfer Restriction is in effect, and ( </w:t>
      </w:r>
      <w:r>
        <w:rPr>
          <w:rFonts w:ascii="Arial" w:cs="Arial" w:eastAsia="Arial" w:hAnsi="Arial"/>
          <w:sz w:val="19"/>
          <w:szCs w:val="19"/>
          <w:u w:val="single" w:color="auto"/>
          <w:color w:val="auto"/>
        </w:rPr>
        <w:t>2</w:t>
      </w:r>
      <w:r>
        <w:rPr>
          <w:rFonts w:ascii="Arial" w:cs="Arial" w:eastAsia="Arial" w:hAnsi="Arial"/>
          <w:sz w:val="19"/>
          <w:szCs w:val="19"/>
          <w:color w:val="auto"/>
        </w:rPr>
        <w:t xml:space="preserve"> ) if any Transfer Restriction applies to the transfer or assignment (other than the pledge, grant or creation of a security interest or mortgage) of any Collateral, any provision of this SGR Security Agreement permitting the Collateral Agent to cause a Grantor to transfer or assign to it or any other Person any of such Collateral (and any right the Collateral Agent may have under applicable law to do so by virtue of the security interest and mortgage pledged or granted to it under this SGR Security Agreement) shall be subject to such Transfer Restriction;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following an Event of Default, at the direction of the Collateral Agent, such Grantor shall use commercially reasonable efforts to obtain all approvals and consents that would be required to transfer or assign Collateral subject to such a Transfer Restriction referred to in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of the preceding proviso. As used herein, “ </w:t>
      </w:r>
      <w:r>
        <w:rPr>
          <w:rFonts w:ascii="Arial" w:cs="Arial" w:eastAsia="Arial" w:hAnsi="Arial"/>
          <w:sz w:val="19"/>
          <w:szCs w:val="19"/>
          <w:u w:val="single" w:color="auto"/>
          <w:color w:val="auto"/>
        </w:rPr>
        <w:t>Transfer Restriction</w:t>
      </w:r>
      <w:r>
        <w:rPr>
          <w:rFonts w:ascii="Arial" w:cs="Arial" w:eastAsia="Arial" w:hAnsi="Arial"/>
          <w:sz w:val="19"/>
          <w:szCs w:val="19"/>
          <w:color w:val="auto"/>
        </w:rPr>
        <w:t xml:space="preserve"> ” means any prohibition, restriction or consent requirement, whether arising under contract, applicable law, rule or regulation, or otherwise, relating to the transfer or assignment by a Grantor of, or the pledge, grant, or creation by a Grantor of a security interest or mortgage in, any right, title or interest in any asset, right or property, or any claim, right or benefit arising thereunder or resulting therefrom, if any such transfer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97" w:name="page398"/>
    <w:bookmarkEnd w:id="397"/>
    <w:p>
      <w:pPr>
        <w:jc w:val="both"/>
        <w:spacing w:after="0" w:line="258" w:lineRule="auto"/>
        <w:rPr>
          <w:sz w:val="20"/>
          <w:szCs w:val="20"/>
          <w:color w:val="auto"/>
        </w:rPr>
      </w:pPr>
      <w:r>
        <w:rPr>
          <w:rFonts w:ascii="Arial" w:cs="Arial" w:eastAsia="Arial" w:hAnsi="Arial"/>
          <w:sz w:val="21"/>
          <w:szCs w:val="21"/>
          <w:color w:val="auto"/>
        </w:rPr>
        <w:t xml:space="preserve">thereof (or any pledge, grant or creation of a security interest or mortgage therein) or any attempt to so transfer, assign, pledge, grant or create, in contravention or violation of any such prohibition or restriction or without any required consent of any Person would ( </w:t>
      </w:r>
      <w:r>
        <w:rPr>
          <w:rFonts w:ascii="Arial" w:cs="Arial" w:eastAsia="Arial" w:hAnsi="Arial"/>
          <w:sz w:val="21"/>
          <w:szCs w:val="21"/>
          <w:u w:val="single" w:color="auto"/>
          <w:color w:val="auto"/>
        </w:rPr>
        <w:t>i</w:t>
      </w:r>
      <w:r>
        <w:rPr>
          <w:rFonts w:ascii="Arial" w:cs="Arial" w:eastAsia="Arial" w:hAnsi="Arial"/>
          <w:sz w:val="21"/>
          <w:szCs w:val="21"/>
          <w:color w:val="auto"/>
        </w:rPr>
        <w:t xml:space="preserve"> ) constitute a violation of the terms under which such Grantor was granted such right, title or interest or give rise to a default, breach, right of recoupment, claim, defense, termination, right of termination or remedy with respect thereto, (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 entitle any Governmental Authority or other Person to terminate or suspend any such right, title or interest (or such Grantor’s interest in any agreement or license related thereto), or (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 be prohibited by or violate any applicable law, rule or regulation, except, in any case, to the extent such “Transfer Restriction” shall be rendered ineffective (both to the extent that it ( </w:t>
      </w:r>
      <w:r>
        <w:rPr>
          <w:rFonts w:ascii="Arial" w:cs="Arial" w:eastAsia="Arial" w:hAnsi="Arial"/>
          <w:sz w:val="21"/>
          <w:szCs w:val="21"/>
          <w:u w:val="single" w:color="auto"/>
          <w:color w:val="auto"/>
        </w:rPr>
        <w:t>x</w:t>
      </w:r>
      <w:r>
        <w:rPr>
          <w:rFonts w:ascii="Arial" w:cs="Arial" w:eastAsia="Arial" w:hAnsi="Arial"/>
          <w:sz w:val="21"/>
          <w:szCs w:val="21"/>
          <w:color w:val="auto"/>
        </w:rPr>
        <w:t xml:space="preserve"> ) prohibits, restricts or requires consent and ( </w:t>
      </w:r>
      <w:r>
        <w:rPr>
          <w:rFonts w:ascii="Arial" w:cs="Arial" w:eastAsia="Arial" w:hAnsi="Arial"/>
          <w:sz w:val="21"/>
          <w:szCs w:val="21"/>
          <w:u w:val="single" w:color="auto"/>
          <w:color w:val="auto"/>
        </w:rPr>
        <w:t>y</w:t>
      </w:r>
      <w:r>
        <w:rPr>
          <w:rFonts w:ascii="Arial" w:cs="Arial" w:eastAsia="Arial" w:hAnsi="Arial"/>
          <w:sz w:val="21"/>
          <w:szCs w:val="21"/>
          <w:color w:val="auto"/>
        </w:rPr>
        <w:t xml:space="preserve"> ) gives rise to a default, breach, right of recoupment, claim, defense, termination, right of termination or remedy) by virtue of any applicable law, including, but not limited to Sections 9-406, 9-407, 9-408 or 9-409 of the NY UCC, to the extent applicable (or any corresponding sections of the UCC in a jurisdiction other than the State of New York to the extent applicable).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2. Security for Obligations; Intercreditor Relations.</w:t>
      </w:r>
    </w:p>
    <w:p>
      <w:pPr>
        <w:spacing w:after="0" w:line="220" w:lineRule="exact"/>
        <w:rPr>
          <w:sz w:val="20"/>
          <w:szCs w:val="20"/>
          <w:color w:val="auto"/>
        </w:rPr>
      </w:pPr>
    </w:p>
    <w:p>
      <w:pPr>
        <w:ind w:left="1160" w:hanging="504"/>
        <w:spacing w:after="0"/>
        <w:tabs>
          <w:tab w:leader="none" w:pos="1160" w:val="left"/>
        </w:tabs>
        <w:numPr>
          <w:ilvl w:val="0"/>
          <w:numId w:val="497"/>
        </w:numPr>
        <w:rPr>
          <w:rFonts w:ascii="Arial" w:cs="Arial" w:eastAsia="Arial" w:hAnsi="Arial"/>
          <w:sz w:val="22"/>
          <w:szCs w:val="22"/>
          <w:color w:val="010000"/>
        </w:rPr>
      </w:pPr>
      <w:r>
        <w:rPr>
          <w:rFonts w:ascii="Arial" w:cs="Arial" w:eastAsia="Arial" w:hAnsi="Arial"/>
          <w:sz w:val="22"/>
          <w:szCs w:val="22"/>
          <w:color w:val="auto"/>
        </w:rPr>
        <w:t>This SGR Security Agreement secures, and the Collateral is collateral security for, the Obligations.</w:t>
      </w:r>
    </w:p>
    <w:p>
      <w:pPr>
        <w:spacing w:after="0" w:line="219" w:lineRule="exact"/>
        <w:rPr>
          <w:rFonts w:ascii="Arial" w:cs="Arial" w:eastAsia="Arial" w:hAnsi="Arial"/>
          <w:sz w:val="22"/>
          <w:szCs w:val="22"/>
          <w:color w:val="010000"/>
        </w:rPr>
      </w:pPr>
    </w:p>
    <w:p>
      <w:pPr>
        <w:jc w:val="both"/>
        <w:ind w:firstLine="656"/>
        <w:spacing w:after="0" w:line="286" w:lineRule="auto"/>
        <w:tabs>
          <w:tab w:leader="none" w:pos="1206" w:val="left"/>
        </w:tabs>
        <w:numPr>
          <w:ilvl w:val="0"/>
          <w:numId w:val="497"/>
        </w:numPr>
        <w:rPr>
          <w:rFonts w:ascii="Arial" w:cs="Arial" w:eastAsia="Arial" w:hAnsi="Arial"/>
          <w:sz w:val="19"/>
          <w:szCs w:val="19"/>
          <w:color w:val="010000"/>
        </w:rPr>
      </w:pPr>
      <w:r>
        <w:rPr>
          <w:rFonts w:ascii="Arial" w:cs="Arial" w:eastAsia="Arial" w:hAnsi="Arial"/>
          <w:sz w:val="19"/>
          <w:szCs w:val="19"/>
          <w:color w:val="auto"/>
        </w:rPr>
        <w:t xml:space="preserve">Notwithstanding anything herein to the contrary, it is the understanding of the parties hereto that the Liens granted pursuant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prior to the Discharge of Additional Obligations that are Junior Priority Obligations, be pari passu and equal in priority to the Liens granted to any Additional Agent for the benefit of the holders of the applicable Additional Obligations that are Junior Priority Obligations to secure such Additional Obligations that are Junior Priority Obligations pursuant to the applicable Additional Collateral Documents (except as may be separately otherwise agreed between the Collateral Agent, on behalf of itself and the Secured Parties, and any Additional Agent, on behalf of itself and the Additional Credit Facility Secured Parties represented thereby). The Collateral Agent acknowledges and agrees that it has entered into the Intercreditor Agreement and it may enter into any Other Intercreditor Agreement, and therefore the relative priority of the Liens granted to the Collateral Agent, the Administrative Agent and any Additional Agent shall be determined solely (as between the parties to such Intercreditor Agreement or Other Intercreditor Agreement and except as otherwise provided therein) pursuant to the Intercreditor Agreement and any applicable Other Intercreditor Agreements, and not by priority as a matter of law or otherwise. Notwithstanding anything herein to the contrary, the Liens granted to the Collateral Agent pursuant to this SGR Security Agreement and the exercise of any right or remedy by the Collateral Agent hereunder are subject to the provisions of the Intercreditor Agreement and any applicable Other Intercreditor Agreements. In the event of any conflict between the terms of the Intercreditor Agreement or any Other Intercreditor Agreement and this SGR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98" w:name="page399"/>
    <w:bookmarkEnd w:id="398"/>
    <w:p>
      <w:pPr>
        <w:jc w:val="both"/>
        <w:spacing w:after="0" w:line="289" w:lineRule="auto"/>
        <w:rPr>
          <w:sz w:val="20"/>
          <w:szCs w:val="20"/>
          <w:color w:val="auto"/>
        </w:rPr>
      </w:pPr>
      <w:r>
        <w:rPr>
          <w:rFonts w:ascii="Arial" w:cs="Arial" w:eastAsia="Arial" w:hAnsi="Arial"/>
          <w:sz w:val="19"/>
          <w:szCs w:val="19"/>
          <w:color w:val="auto"/>
        </w:rPr>
        <w:t xml:space="preserve">Security Agreement, the terms of such Intercreditor Agreement or Other Intercreditor Agreement, as applicable, shall govern and control as among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the Collateral Agent and any Additional Agent, in the case of the Intercreditor Agreement, and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the Collateral Agent and any other secured creditor (or agent therefor) party thereto, in the case of any Other Intercreditor Agreement. In the event of any such conflict, the Grantors may act (or omit to act) in accordance with such Intercreditor Agreement or such Other Intercreditor Agreement, as applicable, and shall not be in breach, violation or default of its obligations hereunder by reason of doing so. Notwithstanding any other provision hereof, for so long as any Additional Obligations that are Senior Priority Obligations remain outstanding, any obligation hereunder to deliver, transfer or assign to the Collateral Agent any Collateral shall be satisfied by causing such Collateral to be delivered, transferred or assigned to the applicable Senior Priority Representative to be held in accordance with the Intercreditor Agreement.</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3. No Release.</w:t>
      </w:r>
    </w:p>
    <w:p>
      <w:pPr>
        <w:spacing w:after="0" w:line="220" w:lineRule="exact"/>
        <w:rPr>
          <w:sz w:val="20"/>
          <w:szCs w:val="20"/>
          <w:color w:val="auto"/>
        </w:rPr>
      </w:pPr>
    </w:p>
    <w:p>
      <w:pPr>
        <w:jc w:val="both"/>
        <w:ind w:firstLine="656"/>
        <w:spacing w:after="0" w:line="250" w:lineRule="auto"/>
        <w:tabs>
          <w:tab w:leader="none" w:pos="1188" w:val="left"/>
        </w:tabs>
        <w:numPr>
          <w:ilvl w:val="0"/>
          <w:numId w:val="498"/>
        </w:numPr>
        <w:rPr>
          <w:rFonts w:ascii="Arial" w:cs="Arial" w:eastAsia="Arial" w:hAnsi="Arial"/>
          <w:sz w:val="22"/>
          <w:szCs w:val="22"/>
          <w:color w:val="010000"/>
        </w:rPr>
      </w:pPr>
      <w:r>
        <w:rPr>
          <w:rFonts w:ascii="Arial" w:cs="Arial" w:eastAsia="Arial" w:hAnsi="Arial"/>
          <w:sz w:val="22"/>
          <w:szCs w:val="22"/>
          <w:color w:val="auto"/>
        </w:rPr>
        <w:t xml:space="preserve">Other than as provided in </w:t>
      </w:r>
      <w:r>
        <w:rPr>
          <w:rFonts w:ascii="Arial" w:cs="Arial" w:eastAsia="Arial" w:hAnsi="Arial"/>
          <w:sz w:val="22"/>
          <w:szCs w:val="22"/>
          <w:u w:val="single" w:color="auto"/>
          <w:color w:val="auto"/>
        </w:rPr>
        <w:t>clause (2)</w:t>
      </w:r>
      <w:r>
        <w:rPr>
          <w:rFonts w:ascii="Arial" w:cs="Arial" w:eastAsia="Arial" w:hAnsi="Arial"/>
          <w:sz w:val="22"/>
          <w:szCs w:val="22"/>
          <w:color w:val="auto"/>
        </w:rPr>
        <w:t xml:space="preserve"> of the proviso to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 nothing set forth in this SGR Security Agreement shall relieve any Grantor from the performance of any term, covenant, condition or agreement on such Grantor’s part to be performed or observed under or in respect of any of the Collateral or from any liability to any Person under or in respect of any of the Collateral.</w:t>
      </w:r>
    </w:p>
    <w:p>
      <w:pPr>
        <w:spacing w:after="0" w:line="187" w:lineRule="exact"/>
        <w:rPr>
          <w:rFonts w:ascii="Arial" w:cs="Arial" w:eastAsia="Arial" w:hAnsi="Arial"/>
          <w:sz w:val="22"/>
          <w:szCs w:val="22"/>
          <w:color w:val="010000"/>
        </w:rPr>
      </w:pPr>
    </w:p>
    <w:p>
      <w:pPr>
        <w:jc w:val="both"/>
        <w:ind w:firstLine="656"/>
        <w:spacing w:after="0" w:line="246" w:lineRule="auto"/>
        <w:tabs>
          <w:tab w:leader="none" w:pos="1310" w:val="left"/>
        </w:tabs>
        <w:numPr>
          <w:ilvl w:val="0"/>
          <w:numId w:val="498"/>
        </w:numPr>
        <w:rPr>
          <w:rFonts w:ascii="Arial" w:cs="Arial" w:eastAsia="Arial" w:hAnsi="Arial"/>
          <w:sz w:val="22"/>
          <w:szCs w:val="22"/>
          <w:color w:val="010000"/>
        </w:rPr>
      </w:pPr>
      <w:r>
        <w:rPr>
          <w:rFonts w:ascii="Arial" w:cs="Arial" w:eastAsia="Arial" w:hAnsi="Arial"/>
          <w:sz w:val="22"/>
          <w:szCs w:val="22"/>
          <w:color w:val="auto"/>
        </w:rPr>
        <w:t xml:space="preserve">Nothing set forth in this SGR Security Agreement shall impose any obligation on the Collateral Agent or any Secured Party to perform or observe any such term, covenant, condition or agreement on any Grantor’s part to be so performed or observed or impose any liability on the Collateral Agent or any Secured Party for any act or omission on the part of such Grantor relating thereto or for any breach of any representation or warranty on the part of such Grantor contained in this SGR Security Agreement, or in respect of the Collateral or made in connection herewith or therewith. This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shall survive the termination of this SGR Security Agreement and the discharge of the Grantors’ obligations hereunder and under the Loan Documents.</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9"/>
          <w:szCs w:val="19"/>
          <w:color w:val="auto"/>
        </w:rPr>
        <w:t>Section 4. Representations and Warranties. Each Grantor represents and warrants as follows as of the date hereof:</w:t>
      </w:r>
    </w:p>
    <w:p>
      <w:pPr>
        <w:spacing w:after="0" w:line="254" w:lineRule="exact"/>
        <w:rPr>
          <w:sz w:val="20"/>
          <w:szCs w:val="20"/>
          <w:color w:val="auto"/>
        </w:rPr>
      </w:pPr>
    </w:p>
    <w:p>
      <w:pPr>
        <w:jc w:val="both"/>
        <w:ind w:firstLine="1304"/>
        <w:spacing w:after="0" w:line="247" w:lineRule="auto"/>
        <w:tabs>
          <w:tab w:leader="none" w:pos="1861" w:val="left"/>
        </w:tabs>
        <w:numPr>
          <w:ilvl w:val="0"/>
          <w:numId w:val="499"/>
        </w:numPr>
        <w:rPr>
          <w:rFonts w:ascii="Arial" w:cs="Arial" w:eastAsia="Arial" w:hAnsi="Arial"/>
          <w:sz w:val="22"/>
          <w:szCs w:val="22"/>
          <w:color w:val="010000"/>
        </w:rPr>
      </w:pPr>
      <w:r>
        <w:rPr>
          <w:rFonts w:ascii="Arial" w:cs="Arial" w:eastAsia="Arial" w:hAnsi="Arial"/>
          <w:sz w:val="22"/>
          <w:szCs w:val="22"/>
          <w:color w:val="auto"/>
        </w:rPr>
        <w:t>All UCC filings necessary or reasonably requested by the Collateral Agent to create, preserve, protect and perfect the security interests granted by such Grantor to the Collateral Agent for the benefit of the Secured Parties in respect of the Collateral (other than the Account Collateral) have been accomplished by such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399" w:name="page400"/>
    <w:bookmarkEnd w:id="399"/>
    <w:p>
      <w:pPr>
        <w:jc w:val="both"/>
        <w:spacing w:after="0" w:line="292" w:lineRule="auto"/>
        <w:rPr>
          <w:sz w:val="20"/>
          <w:szCs w:val="20"/>
          <w:color w:val="auto"/>
        </w:rPr>
      </w:pPr>
      <w:r>
        <w:rPr>
          <w:rFonts w:ascii="Arial" w:cs="Arial" w:eastAsia="Arial" w:hAnsi="Arial"/>
          <w:sz w:val="19"/>
          <w:szCs w:val="19"/>
          <w:color w:val="auto"/>
        </w:rPr>
        <w:t>before the date hereof by execution and delivery of the Account Control Agreement. Subject to the Intercreditor Agreement and any Other Intercreditor Agreement, the security interests granted to the Collateral Agent for the benefit of the Secured Parties pursuant to this SGR Security Agreement in and to the Collateral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w:t>
      </w:r>
    </w:p>
    <w:p>
      <w:pPr>
        <w:spacing w:after="0" w:line="151" w:lineRule="exact"/>
        <w:rPr>
          <w:sz w:val="20"/>
          <w:szCs w:val="20"/>
          <w:color w:val="auto"/>
        </w:rPr>
      </w:pPr>
    </w:p>
    <w:p>
      <w:pPr>
        <w:jc w:val="both"/>
        <w:ind w:firstLine="1304"/>
        <w:spacing w:after="0" w:line="253" w:lineRule="auto"/>
        <w:tabs>
          <w:tab w:leader="none" w:pos="1963" w:val="left"/>
        </w:tabs>
        <w:numPr>
          <w:ilvl w:val="0"/>
          <w:numId w:val="500"/>
        </w:numPr>
        <w:rPr>
          <w:rFonts w:ascii="Arial" w:cs="Arial" w:eastAsia="Arial" w:hAnsi="Arial"/>
          <w:sz w:val="22"/>
          <w:szCs w:val="22"/>
          <w:color w:val="010000"/>
        </w:rPr>
      </w:pPr>
      <w:r>
        <w:rPr>
          <w:rFonts w:ascii="Arial" w:cs="Arial" w:eastAsia="Arial" w:hAnsi="Arial"/>
          <w:sz w:val="22"/>
          <w:szCs w:val="22"/>
          <w:color w:val="auto"/>
        </w:rPr>
        <w:t>There are no filings, registrations or recordings under Title 49 necessary to create, preserve, protect or perfect the security interests granted by such Grantor to the Collateral Agent for the benefit of the Secured Parties in respect of the Collateral.</w:t>
      </w:r>
    </w:p>
    <w:p>
      <w:pPr>
        <w:spacing w:after="0" w:line="185" w:lineRule="exact"/>
        <w:rPr>
          <w:rFonts w:ascii="Arial" w:cs="Arial" w:eastAsia="Arial" w:hAnsi="Arial"/>
          <w:sz w:val="22"/>
          <w:szCs w:val="22"/>
          <w:color w:val="010000"/>
        </w:rPr>
      </w:pPr>
    </w:p>
    <w:p>
      <w:pPr>
        <w:jc w:val="both"/>
        <w:ind w:firstLine="1304"/>
        <w:spacing w:after="0" w:line="253" w:lineRule="auto"/>
        <w:tabs>
          <w:tab w:leader="none" w:pos="1826" w:val="left"/>
        </w:tabs>
        <w:numPr>
          <w:ilvl w:val="0"/>
          <w:numId w:val="500"/>
        </w:numPr>
        <w:rPr>
          <w:rFonts w:ascii="Arial" w:cs="Arial" w:eastAsia="Arial" w:hAnsi="Arial"/>
          <w:sz w:val="22"/>
          <w:szCs w:val="22"/>
          <w:color w:val="010000"/>
        </w:rPr>
      </w:pPr>
      <w:r>
        <w:rPr>
          <w:rFonts w:ascii="Arial" w:cs="Arial" w:eastAsia="Arial" w:hAnsi="Arial"/>
          <w:sz w:val="22"/>
          <w:szCs w:val="22"/>
          <w:color w:val="auto"/>
        </w:rPr>
        <w:t>Such Grantor is, and as to Collateral acquired by it from time to time after the date hereof such Grantor will be, the holder of all such Collateral free from any Lien except for (1) the Lien and security interest created by this SGR Security Agreement and (2) Permitted Liens.</w:t>
      </w:r>
    </w:p>
    <w:p>
      <w:pPr>
        <w:spacing w:after="0" w:line="185" w:lineRule="exact"/>
        <w:rPr>
          <w:rFonts w:ascii="Arial" w:cs="Arial" w:eastAsia="Arial" w:hAnsi="Arial"/>
          <w:sz w:val="22"/>
          <w:szCs w:val="22"/>
          <w:color w:val="010000"/>
        </w:rPr>
      </w:pPr>
    </w:p>
    <w:p>
      <w:pPr>
        <w:jc w:val="both"/>
        <w:ind w:firstLine="1304"/>
        <w:spacing w:after="0" w:line="271" w:lineRule="auto"/>
        <w:tabs>
          <w:tab w:leader="none" w:pos="1976" w:val="left"/>
        </w:tabs>
        <w:numPr>
          <w:ilvl w:val="0"/>
          <w:numId w:val="500"/>
        </w:numPr>
        <w:rPr>
          <w:rFonts w:ascii="Arial" w:cs="Arial" w:eastAsia="Arial" w:hAnsi="Arial"/>
          <w:sz w:val="21"/>
          <w:szCs w:val="21"/>
          <w:color w:val="010000"/>
        </w:rPr>
      </w:pPr>
      <w:r>
        <w:rPr>
          <w:rFonts w:ascii="Arial" w:cs="Arial" w:eastAsia="Arial" w:hAnsi="Arial"/>
          <w:sz w:val="21"/>
          <w:szCs w:val="21"/>
          <w:color w:val="auto"/>
        </w:rPr>
        <w:t>There is no UCC financing statement (or, to the knowledge of such Grantor, any similar statement or instrument of registration of a security interest under the law of any jurisdiction) in effect on the date hereof, covering or purporting to cover any security interest in the Collateral (other than those relating to Permitted Liens).</w:t>
      </w:r>
    </w:p>
    <w:p>
      <w:pPr>
        <w:spacing w:after="0" w:line="167" w:lineRule="exact"/>
        <w:rPr>
          <w:rFonts w:ascii="Arial" w:cs="Arial" w:eastAsia="Arial" w:hAnsi="Arial"/>
          <w:sz w:val="21"/>
          <w:szCs w:val="21"/>
          <w:color w:val="010000"/>
        </w:rPr>
      </w:pPr>
    </w:p>
    <w:p>
      <w:pPr>
        <w:ind w:left="1860" w:hanging="556"/>
        <w:spacing w:after="0"/>
        <w:tabs>
          <w:tab w:leader="none" w:pos="1860" w:val="left"/>
        </w:tabs>
        <w:numPr>
          <w:ilvl w:val="0"/>
          <w:numId w:val="500"/>
        </w:numPr>
        <w:rPr>
          <w:rFonts w:ascii="Arial" w:cs="Arial" w:eastAsia="Arial" w:hAnsi="Arial"/>
          <w:sz w:val="19"/>
          <w:szCs w:val="19"/>
          <w:color w:val="010000"/>
        </w:rPr>
      </w:pPr>
      <w:r>
        <w:rPr>
          <w:rFonts w:ascii="Arial" w:cs="Arial" w:eastAsia="Arial" w:hAnsi="Arial"/>
          <w:sz w:val="19"/>
          <w:szCs w:val="19"/>
          <w:color w:val="auto"/>
        </w:rPr>
        <w:t>The chief executive office of such Grantor is located at the address listed opposite such Grantor’s name in</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01" w:lineRule="exact"/>
        <w:rPr>
          <w:rFonts w:ascii="Arial" w:cs="Arial" w:eastAsia="Arial" w:hAnsi="Arial"/>
          <w:sz w:val="19"/>
          <w:szCs w:val="19"/>
          <w:color w:val="010000"/>
        </w:rPr>
      </w:pPr>
    </w:p>
    <w:p>
      <w:pPr>
        <w:jc w:val="both"/>
        <w:ind w:firstLine="1304"/>
        <w:spacing w:after="0" w:line="289" w:lineRule="auto"/>
        <w:tabs>
          <w:tab w:leader="none" w:pos="1944" w:val="left"/>
        </w:tabs>
        <w:numPr>
          <w:ilvl w:val="0"/>
          <w:numId w:val="500"/>
        </w:numPr>
        <w:rPr>
          <w:rFonts w:ascii="Arial" w:cs="Arial" w:eastAsia="Arial" w:hAnsi="Arial"/>
          <w:sz w:val="19"/>
          <w:szCs w:val="19"/>
          <w:color w:val="010000"/>
        </w:rPr>
      </w:pPr>
      <w:r>
        <w:rPr>
          <w:rFonts w:ascii="Arial" w:cs="Arial" w:eastAsia="Arial" w:hAnsi="Arial"/>
          <w:sz w:val="19"/>
          <w:szCs w:val="19"/>
          <w:color w:val="010000"/>
        </w:rPr>
        <w:t xml:space="preserve">With respect to its </w:t>
      </w:r>
      <w:r>
        <w:rPr>
          <w:rFonts w:ascii="Arial" w:cs="Arial" w:eastAsia="Arial" w:hAnsi="Arial"/>
          <w:sz w:val="19"/>
          <w:szCs w:val="19"/>
          <w:color w:val="000000"/>
        </w:rPr>
        <w:t>Pledged Route Authorities relating to the Scheduled Services, such Grantor holds the</w:t>
      </w:r>
      <w:r>
        <w:rPr>
          <w:rFonts w:ascii="Arial" w:cs="Arial" w:eastAsia="Arial" w:hAnsi="Arial"/>
          <w:sz w:val="19"/>
          <w:szCs w:val="19"/>
          <w:color w:val="010000"/>
        </w:rPr>
        <w:t xml:space="preserve"> </w:t>
      </w:r>
      <w:r>
        <w:rPr>
          <w:rFonts w:ascii="Arial" w:cs="Arial" w:eastAsia="Arial" w:hAnsi="Arial"/>
          <w:sz w:val="19"/>
          <w:szCs w:val="19"/>
          <w:color w:val="000000"/>
        </w:rPr>
        <w:t>requisite authority to operate over such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0" w:name="page401"/>
    <w:bookmarkEnd w:id="400"/>
    <w:p>
      <w:pPr>
        <w:jc w:val="both"/>
        <w:ind w:firstLine="1304"/>
        <w:spacing w:after="0" w:line="253" w:lineRule="auto"/>
        <w:tabs>
          <w:tab w:leader="none" w:pos="1818" w:val="left"/>
        </w:tabs>
        <w:numPr>
          <w:ilvl w:val="0"/>
          <w:numId w:val="501"/>
        </w:numPr>
        <w:rPr>
          <w:rFonts w:ascii="Arial" w:cs="Arial" w:eastAsia="Arial" w:hAnsi="Arial"/>
          <w:sz w:val="22"/>
          <w:szCs w:val="22"/>
          <w:color w:val="010000"/>
        </w:rPr>
      </w:pPr>
      <w:r>
        <w:rPr>
          <w:rFonts w:ascii="Arial" w:cs="Arial" w:eastAsia="Arial" w:hAnsi="Arial"/>
          <w:sz w:val="22"/>
          <w:szCs w:val="22"/>
          <w:color w:val="auto"/>
        </w:rPr>
        <w:t xml:space="preserve">Set forth in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is a true, correct and complete list of the Slots at IATA Level 3 airports scheduled for the start of the IATA summer season of 2020. Set forth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is a true, correct and complete list of the Scheduled Services as of the last calendar week prior to the Closing Date.</w:t>
      </w:r>
    </w:p>
    <w:p>
      <w:pPr>
        <w:spacing w:after="0" w:line="185" w:lineRule="exact"/>
        <w:rPr>
          <w:rFonts w:ascii="Arial" w:cs="Arial" w:eastAsia="Arial" w:hAnsi="Arial"/>
          <w:sz w:val="22"/>
          <w:szCs w:val="22"/>
          <w:color w:val="010000"/>
        </w:rPr>
      </w:pPr>
    </w:p>
    <w:p>
      <w:pPr>
        <w:jc w:val="both"/>
        <w:ind w:firstLine="1304"/>
        <w:spacing w:after="0" w:line="247" w:lineRule="auto"/>
        <w:tabs>
          <w:tab w:leader="none" w:pos="1855" w:val="left"/>
        </w:tabs>
        <w:numPr>
          <w:ilvl w:val="0"/>
          <w:numId w:val="501"/>
        </w:numPr>
        <w:rPr>
          <w:rFonts w:ascii="Arial" w:cs="Arial" w:eastAsia="Arial" w:hAnsi="Arial"/>
          <w:sz w:val="22"/>
          <w:szCs w:val="22"/>
          <w:color w:val="010000"/>
        </w:rPr>
      </w:pPr>
      <w:r>
        <w:rPr>
          <w:rFonts w:ascii="Arial" w:cs="Arial" w:eastAsia="Arial" w:hAnsi="Arial"/>
          <w:sz w:val="22"/>
          <w:szCs w:val="22"/>
          <w:color w:val="auto"/>
        </w:rPr>
        <w:t>Such Grantor holds each of its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w:t>
      </w:r>
    </w:p>
    <w:p>
      <w:pPr>
        <w:spacing w:after="0" w:line="192" w:lineRule="exact"/>
        <w:rPr>
          <w:rFonts w:ascii="Arial" w:cs="Arial" w:eastAsia="Arial" w:hAnsi="Arial"/>
          <w:sz w:val="22"/>
          <w:szCs w:val="22"/>
          <w:color w:val="010000"/>
        </w:rPr>
      </w:pPr>
    </w:p>
    <w:p>
      <w:pPr>
        <w:jc w:val="both"/>
        <w:ind w:firstLine="1304"/>
        <w:spacing w:after="0" w:line="261" w:lineRule="auto"/>
        <w:tabs>
          <w:tab w:leader="none" w:pos="1945" w:val="left"/>
        </w:tabs>
        <w:numPr>
          <w:ilvl w:val="0"/>
          <w:numId w:val="501"/>
        </w:numPr>
        <w:rPr>
          <w:rFonts w:ascii="Arial" w:cs="Arial" w:eastAsia="Arial" w:hAnsi="Arial"/>
          <w:sz w:val="21"/>
          <w:szCs w:val="21"/>
          <w:color w:val="010000"/>
        </w:rPr>
      </w:pPr>
      <w:r>
        <w:rPr>
          <w:rFonts w:ascii="Arial" w:cs="Arial" w:eastAsia="Arial" w:hAnsi="Arial"/>
          <w:sz w:val="21"/>
          <w:szCs w:val="21"/>
          <w:color w:val="auto"/>
        </w:rPr>
        <w:t>Such Grantor holds each of its Pledged Foreign Gate Leaseholds pursuant to authority granted by the applicable Airport Authority or Foreign Aviation Authority, and there exists no material violation by such Grantor of the regulations, terms, conditions or limitations of the relevant Airport Authority or Foreign Aviation Authority applicable to any such Pledged Foreign Gate Leasehold or any provision of law applicable to any such Pledged Foreign Gate Leasehold that gives any applicable Airport Authority or Foreign Aviation Authority the right to modify in any material respect, terminate, cancel or withdraw the rights of such Grantor in any such Pledged Foreign Gate Leasehold.</w:t>
      </w:r>
    </w:p>
    <w:p>
      <w:pPr>
        <w:spacing w:after="0" w:line="179" w:lineRule="exact"/>
        <w:rPr>
          <w:rFonts w:ascii="Arial" w:cs="Arial" w:eastAsia="Arial" w:hAnsi="Arial"/>
          <w:sz w:val="21"/>
          <w:szCs w:val="21"/>
          <w:color w:val="010000"/>
        </w:rPr>
      </w:pPr>
    </w:p>
    <w:p>
      <w:pPr>
        <w:jc w:val="both"/>
        <w:ind w:firstLine="1304"/>
        <w:spacing w:after="0" w:line="294" w:lineRule="auto"/>
        <w:tabs>
          <w:tab w:leader="none" w:pos="1863" w:val="left"/>
        </w:tabs>
        <w:numPr>
          <w:ilvl w:val="0"/>
          <w:numId w:val="501"/>
        </w:numPr>
        <w:rPr>
          <w:rFonts w:ascii="Arial" w:cs="Arial" w:eastAsia="Arial" w:hAnsi="Arial"/>
          <w:sz w:val="19"/>
          <w:szCs w:val="19"/>
          <w:color w:val="010000"/>
        </w:rPr>
      </w:pPr>
      <w:r>
        <w:rPr>
          <w:rFonts w:ascii="Arial" w:cs="Arial" w:eastAsia="Arial" w:hAnsi="Arial"/>
          <w:sz w:val="19"/>
          <w:szCs w:val="19"/>
          <w:color w:val="auto"/>
        </w:rPr>
        <w:t>Such Grantor is an “air carrier” within the meaning of Section 40102 of Title 49 and holds or co-holds a certificate under Section 41102 of Title 49. Such Grantor holds or co-holds an air carrier operating certificate issued pursuant to Chapter 447 of Title 49. Such Grantor is a United States Citizen. Such Grantor 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w:t>
      </w:r>
    </w:p>
    <w:p>
      <w:pPr>
        <w:spacing w:after="0" w:line="149" w:lineRule="exact"/>
        <w:rPr>
          <w:rFonts w:ascii="Arial" w:cs="Arial" w:eastAsia="Arial" w:hAnsi="Arial"/>
          <w:sz w:val="19"/>
          <w:szCs w:val="19"/>
          <w:color w:val="010000"/>
        </w:rPr>
      </w:pPr>
    </w:p>
    <w:p>
      <w:pPr>
        <w:ind w:firstLine="1304"/>
        <w:spacing w:after="0" w:line="263" w:lineRule="auto"/>
        <w:tabs>
          <w:tab w:leader="none" w:pos="1859" w:val="left"/>
        </w:tabs>
        <w:numPr>
          <w:ilvl w:val="0"/>
          <w:numId w:val="501"/>
        </w:numPr>
        <w:rPr>
          <w:rFonts w:ascii="Arial" w:cs="Arial" w:eastAsia="Arial" w:hAnsi="Arial"/>
          <w:sz w:val="22"/>
          <w:szCs w:val="22"/>
          <w:color w:val="010000"/>
        </w:rPr>
      </w:pPr>
      <w:r>
        <w:rPr>
          <w:rFonts w:ascii="Arial" w:cs="Arial" w:eastAsia="Arial" w:hAnsi="Arial"/>
          <w:sz w:val="22"/>
          <w:szCs w:val="22"/>
          <w:color w:val="auto"/>
        </w:rPr>
        <w:t>Such Grantor has full corporate power and authority and legal right to pledge all of the Collateral pursuant to, and as provided in, this SGR Security Agreement.</w:t>
      </w:r>
    </w:p>
    <w:p>
      <w:pPr>
        <w:spacing w:after="0" w:line="174" w:lineRule="exact"/>
        <w:rPr>
          <w:rFonts w:ascii="Arial" w:cs="Arial" w:eastAsia="Arial" w:hAnsi="Arial"/>
          <w:sz w:val="22"/>
          <w:szCs w:val="22"/>
          <w:color w:val="010000"/>
        </w:rPr>
      </w:pPr>
    </w:p>
    <w:p>
      <w:pPr>
        <w:jc w:val="both"/>
        <w:ind w:firstLine="1304"/>
        <w:spacing w:after="0" w:line="248" w:lineRule="auto"/>
        <w:tabs>
          <w:tab w:leader="none" w:pos="1843" w:val="left"/>
        </w:tabs>
        <w:numPr>
          <w:ilvl w:val="0"/>
          <w:numId w:val="501"/>
        </w:numPr>
        <w:rPr>
          <w:rFonts w:ascii="Arial" w:cs="Arial" w:eastAsia="Arial" w:hAnsi="Arial"/>
          <w:sz w:val="22"/>
          <w:szCs w:val="22"/>
          <w:color w:val="010000"/>
        </w:rPr>
      </w:pPr>
      <w:r>
        <w:rPr>
          <w:rFonts w:ascii="Arial" w:cs="Arial" w:eastAsia="Arial" w:hAnsi="Arial"/>
          <w:sz w:val="22"/>
          <w:szCs w:val="22"/>
          <w:color w:val="auto"/>
        </w:rPr>
        <w:t xml:space="preserve">Except for any Transfer Restriction, the execution, delivery and performance by such Grantor of this SGR Security Agreement do not require the consent, authorization by or approval of or notice to or filing or registration with any Governmental Authority or any other Person, other than ( </w:t>
      </w:r>
      <w:r>
        <w:rPr>
          <w:rFonts w:ascii="Arial" w:cs="Arial" w:eastAsia="Arial" w:hAnsi="Arial"/>
          <w:sz w:val="22"/>
          <w:szCs w:val="22"/>
          <w:u w:val="single" w:color="auto"/>
          <w:color w:val="auto"/>
        </w:rPr>
        <w:t>i</w:t>
      </w:r>
      <w:r>
        <w:rPr>
          <w:rFonts w:ascii="Arial" w:cs="Arial" w:eastAsia="Arial" w:hAnsi="Arial"/>
          <w:sz w:val="22"/>
          <w:szCs w:val="22"/>
          <w:color w:val="auto"/>
        </w:rPr>
        <w:t xml:space="preserve"> ) the filing of financing statements under the UCC or any continuation statement required or contemplated to be filed hereby, (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 such as may be required in order to perfect and register the security interests and liens purported to be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1" w:name="page402"/>
    <w:bookmarkEnd w:id="401"/>
    <w:p>
      <w:pPr>
        <w:jc w:val="both"/>
        <w:spacing w:after="0" w:line="312" w:lineRule="auto"/>
        <w:rPr>
          <w:sz w:val="20"/>
          <w:szCs w:val="20"/>
          <w:color w:val="auto"/>
        </w:rPr>
      </w:pPr>
      <w:r>
        <w:rPr>
          <w:rFonts w:ascii="Arial" w:cs="Arial" w:eastAsia="Arial" w:hAnsi="Arial"/>
          <w:sz w:val="19"/>
          <w:szCs w:val="19"/>
          <w:color w:val="auto"/>
        </w:rPr>
        <w:t xml:space="preserve">created by this SGR Security Agreement,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approvals, consents and exemptions that have been obtained on or prior to the Closing Date and remain in full force and effect, (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 consents, approvals and exemptions that the failure to obtain in the aggregate would not be reasonably expected to result in a Material Adverse Effect and ( </w:t>
      </w:r>
      <w:r>
        <w:rPr>
          <w:rFonts w:ascii="Arial" w:cs="Arial" w:eastAsia="Arial" w:hAnsi="Arial"/>
          <w:sz w:val="19"/>
          <w:szCs w:val="19"/>
          <w:u w:val="single" w:color="auto"/>
          <w:color w:val="auto"/>
        </w:rPr>
        <w:t>v</w:t>
      </w:r>
      <w:r>
        <w:rPr>
          <w:rFonts w:ascii="Arial" w:cs="Arial" w:eastAsia="Arial" w:hAnsi="Arial"/>
          <w:sz w:val="19"/>
          <w:szCs w:val="19"/>
          <w:color w:val="auto"/>
        </w:rPr>
        <w:t xml:space="preserve"> ) routine reporting obligations.</w:t>
      </w:r>
    </w:p>
    <w:p>
      <w:pPr>
        <w:spacing w:after="0" w:line="133" w:lineRule="exact"/>
        <w:rPr>
          <w:sz w:val="20"/>
          <w:szCs w:val="20"/>
          <w:color w:val="auto"/>
        </w:rPr>
      </w:pPr>
    </w:p>
    <w:p>
      <w:pPr>
        <w:ind w:firstLine="1304"/>
        <w:spacing w:after="0" w:line="263" w:lineRule="auto"/>
        <w:tabs>
          <w:tab w:leader="none" w:pos="1908" w:val="left"/>
        </w:tabs>
        <w:numPr>
          <w:ilvl w:val="0"/>
          <w:numId w:val="502"/>
        </w:numPr>
        <w:rPr>
          <w:rFonts w:ascii="Arial" w:cs="Arial" w:eastAsia="Arial" w:hAnsi="Arial"/>
          <w:sz w:val="22"/>
          <w:szCs w:val="22"/>
          <w:color w:val="010000"/>
        </w:rPr>
      </w:pPr>
      <w:r>
        <w:rPr>
          <w:rFonts w:ascii="Arial" w:cs="Arial" w:eastAsia="Arial" w:hAnsi="Arial"/>
          <w:sz w:val="22"/>
          <w:szCs w:val="22"/>
          <w:color w:val="auto"/>
        </w:rPr>
        <w:t>This SGR Security Agreement is made with full recourse to such Grantor and pursuant to and upon all the warranties, representations, covenants and agreements on the part of such Grantor contained herein.</w:t>
      </w:r>
    </w:p>
    <w:p>
      <w:pPr>
        <w:spacing w:after="0" w:line="175" w:lineRule="exact"/>
        <w:rPr>
          <w:sz w:val="20"/>
          <w:szCs w:val="20"/>
          <w:color w:val="auto"/>
        </w:rPr>
      </w:pPr>
    </w:p>
    <w:p>
      <w:pPr>
        <w:ind w:left="1300" w:hanging="323"/>
        <w:spacing w:after="0" w:line="263" w:lineRule="auto"/>
        <w:rPr>
          <w:sz w:val="20"/>
          <w:szCs w:val="20"/>
          <w:color w:val="auto"/>
        </w:rPr>
      </w:pPr>
      <w:r>
        <w:rPr>
          <w:rFonts w:ascii="Arial" w:cs="Arial" w:eastAsia="Arial" w:hAnsi="Arial"/>
          <w:sz w:val="22"/>
          <w:szCs w:val="22"/>
          <w:color w:val="auto"/>
        </w:rPr>
        <w:t>Section 5. Covenants. Each Grantor covenants and agrees with the Collateral Agent that so long as this SGR Security Agreement is in effect:</w:t>
      </w:r>
    </w:p>
    <w:p>
      <w:pPr>
        <w:spacing w:after="0" w:line="175" w:lineRule="exact"/>
        <w:rPr>
          <w:sz w:val="20"/>
          <w:szCs w:val="20"/>
          <w:color w:val="auto"/>
        </w:rPr>
      </w:pPr>
    </w:p>
    <w:p>
      <w:pPr>
        <w:jc w:val="both"/>
        <w:ind w:firstLine="1304"/>
        <w:spacing w:after="0" w:line="302" w:lineRule="auto"/>
        <w:tabs>
          <w:tab w:leader="none" w:pos="1860" w:val="left"/>
        </w:tabs>
        <w:numPr>
          <w:ilvl w:val="0"/>
          <w:numId w:val="503"/>
        </w:numPr>
        <w:rPr>
          <w:rFonts w:ascii="Arial" w:cs="Arial" w:eastAsia="Arial" w:hAnsi="Arial"/>
          <w:sz w:val="19"/>
          <w:szCs w:val="19"/>
          <w:color w:val="010000"/>
        </w:rPr>
      </w:pPr>
      <w:r>
        <w:rPr>
          <w:rFonts w:ascii="Arial" w:cs="Arial" w:eastAsia="Arial" w:hAnsi="Arial"/>
          <w:sz w:val="19"/>
          <w:szCs w:val="19"/>
          <w:color w:val="auto"/>
        </w:rPr>
        <w:t xml:space="preserve">Such Grantor shall use commercially reasonable efforts to defend the Collateral against any and all claims and demands of all Persons at any time claiming any interest therein adverse to the Collateral Agent or any Secured Party (other than Permitted Liens);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such Grantor’s only obligations with respect to any Transfer Restriction described in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of the first proviso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shall be as stated in the second proviso to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w:t>
      </w:r>
    </w:p>
    <w:p>
      <w:pPr>
        <w:spacing w:after="0" w:line="142" w:lineRule="exact"/>
        <w:rPr>
          <w:rFonts w:ascii="Arial" w:cs="Arial" w:eastAsia="Arial" w:hAnsi="Arial"/>
          <w:sz w:val="19"/>
          <w:szCs w:val="19"/>
          <w:color w:val="010000"/>
        </w:rPr>
      </w:pPr>
    </w:p>
    <w:p>
      <w:pPr>
        <w:jc w:val="both"/>
        <w:ind w:firstLine="1304"/>
        <w:spacing w:after="0" w:line="248" w:lineRule="auto"/>
        <w:tabs>
          <w:tab w:leader="none" w:pos="1830" w:val="left"/>
        </w:tabs>
        <w:numPr>
          <w:ilvl w:val="0"/>
          <w:numId w:val="503"/>
        </w:numPr>
        <w:rPr>
          <w:rFonts w:ascii="Arial" w:cs="Arial" w:eastAsia="Arial" w:hAnsi="Arial"/>
          <w:sz w:val="22"/>
          <w:szCs w:val="22"/>
          <w:color w:val="010000"/>
        </w:rPr>
      </w:pPr>
      <w:r>
        <w:rPr>
          <w:rFonts w:ascii="Arial" w:cs="Arial" w:eastAsia="Arial" w:hAnsi="Arial"/>
          <w:sz w:val="22"/>
          <w:szCs w:val="22"/>
          <w:color w:val="auto"/>
        </w:rPr>
        <w:t>Such Grantor shall not execute or authorize to be filed in any public office any UCC financing statement (or similar statement or instrument of registration of a security interest under the law of any jurisdiction) relating to the Collateral, except UCC financing statements (or similar statements or instruments of registration of a security interest under the law of any jurisdiction) filed or to be filed in respect of and covering the security interests granted hereby by such Grantor and except with respect to Permitted Liens.</w:t>
      </w:r>
    </w:p>
    <w:p>
      <w:pPr>
        <w:spacing w:after="0" w:line="191" w:lineRule="exact"/>
        <w:rPr>
          <w:rFonts w:ascii="Arial" w:cs="Arial" w:eastAsia="Arial" w:hAnsi="Arial"/>
          <w:sz w:val="22"/>
          <w:szCs w:val="22"/>
          <w:color w:val="010000"/>
        </w:rPr>
      </w:pPr>
    </w:p>
    <w:p>
      <w:pPr>
        <w:jc w:val="both"/>
        <w:ind w:firstLine="1304"/>
        <w:spacing w:after="0" w:line="259" w:lineRule="auto"/>
        <w:tabs>
          <w:tab w:leader="none" w:pos="1817" w:val="left"/>
        </w:tabs>
        <w:numPr>
          <w:ilvl w:val="0"/>
          <w:numId w:val="503"/>
        </w:numPr>
        <w:rPr>
          <w:rFonts w:ascii="Arial" w:cs="Arial" w:eastAsia="Arial" w:hAnsi="Arial"/>
          <w:sz w:val="21"/>
          <w:szCs w:val="21"/>
          <w:color w:val="010000"/>
        </w:rPr>
      </w:pPr>
      <w:r>
        <w:rPr>
          <w:rFonts w:ascii="Arial" w:cs="Arial" w:eastAsia="Arial" w:hAnsi="Arial"/>
          <w:sz w:val="21"/>
          <w:szCs w:val="21"/>
          <w:color w:val="auto"/>
        </w:rPr>
        <w:t xml:space="preserve">Such Grantor shall give to the Collateral Agent timely written notice (but in any event not later than 30 days prior to the expiration of the period of time specified under applicable law to prevent lapse of perfection) of any ( </w:t>
      </w:r>
      <w:r>
        <w:rPr>
          <w:rFonts w:ascii="Arial" w:cs="Arial" w:eastAsia="Arial" w:hAnsi="Arial"/>
          <w:sz w:val="21"/>
          <w:szCs w:val="21"/>
          <w:u w:val="single" w:color="auto"/>
          <w:color w:val="auto"/>
        </w:rPr>
        <w:t>i</w:t>
      </w:r>
      <w:r>
        <w:rPr>
          <w:rFonts w:ascii="Arial" w:cs="Arial" w:eastAsia="Arial" w:hAnsi="Arial"/>
          <w:sz w:val="21"/>
          <w:szCs w:val="21"/>
          <w:color w:val="auto"/>
        </w:rPr>
        <w:t xml:space="preserve"> ) change in its jurisdiction of incorporation, or (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 change in its name, identity or corporate or other organizational structure to such an extent that any UCC financing statement filed by the Collateral Agent in connection with this SGR Security Agreement would become seriously misleading; and such Grantor shall, in each case, provide such other information in connection therewith as the Collateral Agent may reasonably request and shall make all filings under the UCC reasonably requested by the Collateral Agent to maintain the perfection and priority of the security interests of the Collateral Agent on behalf of the Secured Parties in the Collateral intended to be granted hereby.</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6. Supplements, Further Assurances.</w:t>
      </w:r>
    </w:p>
    <w:p>
      <w:pPr>
        <w:spacing w:after="0" w:line="220" w:lineRule="exact"/>
        <w:rPr>
          <w:sz w:val="20"/>
          <w:szCs w:val="20"/>
          <w:color w:val="auto"/>
        </w:rPr>
      </w:pPr>
    </w:p>
    <w:p>
      <w:pPr>
        <w:ind w:firstLine="656"/>
        <w:spacing w:after="0" w:line="263" w:lineRule="auto"/>
        <w:tabs>
          <w:tab w:leader="none" w:pos="1179" w:val="left"/>
        </w:tabs>
        <w:numPr>
          <w:ilvl w:val="0"/>
          <w:numId w:val="504"/>
        </w:numPr>
        <w:rPr>
          <w:rFonts w:ascii="Arial" w:cs="Arial" w:eastAsia="Arial" w:hAnsi="Arial"/>
          <w:sz w:val="22"/>
          <w:szCs w:val="22"/>
          <w:color w:val="010000"/>
        </w:rPr>
      </w:pPr>
      <w:r>
        <w:rPr>
          <w:rFonts w:ascii="Arial" w:cs="Arial" w:eastAsia="Arial" w:hAnsi="Arial"/>
          <w:sz w:val="22"/>
          <w:szCs w:val="22"/>
          <w:color w:val="auto"/>
        </w:rPr>
        <w:t>Any Grantor may, at any time and from time to time, execute and deliver to the Collateral Agent, and upon receipt the Collateral Agent shall execute and deliver, 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2" w:name="page403"/>
    <w:bookmarkEnd w:id="402"/>
    <w:p>
      <w:pPr>
        <w:jc w:val="both"/>
        <w:spacing w:after="0" w:line="259" w:lineRule="auto"/>
        <w:rPr>
          <w:sz w:val="20"/>
          <w:szCs w:val="20"/>
          <w:color w:val="auto"/>
        </w:rPr>
      </w:pPr>
      <w:r>
        <w:rPr>
          <w:rFonts w:ascii="Arial" w:cs="Arial" w:eastAsia="Arial" w:hAnsi="Arial"/>
          <w:sz w:val="21"/>
          <w:szCs w:val="21"/>
          <w:color w:val="auto"/>
        </w:rPr>
        <w:t xml:space="preserve">supplement to this SGR Security Agreement in substantially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(each such supplement, an “ </w:t>
      </w:r>
      <w:r>
        <w:rPr>
          <w:rFonts w:ascii="Arial" w:cs="Arial" w:eastAsia="Arial" w:hAnsi="Arial"/>
          <w:sz w:val="21"/>
          <w:szCs w:val="21"/>
          <w:u w:val="single" w:color="auto"/>
          <w:color w:val="auto"/>
        </w:rPr>
        <w:t>SGR</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Security Agreement Supplement</w:t>
      </w:r>
      <w:r>
        <w:rPr>
          <w:rFonts w:ascii="Arial" w:cs="Arial" w:eastAsia="Arial" w:hAnsi="Arial"/>
          <w:sz w:val="21"/>
          <w:szCs w:val="21"/>
          <w:color w:val="auto"/>
        </w:rPr>
        <w:t xml:space="preserve"> ”) designating any non-stop scheduled air carrier service being operated by such Grantor at such time (each, a “ </w:t>
      </w:r>
      <w:r>
        <w:rPr>
          <w:rFonts w:ascii="Arial" w:cs="Arial" w:eastAsia="Arial" w:hAnsi="Arial"/>
          <w:sz w:val="21"/>
          <w:szCs w:val="21"/>
          <w:u w:val="single" w:color="auto"/>
          <w:color w:val="auto"/>
        </w:rPr>
        <w:t>Designated Service</w:t>
      </w:r>
      <w:r>
        <w:rPr>
          <w:rFonts w:ascii="Arial" w:cs="Arial" w:eastAsia="Arial" w:hAnsi="Arial"/>
          <w:sz w:val="21"/>
          <w:szCs w:val="21"/>
          <w:color w:val="auto"/>
        </w:rPr>
        <w:t xml:space="preserve"> ”) as an additional Scheduled Service, identifying one or more airports (or if applicable, designating airports within a particular region) outside the United States that is an origin and/or destination point for such Designated Service and, if applicable, identifying one or more route authorities to operate such Designated Service as an additional Route Authority. Upon the execution and delivery of such SGR Security Agreement Supplement, ( </w:t>
      </w:r>
      <w:r>
        <w:rPr>
          <w:rFonts w:ascii="Arial" w:cs="Arial" w:eastAsia="Arial" w:hAnsi="Arial"/>
          <w:sz w:val="21"/>
          <w:szCs w:val="21"/>
          <w:u w:val="single" w:color="auto"/>
          <w:color w:val="auto"/>
        </w:rPr>
        <w:t>i</w:t>
      </w:r>
      <w:r>
        <w:rPr>
          <w:rFonts w:ascii="Arial" w:cs="Arial" w:eastAsia="Arial" w:hAnsi="Arial"/>
          <w:sz w:val="21"/>
          <w:szCs w:val="21"/>
          <w:color w:val="auto"/>
        </w:rPr>
        <w:t xml:space="preserve"> ) each such Designated Service shall be included in the definition of “Scheduled Services”, (ii) each such route authority shall be included in the definition of “Route Authorities” and (iii) the Additional Collateral (as defined in such SGR Security Agreement Supplement) shall be Collateral hereunder.</w:t>
      </w:r>
    </w:p>
    <w:p>
      <w:pPr>
        <w:spacing w:after="0" w:line="179" w:lineRule="exact"/>
        <w:rPr>
          <w:sz w:val="20"/>
          <w:szCs w:val="20"/>
          <w:color w:val="auto"/>
        </w:rPr>
      </w:pPr>
    </w:p>
    <w:p>
      <w:pPr>
        <w:jc w:val="both"/>
        <w:ind w:firstLine="656"/>
        <w:spacing w:after="0" w:line="294" w:lineRule="auto"/>
        <w:tabs>
          <w:tab w:leader="none" w:pos="1177" w:val="left"/>
        </w:tabs>
        <w:numPr>
          <w:ilvl w:val="0"/>
          <w:numId w:val="505"/>
        </w:numPr>
        <w:rPr>
          <w:rFonts w:ascii="Arial" w:cs="Arial" w:eastAsia="Arial" w:hAnsi="Arial"/>
          <w:sz w:val="19"/>
          <w:szCs w:val="19"/>
          <w:color w:val="010000"/>
        </w:rPr>
      </w:pPr>
      <w:r>
        <w:rPr>
          <w:rFonts w:ascii="Arial" w:cs="Arial" w:eastAsia="Arial" w:hAnsi="Arial"/>
          <w:sz w:val="19"/>
          <w:szCs w:val="19"/>
          <w:color w:val="auto"/>
        </w:rPr>
        <w:t xml:space="preserve">Each Grantor agrees that at any time and from time to time, upon the reasonable request of the Collateral Agent and at the reasonable expense of such Grantor, such Grantor will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take, or cause to be taken, such action with respect to the due and timely recording, filing, re-recording and re-filing of any financing statements and any continuation statements under the UCC as are necessary to maintain the perfection of any security interest granted or purported to be granted or intended to be granted hereby, subject, in each case, to Permitted Liens, or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furnish the Collateral Agent with such financing statements and continuation statements, as may be required to enable the Collateral Agent to take such action.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7. Provisions Concerning Collateral.</w:t>
      </w:r>
    </w:p>
    <w:p>
      <w:pPr>
        <w:spacing w:after="0" w:line="220" w:lineRule="exact"/>
        <w:rPr>
          <w:sz w:val="20"/>
          <w:szCs w:val="20"/>
          <w:color w:val="auto"/>
        </w:rPr>
      </w:pPr>
    </w:p>
    <w:p>
      <w:pPr>
        <w:jc w:val="both"/>
        <w:ind w:firstLine="1304"/>
        <w:spacing w:after="0" w:line="287" w:lineRule="auto"/>
        <w:tabs>
          <w:tab w:leader="none" w:pos="1968" w:val="left"/>
        </w:tabs>
        <w:numPr>
          <w:ilvl w:val="0"/>
          <w:numId w:val="506"/>
        </w:numPr>
        <w:rPr>
          <w:rFonts w:ascii="Arial" w:cs="Arial" w:eastAsia="Arial" w:hAnsi="Arial"/>
          <w:sz w:val="19"/>
          <w:szCs w:val="19"/>
          <w:color w:val="010000"/>
        </w:rPr>
      </w:pPr>
      <w:r>
        <w:rPr>
          <w:rFonts w:ascii="Arial" w:cs="Arial" w:eastAsia="Arial" w:hAnsi="Arial"/>
          <w:sz w:val="19"/>
          <w:szCs w:val="19"/>
          <w:u w:val="single" w:color="auto"/>
          <w:color w:val="auto"/>
        </w:rPr>
        <w:t>UCC Financing Statements</w:t>
      </w:r>
      <w:r>
        <w:rPr>
          <w:rFonts w:ascii="Arial" w:cs="Arial" w:eastAsia="Arial" w:hAnsi="Arial"/>
          <w:sz w:val="19"/>
          <w:szCs w:val="19"/>
          <w:color w:val="auto"/>
        </w:rPr>
        <w:t xml:space="preserve"> . Each Grantor hereby authorizes the Collateral Agent, at any time and from time to time, to file or record such UCC financing statements which reasonably describe the Collateral and amendments thereto, in the form provided to it by such Grantor, as may from time to time be required or necessary to grant, continue and maintain a valid, enforceable, second priority security interest in the Collateral as provided herein, subject to Permitted Liens (to the extent such perfection and priority can be obtained by filing a UCC financing statement), all in accordance with the UCC. Each Grantor shall pay any applicable filing fees and other reasonable out-of-pocket expenses related to the filing of such UCC financing statements and amendments thereto. The Collateral Agent hereby authorizes each Grantor to file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UCC financing statements and amendments to UCC financing statements filed on or prior to the date hereof in each case adding Collateral pursuant to an SGR Security Agreement Supplement and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continuation statements of any UCC financing statement naming the Collateral Agent, as secured party, and such Grantor, as debtor, in each case filed pursuant to the terms of this SGR Security Agreement, any SGR Security Agreement Supplement and the other Loan Documents. Notwithstanding the foregoing and for the avoidance of doubt, no Grantor shall be responsible for the filing of 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3" w:name="page404"/>
    <w:bookmarkEnd w:id="403"/>
    <w:p>
      <w:pPr>
        <w:spacing w:after="0" w:line="263" w:lineRule="auto"/>
        <w:rPr>
          <w:sz w:val="20"/>
          <w:szCs w:val="20"/>
          <w:color w:val="auto"/>
        </w:rPr>
      </w:pPr>
      <w:r>
        <w:rPr>
          <w:rFonts w:ascii="Arial" w:cs="Arial" w:eastAsia="Arial" w:hAnsi="Arial"/>
          <w:sz w:val="22"/>
          <w:szCs w:val="22"/>
          <w:color w:val="auto"/>
        </w:rPr>
        <w:t>continuation statements of any UCC financing statements referred to herein unless such filing is requested by, and expressly authorized by, the Collateral Agent.</w:t>
      </w:r>
    </w:p>
    <w:p>
      <w:pPr>
        <w:spacing w:after="0" w:line="175" w:lineRule="exact"/>
        <w:rPr>
          <w:sz w:val="20"/>
          <w:szCs w:val="20"/>
          <w:color w:val="auto"/>
        </w:rPr>
      </w:pPr>
    </w:p>
    <w:p>
      <w:pPr>
        <w:jc w:val="both"/>
        <w:ind w:firstLine="1304"/>
        <w:spacing w:after="0" w:line="259" w:lineRule="exact"/>
        <w:tabs>
          <w:tab w:leader="none" w:pos="1872" w:val="left"/>
        </w:tabs>
        <w:numPr>
          <w:ilvl w:val="0"/>
          <w:numId w:val="507"/>
        </w:numPr>
        <w:rPr>
          <w:rFonts w:ascii="Arial" w:cs="Arial" w:eastAsia="Arial" w:hAnsi="Arial"/>
          <w:sz w:val="19"/>
          <w:szCs w:val="19"/>
          <w:color w:val="010000"/>
        </w:rPr>
      </w:pPr>
      <w:r>
        <w:rPr>
          <w:rFonts w:ascii="Arial" w:cs="Arial" w:eastAsia="Arial" w:hAnsi="Arial"/>
          <w:sz w:val="19"/>
          <w:szCs w:val="19"/>
          <w:u w:val="single" w:color="auto"/>
          <w:color w:val="auto"/>
        </w:rPr>
        <w:t>Compliance with Laws and Regulations</w:t>
      </w:r>
      <w:r>
        <w:rPr>
          <w:rFonts w:ascii="Arial" w:cs="Arial" w:eastAsia="Arial" w:hAnsi="Arial"/>
          <w:sz w:val="19"/>
          <w:szCs w:val="19"/>
          <w:color w:val="auto"/>
        </w:rPr>
        <w:t xml:space="preserve"> . Except for matters that would not reasonably be expected to result in a Material Adverse Effect, each Grantor shall comply with all laws, ordinances, orders, rules, regulations, and requirements of all federal, state, municipal or other governmental or quasi-governmental authorities or bodies including, without limitation, Foreign Aviation Authorities, then applicable to the Collateral (or any part thereof) and/or the use thereof by such Grantor, of every nature and kind (the “ </w:t>
      </w:r>
      <w:r>
        <w:rPr>
          <w:rFonts w:ascii="Arial" w:cs="Arial" w:eastAsia="Arial" w:hAnsi="Arial"/>
          <w:sz w:val="19"/>
          <w:szCs w:val="19"/>
          <w:u w:val="single" w:color="auto"/>
          <w:color w:val="auto"/>
        </w:rPr>
        <w:t>Requirements</w:t>
      </w:r>
      <w:r>
        <w:rPr>
          <w:rFonts w:ascii="Arial" w:cs="Arial" w:eastAsia="Arial" w:hAnsi="Arial"/>
          <w:sz w:val="19"/>
          <w:szCs w:val="19"/>
          <w:color w:val="auto"/>
        </w:rPr>
        <w:t xml:space="preserve"> ”), whether or not such Requirements shall now exist or shall hereafter be enacted or promulgated and whether or not the same may be said to be within the present contemplation of the parties hereto. Notwithstanding the foregoing, if any Grantor in good faith contests a Requirement, it shall not be obligated to comply with such Requirement to the extent such non</w:t>
      </w:r>
      <w:r>
        <w:rPr>
          <w:rFonts w:ascii="MS PGothic" w:cs="MS PGothic" w:eastAsia="MS PGothic" w:hAnsi="MS PGothic"/>
          <w:sz w:val="19"/>
          <w:szCs w:val="19"/>
          <w:color w:val="auto"/>
        </w:rPr>
        <w:t>‑</w:t>
      </w:r>
      <w:r>
        <w:rPr>
          <w:rFonts w:ascii="Arial" w:cs="Arial" w:eastAsia="Arial" w:hAnsi="Arial"/>
          <w:sz w:val="19"/>
          <w:szCs w:val="19"/>
          <w:color w:val="auto"/>
        </w:rPr>
        <w:t>compliance or deferral is consistent with law and does not have a Material Adverse Effect.</w:t>
      </w:r>
    </w:p>
    <w:p>
      <w:pPr>
        <w:spacing w:after="0" w:line="199" w:lineRule="exact"/>
        <w:rPr>
          <w:rFonts w:ascii="Arial" w:cs="Arial" w:eastAsia="Arial" w:hAnsi="Arial"/>
          <w:sz w:val="19"/>
          <w:szCs w:val="19"/>
          <w:color w:val="010000"/>
        </w:rPr>
      </w:pPr>
    </w:p>
    <w:p>
      <w:pPr>
        <w:jc w:val="both"/>
        <w:ind w:firstLine="1304"/>
        <w:spacing w:after="0" w:line="250" w:lineRule="auto"/>
        <w:tabs>
          <w:tab w:leader="none" w:pos="1995" w:val="left"/>
        </w:tabs>
        <w:numPr>
          <w:ilvl w:val="0"/>
          <w:numId w:val="507"/>
        </w:numPr>
        <w:rPr>
          <w:rFonts w:ascii="Arial" w:cs="Arial" w:eastAsia="Arial" w:hAnsi="Arial"/>
          <w:sz w:val="22"/>
          <w:szCs w:val="22"/>
          <w:color w:val="010000"/>
        </w:rPr>
      </w:pPr>
      <w:r>
        <w:rPr>
          <w:rFonts w:ascii="Arial" w:cs="Arial" w:eastAsia="Arial" w:hAnsi="Arial"/>
          <w:sz w:val="22"/>
          <w:szCs w:val="22"/>
          <w:u w:val="single" w:color="auto"/>
          <w:color w:val="auto"/>
        </w:rPr>
        <w:t>Notice of Violations</w:t>
      </w:r>
      <w:r>
        <w:rPr>
          <w:rFonts w:ascii="Arial" w:cs="Arial" w:eastAsia="Arial" w:hAnsi="Arial"/>
          <w:sz w:val="22"/>
          <w:szCs w:val="22"/>
          <w:color w:val="auto"/>
        </w:rPr>
        <w:t xml:space="preserve"> . Each Grantor agrees to give the Collateral Agent notice of any violations of any Requirement with respect to the Collateral or such Grantors’ use thereof that may reasonably be expected to have a Material Adverse Effect within fifteen (15) Business Days after a Responsible Officer of such Grantor obtains knowledge of such violation.</w:t>
      </w:r>
    </w:p>
    <w:p>
      <w:pPr>
        <w:spacing w:after="0" w:line="187" w:lineRule="exact"/>
        <w:rPr>
          <w:rFonts w:ascii="Arial" w:cs="Arial" w:eastAsia="Arial" w:hAnsi="Arial"/>
          <w:sz w:val="22"/>
          <w:szCs w:val="22"/>
          <w:color w:val="010000"/>
        </w:rPr>
      </w:pPr>
    </w:p>
    <w:p>
      <w:pPr>
        <w:jc w:val="both"/>
        <w:ind w:firstLine="1304"/>
        <w:spacing w:after="0" w:line="253" w:lineRule="auto"/>
        <w:tabs>
          <w:tab w:leader="none" w:pos="2074" w:val="left"/>
        </w:tabs>
        <w:numPr>
          <w:ilvl w:val="0"/>
          <w:numId w:val="507"/>
        </w:numPr>
        <w:rPr>
          <w:rFonts w:ascii="Arial" w:cs="Arial" w:eastAsia="Arial" w:hAnsi="Arial"/>
          <w:sz w:val="22"/>
          <w:szCs w:val="22"/>
          <w:color w:val="010000"/>
        </w:rPr>
      </w:pPr>
      <w:r>
        <w:rPr>
          <w:rFonts w:ascii="Arial" w:cs="Arial" w:eastAsia="Arial" w:hAnsi="Arial"/>
          <w:sz w:val="22"/>
          <w:szCs w:val="22"/>
          <w:u w:val="single" w:color="auto"/>
          <w:color w:val="auto"/>
        </w:rPr>
        <w:t>Disposition of Collateral</w:t>
      </w:r>
      <w:r>
        <w:rPr>
          <w:rFonts w:ascii="Arial" w:cs="Arial" w:eastAsia="Arial" w:hAnsi="Arial"/>
          <w:sz w:val="22"/>
          <w:szCs w:val="22"/>
          <w:color w:val="auto"/>
        </w:rPr>
        <w:t xml:space="preserve"> . Any or all of the Collateral may be sold, leased, conveyed, transferred or otherwise disposed of by any Grantor, subject to the terms of the Credit Agreement and each applicable Intercreditor Agreement and Other Intercreditor Agreement.</w:t>
      </w:r>
    </w:p>
    <w:p>
      <w:pPr>
        <w:spacing w:after="0" w:line="185" w:lineRule="exact"/>
        <w:rPr>
          <w:sz w:val="20"/>
          <w:szCs w:val="20"/>
          <w:color w:val="auto"/>
        </w:rPr>
      </w:pPr>
    </w:p>
    <w:p>
      <w:pPr>
        <w:jc w:val="both"/>
        <w:ind w:left="1300" w:hanging="323"/>
        <w:spacing w:after="0" w:line="260" w:lineRule="auto"/>
        <w:rPr>
          <w:sz w:val="20"/>
          <w:szCs w:val="20"/>
          <w:color w:val="auto"/>
        </w:rPr>
      </w:pPr>
      <w:r>
        <w:rPr>
          <w:rFonts w:ascii="Arial" w:cs="Arial" w:eastAsia="Arial" w:hAnsi="Arial"/>
          <w:sz w:val="21"/>
          <w:szCs w:val="21"/>
          <w:color w:val="auto"/>
        </w:rPr>
        <w:t>Section 8. Collateral Agent Appointed Attorney-in-Fact. The Grantors hereby appoint the Collateral Agent as each Grantor’s attorney-in-fact, with full authority in the place and stead of each Grantor and in the name of each Grantor or otherwise, from time to time in the Collateral Agent’s discretion, upon the occurrence and during the continuation of an Event of Default, and in accordance with and subject to the Intercreditor Agreement and any Other Intercreditor Agreement, to take any action and to execute any instrument which the Collateral Agent may reasonably deem necessary or advisable to accomplish the purposes of this SGR Security Agreement, which appointment as attorney-in-fact is coupled with an interest.</w:t>
      </w:r>
    </w:p>
    <w:p>
      <w:pPr>
        <w:spacing w:after="0" w:line="180" w:lineRule="exact"/>
        <w:rPr>
          <w:sz w:val="20"/>
          <w:szCs w:val="20"/>
          <w:color w:val="auto"/>
        </w:rPr>
      </w:pPr>
    </w:p>
    <w:p>
      <w:pPr>
        <w:jc w:val="both"/>
        <w:ind w:left="1300" w:hanging="323"/>
        <w:spacing w:after="0" w:line="250" w:lineRule="auto"/>
        <w:rPr>
          <w:sz w:val="20"/>
          <w:szCs w:val="20"/>
          <w:color w:val="auto"/>
        </w:rPr>
      </w:pPr>
      <w:r>
        <w:rPr>
          <w:rFonts w:ascii="Arial" w:cs="Arial" w:eastAsia="Arial" w:hAnsi="Arial"/>
          <w:sz w:val="22"/>
          <w:szCs w:val="22"/>
          <w:color w:val="auto"/>
        </w:rPr>
        <w:t>Section 9. Collateral Agent May Perform. If any Grantor fails to perform any agreement contained herein within a reasonable time after receipt of a written request to do so from the Collateral Agent, upon two (2) Business Days prior written notice the Collateral Agent may itself perform, or cause performance of, such agreement, and the reasonable expenses of the Collateral Agent,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4" w:name="page405"/>
    <w:bookmarkEnd w:id="404"/>
    <w:p>
      <w:pPr>
        <w:jc w:val="both"/>
        <w:ind w:left="1300"/>
        <w:spacing w:after="0" w:line="253" w:lineRule="auto"/>
        <w:rPr>
          <w:sz w:val="20"/>
          <w:szCs w:val="20"/>
          <w:color w:val="auto"/>
        </w:rPr>
      </w:pPr>
      <w:r>
        <w:rPr>
          <w:rFonts w:ascii="Arial" w:cs="Arial" w:eastAsia="Arial" w:hAnsi="Arial"/>
          <w:sz w:val="22"/>
          <w:szCs w:val="22"/>
          <w:color w:val="auto"/>
        </w:rPr>
        <w:t>including, without limitation, the reasonable fees and out-of-pocket expenses of its counsel, incurred in connection therewith, shall be payable by the Borrower in accordance with Section 10.04 of the Credit Agreement and shall constitute Obligations.</w:t>
      </w:r>
    </w:p>
    <w:p>
      <w:pPr>
        <w:spacing w:after="0" w:line="185" w:lineRule="exact"/>
        <w:rPr>
          <w:sz w:val="20"/>
          <w:szCs w:val="20"/>
          <w:color w:val="auto"/>
        </w:rPr>
      </w:pPr>
    </w:p>
    <w:p>
      <w:pPr>
        <w:jc w:val="both"/>
        <w:ind w:left="1300" w:hanging="323"/>
        <w:spacing w:after="0" w:line="258" w:lineRule="auto"/>
        <w:rPr>
          <w:sz w:val="20"/>
          <w:szCs w:val="20"/>
          <w:color w:val="auto"/>
        </w:rPr>
      </w:pPr>
      <w:r>
        <w:rPr>
          <w:rFonts w:ascii="Arial" w:cs="Arial" w:eastAsia="Arial" w:hAnsi="Arial"/>
          <w:sz w:val="21"/>
          <w:szCs w:val="21"/>
          <w:color w:val="auto"/>
        </w:rPr>
        <w:t>Section 10. The Collateral Agent. Each Grantor acknowledges that the rights and responsibilities of the Collateral Agent under this SGR Security Agreement with respect to any action taken by the Collateral Agent or the exercise or non-exercise by the Collateral Agent of any option, voting right, request, judgment or other right or remedy provided for herein or resulting or arising out of this SGR Security Agreement or any amendment, supplement or other modification of this SGR Security Agreement shall, as between the Collateral Agent and the Secured Parties, be governed by the Credit Agreement and by such other agreements with respect thereto as may exist from time to time among them, but, as between the Collateral Agent and each Grantor, the Collateral Agent shall be conclusively presumed to be acting as agent for the Secured Parties with full and valid authority so to act or refrain from acting, and no Grantor shall be under any obligation, or entitlement, to make any inquiry respecting such authority.</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11. Events of Default, Remedies.</w:t>
      </w:r>
    </w:p>
    <w:p>
      <w:pPr>
        <w:spacing w:after="0" w:line="220" w:lineRule="exact"/>
        <w:rPr>
          <w:sz w:val="20"/>
          <w:szCs w:val="20"/>
          <w:color w:val="auto"/>
        </w:rPr>
      </w:pPr>
    </w:p>
    <w:p>
      <w:pPr>
        <w:jc w:val="both"/>
        <w:ind w:firstLine="656"/>
        <w:spacing w:after="0" w:line="297" w:lineRule="auto"/>
        <w:tabs>
          <w:tab w:leader="none" w:pos="1225" w:val="left"/>
        </w:tabs>
        <w:numPr>
          <w:ilvl w:val="0"/>
          <w:numId w:val="508"/>
        </w:numPr>
        <w:rPr>
          <w:rFonts w:ascii="Arial" w:cs="Arial" w:eastAsia="Arial" w:hAnsi="Arial"/>
          <w:sz w:val="19"/>
          <w:szCs w:val="19"/>
          <w:color w:val="010000"/>
        </w:rPr>
      </w:pPr>
      <w:r>
        <w:rPr>
          <w:rFonts w:ascii="Arial" w:cs="Arial" w:eastAsia="Arial" w:hAnsi="Arial"/>
          <w:sz w:val="19"/>
          <w:szCs w:val="19"/>
          <w:u w:val="single" w:color="auto"/>
          <w:color w:val="auto"/>
        </w:rPr>
        <w:t>Remedies: Obtaining the Collateral Upon Event of Default</w:t>
      </w:r>
      <w:r>
        <w:rPr>
          <w:rFonts w:ascii="Arial" w:cs="Arial" w:eastAsia="Arial" w:hAnsi="Arial"/>
          <w:sz w:val="19"/>
          <w:szCs w:val="19"/>
          <w:color w:val="auto"/>
        </w:rPr>
        <w:t xml:space="preserve"> . In each case, subject to the requirements of applicable law (including without limitation the UCC and Title 49) and subject to the approval of all necessary Governmental Authorities, Foreign Aviation Authorities and Airport Authorities, if any Event of Default shall have occurred and be continuing, then and in every such case, the Collateral Agent may, subject to the Intercreditor Agreement and any Other Intercreditor Agreement, at any time or from time to time during the continuance of such Event of Default:</w:t>
      </w:r>
    </w:p>
    <w:p>
      <w:pPr>
        <w:spacing w:after="0" w:line="146" w:lineRule="exact"/>
        <w:rPr>
          <w:rFonts w:ascii="Arial" w:cs="Arial" w:eastAsia="Arial" w:hAnsi="Arial"/>
          <w:sz w:val="19"/>
          <w:szCs w:val="19"/>
          <w:color w:val="010000"/>
        </w:rPr>
      </w:pPr>
    </w:p>
    <w:p>
      <w:pPr>
        <w:jc w:val="both"/>
        <w:ind w:left="660" w:firstLine="644"/>
        <w:spacing w:after="0" w:line="290" w:lineRule="auto"/>
        <w:tabs>
          <w:tab w:leader="none" w:pos="1884" w:val="left"/>
        </w:tabs>
        <w:numPr>
          <w:ilvl w:val="1"/>
          <w:numId w:val="508"/>
        </w:numPr>
        <w:rPr>
          <w:rFonts w:ascii="Arial" w:cs="Arial" w:eastAsia="Arial" w:hAnsi="Arial"/>
          <w:sz w:val="19"/>
          <w:szCs w:val="19"/>
          <w:color w:val="010000"/>
        </w:rPr>
      </w:pPr>
      <w:r>
        <w:rPr>
          <w:rFonts w:ascii="Arial" w:cs="Arial" w:eastAsia="Arial" w:hAnsi="Arial"/>
          <w:sz w:val="19"/>
          <w:szCs w:val="19"/>
          <w:color w:val="auto"/>
        </w:rPr>
        <w:t>Declare the entire right, title and interest of any Grantor in and to the Collateral (other than the Account Collateral) vested, in which event such right, title and interest shall immediately vest in the Collateral Agent, in which case such Grantor agrees to execute and deliver such deeds of conveyance, assignments and other documents or instruments (including any notices or applications to the DOT, the FAA, applicable Foreign Aviation Authorities, Governmental Authorities or Airport Authorities having jurisdiction over any such Collateral or the use thereof) as shall be requested by the Collateral Agent in order to effectuate the transfer of such Collateral, together with copies of the certificates or orders issued by the DOT and the Foreign Aviation Authorities representing same and any other rights of such Grantor with respect thereto, to any designee or designees selected by the Collateral Agent and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5" w:name="page406"/>
    <w:bookmarkEnd w:id="405"/>
    <w:p>
      <w:pPr>
        <w:jc w:val="both"/>
        <w:ind w:left="660"/>
        <w:spacing w:after="0" w:line="292" w:lineRule="auto"/>
        <w:rPr>
          <w:sz w:val="20"/>
          <w:szCs w:val="20"/>
          <w:color w:val="auto"/>
        </w:rPr>
      </w:pPr>
      <w:r>
        <w:rPr>
          <w:rFonts w:ascii="Arial" w:cs="Arial" w:eastAsia="Arial" w:hAnsi="Arial"/>
          <w:sz w:val="19"/>
          <w:szCs w:val="19"/>
          <w:color w:val="auto"/>
        </w:rPr>
        <w:t xml:space="preserve">approved by all necessary Governmental Authorities, Foreign Aviation Authorities and Airport Authorities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of the foregoing is not permitted under applicable law or by the DOT or applicable Governmental Authority, Foreign Aviation Authority and/or Airport Authority, the Collateral Agent for the benefit of the Secured Parties shall nevertheless continue to have all of such Grantor’s right, title and interest in and to all of the Proceeds (of any kind) received or to be received by such Grantor upon the transfer or other disposition of such Collateral); it being understood that each Grantor’s obligation to deliver such Collateral and such documents and instruments with respect thereto, subject to the aforesaid limitations, is of the essence of this SGR Security Agreement;</w:t>
      </w:r>
    </w:p>
    <w:p>
      <w:pPr>
        <w:spacing w:after="0" w:line="151" w:lineRule="exact"/>
        <w:rPr>
          <w:sz w:val="20"/>
          <w:szCs w:val="20"/>
          <w:color w:val="auto"/>
        </w:rPr>
      </w:pPr>
    </w:p>
    <w:p>
      <w:pPr>
        <w:ind w:left="660" w:firstLine="644"/>
        <w:spacing w:after="0" w:line="263" w:lineRule="auto"/>
        <w:tabs>
          <w:tab w:leader="none" w:pos="1854" w:val="left"/>
        </w:tabs>
        <w:numPr>
          <w:ilvl w:val="1"/>
          <w:numId w:val="509"/>
        </w:numPr>
        <w:rPr>
          <w:rFonts w:ascii="Arial" w:cs="Arial" w:eastAsia="Arial" w:hAnsi="Arial"/>
          <w:sz w:val="22"/>
          <w:szCs w:val="22"/>
          <w:color w:val="010000"/>
        </w:rPr>
      </w:pPr>
      <w:r>
        <w:rPr>
          <w:rFonts w:ascii="Arial" w:cs="Arial" w:eastAsia="Arial" w:hAnsi="Arial"/>
          <w:sz w:val="22"/>
          <w:szCs w:val="22"/>
          <w:color w:val="auto"/>
        </w:rPr>
        <w:t>Sell or otherwise liquidate, or direct any Grantor to sell or otherwise liquidate, any or all of the Collateral or any part thereof and take possession of the Proceeds of any such sale or liquidation; and</w:t>
      </w:r>
    </w:p>
    <w:p>
      <w:pPr>
        <w:spacing w:after="0" w:line="174" w:lineRule="exact"/>
        <w:rPr>
          <w:rFonts w:ascii="Arial" w:cs="Arial" w:eastAsia="Arial" w:hAnsi="Arial"/>
          <w:sz w:val="22"/>
          <w:szCs w:val="22"/>
          <w:color w:val="010000"/>
        </w:rPr>
      </w:pPr>
    </w:p>
    <w:p>
      <w:pPr>
        <w:jc w:val="both"/>
        <w:ind w:left="660" w:firstLine="644"/>
        <w:spacing w:after="0" w:line="271" w:lineRule="auto"/>
        <w:tabs>
          <w:tab w:leader="none" w:pos="1983" w:val="left"/>
        </w:tabs>
        <w:numPr>
          <w:ilvl w:val="1"/>
          <w:numId w:val="509"/>
        </w:numPr>
        <w:rPr>
          <w:rFonts w:ascii="Arial" w:cs="Arial" w:eastAsia="Arial" w:hAnsi="Arial"/>
          <w:sz w:val="21"/>
          <w:szCs w:val="21"/>
          <w:color w:val="010000"/>
        </w:rPr>
      </w:pPr>
      <w:r>
        <w:rPr>
          <w:rFonts w:ascii="Arial" w:cs="Arial" w:eastAsia="Arial" w:hAnsi="Arial"/>
          <w:sz w:val="21"/>
          <w:szCs w:val="21"/>
          <w:color w:val="auto"/>
        </w:rPr>
        <w:t>Without notice to any Grantor except as required by law and at any time or from time to time, deliver a Notice of Exclusive Control (as defined in the Account Control Agreement), and charge, set off and otherwise apply all or any part of the Obligations against any funds held with respect to the Account Collateral.</w:t>
      </w:r>
    </w:p>
    <w:p>
      <w:pPr>
        <w:spacing w:after="0" w:line="167" w:lineRule="exact"/>
        <w:rPr>
          <w:rFonts w:ascii="Arial" w:cs="Arial" w:eastAsia="Arial" w:hAnsi="Arial"/>
          <w:sz w:val="21"/>
          <w:szCs w:val="21"/>
          <w:color w:val="010000"/>
        </w:rPr>
      </w:pPr>
    </w:p>
    <w:p>
      <w:pPr>
        <w:jc w:val="both"/>
        <w:ind w:firstLine="656"/>
        <w:spacing w:after="0" w:line="302" w:lineRule="auto"/>
        <w:tabs>
          <w:tab w:leader="none" w:pos="1332" w:val="left"/>
        </w:tabs>
        <w:numPr>
          <w:ilvl w:val="0"/>
          <w:numId w:val="510"/>
        </w:numPr>
        <w:rPr>
          <w:rFonts w:ascii="Arial" w:cs="Arial" w:eastAsia="Arial" w:hAnsi="Arial"/>
          <w:sz w:val="19"/>
          <w:szCs w:val="19"/>
          <w:color w:val="010000"/>
        </w:rPr>
      </w:pPr>
      <w:r>
        <w:rPr>
          <w:rFonts w:ascii="Arial" w:cs="Arial" w:eastAsia="Arial" w:hAnsi="Arial"/>
          <w:sz w:val="19"/>
          <w:szCs w:val="19"/>
          <w:u w:val="single" w:color="auto"/>
          <w:color w:val="auto"/>
        </w:rPr>
        <w:t>Remedies; Disposition of the Collateral</w:t>
      </w:r>
      <w:r>
        <w:rPr>
          <w:rFonts w:ascii="Arial" w:cs="Arial" w:eastAsia="Arial" w:hAnsi="Arial"/>
          <w:sz w:val="19"/>
          <w:szCs w:val="19"/>
          <w:color w:val="auto"/>
        </w:rPr>
        <w:t xml:space="preserve"> . In each case, subject to the requirements of applicable law (including without limitation the UCC and Title 49), subject to the Credit Agreement, and subject to the Intercreditor Agreement and any Other Intercreditor Agreement, and subject to the approval of all necessary Governmental Authorities, Foreign Aviation Authorities and Airport Authorities, if any Event of Default shall have occurred and be continuing:</w:t>
      </w:r>
    </w:p>
    <w:p>
      <w:pPr>
        <w:spacing w:after="0" w:line="142" w:lineRule="exact"/>
        <w:rPr>
          <w:rFonts w:ascii="Arial" w:cs="Arial" w:eastAsia="Arial" w:hAnsi="Arial"/>
          <w:sz w:val="19"/>
          <w:szCs w:val="19"/>
          <w:color w:val="010000"/>
        </w:rPr>
      </w:pPr>
    </w:p>
    <w:p>
      <w:pPr>
        <w:jc w:val="both"/>
        <w:ind w:left="660" w:firstLine="644"/>
        <w:spacing w:after="0" w:line="287" w:lineRule="auto"/>
        <w:tabs>
          <w:tab w:leader="none" w:pos="1849" w:val="left"/>
        </w:tabs>
        <w:numPr>
          <w:ilvl w:val="1"/>
          <w:numId w:val="510"/>
        </w:numPr>
        <w:rPr>
          <w:rFonts w:ascii="Arial" w:cs="Arial" w:eastAsia="Arial" w:hAnsi="Arial"/>
          <w:sz w:val="19"/>
          <w:szCs w:val="19"/>
          <w:color w:val="010000"/>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the Collateral Agent may from time to time exercise in respect of the Collateral, in addition to other rights and remedies provided for herein or otherwise available to it, and all the rights and remedies of a secured party on default under the UCC at the time of such Event of Default, and the Collateral Agent may also in its sole discretion, without notice except as specified below, sell the Collateral or any part thereof in one or more parcels at public or private sale, at any exchange, broker’s board or at any of the Collateral Agent’s offices or elsewhere, for cash, on credit or for future delivery, and at such price or prices and upon such other terms as the Collateral Agent may deem commercially reasonable,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the Collateral Agent or any other Secured Party may be the purchasers of any or all of the Collateral at any such sale and shall be entitled, for the purpose of bidding and making settlement or payment of the purchase price for all or any portion of the Collateral sold at such sale, to use and apply any of the Obligations owed to such Person as a credit on account of the purchase price of any Collateral payable by such Person at such sale,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 each purchaser at any such sale shall acquire the property sold absolutely free from any claim or right on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6" w:name="page407"/>
    <w:bookmarkEnd w:id="406"/>
    <w:p>
      <w:pPr>
        <w:jc w:val="both"/>
        <w:spacing w:after="0" w:line="288" w:lineRule="auto"/>
        <w:rPr>
          <w:sz w:val="20"/>
          <w:szCs w:val="20"/>
          <w:color w:val="auto"/>
        </w:rPr>
      </w:pPr>
      <w:r>
        <w:rPr>
          <w:rFonts w:ascii="Arial" w:cs="Arial" w:eastAsia="Arial" w:hAnsi="Arial"/>
          <w:sz w:val="19"/>
          <w:szCs w:val="19"/>
          <w:color w:val="auto"/>
        </w:rPr>
        <w:t xml:space="preserve">part of any Grantor, and each Grantor hereby waives, to the fullest extent permitted by law, all rights of redemption, stay or appraisal which it now has or may at any time in the future have under any rule of law or statute now existing or hereafter enacted, ( </w:t>
      </w:r>
      <w:r>
        <w:rPr>
          <w:rFonts w:ascii="Arial" w:cs="Arial" w:eastAsia="Arial" w:hAnsi="Arial"/>
          <w:sz w:val="19"/>
          <w:szCs w:val="19"/>
          <w:u w:val="single" w:color="auto"/>
          <w:color w:val="auto"/>
        </w:rPr>
        <w:t>D</w:t>
      </w:r>
      <w:r>
        <w:rPr>
          <w:rFonts w:ascii="Arial" w:cs="Arial" w:eastAsia="Arial" w:hAnsi="Arial"/>
          <w:sz w:val="19"/>
          <w:szCs w:val="19"/>
          <w:color w:val="auto"/>
        </w:rPr>
        <w:t xml:space="preserve"> ) each Grantor agrees that, to the extent notice of sale shall be required by law, at least ten (10) days’ notice to the Borrower of the time and place of any public sale or the time after which any private sale is to be made shall constitute reasonable notification, ( </w:t>
      </w:r>
      <w:r>
        <w:rPr>
          <w:rFonts w:ascii="Arial" w:cs="Arial" w:eastAsia="Arial" w:hAnsi="Arial"/>
          <w:sz w:val="19"/>
          <w:szCs w:val="19"/>
          <w:u w:val="single" w:color="auto"/>
          <w:color w:val="auto"/>
        </w:rPr>
        <w:t>E</w:t>
      </w:r>
      <w:r>
        <w:rPr>
          <w:rFonts w:ascii="Arial" w:cs="Arial" w:eastAsia="Arial" w:hAnsi="Arial"/>
          <w:sz w:val="19"/>
          <w:szCs w:val="19"/>
          <w:color w:val="auto"/>
        </w:rPr>
        <w:t xml:space="preserve"> ) the Collateral Agent shall not be obligated to make any sale of Collateral regardless of notice of sale having been given, ( </w:t>
      </w:r>
      <w:r>
        <w:rPr>
          <w:rFonts w:ascii="Arial" w:cs="Arial" w:eastAsia="Arial" w:hAnsi="Arial"/>
          <w:sz w:val="19"/>
          <w:szCs w:val="19"/>
          <w:u w:val="single" w:color="auto"/>
          <w:color w:val="auto"/>
        </w:rPr>
        <w:t>F</w:t>
      </w:r>
      <w:r>
        <w:rPr>
          <w:rFonts w:ascii="Arial" w:cs="Arial" w:eastAsia="Arial" w:hAnsi="Arial"/>
          <w:sz w:val="19"/>
          <w:szCs w:val="19"/>
          <w:color w:val="auto"/>
        </w:rPr>
        <w:t xml:space="preserve"> ) the Collateral Agent may adjourn any public or private sale from time to time by announcement at the time and place fixed therefor, and such sale may, without further notice, be made at the time and place to which it was so adjourned and (G) each Grantor hereby waives, to the full extent permitted by law, any claims against the Collateral Agent arising by reason of the fact that the price at which any Collateral may have been sold at such a private sale was less than the price which might have been obtained at a public sale;</w:t>
      </w:r>
    </w:p>
    <w:p>
      <w:pPr>
        <w:spacing w:after="0" w:line="159" w:lineRule="exact"/>
        <w:rPr>
          <w:sz w:val="20"/>
          <w:szCs w:val="20"/>
          <w:color w:val="auto"/>
        </w:rPr>
      </w:pPr>
    </w:p>
    <w:p>
      <w:pPr>
        <w:jc w:val="both"/>
        <w:ind w:firstLine="644"/>
        <w:spacing w:after="0" w:line="287" w:lineRule="auto"/>
        <w:tabs>
          <w:tab w:leader="none" w:pos="1260" w:val="left"/>
        </w:tabs>
        <w:numPr>
          <w:ilvl w:val="0"/>
          <w:numId w:val="511"/>
        </w:numPr>
        <w:rPr>
          <w:rFonts w:ascii="Arial" w:cs="Arial" w:eastAsia="Arial" w:hAnsi="Arial"/>
          <w:sz w:val="19"/>
          <w:szCs w:val="19"/>
          <w:color w:val="010000"/>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except as otherwise provided herein, each Grantor hereby waives, to the fullest extent permitted by applicable law: ( </w:t>
      </w:r>
      <w:r>
        <w:rPr>
          <w:rFonts w:ascii="Arial" w:cs="Arial" w:eastAsia="Arial" w:hAnsi="Arial"/>
          <w:sz w:val="19"/>
          <w:szCs w:val="19"/>
          <w:u w:val="single" w:color="auto"/>
          <w:color w:val="auto"/>
        </w:rPr>
        <w:t>w</w:t>
      </w:r>
      <w:r>
        <w:rPr>
          <w:rFonts w:ascii="Arial" w:cs="Arial" w:eastAsia="Arial" w:hAnsi="Arial"/>
          <w:sz w:val="19"/>
          <w:szCs w:val="19"/>
          <w:color w:val="auto"/>
        </w:rPr>
        <w:t xml:space="preserve"> ) notice or judicial hearing in connection with the Collateral Agent’s taking possession or the Collateral Agent’s disposition of any of the Collateral, including, without limitation, any and all prior notice and hearing for any prejudgment remedy or remedies and any such right which such Grantor would otherwise have under law; ( </w:t>
      </w:r>
      <w:r>
        <w:rPr>
          <w:rFonts w:ascii="Arial" w:cs="Arial" w:eastAsia="Arial" w:hAnsi="Arial"/>
          <w:sz w:val="19"/>
          <w:szCs w:val="19"/>
          <w:u w:val="single" w:color="auto"/>
          <w:color w:val="auto"/>
        </w:rPr>
        <w:t>x</w:t>
      </w:r>
      <w:r>
        <w:rPr>
          <w:rFonts w:ascii="Arial" w:cs="Arial" w:eastAsia="Arial" w:hAnsi="Arial"/>
          <w:sz w:val="19"/>
          <w:szCs w:val="19"/>
          <w:color w:val="auto"/>
        </w:rPr>
        <w:t xml:space="preserve"> ) all damages occasioned by such taking of possession; ( </w:t>
      </w:r>
      <w:r>
        <w:rPr>
          <w:rFonts w:ascii="Arial" w:cs="Arial" w:eastAsia="Arial" w:hAnsi="Arial"/>
          <w:sz w:val="19"/>
          <w:szCs w:val="19"/>
          <w:u w:val="single" w:color="auto"/>
          <w:color w:val="auto"/>
        </w:rPr>
        <w:t>y</w:t>
      </w:r>
      <w:r>
        <w:rPr>
          <w:rFonts w:ascii="Arial" w:cs="Arial" w:eastAsia="Arial" w:hAnsi="Arial"/>
          <w:sz w:val="19"/>
          <w:szCs w:val="19"/>
          <w:color w:val="auto"/>
        </w:rPr>
        <w:t xml:space="preserve"> ) all other requirements as to the time, place and terms of sale or other requirements with respect to the enforcement of the Collateral Agent’s rights hereunder; and ( </w:t>
      </w:r>
      <w:r>
        <w:rPr>
          <w:rFonts w:ascii="Arial" w:cs="Arial" w:eastAsia="Arial" w:hAnsi="Arial"/>
          <w:sz w:val="19"/>
          <w:szCs w:val="19"/>
          <w:u w:val="single" w:color="auto"/>
          <w:color w:val="auto"/>
        </w:rPr>
        <w:t>z</w:t>
      </w:r>
      <w:r>
        <w:rPr>
          <w:rFonts w:ascii="Arial" w:cs="Arial" w:eastAsia="Arial" w:hAnsi="Arial"/>
          <w:sz w:val="19"/>
          <w:szCs w:val="19"/>
          <w:color w:val="auto"/>
        </w:rPr>
        <w:t xml:space="preserve"> ) all rights of redemption, appraisement, valuation, stay, extension or moratorium now or hereafter in force under any applicable law and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any sale of, or the grant of options to purchase, or any other realization upon, any Collateral shall operate to divest all right, title, interest, claim and demand, either at law or in equity, of any Grantor therein and thereto, and shall be a perpetual bar both at law and in equity against any Grantor and against any and all Persons claiming or attempting to claim the Collateral so sold, optioned or realized upon, or any part thereof, from, through and under each Grantor; and</w:t>
      </w:r>
    </w:p>
    <w:p>
      <w:pPr>
        <w:spacing w:after="0" w:line="163" w:lineRule="exact"/>
        <w:rPr>
          <w:rFonts w:ascii="Arial" w:cs="Arial" w:eastAsia="Arial" w:hAnsi="Arial"/>
          <w:sz w:val="19"/>
          <w:szCs w:val="19"/>
          <w:color w:val="010000"/>
        </w:rPr>
      </w:pPr>
    </w:p>
    <w:p>
      <w:pPr>
        <w:jc w:val="both"/>
        <w:ind w:firstLine="644"/>
        <w:spacing w:after="0" w:line="260" w:lineRule="auto"/>
        <w:tabs>
          <w:tab w:leader="none" w:pos="1244" w:val="left"/>
        </w:tabs>
        <w:numPr>
          <w:ilvl w:val="0"/>
          <w:numId w:val="511"/>
        </w:numPr>
        <w:rPr>
          <w:rFonts w:ascii="Arial" w:cs="Arial" w:eastAsia="Arial" w:hAnsi="Arial"/>
          <w:sz w:val="21"/>
          <w:szCs w:val="21"/>
          <w:color w:val="010000"/>
        </w:rPr>
      </w:pPr>
      <w:r>
        <w:rPr>
          <w:rFonts w:ascii="Arial" w:cs="Arial" w:eastAsia="Arial" w:hAnsi="Arial"/>
          <w:sz w:val="21"/>
          <w:szCs w:val="21"/>
          <w:color w:val="auto"/>
        </w:rPr>
        <w:t>With respect to any Collateral other than Account Collateral, in connection with any foreclosure, collection, sale or other enforcement of Liens granted to the Collateral Agent in this SGR Security Agreement, each Grantor will reasonably cooperate in good faith with the Collateral Agent in transferring the right to use such Collateral to any designee of the Collateral Agent that is an air carrier or any other Person otherwise permitted to hold and use properties or rights as such Collateral and will, at the reasonable request of the Collateral Agent and in good faith, continue to operate and manage such Collateral and maintain such Grantor’s applicable regulatory licenses with respect to such Collateral until such time as such designee obtains such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407" w:name="page408"/>
    <w:bookmarkEnd w:id="407"/>
    <w:p>
      <w:pPr>
        <w:ind w:left="4"/>
        <w:spacing w:after="0" w:line="287" w:lineRule="auto"/>
        <w:rPr>
          <w:sz w:val="20"/>
          <w:szCs w:val="20"/>
          <w:color w:val="auto"/>
        </w:rPr>
      </w:pPr>
      <w:r>
        <w:rPr>
          <w:rFonts w:ascii="Arial" w:cs="Arial" w:eastAsia="Arial" w:hAnsi="Arial"/>
          <w:sz w:val="21"/>
          <w:szCs w:val="21"/>
          <w:color w:val="auto"/>
        </w:rPr>
        <w:t>licenses and governmental approvals as may be necessary or (in the reasonable opinion of the Collateral Agent or its designee specified above) advisable to conduct aviation operations with respect to such Collateral.</w:t>
      </w:r>
    </w:p>
    <w:p>
      <w:pPr>
        <w:spacing w:after="0" w:line="151" w:lineRule="exact"/>
        <w:rPr>
          <w:sz w:val="20"/>
          <w:szCs w:val="20"/>
          <w:color w:val="auto"/>
        </w:rPr>
      </w:pPr>
    </w:p>
    <w:p>
      <w:pPr>
        <w:ind w:left="324"/>
        <w:spacing w:after="0"/>
        <w:rPr>
          <w:sz w:val="20"/>
          <w:szCs w:val="20"/>
          <w:color w:val="auto"/>
        </w:rPr>
      </w:pPr>
      <w:r>
        <w:rPr>
          <w:rFonts w:ascii="Arial" w:cs="Arial" w:eastAsia="Arial" w:hAnsi="Arial"/>
          <w:sz w:val="22"/>
          <w:szCs w:val="22"/>
          <w:color w:val="auto"/>
        </w:rPr>
        <w:t>Section 12. Non-Lender Secured Parties.</w:t>
      </w:r>
    </w:p>
    <w:p>
      <w:pPr>
        <w:spacing w:after="0" w:line="220" w:lineRule="exact"/>
        <w:rPr>
          <w:sz w:val="20"/>
          <w:szCs w:val="20"/>
          <w:color w:val="auto"/>
        </w:rPr>
      </w:pPr>
    </w:p>
    <w:p>
      <w:pPr>
        <w:ind w:left="564" w:hanging="564"/>
        <w:spacing w:after="0"/>
        <w:tabs>
          <w:tab w:leader="none" w:pos="564" w:val="left"/>
        </w:tabs>
        <w:numPr>
          <w:ilvl w:val="0"/>
          <w:numId w:val="512"/>
        </w:numPr>
        <w:rPr>
          <w:rFonts w:ascii="Arial" w:cs="Arial" w:eastAsia="Arial" w:hAnsi="Arial"/>
          <w:sz w:val="22"/>
          <w:szCs w:val="22"/>
          <w:color w:val="010000"/>
        </w:rPr>
      </w:pPr>
      <w:r>
        <w:rPr>
          <w:rFonts w:ascii="Arial" w:cs="Arial" w:eastAsia="Arial" w:hAnsi="Arial"/>
          <w:sz w:val="22"/>
          <w:szCs w:val="22"/>
          <w:u w:val="single" w:color="auto"/>
          <w:color w:val="auto"/>
        </w:rPr>
        <w:t>Rights to Collateral</w:t>
      </w:r>
      <w:r>
        <w:rPr>
          <w:rFonts w:ascii="Arial" w:cs="Arial" w:eastAsia="Arial" w:hAnsi="Arial"/>
          <w:sz w:val="22"/>
          <w:szCs w:val="22"/>
          <w:color w:val="auto"/>
        </w:rPr>
        <w:t xml:space="preserve"> .</w:t>
      </w:r>
    </w:p>
    <w:p>
      <w:pPr>
        <w:spacing w:after="0" w:line="219" w:lineRule="exact"/>
        <w:rPr>
          <w:rFonts w:ascii="Arial" w:cs="Arial" w:eastAsia="Arial" w:hAnsi="Arial"/>
          <w:sz w:val="22"/>
          <w:szCs w:val="22"/>
          <w:color w:val="010000"/>
        </w:rPr>
      </w:pPr>
    </w:p>
    <w:p>
      <w:pPr>
        <w:jc w:val="both"/>
        <w:ind w:left="4" w:firstLine="644"/>
        <w:spacing w:after="0" w:line="285" w:lineRule="auto"/>
        <w:tabs>
          <w:tab w:leader="none" w:pos="1268" w:val="left"/>
        </w:tabs>
        <w:numPr>
          <w:ilvl w:val="1"/>
          <w:numId w:val="512"/>
        </w:numPr>
        <w:rPr>
          <w:rFonts w:ascii="Arial" w:cs="Arial" w:eastAsia="Arial" w:hAnsi="Arial"/>
          <w:sz w:val="19"/>
          <w:szCs w:val="19"/>
          <w:color w:val="010000"/>
        </w:rPr>
      </w:pPr>
      <w:r>
        <w:rPr>
          <w:rFonts w:ascii="Arial" w:cs="Arial" w:eastAsia="Arial" w:hAnsi="Arial"/>
          <w:sz w:val="19"/>
          <w:szCs w:val="19"/>
          <w:color w:val="auto"/>
        </w:rPr>
        <w:t xml:space="preserve">The Non-Lender Secured Parties shall not have any right whatsoever to do any of the following: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exercise any rights or remedies with respect to the Collateral or to direct the Collateral Agent to do the same, including, without limitation, the right to ( </w:t>
      </w:r>
      <w:r>
        <w:rPr>
          <w:rFonts w:ascii="Arial" w:cs="Arial" w:eastAsia="Arial" w:hAnsi="Arial"/>
          <w:sz w:val="19"/>
          <w:szCs w:val="19"/>
          <w:u w:val="single" w:color="auto"/>
          <w:color w:val="auto"/>
        </w:rPr>
        <w:t>1</w:t>
      </w:r>
      <w:r>
        <w:rPr>
          <w:rFonts w:ascii="Arial" w:cs="Arial" w:eastAsia="Arial" w:hAnsi="Arial"/>
          <w:sz w:val="19"/>
          <w:szCs w:val="19"/>
          <w:color w:val="auto"/>
        </w:rPr>
        <w:t xml:space="preserve"> ) enforce any Liens or sell or otherwise foreclose on any portion of the Collateral, ( </w:t>
      </w:r>
      <w:r>
        <w:rPr>
          <w:rFonts w:ascii="Arial" w:cs="Arial" w:eastAsia="Arial" w:hAnsi="Arial"/>
          <w:sz w:val="19"/>
          <w:szCs w:val="19"/>
          <w:u w:val="single" w:color="auto"/>
          <w:color w:val="auto"/>
        </w:rPr>
        <w:t>2</w:t>
      </w:r>
      <w:r>
        <w:rPr>
          <w:rFonts w:ascii="Arial" w:cs="Arial" w:eastAsia="Arial" w:hAnsi="Arial"/>
          <w:sz w:val="19"/>
          <w:szCs w:val="19"/>
          <w:color w:val="auto"/>
        </w:rPr>
        <w:t xml:space="preserve"> ) request any action, institute any proceedings, exercise any voting rights, give any instructions, make any election or make collections with respect to all or any portion of the Collateral or ( </w:t>
      </w:r>
      <w:r>
        <w:rPr>
          <w:rFonts w:ascii="Arial" w:cs="Arial" w:eastAsia="Arial" w:hAnsi="Arial"/>
          <w:sz w:val="19"/>
          <w:szCs w:val="19"/>
          <w:u w:val="single" w:color="auto"/>
          <w:color w:val="auto"/>
        </w:rPr>
        <w:t>3</w:t>
      </w:r>
      <w:r>
        <w:rPr>
          <w:rFonts w:ascii="Arial" w:cs="Arial" w:eastAsia="Arial" w:hAnsi="Arial"/>
          <w:sz w:val="19"/>
          <w:szCs w:val="19"/>
          <w:color w:val="auto"/>
        </w:rPr>
        <w:t xml:space="preserve"> ) release any Grantor under this SGR Security Agreement or release any Collateral from the Liens of any Collateral Document or consent to or otherwise approve any such release;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demand, accept or obtain any Lien on any Collateral (except for Liens arising under, and subject to the terms of, this SGR Security Agreement);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 vote in any Bankruptcy Case or similar proceeding in respect of Parent or any of its Subsidiaries (any such proceeding, for purposes of this clause (i), a “ </w:t>
      </w:r>
      <w:r>
        <w:rPr>
          <w:rFonts w:ascii="Arial" w:cs="Arial" w:eastAsia="Arial" w:hAnsi="Arial"/>
          <w:sz w:val="19"/>
          <w:szCs w:val="19"/>
          <w:u w:val="single" w:color="auto"/>
          <w:color w:val="auto"/>
        </w:rPr>
        <w:t>Bankruptcy</w:t>
      </w:r>
      <w:r>
        <w:rPr>
          <w:rFonts w:ascii="Arial" w:cs="Arial" w:eastAsia="Arial" w:hAnsi="Arial"/>
          <w:sz w:val="19"/>
          <w:szCs w:val="19"/>
          <w:color w:val="auto"/>
        </w:rPr>
        <w:t xml:space="preserve"> ”) with respect to, or take any other actions concerning the Collateral; ( </w:t>
      </w:r>
      <w:r>
        <w:rPr>
          <w:rFonts w:ascii="Arial" w:cs="Arial" w:eastAsia="Arial" w:hAnsi="Arial"/>
          <w:sz w:val="19"/>
          <w:szCs w:val="19"/>
          <w:u w:val="single" w:color="auto"/>
          <w:color w:val="auto"/>
        </w:rPr>
        <w:t>D</w:t>
      </w:r>
      <w:r>
        <w:rPr>
          <w:rFonts w:ascii="Arial" w:cs="Arial" w:eastAsia="Arial" w:hAnsi="Arial"/>
          <w:sz w:val="19"/>
          <w:szCs w:val="19"/>
          <w:color w:val="auto"/>
        </w:rPr>
        <w:t xml:space="preserve"> ) receive any proceeds from any sale, transfer or other disposition of any of the Collateral (except in accordance with this SGR Security Agreement); ( </w:t>
      </w:r>
      <w:r>
        <w:rPr>
          <w:rFonts w:ascii="Arial" w:cs="Arial" w:eastAsia="Arial" w:hAnsi="Arial"/>
          <w:sz w:val="19"/>
          <w:szCs w:val="19"/>
          <w:u w:val="single" w:color="auto"/>
          <w:color w:val="auto"/>
        </w:rPr>
        <w:t>E</w:t>
      </w:r>
      <w:r>
        <w:rPr>
          <w:rFonts w:ascii="Arial" w:cs="Arial" w:eastAsia="Arial" w:hAnsi="Arial"/>
          <w:sz w:val="19"/>
          <w:szCs w:val="19"/>
          <w:color w:val="auto"/>
        </w:rPr>
        <w:t xml:space="preserve"> ) oppose any sale, transfer or other disposition of the Collateral; ( </w:t>
      </w:r>
      <w:r>
        <w:rPr>
          <w:rFonts w:ascii="Arial" w:cs="Arial" w:eastAsia="Arial" w:hAnsi="Arial"/>
          <w:sz w:val="19"/>
          <w:szCs w:val="19"/>
          <w:u w:val="single" w:color="auto"/>
          <w:color w:val="auto"/>
        </w:rPr>
        <w:t>F</w:t>
      </w:r>
      <w:r>
        <w:rPr>
          <w:rFonts w:ascii="Arial" w:cs="Arial" w:eastAsia="Arial" w:hAnsi="Arial"/>
          <w:sz w:val="19"/>
          <w:szCs w:val="19"/>
          <w:color w:val="auto"/>
        </w:rPr>
        <w:t xml:space="preserve"> ) object to any debtor-in-possession financing in any Bankruptcy which is provided by one or more Lenders among others (including on a priming basis under Section 364(d) of the Bankruptcy Code); ( </w:t>
      </w:r>
      <w:r>
        <w:rPr>
          <w:rFonts w:ascii="Arial" w:cs="Arial" w:eastAsia="Arial" w:hAnsi="Arial"/>
          <w:sz w:val="19"/>
          <w:szCs w:val="19"/>
          <w:u w:val="single" w:color="auto"/>
          <w:color w:val="auto"/>
        </w:rPr>
        <w:t>G</w:t>
      </w:r>
      <w:r>
        <w:rPr>
          <w:rFonts w:ascii="Arial" w:cs="Arial" w:eastAsia="Arial" w:hAnsi="Arial"/>
          <w:sz w:val="19"/>
          <w:szCs w:val="19"/>
          <w:color w:val="auto"/>
        </w:rPr>
        <w:t xml:space="preserve"> ) object to the use of cash collateral in respect of the Collateral in any Bankruptcy; or ( </w:t>
      </w:r>
      <w:r>
        <w:rPr>
          <w:rFonts w:ascii="Arial" w:cs="Arial" w:eastAsia="Arial" w:hAnsi="Arial"/>
          <w:sz w:val="19"/>
          <w:szCs w:val="19"/>
          <w:u w:val="single" w:color="auto"/>
          <w:color w:val="auto"/>
        </w:rPr>
        <w:t>H</w:t>
      </w:r>
      <w:r>
        <w:rPr>
          <w:rFonts w:ascii="Arial" w:cs="Arial" w:eastAsia="Arial" w:hAnsi="Arial"/>
          <w:sz w:val="19"/>
          <w:szCs w:val="19"/>
          <w:color w:val="auto"/>
        </w:rPr>
        <w:t xml:space="preserve"> ) seek, or object to the Lenders, the Administrative Agent or the Collateral Agent seeking on an equal and ratable basis, any adequate protection or relief from the automatic stay with respect to the Collateral in any Bankruptcy.</w:t>
      </w:r>
    </w:p>
    <w:p>
      <w:pPr>
        <w:spacing w:after="0" w:line="168" w:lineRule="exact"/>
        <w:rPr>
          <w:rFonts w:ascii="Arial" w:cs="Arial" w:eastAsia="Arial" w:hAnsi="Arial"/>
          <w:sz w:val="19"/>
          <w:szCs w:val="19"/>
          <w:color w:val="010000"/>
        </w:rPr>
      </w:pPr>
    </w:p>
    <w:p>
      <w:pPr>
        <w:jc w:val="both"/>
        <w:ind w:left="4" w:firstLine="644"/>
        <w:spacing w:after="0" w:line="290" w:lineRule="auto"/>
        <w:tabs>
          <w:tab w:leader="none" w:pos="1224" w:val="left"/>
        </w:tabs>
        <w:numPr>
          <w:ilvl w:val="1"/>
          <w:numId w:val="512"/>
        </w:numPr>
        <w:rPr>
          <w:rFonts w:ascii="Arial" w:cs="Arial" w:eastAsia="Arial" w:hAnsi="Arial"/>
          <w:sz w:val="19"/>
          <w:szCs w:val="19"/>
          <w:color w:val="010000"/>
        </w:rPr>
      </w:pPr>
      <w:r>
        <w:rPr>
          <w:rFonts w:ascii="Arial" w:cs="Arial" w:eastAsia="Arial" w:hAnsi="Arial"/>
          <w:sz w:val="19"/>
          <w:szCs w:val="19"/>
          <w:color w:val="auto"/>
        </w:rPr>
        <w:t>Each Non-Lender Secured Party, by its acceptance of the benefits of this SGR Security Agreement and the other Collateral Documents, agrees that in exercising rights and remedies with respect to the Collateral, the Collateral Agent and the Lenders, with the consent of the Collateral Agent, may enforce the provisions of the Collateral Documents and exercise remedies thereunder and under any other Loan Documents (or refrain from enforcing rights and exercising remedies), all in such order and in such manner as they may determine in the exercise of their sole business judgment and subject to the terms of the Intercreditor Agreement and any Other Intercreditor Agreement. Such exercise and enforcement shall include, without limitation, the rights to collect, sell, dispose of or otherwise realize upon all or any part of the Collateral, to incur expenses in connection with such collection, sale,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79" w:right="339" w:bottom="1440" w:gutter="0" w:footer="0" w:header="0"/>
        </w:sectPr>
      </w:pPr>
    </w:p>
    <w:bookmarkStart w:id="408" w:name="page409"/>
    <w:bookmarkEnd w:id="408"/>
    <w:p>
      <w:pPr>
        <w:jc w:val="both"/>
        <w:ind w:left="660"/>
        <w:spacing w:after="0" w:line="246" w:lineRule="auto"/>
        <w:rPr>
          <w:sz w:val="20"/>
          <w:szCs w:val="20"/>
          <w:color w:val="auto"/>
        </w:rPr>
      </w:pPr>
      <w:r>
        <w:rPr>
          <w:rFonts w:ascii="Arial" w:cs="Arial" w:eastAsia="Arial" w:hAnsi="Arial"/>
          <w:sz w:val="22"/>
          <w:szCs w:val="22"/>
          <w:color w:val="auto"/>
        </w:rPr>
        <w:t>disposition or other realization and to exercise all the rights and remedies of a secured lender under the UCC. The Non-Lender Secured Parties by their acceptance of the benefits of this SGR Security Agreement and the other Collateral Documents hereby agree not to contest or otherwise challenge any such collection, sale, disposition or other realization of or upon all or any of the Collateral. Whether or not a Bankruptcy Case has been commenced, the Non-Lender Secured Parties shall be deemed to have consented to any sale or other disposition of any property, business or assets of Parent or any of its Subsidiaries and the release of any or all of the Collateral from the Liens of any Collateral Document in connection therewith.</w:t>
      </w:r>
    </w:p>
    <w:p>
      <w:pPr>
        <w:spacing w:after="0" w:line="196" w:lineRule="exact"/>
        <w:rPr>
          <w:sz w:val="20"/>
          <w:szCs w:val="20"/>
          <w:color w:val="auto"/>
        </w:rPr>
      </w:pPr>
    </w:p>
    <w:p>
      <w:pPr>
        <w:jc w:val="both"/>
        <w:ind w:left="660" w:firstLine="644"/>
        <w:spacing w:after="0" w:line="289" w:lineRule="auto"/>
        <w:tabs>
          <w:tab w:leader="none" w:pos="2040" w:val="left"/>
        </w:tabs>
        <w:numPr>
          <w:ilvl w:val="1"/>
          <w:numId w:val="513"/>
        </w:numPr>
        <w:rPr>
          <w:rFonts w:ascii="Arial" w:cs="Arial" w:eastAsia="Arial" w:hAnsi="Arial"/>
          <w:sz w:val="19"/>
          <w:szCs w:val="19"/>
          <w:color w:val="010000"/>
        </w:rPr>
      </w:pPr>
      <w:r>
        <w:rPr>
          <w:rFonts w:ascii="Arial" w:cs="Arial" w:eastAsia="Arial" w:hAnsi="Arial"/>
          <w:sz w:val="19"/>
          <w:szCs w:val="19"/>
          <w:color w:val="auto"/>
        </w:rPr>
        <w:t xml:space="preserve">Notwithstanding any provision of this Section 12(a), the Non-Lender Secured Parties shall be entitled, subject to the Intercreditor Agreement and any Other Intercreditor Agreement, to file any necessary responsive or defensive pleadings in opposition to any motion, claim, adversary proceeding or other pleadings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in order to prevent any Person from seeking to foreclose on the Collateral or supersede the Non-Lender Secured Parties’ claim thereto or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in opposition to any motion, claim, adversary proceeding or other pleading made by any Person objecting to or otherwise seeking the disallowance of the claims of the Non-Lender Secured Parties. Each Non-Lender Secured Party, by its acceptance of the benefits of this SGR Security Agreement, agrees to be bound by and to comply with the Intercreditor Agreement and any Other Intercreditor Agreement and authorizes the Collateral Agent to enter into the Intercreditor Agreement and Other Intercreditor Agreements on its behalf.</w:t>
      </w:r>
    </w:p>
    <w:p>
      <w:pPr>
        <w:spacing w:after="0" w:line="156" w:lineRule="exact"/>
        <w:rPr>
          <w:rFonts w:ascii="Arial" w:cs="Arial" w:eastAsia="Arial" w:hAnsi="Arial"/>
          <w:sz w:val="19"/>
          <w:szCs w:val="19"/>
          <w:color w:val="010000"/>
        </w:rPr>
      </w:pPr>
    </w:p>
    <w:p>
      <w:pPr>
        <w:jc w:val="both"/>
        <w:ind w:left="660" w:firstLine="644"/>
        <w:spacing w:after="0" w:line="248" w:lineRule="auto"/>
        <w:tabs>
          <w:tab w:leader="none" w:pos="1924" w:val="left"/>
        </w:tabs>
        <w:numPr>
          <w:ilvl w:val="1"/>
          <w:numId w:val="513"/>
        </w:numPr>
        <w:rPr>
          <w:rFonts w:ascii="Arial" w:cs="Arial" w:eastAsia="Arial" w:hAnsi="Arial"/>
          <w:sz w:val="22"/>
          <w:szCs w:val="22"/>
          <w:color w:val="010000"/>
        </w:rPr>
      </w:pPr>
      <w:r>
        <w:rPr>
          <w:rFonts w:ascii="Arial" w:cs="Arial" w:eastAsia="Arial" w:hAnsi="Arial"/>
          <w:sz w:val="22"/>
          <w:szCs w:val="22"/>
          <w:color w:val="auto"/>
        </w:rPr>
        <w:t>Each Non-Lender Secured Party, by its acceptance of the benefits of this SGR Security Agreement, agrees that the Collateral Agent and the Lenders may deal with the Collateral, including any exchange, taking or release of Collateral, may change or increase the amount of the Obligations, and may release any Grantor from its Obligations hereunder, all without any liability or obligation (except as may be otherwise expressly provided herein) to the Non-Lender Secured Parties.</w:t>
      </w:r>
    </w:p>
    <w:p>
      <w:pPr>
        <w:spacing w:after="0" w:line="191" w:lineRule="exact"/>
        <w:rPr>
          <w:rFonts w:ascii="Arial" w:cs="Arial" w:eastAsia="Arial" w:hAnsi="Arial"/>
          <w:sz w:val="22"/>
          <w:szCs w:val="22"/>
          <w:color w:val="010000"/>
        </w:rPr>
      </w:pPr>
    </w:p>
    <w:p>
      <w:pPr>
        <w:jc w:val="both"/>
        <w:ind w:firstLine="656"/>
        <w:spacing w:after="0" w:line="259" w:lineRule="auto"/>
        <w:tabs>
          <w:tab w:leader="none" w:pos="1318" w:val="left"/>
        </w:tabs>
        <w:numPr>
          <w:ilvl w:val="0"/>
          <w:numId w:val="514"/>
        </w:numPr>
        <w:rPr>
          <w:rFonts w:ascii="Arial" w:cs="Arial" w:eastAsia="Arial" w:hAnsi="Arial"/>
          <w:sz w:val="21"/>
          <w:szCs w:val="21"/>
          <w:color w:val="010000"/>
        </w:rPr>
      </w:pPr>
      <w:r>
        <w:rPr>
          <w:rFonts w:ascii="Arial" w:cs="Arial" w:eastAsia="Arial" w:hAnsi="Arial"/>
          <w:sz w:val="21"/>
          <w:szCs w:val="21"/>
          <w:u w:val="single" w:color="auto"/>
          <w:color w:val="auto"/>
        </w:rPr>
        <w:t>Appointment of Agent</w:t>
      </w:r>
      <w:r>
        <w:rPr>
          <w:rFonts w:ascii="Arial" w:cs="Arial" w:eastAsia="Arial" w:hAnsi="Arial"/>
          <w:sz w:val="21"/>
          <w:szCs w:val="21"/>
          <w:color w:val="auto"/>
        </w:rPr>
        <w:t xml:space="preserve"> . Each Non-Lender Secured Party, by its acceptance of the benefits of this SGR Security Agreement and the other Collateral Documents, shall be deemed irrevocably to make, constitute and appoint the Collateral Agent, as agent under the Credit Agreement (and all officers, employees or agents designated by the Collateral Agent) as such Person’s true and lawful agent and attorney-in-fact, and in such capacity, the Collateral Agent shall have the right, with power of substitution for the Non-Lender Secured Parties and in each such Person’s name or otherwise, to effectuate any sale, transfer or other disposition of the Collateral. It is understood and agreed that the appointment of the Collateral Agent as the agent and attorney-in-fact of the Non-Lender Secured Parties for the purposes set forth herein is coupled with an interest and is irrevocable. It is understood and agreed that the Collateral Agent has appointed the Administrative Agent as its agent for purposes of perfecting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09" w:name="page410"/>
    <w:bookmarkEnd w:id="409"/>
    <w:p>
      <w:pPr>
        <w:spacing w:after="0"/>
        <w:rPr>
          <w:sz w:val="20"/>
          <w:szCs w:val="20"/>
          <w:color w:val="auto"/>
        </w:rPr>
      </w:pPr>
      <w:r>
        <w:rPr>
          <w:rFonts w:ascii="Arial" w:cs="Arial" w:eastAsia="Arial" w:hAnsi="Arial"/>
          <w:sz w:val="21"/>
          <w:szCs w:val="21"/>
          <w:color w:val="auto"/>
        </w:rPr>
        <w:t>certain of the security interests created hereunder and for otherwise carrying out certain of its obligations hereunder.</w:t>
      </w:r>
    </w:p>
    <w:p>
      <w:pPr>
        <w:spacing w:after="0" w:line="231" w:lineRule="exact"/>
        <w:rPr>
          <w:sz w:val="20"/>
          <w:szCs w:val="20"/>
          <w:color w:val="auto"/>
        </w:rPr>
      </w:pPr>
    </w:p>
    <w:p>
      <w:pPr>
        <w:jc w:val="both"/>
        <w:ind w:firstLine="656"/>
        <w:spacing w:after="0" w:line="258" w:lineRule="exact"/>
        <w:tabs>
          <w:tab w:leader="none" w:pos="1239" w:val="left"/>
        </w:tabs>
        <w:numPr>
          <w:ilvl w:val="0"/>
          <w:numId w:val="515"/>
        </w:numPr>
        <w:rPr>
          <w:rFonts w:ascii="Arial" w:cs="Arial" w:eastAsia="Arial" w:hAnsi="Arial"/>
          <w:sz w:val="21"/>
          <w:szCs w:val="21"/>
          <w:color w:val="010000"/>
        </w:rPr>
      </w:pPr>
      <w:r>
        <w:rPr>
          <w:rFonts w:ascii="Arial" w:cs="Arial" w:eastAsia="Arial" w:hAnsi="Arial"/>
          <w:sz w:val="21"/>
          <w:szCs w:val="21"/>
          <w:u w:val="single" w:color="auto"/>
          <w:color w:val="auto"/>
        </w:rPr>
        <w:t>Waiver of Claims</w:t>
      </w:r>
      <w:r>
        <w:rPr>
          <w:rFonts w:ascii="Arial" w:cs="Arial" w:eastAsia="Arial" w:hAnsi="Arial"/>
          <w:sz w:val="21"/>
          <w:szCs w:val="21"/>
          <w:color w:val="auto"/>
        </w:rPr>
        <w:t xml:space="preserve"> . To the maximum extent permitted by law, each Non</w:t>
      </w:r>
      <w:r>
        <w:rPr>
          <w:rFonts w:ascii="MS PGothic" w:cs="MS PGothic" w:eastAsia="MS PGothic" w:hAnsi="MS PGothic"/>
          <w:sz w:val="21"/>
          <w:szCs w:val="21"/>
          <w:color w:val="auto"/>
        </w:rPr>
        <w:t>‑</w:t>
      </w:r>
      <w:r>
        <w:rPr>
          <w:rFonts w:ascii="Arial" w:cs="Arial" w:eastAsia="Arial" w:hAnsi="Arial"/>
          <w:sz w:val="21"/>
          <w:szCs w:val="21"/>
          <w:color w:val="auto"/>
        </w:rPr>
        <w:t xml:space="preserve">Lender Secured Party waives any claim it might have against the Collateral Agent or the Lenders with respect to, or arising out of, any action or failure to act or any error of judgment, negligence, or mistake or oversight whatsoever on the part of the Collateral Agent or the Lenders or their respective directors, officers, employees or agents with respect to any exercise of rights or remedies under the Loan Documents or any transaction relating to the Collateral (including, without limitation, any such exercise described in </w:t>
      </w:r>
      <w:r>
        <w:rPr>
          <w:rFonts w:ascii="Arial" w:cs="Arial" w:eastAsia="Arial" w:hAnsi="Arial"/>
          <w:sz w:val="21"/>
          <w:szCs w:val="21"/>
          <w:u w:val="single" w:color="auto"/>
          <w:color w:val="auto"/>
        </w:rPr>
        <w:t>Section 12(a)(ii)</w:t>
      </w:r>
      <w:r>
        <w:rPr>
          <w:rFonts w:ascii="Arial" w:cs="Arial" w:eastAsia="Arial" w:hAnsi="Arial"/>
          <w:sz w:val="21"/>
          <w:szCs w:val="21"/>
          <w:color w:val="auto"/>
        </w:rPr>
        <w:t xml:space="preserve"> ), except for any such action or failure to act that constitutes willful misconduct or gross negligence of such Person. To the maximum extent permitted by applicable law, none of the Collateral Agent or any Lender or any of their respective directors, officers, employees or agents shall be liable for failure to demand, collect or realize upon any of the Collateral or for any delay in doing so or shall be under any obligation to sell or otherwise dispose of any Collateral upon the request of Parent, any Subsidiary of Parent, any Non-Lender Secured Party or any other Person or to take any other action or forbear from doing so whatsoever with regard to the Collateral or any part thereof, except for any such action or failure to act that constitutes willful misconduct or gross negligence of such Person.</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13. Application of Proceeds.</w:t>
      </w:r>
    </w:p>
    <w:p>
      <w:pPr>
        <w:spacing w:after="0" w:line="220" w:lineRule="exact"/>
        <w:rPr>
          <w:sz w:val="20"/>
          <w:szCs w:val="20"/>
          <w:color w:val="auto"/>
        </w:rPr>
      </w:pPr>
    </w:p>
    <w:p>
      <w:pPr>
        <w:jc w:val="both"/>
        <w:ind w:firstLine="656"/>
        <w:spacing w:after="0" w:line="261" w:lineRule="auto"/>
        <w:tabs>
          <w:tab w:leader="none" w:pos="1265" w:val="left"/>
        </w:tabs>
        <w:numPr>
          <w:ilvl w:val="0"/>
          <w:numId w:val="516"/>
        </w:numPr>
        <w:rPr>
          <w:rFonts w:ascii="Arial" w:cs="Arial" w:eastAsia="Arial" w:hAnsi="Arial"/>
          <w:sz w:val="21"/>
          <w:szCs w:val="21"/>
          <w:color w:val="010000"/>
        </w:rPr>
      </w:pPr>
      <w:r>
        <w:rPr>
          <w:rFonts w:ascii="Arial" w:cs="Arial" w:eastAsia="Arial" w:hAnsi="Arial"/>
          <w:sz w:val="21"/>
          <w:szCs w:val="21"/>
          <w:color w:val="auto"/>
        </w:rPr>
        <w:t xml:space="preserve">Any cash held by the Collateral Agent as Collateral and all cash Proceeds received (including a distribution of Collateral in connection with any Bankruptcy Case or similar proceeding) by the Collateral Agent in respect of any sale of, collection from, or other realization upon all or any part of the Collateral pursuant to the exercise by the Collateral Agent of its remedies as a secured creditor as provided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this SGR Security Agreement shall, subject to the terms of the Intercreditor Agreement and any Other Intercreditor Agreement, be applied from time to time by the Collateral Agent in accordance with the terms of the Credit Agreement.</w:t>
      </w:r>
    </w:p>
    <w:p>
      <w:pPr>
        <w:spacing w:after="0" w:line="179" w:lineRule="exact"/>
        <w:rPr>
          <w:rFonts w:ascii="Arial" w:cs="Arial" w:eastAsia="Arial" w:hAnsi="Arial"/>
          <w:sz w:val="21"/>
          <w:szCs w:val="21"/>
          <w:color w:val="010000"/>
        </w:rPr>
      </w:pPr>
    </w:p>
    <w:p>
      <w:pPr>
        <w:ind w:right="20" w:firstLine="656"/>
        <w:spacing w:after="0" w:line="343" w:lineRule="auto"/>
        <w:tabs>
          <w:tab w:leader="none" w:pos="1188" w:val="left"/>
        </w:tabs>
        <w:numPr>
          <w:ilvl w:val="0"/>
          <w:numId w:val="516"/>
        </w:numPr>
        <w:rPr>
          <w:rFonts w:ascii="Arial" w:cs="Arial" w:eastAsia="Arial" w:hAnsi="Arial"/>
          <w:sz w:val="19"/>
          <w:szCs w:val="19"/>
          <w:color w:val="010000"/>
        </w:rPr>
      </w:pPr>
      <w:r>
        <w:rPr>
          <w:rFonts w:ascii="Arial" w:cs="Arial" w:eastAsia="Arial" w:hAnsi="Arial"/>
          <w:sz w:val="19"/>
          <w:szCs w:val="19"/>
          <w:color w:val="auto"/>
        </w:rPr>
        <w:t>It is understood that, to the extent permitted by applicable law, each Grantor shall remain liable to the extent of any deficiency between the amount of the Proceeds of the Collateral and the aggregate amount of the outstanding Obligations.</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14. No Waiver; Discontinuance of Proceeding.</w:t>
      </w:r>
    </w:p>
    <w:p>
      <w:pPr>
        <w:spacing w:after="0" w:line="220" w:lineRule="exact"/>
        <w:rPr>
          <w:sz w:val="20"/>
          <w:szCs w:val="20"/>
          <w:color w:val="auto"/>
        </w:rPr>
      </w:pPr>
    </w:p>
    <w:p>
      <w:pPr>
        <w:jc w:val="both"/>
        <w:ind w:firstLine="656"/>
        <w:spacing w:after="0" w:line="250" w:lineRule="auto"/>
        <w:tabs>
          <w:tab w:leader="none" w:pos="1180" w:val="left"/>
        </w:tabs>
        <w:numPr>
          <w:ilvl w:val="0"/>
          <w:numId w:val="517"/>
        </w:numPr>
        <w:rPr>
          <w:rFonts w:ascii="Arial" w:cs="Arial" w:eastAsia="Arial" w:hAnsi="Arial"/>
          <w:sz w:val="22"/>
          <w:szCs w:val="22"/>
          <w:color w:val="010000"/>
        </w:rPr>
      </w:pPr>
      <w:r>
        <w:rPr>
          <w:rFonts w:ascii="Arial" w:cs="Arial" w:eastAsia="Arial" w:hAnsi="Arial"/>
          <w:sz w:val="22"/>
          <w:szCs w:val="22"/>
          <w:color w:val="auto"/>
        </w:rPr>
        <w:t>Each and every right, power and remedy hereby specifically given to the Collateral Agent or otherwise in this SGR Security Agreement shall be cumulative and shall be in addition to every other right, power and remedy specifically given under this SGR Security Agreement or the other Loan Documents now or hereafter existing at law, in equity or by statute and each and every right, power and remedy whether specifically herein given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10" w:name="page411"/>
    <w:bookmarkEnd w:id="410"/>
    <w:p>
      <w:pPr>
        <w:jc w:val="both"/>
        <w:spacing w:after="0" w:line="288" w:lineRule="auto"/>
        <w:rPr>
          <w:sz w:val="20"/>
          <w:szCs w:val="20"/>
          <w:color w:val="auto"/>
        </w:rPr>
      </w:pPr>
      <w:r>
        <w:rPr>
          <w:rFonts w:ascii="Arial" w:cs="Arial" w:eastAsia="Arial" w:hAnsi="Arial"/>
          <w:sz w:val="19"/>
          <w:szCs w:val="19"/>
          <w:color w:val="auto"/>
        </w:rPr>
        <w:t>or otherwise existing may be exercised from time to time or simultaneously and as often and in such order as may be deemed expedient by the Collateral Agent. All such rights, powers and remedies shall be cumulative and the exercise or the beginning of the exercise of one shall not be deemed a waiver of the right to exercise any other or others. No delay or omission of the Collateral Agent in the exercise of any such right, power or remedy and no renewal or extension of any of the Obligations shall impair any such right, power or remedy or shall be construed to be a waiver of any default or Event of Default or an acquiescence therein. No notice to or demand on any Grantor in any case shall entitle it to any other or further notice or demand in similar or other circumstances or constitute a waiver of any of the rights of the Collateral Agent to any other or further action in any circumstances without notice or demand. In the event that the Collateral Agent shall bring any suit to enforce any of its rights hereunder and shall be entitled to judgment, then in such suit the Collateral Agent may recover reasonable out-of-pocket expenses, including reasonable attorneys’ fees, and the amounts thereof shall be included in such judgment.</w:t>
      </w:r>
    </w:p>
    <w:p>
      <w:pPr>
        <w:spacing w:after="0" w:line="159" w:lineRule="exact"/>
        <w:rPr>
          <w:sz w:val="20"/>
          <w:szCs w:val="20"/>
          <w:color w:val="auto"/>
        </w:rPr>
      </w:pPr>
    </w:p>
    <w:p>
      <w:pPr>
        <w:jc w:val="both"/>
        <w:ind w:firstLine="656"/>
        <w:spacing w:after="0" w:line="294" w:lineRule="auto"/>
        <w:tabs>
          <w:tab w:leader="none" w:pos="1204" w:val="left"/>
        </w:tabs>
        <w:numPr>
          <w:ilvl w:val="0"/>
          <w:numId w:val="518"/>
        </w:numPr>
        <w:rPr>
          <w:rFonts w:ascii="Arial" w:cs="Arial" w:eastAsia="Arial" w:hAnsi="Arial"/>
          <w:sz w:val="19"/>
          <w:szCs w:val="19"/>
          <w:color w:val="010000"/>
        </w:rPr>
      </w:pPr>
      <w:r>
        <w:rPr>
          <w:rFonts w:ascii="Arial" w:cs="Arial" w:eastAsia="Arial" w:hAnsi="Arial"/>
          <w:sz w:val="19"/>
          <w:szCs w:val="19"/>
          <w:color w:val="auto"/>
        </w:rPr>
        <w:t>In the event the Collateral Agent shall have instituted any proceeding to enforce any right, power or remedy under this SGR Security Agreement by foreclosure, sale, entry or otherwise, and such proceeding shall have been discontinued or abandoned for any reason or shall have been determined adversely to the Collateral Agent, then and in every such case each Grantor, the Collateral Agent and each Secured Party shall, to the extent permitted by applicable law, be restored to their respective former positions and rights hereunder with respect to the Collateral, and all rights, remedies and powers of the Collateral Agent and the Secured Parties shall continue as if no such proceeding had been instituted.</w:t>
      </w:r>
    </w:p>
    <w:p>
      <w:pPr>
        <w:spacing w:after="0" w:line="149" w:lineRule="exact"/>
        <w:rPr>
          <w:sz w:val="20"/>
          <w:szCs w:val="20"/>
          <w:color w:val="auto"/>
        </w:rPr>
      </w:pPr>
    </w:p>
    <w:p>
      <w:pPr>
        <w:jc w:val="both"/>
        <w:ind w:left="1300" w:hanging="323"/>
        <w:spacing w:after="0" w:line="287" w:lineRule="auto"/>
        <w:rPr>
          <w:sz w:val="20"/>
          <w:szCs w:val="20"/>
          <w:color w:val="auto"/>
        </w:rPr>
      </w:pPr>
      <w:r>
        <w:rPr>
          <w:rFonts w:ascii="Arial" w:cs="Arial" w:eastAsia="Arial" w:hAnsi="Arial"/>
          <w:sz w:val="19"/>
          <w:szCs w:val="19"/>
          <w:color w:val="auto"/>
        </w:rPr>
        <w:t xml:space="preserve">Section 15. Amendments, etc.. This SGR Security Agreement may not be amended, modified or waived except with the written consent of each Grantor and the Collateral Agent (who shall act pursuant to and in accordance with the terms of Section 10.08 of the Credit Agreement); provided that unless separately agreed in writing between each Grantor and any Non-Lender Secured Party, no such waiver and no such amendment or modification shall amend, modify or waive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(or the definition of “Non-Lender Secured Party” or “Secured Party” to the extent relating thereto) if such waiver, amendment, or modification would disproportionately directly and adversely affect a Non-Lender Secured Party as compared to the Lenders without the written consent of such affected Non-Lender Secured Party. Any amendment, modification or supplement of or to any provision of this SGR Security Agreement, any termination or waiver of any provision of this SGR Security Agreement and any consent to any departure by any Grantor from the terms of any provision of this SGR Security Agreement shall be effective only in the specific instance and for the specific purpose for which made or given. No notice to or demand upon any Grantor in any instance hereunder shall entitle such Grantor to 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11" w:name="page412"/>
    <w:bookmarkEnd w:id="411"/>
    <w:p>
      <w:pPr>
        <w:jc w:val="both"/>
        <w:ind w:left="1300"/>
        <w:spacing w:after="0" w:line="286" w:lineRule="auto"/>
        <w:rPr>
          <w:sz w:val="20"/>
          <w:szCs w:val="20"/>
          <w:color w:val="auto"/>
        </w:rPr>
      </w:pPr>
      <w:r>
        <w:rPr>
          <w:rFonts w:ascii="Arial" w:cs="Arial" w:eastAsia="Arial" w:hAnsi="Arial"/>
          <w:sz w:val="19"/>
          <w:szCs w:val="19"/>
          <w:color w:val="auto"/>
        </w:rPr>
        <w:t xml:space="preserve">other or further notice or demand in similar or other circumstances. For the avoidance of doubt, it is understood and agreed that any amendment, amendment and restatement, waiver, supplement or other modification of or to the Intercreditor Agreement or any Other Intercreditor Agreement that would have the effect, directly or indirectly, through any reference herein to the Intercreditor Agreement or any Other Intercreditor Agreement or otherwise, of waiving, amending, supplementing or otherwise modifying this SGR Security Agreement, or any term or provision hereof, or any right or obligation of any Grantor hereunder or in respect hereof, shall not be given such effect except pursuant to a written instrument executed by such Grantor and the Collateral Agent in accordance with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 Notwithstanding the foregoing, the Grantors may cause the Schedules hereto to be amended, supplemented or otherwise modified without the consent of any Person in order to (i) evidence the addition of Collateral pursuant to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or the release of Collateral pursuant to </w:t>
      </w:r>
      <w:r>
        <w:rPr>
          <w:rFonts w:ascii="Arial" w:cs="Arial" w:eastAsia="Arial" w:hAnsi="Arial"/>
          <w:sz w:val="19"/>
          <w:szCs w:val="19"/>
          <w:u w:val="single" w:color="auto"/>
          <w:color w:val="auto"/>
        </w:rPr>
        <w:t>Section 16</w:t>
      </w:r>
      <w:r>
        <w:rPr>
          <w:rFonts w:ascii="Arial" w:cs="Arial" w:eastAsia="Arial" w:hAnsi="Arial"/>
          <w:sz w:val="19"/>
          <w:szCs w:val="19"/>
          <w:color w:val="auto"/>
        </w:rPr>
        <w:t xml:space="preserve"> , or (ii) otherwise evidence the release or addition of Collateral in accordance with this SGR Security Agreement and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the addition or release of any Collateral consisting of Route Authorities, the Borrower shall, at the written request of the Collateral Agent, promptly amend, supplement or otherwise modify Schedule III to reflect such addition or release.</w:t>
      </w:r>
    </w:p>
    <w:p>
      <w:pPr>
        <w:spacing w:after="0" w:line="200" w:lineRule="exact"/>
        <w:rPr>
          <w:sz w:val="20"/>
          <w:szCs w:val="20"/>
          <w:color w:val="auto"/>
        </w:rPr>
      </w:pPr>
    </w:p>
    <w:p>
      <w:pPr>
        <w:spacing w:after="0" w:line="22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16. Termination; Release.</w:t>
      </w:r>
    </w:p>
    <w:p>
      <w:pPr>
        <w:spacing w:after="0" w:line="220" w:lineRule="exact"/>
        <w:rPr>
          <w:sz w:val="20"/>
          <w:szCs w:val="20"/>
          <w:color w:val="auto"/>
        </w:rPr>
      </w:pPr>
    </w:p>
    <w:p>
      <w:pPr>
        <w:jc w:val="both"/>
        <w:ind w:firstLine="656"/>
        <w:spacing w:after="0" w:line="288" w:lineRule="auto"/>
        <w:tabs>
          <w:tab w:leader="none" w:pos="1225" w:val="left"/>
        </w:tabs>
        <w:numPr>
          <w:ilvl w:val="0"/>
          <w:numId w:val="519"/>
        </w:numPr>
        <w:rPr>
          <w:rFonts w:ascii="Arial" w:cs="Arial" w:eastAsia="Arial" w:hAnsi="Arial"/>
          <w:sz w:val="19"/>
          <w:szCs w:val="19"/>
          <w:color w:val="010000"/>
        </w:rPr>
      </w:pPr>
      <w:r>
        <w:rPr>
          <w:rFonts w:ascii="Arial" w:cs="Arial" w:eastAsia="Arial" w:hAnsi="Arial"/>
          <w:sz w:val="19"/>
          <w:szCs w:val="19"/>
          <w:color w:val="auto"/>
        </w:rPr>
        <w:t>At such time as the Obligations (other than any Obligations owing to a Non-Lender Secured Party) then due and owing shall have been paid in full, the Commitments under the Credit Agreement have been terminated and no Letters of Credit shall be outstanding (except for Letters of Credit that have been cash collateralized or otherwise provided for in a manner reasonably satisfactory to the Administrative Agent), all Collateral shall be automatically released from the Liens created hereby, and this SGR Security Agreement and all obligations (other than those expressly stated to survive such termination) of the Collateral Agent and each Grantor shall automatically terminate, all without delivery of any instrument or performance of any act by any party, and all rights to the Collateral shall revert to the applicable Grantor. At the request and sole expense of any Grantor following any such termination, the Collateral Agent shall promptly execute, acknowledge and deliver to such Grantor such releases, instruments or other documents (including without limitation UCC termination statements), and do or cause to be done all other acts, as such Grantor shall reasonably request to evidence such termination.</w:t>
      </w:r>
    </w:p>
    <w:p>
      <w:pPr>
        <w:spacing w:after="0" w:line="159" w:lineRule="exact"/>
        <w:rPr>
          <w:rFonts w:ascii="Arial" w:cs="Arial" w:eastAsia="Arial" w:hAnsi="Arial"/>
          <w:sz w:val="19"/>
          <w:szCs w:val="19"/>
          <w:color w:val="010000"/>
        </w:rPr>
      </w:pPr>
    </w:p>
    <w:p>
      <w:pPr>
        <w:jc w:val="both"/>
        <w:ind w:firstLine="656"/>
        <w:spacing w:after="0" w:line="312" w:lineRule="auto"/>
        <w:tabs>
          <w:tab w:leader="none" w:pos="1187" w:val="left"/>
        </w:tabs>
        <w:numPr>
          <w:ilvl w:val="0"/>
          <w:numId w:val="519"/>
        </w:numPr>
        <w:rPr>
          <w:rFonts w:ascii="Arial" w:cs="Arial" w:eastAsia="Arial" w:hAnsi="Arial"/>
          <w:sz w:val="19"/>
          <w:szCs w:val="19"/>
          <w:color w:val="010000"/>
        </w:rPr>
      </w:pPr>
      <w:r>
        <w:rPr>
          <w:rFonts w:ascii="Arial" w:cs="Arial" w:eastAsia="Arial" w:hAnsi="Arial"/>
          <w:sz w:val="19"/>
          <w:szCs w:val="19"/>
          <w:color w:val="auto"/>
        </w:rPr>
        <w:t>Upon any Permitted Disposition of Collateral (whether by way of the sale of assets or the sale of Capital Stock of a Grantor of such Collateral) of the type described in items (1), (2) (provided the requirements set forth in the first proviso to such section are satisfied), (4) and (5) of the definition of “Permitted Disposition” or any other type of Permitted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12" w:name="page413"/>
    <w:bookmarkEnd w:id="412"/>
    <w:p>
      <w:pPr>
        <w:jc w:val="both"/>
        <w:spacing w:after="0" w:line="289" w:lineRule="auto"/>
        <w:rPr>
          <w:sz w:val="20"/>
          <w:szCs w:val="20"/>
          <w:color w:val="auto"/>
        </w:rPr>
      </w:pPr>
      <w:r>
        <w:rPr>
          <w:rFonts w:ascii="Arial" w:cs="Arial" w:eastAsia="Arial" w:hAnsi="Arial"/>
          <w:sz w:val="19"/>
          <w:szCs w:val="19"/>
          <w:color w:val="auto"/>
        </w:rPr>
        <w:t>Disposition involving divestiture of any Grantor’s title to the related Collateral under the Credit Agreement, the Lien pursuant to this SGR Security Agreement on such sold or disposed of Collateral shall be automatically released. In connection with any other Disposition of Collateral not covered by the preceding sentence (whether by way of the sale of assets or the sale of Capital Stock of a Grantor of such Collateral) permitted under the Credit Agreement, the Collateral Agent shall, upon receipt from such Grantor of a written request for the release of the Collateral subject to such sale or other disposition (or in the case of a sale of Capital Stock of such Grantor, the release of such Grantor’s Collateral), at such Grantor’s sole cost and expense, promptly execute, acknowledge and deliver to such Grantor such releases, instruments or other documents (including without limitation UCC termination statements), and do or cause to be done all other acts, as such Grantor shall reasonably request to evidence or effect the release of the Liens created hereby (if any) on such Collateral.</w:t>
      </w:r>
    </w:p>
    <w:p>
      <w:pPr>
        <w:spacing w:after="0" w:line="157" w:lineRule="exact"/>
        <w:rPr>
          <w:sz w:val="20"/>
          <w:szCs w:val="20"/>
          <w:color w:val="auto"/>
        </w:rPr>
      </w:pPr>
    </w:p>
    <w:p>
      <w:pPr>
        <w:jc w:val="both"/>
        <w:ind w:firstLine="656"/>
        <w:spacing w:after="0" w:line="259" w:lineRule="auto"/>
        <w:tabs>
          <w:tab w:leader="none" w:pos="1201" w:val="left"/>
        </w:tabs>
        <w:numPr>
          <w:ilvl w:val="0"/>
          <w:numId w:val="520"/>
        </w:numPr>
        <w:rPr>
          <w:rFonts w:ascii="Arial" w:cs="Arial" w:eastAsia="Arial" w:hAnsi="Arial"/>
          <w:sz w:val="21"/>
          <w:szCs w:val="21"/>
          <w:color w:val="010000"/>
        </w:rPr>
      </w:pPr>
      <w:r>
        <w:rPr>
          <w:rFonts w:ascii="Arial" w:cs="Arial" w:eastAsia="Arial" w:hAnsi="Arial"/>
          <w:sz w:val="21"/>
          <w:szCs w:val="21"/>
          <w:color w:val="auto"/>
        </w:rPr>
        <w:t xml:space="preserve">For the avoidance of doubt, ( </w:t>
      </w:r>
      <w:r>
        <w:rPr>
          <w:rFonts w:ascii="Arial" w:cs="Arial" w:eastAsia="Arial" w:hAnsi="Arial"/>
          <w:sz w:val="21"/>
          <w:szCs w:val="21"/>
          <w:u w:val="single" w:color="auto"/>
          <w:color w:val="auto"/>
        </w:rPr>
        <w:t>i</w:t>
      </w:r>
      <w:r>
        <w:rPr>
          <w:rFonts w:ascii="Arial" w:cs="Arial" w:eastAsia="Arial" w:hAnsi="Arial"/>
          <w:sz w:val="21"/>
          <w:szCs w:val="21"/>
          <w:color w:val="auto"/>
        </w:rPr>
        <w:t xml:space="preserve"> ) if any Slot ceases to be included in the Collateral because it ceases to be actually utilized in connection with the Scheduled Services or any Foreign Gate Leasehold ceases to be included in the Collateral because it ceases to be used for servicing the Scheduled Services relating to the airport at which such Foreign Gate Leasehold is located, such Slot or Foreign Gate Leasehold shall be automatically released from the Lien of this SGR Security Agreement and (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 subject to clause (1) of the first proviso to Section 1 hereof, if any FAA Slot or Foreign Slot now held or hereafter acquired by any Grantor becomes an FAA Route Slot or a Foreign Route Slot, respectively, or any right, title, privilege, interest and authority now held or hereafter acquired by such Grantor in connection with the right to use or occupy space in an airport terminal becomes a Foreign Gate Leasehold, such FAA Slot, Foreign Slot or right, title, privilege, interest and authority shall be automatically subject to the Lien of this SGR Security Agreement.</w:t>
      </w:r>
    </w:p>
    <w:p>
      <w:pPr>
        <w:spacing w:after="0" w:line="179" w:lineRule="exact"/>
        <w:rPr>
          <w:rFonts w:ascii="Arial" w:cs="Arial" w:eastAsia="Arial" w:hAnsi="Arial"/>
          <w:sz w:val="21"/>
          <w:szCs w:val="21"/>
          <w:color w:val="010000"/>
        </w:rPr>
      </w:pPr>
    </w:p>
    <w:p>
      <w:pPr>
        <w:jc w:val="both"/>
        <w:ind w:firstLine="656"/>
        <w:spacing w:after="0" w:line="250" w:lineRule="auto"/>
        <w:tabs>
          <w:tab w:leader="none" w:pos="1256" w:val="left"/>
        </w:tabs>
        <w:numPr>
          <w:ilvl w:val="0"/>
          <w:numId w:val="520"/>
        </w:numPr>
        <w:rPr>
          <w:rFonts w:ascii="Arial" w:cs="Arial" w:eastAsia="Arial" w:hAnsi="Arial"/>
          <w:sz w:val="22"/>
          <w:szCs w:val="22"/>
          <w:color w:val="010000"/>
        </w:rPr>
      </w:pPr>
      <w:r>
        <w:rPr>
          <w:rFonts w:ascii="Arial" w:cs="Arial" w:eastAsia="Arial" w:hAnsi="Arial"/>
          <w:sz w:val="22"/>
          <w:szCs w:val="22"/>
          <w:color w:val="auto"/>
        </w:rPr>
        <w:t>The Liens on any Account Collateral that is withdrawn from any Account (in each case, in compliance with the Credit Agreement) prior to receipt of a Notice of Exclusive Control (as defined in the applicable Account Control Agreement) by the Securities Intermediary or after receipt of a Rescission Notice (as defined in the Account Control Agreement) by the Securities Intermediary shall be automatically released upon such withdrawal.</w:t>
      </w:r>
    </w:p>
    <w:p>
      <w:pPr>
        <w:spacing w:after="0" w:line="187" w:lineRule="exact"/>
        <w:rPr>
          <w:rFonts w:ascii="Arial" w:cs="Arial" w:eastAsia="Arial" w:hAnsi="Arial"/>
          <w:sz w:val="22"/>
          <w:szCs w:val="22"/>
          <w:color w:val="010000"/>
        </w:rPr>
      </w:pPr>
    </w:p>
    <w:p>
      <w:pPr>
        <w:jc w:val="both"/>
        <w:ind w:firstLine="656"/>
        <w:spacing w:after="0" w:line="292" w:lineRule="auto"/>
        <w:tabs>
          <w:tab w:leader="none" w:pos="1374" w:val="left"/>
        </w:tabs>
        <w:numPr>
          <w:ilvl w:val="0"/>
          <w:numId w:val="520"/>
        </w:numPr>
        <w:rPr>
          <w:rFonts w:ascii="Arial" w:cs="Arial" w:eastAsia="Arial" w:hAnsi="Arial"/>
          <w:sz w:val="19"/>
          <w:szCs w:val="19"/>
          <w:color w:val="010000"/>
        </w:rPr>
      </w:pPr>
      <w:r>
        <w:rPr>
          <w:rFonts w:ascii="Arial" w:cs="Arial" w:eastAsia="Arial" w:hAnsi="Arial"/>
          <w:sz w:val="19"/>
          <w:szCs w:val="19"/>
          <w:color w:val="010000"/>
        </w:rPr>
        <w:t>Upon the release of any Grantor from its guarantee of the Obligations pursuant to Section 9.05 of the Credit Agreement, such Grantor shall cease to be a Grantor hereunder and the items of Collateral owned by such Grantor shall be released from the Lien and security interest granted hereby, and in connection therewith, the Collateral Agent will, at the applicable Grantor’s expense, execute and deliver to such Grantor such documents as it shall reasonably request (without recourse and without any representation or warranty), including, without limitation, any UCC termination statements and any amendment or modification of this SGR Security Agreement pursuant to a SGR Security Agreement Supplement or otherwise, to evidence the release of such Grantor and such Grantor’s Collateral from the Lien and security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13" w:name="page414"/>
    <w:bookmarkEnd w:id="413"/>
    <w:p>
      <w:pPr>
        <w:spacing w:after="0" w:line="263" w:lineRule="auto"/>
        <w:rPr>
          <w:sz w:val="20"/>
          <w:szCs w:val="20"/>
          <w:color w:val="auto"/>
        </w:rPr>
      </w:pPr>
      <w:r>
        <w:rPr>
          <w:rFonts w:ascii="Arial" w:cs="Arial" w:eastAsia="Arial" w:hAnsi="Arial"/>
          <w:sz w:val="22"/>
          <w:szCs w:val="22"/>
          <w:color w:val="010000"/>
        </w:rPr>
        <w:t>interest granted hereby and reassignment of all right, title and interest of the Collateral Agent in all of such Grantor’s Collateral to such Grantor.</w:t>
      </w:r>
    </w:p>
    <w:p>
      <w:pPr>
        <w:spacing w:after="0" w:line="175" w:lineRule="exact"/>
        <w:rPr>
          <w:sz w:val="20"/>
          <w:szCs w:val="20"/>
          <w:color w:val="auto"/>
        </w:rPr>
      </w:pPr>
    </w:p>
    <w:p>
      <w:pPr>
        <w:jc w:val="both"/>
        <w:ind w:firstLine="656"/>
        <w:spacing w:after="0" w:line="259" w:lineRule="auto"/>
        <w:tabs>
          <w:tab w:leader="none" w:pos="1269" w:val="left"/>
        </w:tabs>
        <w:numPr>
          <w:ilvl w:val="0"/>
          <w:numId w:val="521"/>
        </w:numPr>
        <w:rPr>
          <w:rFonts w:ascii="Arial" w:cs="Arial" w:eastAsia="Arial" w:hAnsi="Arial"/>
          <w:sz w:val="21"/>
          <w:szCs w:val="21"/>
          <w:color w:val="010000"/>
        </w:rPr>
      </w:pPr>
      <w:r>
        <w:rPr>
          <w:rFonts w:ascii="Arial" w:cs="Arial" w:eastAsia="Arial" w:hAnsi="Arial"/>
          <w:sz w:val="21"/>
          <w:szCs w:val="21"/>
          <w:color w:val="010000"/>
        </w:rPr>
        <w:t>Upon the direction of the Borrower pursuant to and in accordance with Section 6.09(c) of the Credit Agreement, such items of Collateral as may be specified by the Borrower shall be released from the Lien and security interest granted hereby, and in connection therewith, the Collateral Agent will, at the applicable Grantor’s expense, execute and deliver to such Grantor such documents as it shall reasonably request (without recourse and without any representation or warranty), including, without limitation, any UCC termination statements and any amendment or modification of this SGR Security Agreement pursuant to a SGR Security Agreement Supplement or otherwise, to evidence the release of such items of Collateral from the Lien and security interest granted hereby and reassignment of all right, title and interest of the Collateral Agent in all of such Grantor’s specified Collateral to such Grantor.</w:t>
      </w:r>
    </w:p>
    <w:p>
      <w:pPr>
        <w:spacing w:after="0" w:line="183" w:lineRule="exact"/>
        <w:rPr>
          <w:rFonts w:ascii="Arial" w:cs="Arial" w:eastAsia="Arial" w:hAnsi="Arial"/>
          <w:sz w:val="21"/>
          <w:szCs w:val="21"/>
          <w:color w:val="010000"/>
        </w:rPr>
      </w:pPr>
    </w:p>
    <w:p>
      <w:pPr>
        <w:jc w:val="both"/>
        <w:ind w:firstLine="656"/>
        <w:spacing w:after="0" w:line="259" w:lineRule="auto"/>
        <w:tabs>
          <w:tab w:leader="none" w:pos="1345" w:val="left"/>
        </w:tabs>
        <w:numPr>
          <w:ilvl w:val="0"/>
          <w:numId w:val="521"/>
        </w:numPr>
        <w:rPr>
          <w:rFonts w:ascii="Arial" w:cs="Arial" w:eastAsia="Arial" w:hAnsi="Arial"/>
          <w:sz w:val="21"/>
          <w:szCs w:val="21"/>
          <w:color w:val="010000"/>
        </w:rPr>
      </w:pPr>
      <w:r>
        <w:rPr>
          <w:rFonts w:ascii="Arial" w:cs="Arial" w:eastAsia="Arial" w:hAnsi="Arial"/>
          <w:sz w:val="21"/>
          <w:szCs w:val="21"/>
          <w:color w:val="010000"/>
        </w:rPr>
        <w:t xml:space="preserve">If the Borrower or any other Grantor requests release documentation with respect to any Collateral released as provided in this </w:t>
      </w:r>
      <w:r>
        <w:rPr>
          <w:rFonts w:ascii="Arial" w:cs="Arial" w:eastAsia="Arial" w:hAnsi="Arial"/>
          <w:sz w:val="21"/>
          <w:szCs w:val="21"/>
          <w:u w:val="single" w:color="auto"/>
          <w:color w:val="010000"/>
        </w:rPr>
        <w:t>Section 16</w:t>
      </w:r>
      <w:r>
        <w:rPr>
          <w:rFonts w:ascii="Arial" w:cs="Arial" w:eastAsia="Arial" w:hAnsi="Arial"/>
          <w:sz w:val="21"/>
          <w:szCs w:val="21"/>
          <w:color w:val="010000"/>
        </w:rPr>
        <w:t xml:space="preserve"> , including UCC termination statements or other release-related documentation, the Borrower or other Grantor requesting such documentation shall deliver to the Collateral Agent an Officer’s Certificate stating that the release of such Grantor’s respective Collateral that is to be evidenced by such UCC termination statements or other instruments is permitted pursuant to this </w:t>
      </w:r>
      <w:r>
        <w:rPr>
          <w:rFonts w:ascii="Arial" w:cs="Arial" w:eastAsia="Arial" w:hAnsi="Arial"/>
          <w:sz w:val="21"/>
          <w:szCs w:val="21"/>
          <w:u w:val="single" w:color="auto"/>
          <w:color w:val="010000"/>
        </w:rPr>
        <w:t>Section 16</w:t>
      </w:r>
      <w:r>
        <w:rPr>
          <w:rFonts w:ascii="Arial" w:cs="Arial" w:eastAsia="Arial" w:hAnsi="Arial"/>
          <w:sz w:val="21"/>
          <w:szCs w:val="21"/>
          <w:color w:val="010000"/>
        </w:rPr>
        <w:t xml:space="preserve"> and the relevant provisions of the Credit Agreement ( </w:t>
      </w:r>
      <w:r>
        <w:rPr>
          <w:rFonts w:ascii="Arial" w:cs="Arial" w:eastAsia="Arial" w:hAnsi="Arial"/>
          <w:sz w:val="21"/>
          <w:szCs w:val="21"/>
          <w:u w:val="single" w:color="auto"/>
          <w:color w:val="010000"/>
        </w:rPr>
        <w:t>provided</w:t>
      </w:r>
      <w:r>
        <w:rPr>
          <w:rFonts w:ascii="Arial" w:cs="Arial" w:eastAsia="Arial" w:hAnsi="Arial"/>
          <w:sz w:val="21"/>
          <w:szCs w:val="21"/>
          <w:color w:val="010000"/>
        </w:rPr>
        <w:t xml:space="preserve"> that an Officer’s Certificate delivered to the Administrative Agent pursuant to Section 6.09(c) of the Credit Agreement shall be deemed to satisfy the requirements of this </w:t>
      </w:r>
      <w:r>
        <w:rPr>
          <w:rFonts w:ascii="Arial" w:cs="Arial" w:eastAsia="Arial" w:hAnsi="Arial"/>
          <w:sz w:val="21"/>
          <w:szCs w:val="21"/>
          <w:u w:val="single" w:color="auto"/>
          <w:color w:val="010000"/>
        </w:rPr>
        <w:t>clause (g)</w:t>
      </w:r>
      <w:r>
        <w:rPr>
          <w:rFonts w:ascii="Arial" w:cs="Arial" w:eastAsia="Arial" w:hAnsi="Arial"/>
          <w:sz w:val="21"/>
          <w:szCs w:val="21"/>
          <w:color w:val="010000"/>
        </w:rPr>
        <w:t xml:space="preserve"> ). The Collateral Agent shall have no liability whatsoever to any Secured Party as the result of any release of Collateral by it as permitted by this </w:t>
      </w:r>
      <w:r>
        <w:rPr>
          <w:rFonts w:ascii="Arial" w:cs="Arial" w:eastAsia="Arial" w:hAnsi="Arial"/>
          <w:sz w:val="21"/>
          <w:szCs w:val="21"/>
          <w:u w:val="single" w:color="auto"/>
          <w:color w:val="010000"/>
        </w:rPr>
        <w:t>Section 16</w:t>
      </w:r>
      <w:r>
        <w:rPr>
          <w:rFonts w:ascii="Arial" w:cs="Arial" w:eastAsia="Arial" w:hAnsi="Arial"/>
          <w:sz w:val="21"/>
          <w:szCs w:val="21"/>
          <w:color w:val="010000"/>
        </w:rPr>
        <w:t xml:space="preserve"> .</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17. Definitions; Rules of Interpretation.</w:t>
      </w:r>
    </w:p>
    <w:p>
      <w:pPr>
        <w:spacing w:after="0" w:line="220" w:lineRule="exact"/>
        <w:rPr>
          <w:sz w:val="20"/>
          <w:szCs w:val="20"/>
          <w:color w:val="auto"/>
        </w:rPr>
      </w:pPr>
    </w:p>
    <w:p>
      <w:pPr>
        <w:ind w:left="1300" w:right="3740" w:hanging="644"/>
        <w:spacing w:after="0" w:line="519" w:lineRule="auto"/>
        <w:tabs>
          <w:tab w:leader="none" w:pos="1216" w:val="left"/>
        </w:tabs>
        <w:numPr>
          <w:ilvl w:val="0"/>
          <w:numId w:val="522"/>
        </w:numPr>
        <w:rPr>
          <w:rFonts w:ascii="Arial" w:cs="Arial" w:eastAsia="Arial" w:hAnsi="Arial"/>
          <w:sz w:val="19"/>
          <w:szCs w:val="19"/>
          <w:color w:val="010000"/>
        </w:rPr>
      </w:pP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 The following terms shall have the following meanings: “ </w:t>
      </w:r>
      <w:r>
        <w:rPr>
          <w:rFonts w:ascii="Arial" w:cs="Arial" w:eastAsia="Arial" w:hAnsi="Arial"/>
          <w:sz w:val="19"/>
          <w:szCs w:val="19"/>
          <w:u w:val="single" w:color="auto"/>
          <w:color w:val="auto"/>
        </w:rPr>
        <w:t>Account</w:t>
      </w:r>
      <w:r>
        <w:rPr>
          <w:rFonts w:ascii="Arial" w:cs="Arial" w:eastAsia="Arial" w:hAnsi="Arial"/>
          <w:sz w:val="19"/>
          <w:szCs w:val="19"/>
          <w:color w:val="auto"/>
        </w:rPr>
        <w:t xml:space="preserve"> ” shall have the meaning provided in the recitals hereof.</w:t>
      </w:r>
    </w:p>
    <w:p>
      <w:pPr>
        <w:ind w:left="1300"/>
        <w:spacing w:after="0"/>
        <w:rPr>
          <w:rFonts w:ascii="Arial" w:cs="Arial" w:eastAsia="Arial" w:hAnsi="Arial"/>
          <w:sz w:val="19"/>
          <w:szCs w:val="19"/>
          <w:color w:val="010000"/>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Account Collateral</w:t>
      </w:r>
      <w:r>
        <w:rPr>
          <w:rFonts w:ascii="Arial" w:cs="Arial" w:eastAsia="Arial" w:hAnsi="Arial"/>
          <w:sz w:val="22"/>
          <w:szCs w:val="22"/>
          <w:color w:val="auto"/>
        </w:rPr>
        <w:t xml:space="preserve"> ” shall have the meaning provided in </w:t>
      </w:r>
      <w:r>
        <w:rPr>
          <w:rFonts w:ascii="Arial" w:cs="Arial" w:eastAsia="Arial" w:hAnsi="Arial"/>
          <w:sz w:val="22"/>
          <w:szCs w:val="22"/>
          <w:u w:val="single" w:color="auto"/>
          <w:color w:val="auto"/>
        </w:rPr>
        <w:t>Section 1(b)</w:t>
      </w:r>
      <w:r>
        <w:rPr>
          <w:rFonts w:ascii="Arial" w:cs="Arial" w:eastAsia="Arial" w:hAnsi="Arial"/>
          <w:sz w:val="22"/>
          <w:szCs w:val="22"/>
          <w:color w:val="auto"/>
        </w:rPr>
        <w:t xml:space="preserve"> hereof.</w:t>
      </w:r>
    </w:p>
    <w:p>
      <w:pPr>
        <w:spacing w:after="0" w:line="219" w:lineRule="exact"/>
        <w:rPr>
          <w:rFonts w:ascii="Arial" w:cs="Arial" w:eastAsia="Arial" w:hAnsi="Arial"/>
          <w:sz w:val="19"/>
          <w:szCs w:val="19"/>
          <w:color w:val="010000"/>
        </w:rPr>
      </w:pPr>
    </w:p>
    <w:p>
      <w:pPr>
        <w:ind w:left="1300" w:right="2120"/>
        <w:spacing w:after="0" w:line="580" w:lineRule="auto"/>
        <w:rPr>
          <w:rFonts w:ascii="Arial" w:cs="Arial" w:eastAsia="Arial" w:hAnsi="Arial"/>
          <w:sz w:val="19"/>
          <w:szCs w:val="19"/>
          <w:color w:val="010000"/>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 Control Agreement</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Additional Agent</w:t>
      </w:r>
      <w:r>
        <w:rPr>
          <w:rFonts w:ascii="Arial" w:cs="Arial" w:eastAsia="Arial" w:hAnsi="Arial"/>
          <w:sz w:val="19"/>
          <w:szCs w:val="19"/>
          <w:color w:val="auto"/>
        </w:rPr>
        <w:t xml:space="preserve"> ” shall have the meaning provided in the Intercreditor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14" w:name="page415"/>
    <w:bookmarkEnd w:id="414"/>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Collateral Documents</w:t>
      </w:r>
      <w:r>
        <w:rPr>
          <w:rFonts w:ascii="Arial" w:cs="Arial" w:eastAsia="Arial" w:hAnsi="Arial"/>
          <w:sz w:val="22"/>
          <w:szCs w:val="22"/>
          <w:color w:val="auto"/>
        </w:rPr>
        <w:t xml:space="preserve"> ” shall have the meaning provided in the Intercreditor Agreement.</w:t>
      </w:r>
    </w:p>
    <w:p>
      <w:pPr>
        <w:spacing w:after="0" w:line="219" w:lineRule="exact"/>
        <w:rPr>
          <w:sz w:val="20"/>
          <w:szCs w:val="20"/>
          <w:color w:val="auto"/>
        </w:rPr>
      </w:pPr>
    </w:p>
    <w:p>
      <w:pPr>
        <w:ind w:left="640" w:right="420"/>
        <w:spacing w:after="0" w:line="46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Additional Credit Facility Secured Parties</w:t>
      </w:r>
      <w:r>
        <w:rPr>
          <w:rFonts w:ascii="Arial" w:cs="Arial" w:eastAsia="Arial" w:hAnsi="Arial"/>
          <w:sz w:val="21"/>
          <w:szCs w:val="21"/>
          <w:color w:val="auto"/>
        </w:rPr>
        <w:t xml:space="preserve"> ” shall have the meaning provided in the Intercreditor Agreement. “ </w:t>
      </w:r>
      <w:r>
        <w:rPr>
          <w:rFonts w:ascii="Arial" w:cs="Arial" w:eastAsia="Arial" w:hAnsi="Arial"/>
          <w:sz w:val="21"/>
          <w:szCs w:val="21"/>
          <w:u w:val="single" w:color="auto"/>
          <w:color w:val="auto"/>
        </w:rPr>
        <w:t>Additional Obligations</w:t>
      </w:r>
      <w:r>
        <w:rPr>
          <w:rFonts w:ascii="Arial" w:cs="Arial" w:eastAsia="Arial" w:hAnsi="Arial"/>
          <w:sz w:val="21"/>
          <w:szCs w:val="21"/>
          <w:color w:val="auto"/>
        </w:rPr>
        <w:t xml:space="preserve"> ” shall have the meaning provided in the Intercreditor Agreement.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Airport Authority</w:t>
      </w:r>
      <w:r>
        <w:rPr>
          <w:rFonts w:ascii="Arial" w:cs="Arial" w:eastAsia="Arial" w:hAnsi="Arial"/>
          <w:sz w:val="19"/>
          <w:szCs w:val="19"/>
          <w:color w:val="auto"/>
        </w:rPr>
        <w:t xml:space="preserve"> ” shall mean any city or any public or private board or other body or organization chartered or otherwise established for the purpose of administering, operating or managing an airport or related facilities.</w:t>
      </w:r>
    </w:p>
    <w:p>
      <w:pPr>
        <w:spacing w:after="0" w:line="104"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Banking Product Provider</w:t>
      </w:r>
      <w:r>
        <w:rPr>
          <w:rFonts w:ascii="Arial" w:cs="Arial" w:eastAsia="Arial" w:hAnsi="Arial"/>
          <w:sz w:val="22"/>
          <w:szCs w:val="22"/>
          <w:color w:val="auto"/>
        </w:rPr>
        <w:t xml:space="preserve"> ” shall mean any Person that has entered into a Designated Banking Product Agreement with Parent or the Grantor.</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Bankruptcy Case</w:t>
      </w:r>
      <w:r>
        <w:rPr>
          <w:rFonts w:ascii="Arial" w:cs="Arial" w:eastAsia="Arial" w:hAnsi="Arial"/>
          <w:sz w:val="19"/>
          <w:szCs w:val="19"/>
          <w:color w:val="auto"/>
        </w:rPr>
        <w:t xml:space="preserve"> ” shall mean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pursuant to or within the meaning of Bankruptcy Law,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a voluntary case commenced by Parent or any of its Subsidiaries,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an involuntary case in which Parent or any of its Subsidiaries consent to the entry of an order for relief against it,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an appointment consented to by Parent or any of its Subsidiaries of a custodian of it or for all or substantially all of its property, (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 the making of a general assignment for the benefit of its creditors by Parent or any of its Subsidiaries or ( </w:t>
      </w:r>
      <w:r>
        <w:rPr>
          <w:rFonts w:ascii="Arial" w:cs="Arial" w:eastAsia="Arial" w:hAnsi="Arial"/>
          <w:sz w:val="19"/>
          <w:szCs w:val="19"/>
          <w:u w:val="single" w:color="auto"/>
          <w:color w:val="auto"/>
        </w:rPr>
        <w:t>v</w:t>
      </w:r>
      <w:r>
        <w:rPr>
          <w:rFonts w:ascii="Arial" w:cs="Arial" w:eastAsia="Arial" w:hAnsi="Arial"/>
          <w:sz w:val="19"/>
          <w:szCs w:val="19"/>
          <w:color w:val="auto"/>
        </w:rPr>
        <w:t xml:space="preserve"> ) the admission in writing of Parent’s or any of its Subsidiaries’ inability generally to pay its debts or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an order or decree under any Bankruptcy Law entered by a court of competent jurisdiction that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is for relief against Parent or any of its Subsidiaries in an involuntary case,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appoints a custodian of Parent or any of its Subsidiaries for all or substantially all of the property of Parent or any of its Subsidiaries,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orders the liquidation of Parent or any of its Subsidiaries, and in each case of this clause (b) the order or decree remains unstayed and in effect for 60 consecutive days.</w:t>
      </w:r>
    </w:p>
    <w:p>
      <w:pPr>
        <w:spacing w:after="0" w:line="200" w:lineRule="exact"/>
        <w:rPr>
          <w:sz w:val="20"/>
          <w:szCs w:val="20"/>
          <w:color w:val="auto"/>
        </w:rPr>
      </w:pPr>
    </w:p>
    <w:p>
      <w:pPr>
        <w:spacing w:after="0" w:line="213" w:lineRule="exact"/>
        <w:rPr>
          <w:sz w:val="20"/>
          <w:szCs w:val="20"/>
          <w:color w:val="auto"/>
        </w:rPr>
      </w:pPr>
    </w:p>
    <w:p>
      <w:pPr>
        <w:jc w:val="both"/>
        <w:ind w:left="640" w:right="306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Bankruptcy Code</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Bankruptcy Law</w:t>
      </w:r>
      <w:r>
        <w:rPr>
          <w:rFonts w:ascii="Arial" w:cs="Arial" w:eastAsia="Arial" w:hAnsi="Arial"/>
          <w:sz w:val="19"/>
          <w:szCs w:val="19"/>
          <w:color w:val="auto"/>
        </w:rPr>
        <w:t xml:space="preserve"> ” shall have the meaning provided in the Credit Agreement.</w:t>
      </w:r>
    </w:p>
    <w:p>
      <w:pPr>
        <w:ind w:firstLine="648"/>
        <w:spacing w:after="0" w:line="3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 shall mean any day other than a Saturday, a Sunday or a day on which banking institutions in the City of New York or at a place of payment are authorized by law, regulation or executive order to remain closed.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415" w:name="page416"/>
    <w:bookmarkEnd w:id="415"/>
    <w:p>
      <w:pPr>
        <w:ind w:left="640" w:right="340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 Stock</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 shall have the meaning provided in Section 1 hereof.</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 shall have the meaning provided in the preamble hereof.</w:t>
      </w:r>
    </w:p>
    <w:p>
      <w:pPr>
        <w:spacing w:after="0" w:line="219" w:lineRule="exact"/>
        <w:rPr>
          <w:sz w:val="20"/>
          <w:szCs w:val="20"/>
          <w:color w:val="auto"/>
        </w:rPr>
      </w:pPr>
    </w:p>
    <w:p>
      <w:pPr>
        <w:ind w:left="640" w:right="26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 shall have the meaning provided in the Credit Agreement.</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 shall have the meaning provided in the recitals hereof.</w:t>
      </w:r>
    </w:p>
    <w:p>
      <w:pPr>
        <w:spacing w:after="0" w:line="219" w:lineRule="exact"/>
        <w:rPr>
          <w:sz w:val="20"/>
          <w:szCs w:val="20"/>
          <w:color w:val="auto"/>
        </w:rPr>
      </w:pPr>
    </w:p>
    <w:p>
      <w:pPr>
        <w:ind w:left="640" w:right="10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Designated Banking Product Agreement</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Designated Hedging Agreement</w:t>
      </w:r>
      <w:r>
        <w:rPr>
          <w:rFonts w:ascii="Arial" w:cs="Arial" w:eastAsia="Arial" w:hAnsi="Arial"/>
          <w:sz w:val="19"/>
          <w:szCs w:val="19"/>
          <w:color w:val="auto"/>
        </w:rPr>
        <w:t xml:space="preserve"> ” shall have the meaning provided in the Credit Agreement.</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Designated Service</w:t>
      </w:r>
      <w:r>
        <w:rPr>
          <w:rFonts w:ascii="Arial" w:cs="Arial" w:eastAsia="Arial" w:hAnsi="Arial"/>
          <w:sz w:val="22"/>
          <w:szCs w:val="22"/>
          <w:color w:val="auto"/>
        </w:rPr>
        <w:t xml:space="preserve"> ” shall have the meaning provided in Section 6(a) hereof.</w:t>
      </w:r>
    </w:p>
    <w:p>
      <w:pPr>
        <w:spacing w:after="0" w:line="219" w:lineRule="exact"/>
        <w:rPr>
          <w:sz w:val="20"/>
          <w:szCs w:val="20"/>
          <w:color w:val="auto"/>
        </w:rPr>
      </w:pPr>
    </w:p>
    <w:p>
      <w:pPr>
        <w:ind w:left="640" w:right="8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Discharge of Additional Obligations</w:t>
      </w:r>
      <w:r>
        <w:rPr>
          <w:rFonts w:ascii="Arial" w:cs="Arial" w:eastAsia="Arial" w:hAnsi="Arial"/>
          <w:sz w:val="19"/>
          <w:szCs w:val="19"/>
          <w:color w:val="auto"/>
        </w:rPr>
        <w:t xml:space="preserve"> ” shall have the meaning provided in the Intercreditor Agreement. “ </w:t>
      </w:r>
      <w:r>
        <w:rPr>
          <w:rFonts w:ascii="Arial" w:cs="Arial" w:eastAsia="Arial" w:hAnsi="Arial"/>
          <w:sz w:val="19"/>
          <w:szCs w:val="19"/>
          <w:u w:val="single" w:color="auto"/>
          <w:color w:val="auto"/>
        </w:rPr>
        <w:t>DOT</w:t>
      </w:r>
      <w:r>
        <w:rPr>
          <w:rFonts w:ascii="Arial" w:cs="Arial" w:eastAsia="Arial" w:hAnsi="Arial"/>
          <w:sz w:val="19"/>
          <w:szCs w:val="19"/>
          <w:color w:val="auto"/>
        </w:rPr>
        <w:t xml:space="preserve"> ” shall mean the United States Department of Transportation and any successor thereto.</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FAA</w:t>
      </w:r>
      <w:r>
        <w:rPr>
          <w:rFonts w:ascii="Arial" w:cs="Arial" w:eastAsia="Arial" w:hAnsi="Arial"/>
          <w:sz w:val="22"/>
          <w:szCs w:val="22"/>
          <w:color w:val="auto"/>
        </w:rPr>
        <w:t xml:space="preserve"> ” shall mean the United States Federal Aviation Administration and any successor thereto.</w:t>
      </w:r>
    </w:p>
    <w:p>
      <w:pPr>
        <w:spacing w:after="0" w:line="21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FAA Route Slot</w:t>
      </w:r>
      <w:r>
        <w:rPr>
          <w:rFonts w:ascii="Arial" w:cs="Arial" w:eastAsia="Arial" w:hAnsi="Arial"/>
          <w:sz w:val="21"/>
          <w:szCs w:val="21"/>
          <w:color w:val="auto"/>
        </w:rPr>
        <w:t xml:space="preserve"> ” shall mean, at any time of determination, any FAA Slot of such Grantor at any airport in the United States that is an origin and/or destination point with respect to any Scheduled Service, in each case only to the extent such FAA Slot is being utilized by such Grantor (or any other Grantor on behalf of such Grantor) to provide such Scheduled Service, but in each case excluding any Temporary FAA Slot.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FAA Slot</w:t>
      </w:r>
      <w:r>
        <w:rPr>
          <w:rFonts w:ascii="Arial" w:cs="Arial" w:eastAsia="Arial" w:hAnsi="Arial"/>
          <w:sz w:val="19"/>
          <w:szCs w:val="19"/>
          <w:color w:val="auto"/>
        </w:rPr>
        <w:t xml:space="preserve"> ”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416" w:name="page417"/>
    <w:bookmarkEnd w:id="416"/>
    <w:p>
      <w:pPr>
        <w:spacing w:after="0" w:line="263" w:lineRule="auto"/>
        <w:rPr>
          <w:sz w:val="20"/>
          <w:szCs w:val="20"/>
          <w:color w:val="auto"/>
        </w:rPr>
      </w:pPr>
      <w:r>
        <w:rPr>
          <w:rFonts w:ascii="Arial" w:cs="Arial" w:eastAsia="Arial" w:hAnsi="Arial"/>
          <w:sz w:val="22"/>
          <w:szCs w:val="22"/>
          <w:color w:val="auto"/>
        </w:rPr>
        <w:t>authorizations and operating authorizations, whether pursuant to FAA or DOT regulations or orders pursuant to Title 14, Title 49 or other federal statutes or regulations now or hereinafter in effect.</w:t>
      </w:r>
    </w:p>
    <w:p>
      <w:pPr>
        <w:spacing w:after="0" w:line="175"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Aviation Authority</w:t>
      </w:r>
      <w:r>
        <w:rPr>
          <w:rFonts w:ascii="Arial" w:cs="Arial" w:eastAsia="Arial" w:hAnsi="Arial"/>
          <w:sz w:val="22"/>
          <w:szCs w:val="22"/>
          <w:color w:val="auto"/>
        </w:rPr>
        <w:t xml:space="preserve"> ” shall mean any non-U.S. governmental, quasi</w:t>
      </w:r>
      <w:r>
        <w:rPr>
          <w:rFonts w:ascii="MS PGothic" w:cs="MS PGothic" w:eastAsia="MS PGothic" w:hAnsi="MS PGothic"/>
          <w:sz w:val="22"/>
          <w:szCs w:val="22"/>
          <w:color w:val="auto"/>
        </w:rPr>
        <w:t>‑</w:t>
      </w:r>
      <w:r>
        <w:rPr>
          <w:rFonts w:ascii="Arial" w:cs="Arial" w:eastAsia="Arial" w:hAnsi="Arial"/>
          <w:sz w:val="22"/>
          <w:szCs w:val="22"/>
          <w:color w:val="auto"/>
        </w:rPr>
        <w:t xml:space="preserve">governmental, regulatory or other agency, public corporation or private entity that exercises jurisdiction over the issuance or authorization ( </w:t>
      </w:r>
      <w:r>
        <w:rPr>
          <w:rFonts w:ascii="Arial" w:cs="Arial" w:eastAsia="Arial" w:hAnsi="Arial"/>
          <w:sz w:val="22"/>
          <w:szCs w:val="22"/>
          <w:u w:val="single" w:color="auto"/>
          <w:color w:val="auto"/>
        </w:rPr>
        <w:t>i</w:t>
      </w:r>
      <w:r>
        <w:rPr>
          <w:rFonts w:ascii="Arial" w:cs="Arial" w:eastAsia="Arial" w:hAnsi="Arial"/>
          <w:sz w:val="22"/>
          <w:szCs w:val="22"/>
          <w:color w:val="auto"/>
        </w:rPr>
        <w:t xml:space="preserve"> ) to serve any non-U.S. point on any Scheduled Service that any Grantor is serving at any time and/or to conduct operations related to any Scheduled Service and Foreign Gate Leaseholds at any time and/or (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 to hold and operate any Foreign Route Slots at any time.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Gate Leasehold</w:t>
      </w:r>
      <w:r>
        <w:rPr>
          <w:rFonts w:ascii="Arial" w:cs="Arial" w:eastAsia="Arial" w:hAnsi="Arial"/>
          <w:sz w:val="22"/>
          <w:szCs w:val="22"/>
          <w:color w:val="auto"/>
        </w:rPr>
        <w:t xml:space="preserve"> ” shall mean, at any time of determination, all of the right, title, privilege, interest and authority of a Grantor to use or occupy space in an airport terminal at any airport outside the United States, that is an origin and/or destination point with respect to any Scheduled Service, in each case only to the extent necessary for such Grantor to provide such Scheduled Service.</w:t>
      </w:r>
    </w:p>
    <w:p>
      <w:pPr>
        <w:spacing w:after="0" w:line="18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Foreign Route Slot</w:t>
      </w:r>
      <w:r>
        <w:rPr>
          <w:rFonts w:ascii="Arial" w:cs="Arial" w:eastAsia="Arial" w:hAnsi="Arial"/>
          <w:sz w:val="21"/>
          <w:szCs w:val="21"/>
          <w:color w:val="auto"/>
        </w:rPr>
        <w:t xml:space="preserve"> ” shall mean, at any time of determination, any Foreign Slot of a Grantor at any airport outside the United States, that is an origin and/or destination point with respect to any Scheduled Service, in each case only to the extent such Foreign Slot is being utilized by such Grantor (or any other Grantor on behalf of such Grantor) to provide such Scheduled Service, but in each case excluding any Temporary Foreign Slot.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Foreign Slot</w:t>
      </w:r>
      <w:r>
        <w:rPr>
          <w:rFonts w:ascii="Arial" w:cs="Arial" w:eastAsia="Arial" w:hAnsi="Arial"/>
          <w:sz w:val="22"/>
          <w:szCs w:val="22"/>
          <w:color w:val="auto"/>
        </w:rPr>
        <w:t xml:space="preserve"> ” shall mean, at any time of determination, in the case of airports outside the United States, the right and operational authority to conduct one landing or take-off operation at a specific time or during a specific time period at such airport.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General Intangible</w:t>
      </w:r>
      <w:r>
        <w:rPr>
          <w:rFonts w:ascii="Arial" w:cs="Arial" w:eastAsia="Arial" w:hAnsi="Arial"/>
          <w:sz w:val="22"/>
          <w:szCs w:val="22"/>
          <w:color w:val="auto"/>
        </w:rPr>
        <w:t xml:space="preserve"> ” shall have the meaning provided in the NY UCC.</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xml:space="preserve"> ” shall mean the government of the United States of America, any other nation or any political subdivision thereof, whether state or local, and any agency (including without limitation the DOT and the FAA), authority, instrumentality, regulatory body, court, central bank organization, or other entity exercising executive, legislative, judicial, taxing or regulatory powers or functions of or pertaining to government (including any supra-national bodies such as the European Union). Governmental Authority shall not include any Person in its capacity as an Airport Authority.</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Grantor</w:t>
      </w:r>
      <w:r>
        <w:rPr>
          <w:rFonts w:ascii="Arial" w:cs="Arial" w:eastAsia="Arial" w:hAnsi="Arial"/>
          <w:sz w:val="22"/>
          <w:szCs w:val="22"/>
          <w:color w:val="auto"/>
        </w:rPr>
        <w:t xml:space="preserve"> ” shall have the meaning provided in the preamble hereof.</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417" w:name="page418"/>
    <w:bookmarkEnd w:id="417"/>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Hedging Provider</w:t>
      </w:r>
      <w:r>
        <w:rPr>
          <w:rFonts w:ascii="Arial" w:cs="Arial" w:eastAsia="Arial" w:hAnsi="Arial"/>
          <w:sz w:val="22"/>
          <w:szCs w:val="22"/>
          <w:color w:val="auto"/>
        </w:rPr>
        <w:t xml:space="preserve"> ” shall mean any Person that has entered into a Designated Hedging Agreement with Parent or the Grantor.</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Joinder Agreement</w:t>
      </w:r>
      <w:r>
        <w:rPr>
          <w:rFonts w:ascii="Arial" w:cs="Arial" w:eastAsia="Arial" w:hAnsi="Arial"/>
          <w:sz w:val="22"/>
          <w:szCs w:val="22"/>
          <w:color w:val="auto"/>
        </w:rPr>
        <w:t xml:space="preserve"> ” shall mean a Joinder Agreement to this SGR Security Agreement,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Obligations</w:t>
      </w:r>
      <w:r>
        <w:rPr>
          <w:rFonts w:ascii="Arial" w:cs="Arial" w:eastAsia="Arial" w:hAnsi="Arial"/>
          <w:sz w:val="22"/>
          <w:szCs w:val="22"/>
          <w:color w:val="auto"/>
        </w:rPr>
        <w:t xml:space="preserve"> ” shall have the meaning provided in the Intercreditor Agreement.</w:t>
      </w:r>
    </w:p>
    <w:p>
      <w:pPr>
        <w:spacing w:after="0" w:line="219" w:lineRule="exact"/>
        <w:rPr>
          <w:sz w:val="20"/>
          <w:szCs w:val="20"/>
          <w:color w:val="auto"/>
        </w:rPr>
      </w:pPr>
    </w:p>
    <w:p>
      <w:pPr>
        <w:ind w:left="640" w:right="1440"/>
        <w:spacing w:after="0" w:line="4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Representative</w:t>
      </w:r>
      <w:r>
        <w:rPr>
          <w:rFonts w:ascii="Arial" w:cs="Arial" w:eastAsia="Arial" w:hAnsi="Arial"/>
          <w:sz w:val="22"/>
          <w:szCs w:val="22"/>
          <w:color w:val="auto"/>
        </w:rPr>
        <w:t xml:space="preserve"> ” shall have the meaning provided in the Intercreditor Agreement. “ </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 shall have the meaning provided in the recitals hereof.</w:t>
      </w:r>
    </w:p>
    <w:p>
      <w:pPr>
        <w:ind w:left="640" w:right="322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Letter of Credit</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Liens</w:t>
      </w:r>
      <w:r>
        <w:rPr>
          <w:rFonts w:ascii="Arial" w:cs="Arial" w:eastAsia="Arial" w:hAnsi="Arial"/>
          <w:sz w:val="19"/>
          <w:szCs w:val="19"/>
          <w:color w:val="auto"/>
        </w:rPr>
        <w:t xml:space="preserve"> ” shall have the meaning provided in the Credit Agreement.</w:t>
      </w: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Non-Lender Secured Parties</w:t>
      </w:r>
      <w:r>
        <w:rPr>
          <w:rFonts w:ascii="Arial" w:cs="Arial" w:eastAsia="Arial" w:hAnsi="Arial"/>
          <w:sz w:val="19"/>
          <w:szCs w:val="19"/>
          <w:color w:val="auto"/>
        </w:rPr>
        <w:t xml:space="preserve"> ” shall mean, collectively, all Banking Product Providers and Hedging Providers and their respective successors, assigns and transferees. For the avoidance of doubt, “Non-Lender Secured Parties” shall exclude Banking Product Providers and Hedging Providers in their capacities as Lenders, if applicable.</w:t>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NY UCC</w:t>
      </w:r>
      <w:r>
        <w:rPr>
          <w:rFonts w:ascii="Arial" w:cs="Arial" w:eastAsia="Arial" w:hAnsi="Arial"/>
          <w:sz w:val="19"/>
          <w:szCs w:val="19"/>
          <w:color w:val="auto"/>
        </w:rPr>
        <w:t xml:space="preserve"> ” shall mean the Uniform Commercial Code, as in effect in the state of New York from time to time.</w:t>
      </w:r>
    </w:p>
    <w:p>
      <w:pPr>
        <w:spacing w:after="0" w:line="2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Obligations</w:t>
      </w:r>
      <w:r>
        <w:rPr>
          <w:rFonts w:ascii="Arial" w:cs="Arial" w:eastAsia="Arial" w:hAnsi="Arial"/>
          <w:sz w:val="22"/>
          <w:szCs w:val="22"/>
          <w:color w:val="auto"/>
        </w:rPr>
        <w:t xml:space="preserve"> ” shall have the meaning provided in the Credit Agreement. For the avoidance of doubt, “Obligations” does not include any Indebtedness or other obligations under any Pari Passu Notes (as defined in the Credit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 shall have the meaning provided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418" w:name="page419"/>
    <w:bookmarkEnd w:id="418"/>
    <w:p>
      <w:pPr>
        <w:ind w:left="640" w:right="1940"/>
        <w:spacing w:after="0" w:line="4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Other Intercreditor Agreement</w:t>
      </w:r>
      <w:r>
        <w:rPr>
          <w:rFonts w:ascii="Arial" w:cs="Arial" w:eastAsia="Arial" w:hAnsi="Arial"/>
          <w:sz w:val="22"/>
          <w:szCs w:val="22"/>
          <w:color w:val="auto"/>
        </w:rPr>
        <w:t xml:space="preserve"> ” shall have the meaning provided in the Credit Agreement. “ </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 shall have the meaning provided in the recitals hereof.</w:t>
      </w:r>
    </w:p>
    <w:p>
      <w:pPr>
        <w:ind w:left="640" w:right="268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Permitted Disposition</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 shall have the meaning provided in the Credit Agreement.</w:t>
      </w:r>
    </w:p>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Person</w:t>
      </w:r>
      <w:r>
        <w:rPr>
          <w:rFonts w:ascii="Arial" w:cs="Arial" w:eastAsia="Arial" w:hAnsi="Arial"/>
          <w:sz w:val="22"/>
          <w:szCs w:val="22"/>
          <w:color w:val="auto"/>
        </w:rPr>
        <w:t xml:space="preserve"> ” shall mean any person, including any individual, corporation, partnership, joint venture, association, joint-stock company, trust, unincorporated organization, limited liability company or government or other entity and, for the avoidance of doubt, includes the DOT, the FAA, any Airport Authority, any Foreign Aviation Authority and any other Governmental Authority.</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Pledged Foreign Gate Leaseholds</w:t>
      </w:r>
      <w:r>
        <w:rPr>
          <w:rFonts w:ascii="Arial" w:cs="Arial" w:eastAsia="Arial" w:hAnsi="Arial"/>
          <w:sz w:val="22"/>
          <w:szCs w:val="22"/>
          <w:color w:val="auto"/>
        </w:rPr>
        <w:t xml:space="preserve"> ” shall mean, as of any date, the Foreign Gate Leaseholds included in the Collateral as of such date.</w:t>
      </w:r>
    </w:p>
    <w:p>
      <w:pPr>
        <w:spacing w:after="0" w:line="17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Pledged Route Authorities</w:t>
      </w:r>
      <w:r>
        <w:rPr>
          <w:rFonts w:ascii="Arial" w:cs="Arial" w:eastAsia="Arial" w:hAnsi="Arial"/>
          <w:sz w:val="22"/>
          <w:szCs w:val="22"/>
          <w:color w:val="auto"/>
        </w:rPr>
        <w:t xml:space="preserve"> ” shall mean, as of any date, the Route Authorities included in the Collateral as of such date.</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Pledged Slots</w:t>
      </w:r>
      <w:r>
        <w:rPr>
          <w:rFonts w:ascii="Arial" w:cs="Arial" w:eastAsia="Arial" w:hAnsi="Arial"/>
          <w:sz w:val="22"/>
          <w:szCs w:val="22"/>
          <w:color w:val="auto"/>
        </w:rPr>
        <w:t xml:space="preserve"> ” shall mean, as of any date, the Slots included in the Collateral as of such date.</w:t>
      </w:r>
    </w:p>
    <w:p>
      <w:pPr>
        <w:spacing w:after="0" w:line="21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Proceeds</w:t>
      </w:r>
      <w:r>
        <w:rPr>
          <w:rFonts w:ascii="Arial" w:cs="Arial" w:eastAsia="Arial" w:hAnsi="Arial"/>
          <w:sz w:val="19"/>
          <w:szCs w:val="19"/>
          <w:color w:val="auto"/>
        </w:rPr>
        <w:t xml:space="preserve"> ” shall have the meaning assigned to that term under the NY UCC or under other relevant law and, in any event, shall include, but not be limited to, any and all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proceeds of any insurance, indemnity, warranty or guarantee payable to the Collateral Agent or to any Grantor from time to time with respect to physical damage to any of the Collateral,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payments (in any form whatsoever), made or due and payable to any Grantor from time to time in connection with any requisition, confiscation, condemnation, seizure or forfeiture of all or any part of the Collateral by any Governmental Authority (or any Person acting under color of Governmental Authority), and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instruments representing obligations to pay amounts to any Grantor in respect of the Collateral.</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Requirements</w:t>
      </w:r>
      <w:r>
        <w:rPr>
          <w:rFonts w:ascii="Arial" w:cs="Arial" w:eastAsia="Arial" w:hAnsi="Arial"/>
          <w:sz w:val="22"/>
          <w:szCs w:val="22"/>
          <w:color w:val="auto"/>
        </w:rPr>
        <w:t xml:space="preserve"> ” shall have the meaning provided in Section 7(b) hereof.</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Responsible Officer</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Route Authorities</w:t>
      </w:r>
      <w:r>
        <w:rPr>
          <w:rFonts w:ascii="Arial" w:cs="Arial" w:eastAsia="Arial" w:hAnsi="Arial"/>
          <w:sz w:val="22"/>
          <w:szCs w:val="22"/>
          <w:color w:val="auto"/>
        </w:rPr>
        <w:t xml:space="preserve"> ” shall mean, at any time of determination, any route authority identified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 as such Schedule may be amended 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419" w:name="page420"/>
    <w:bookmarkEnd w:id="419"/>
    <w:p>
      <w:pPr>
        <w:jc w:val="both"/>
        <w:spacing w:after="0" w:line="246" w:lineRule="auto"/>
        <w:rPr>
          <w:sz w:val="20"/>
          <w:szCs w:val="20"/>
          <w:color w:val="auto"/>
        </w:rPr>
      </w:pPr>
      <w:r>
        <w:rPr>
          <w:rFonts w:ascii="Arial" w:cs="Arial" w:eastAsia="Arial" w:hAnsi="Arial"/>
          <w:sz w:val="22"/>
          <w:szCs w:val="22"/>
          <w:color w:val="auto"/>
        </w:rPr>
        <w:t xml:space="preserve">modified from time to time pursuant to </w:t>
      </w:r>
      <w:r>
        <w:rPr>
          <w:rFonts w:ascii="Arial" w:cs="Arial" w:eastAsia="Arial" w:hAnsi="Arial"/>
          <w:sz w:val="22"/>
          <w:szCs w:val="22"/>
          <w:u w:val="single" w:color="auto"/>
          <w:color w:val="auto"/>
        </w:rPr>
        <w:t>Sections 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15</w:t>
      </w:r>
      <w:r>
        <w:rPr>
          <w:rFonts w:ascii="Arial" w:cs="Arial" w:eastAsia="Arial" w:hAnsi="Arial"/>
          <w:sz w:val="22"/>
          <w:szCs w:val="22"/>
          <w:color w:val="auto"/>
        </w:rPr>
        <w:t xml:space="preserve"> hereof or any SGR Security Agreement Supplement, as applicable, as the route authority with respect to any additional Scheduled Service being designated by this SGR Security Agreement or such SGR Security Agreement Supplement, as applicable, and “ </w:t>
      </w:r>
      <w:r>
        <w:rPr>
          <w:rFonts w:ascii="Arial" w:cs="Arial" w:eastAsia="Arial" w:hAnsi="Arial"/>
          <w:sz w:val="22"/>
          <w:szCs w:val="22"/>
          <w:u w:val="single" w:color="auto"/>
          <w:color w:val="auto"/>
        </w:rPr>
        <w:t>Route Authority</w:t>
      </w:r>
      <w:r>
        <w:rPr>
          <w:rFonts w:ascii="Arial" w:cs="Arial" w:eastAsia="Arial" w:hAnsi="Arial"/>
          <w:sz w:val="22"/>
          <w:szCs w:val="22"/>
          <w:color w:val="auto"/>
        </w:rPr>
        <w:t xml:space="preserve"> ” shall mean any of such route authorities as the context requires, in each case whether or not such route authority is utilized at such time by a Grantor and including, without limitation, any other route authority held by a Grantor pursuant to certificates, orders, notices and approvals issued to a Grantor from time to time, but in each case solely to the extent relating to such route authority.</w:t>
      </w:r>
    </w:p>
    <w:p>
      <w:pPr>
        <w:spacing w:after="0" w:line="19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Scheduled Services</w:t>
      </w:r>
      <w:r>
        <w:rPr>
          <w:rFonts w:ascii="Arial" w:cs="Arial" w:eastAsia="Arial" w:hAnsi="Arial"/>
          <w:sz w:val="22"/>
          <w:szCs w:val="22"/>
          <w:color w:val="auto"/>
        </w:rPr>
        <w:t xml:space="preserve"> ” shall mean, at any time of determination, (i) each non-stop scheduled air carrier service being operated by a Grantor, in each case, as identified in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 (as such Schedule may be amended or modified from time to time pursuant to </w:t>
      </w:r>
      <w:r>
        <w:rPr>
          <w:rFonts w:ascii="Arial" w:cs="Arial" w:eastAsia="Arial" w:hAnsi="Arial"/>
          <w:sz w:val="22"/>
          <w:szCs w:val="22"/>
          <w:u w:val="single" w:color="auto"/>
          <w:color w:val="auto"/>
        </w:rPr>
        <w:t>Sections 6(a)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15</w:t>
      </w:r>
      <w:r>
        <w:rPr>
          <w:rFonts w:ascii="Arial" w:cs="Arial" w:eastAsia="Arial" w:hAnsi="Arial"/>
          <w:sz w:val="22"/>
          <w:szCs w:val="22"/>
          <w:color w:val="auto"/>
        </w:rPr>
        <w:t xml:space="preserve"> hereof) and (ii) any other non-stop scheduled air carrier service being operated by a Grantor at such time that has been designated as an additional “Scheduled Service” pursuant to any SGR Security Agreement Supplement, and “Scheduled Service” shall mean any of such Scheduled Services as the context requires.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Secured Parties</w:t>
      </w:r>
      <w:r>
        <w:rPr>
          <w:rFonts w:ascii="Arial" w:cs="Arial" w:eastAsia="Arial" w:hAnsi="Arial"/>
          <w:sz w:val="22"/>
          <w:szCs w:val="22"/>
          <w:color w:val="auto"/>
        </w:rPr>
        <w:t xml:space="preserve"> ” shall have the meaning provided in the Credit Agreement.</w:t>
      </w:r>
    </w:p>
    <w:p>
      <w:pPr>
        <w:spacing w:after="0" w:line="219" w:lineRule="exact"/>
        <w:rPr>
          <w:sz w:val="20"/>
          <w:szCs w:val="20"/>
          <w:color w:val="auto"/>
        </w:rPr>
      </w:pPr>
    </w:p>
    <w:p>
      <w:pPr>
        <w:ind w:left="640" w:right="900"/>
        <w:spacing w:after="0" w:line="46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Securities Intermediary</w:t>
      </w:r>
      <w:r>
        <w:rPr>
          <w:rFonts w:ascii="Arial" w:cs="Arial" w:eastAsia="Arial" w:hAnsi="Arial"/>
          <w:sz w:val="21"/>
          <w:szCs w:val="21"/>
          <w:color w:val="auto"/>
        </w:rPr>
        <w:t xml:space="preserve"> ” shall mean Citibank N.A., together with its successors and permitted assigns. “ </w:t>
      </w:r>
      <w:r>
        <w:rPr>
          <w:rFonts w:ascii="Arial" w:cs="Arial" w:eastAsia="Arial" w:hAnsi="Arial"/>
          <w:sz w:val="21"/>
          <w:szCs w:val="21"/>
          <w:u w:val="single" w:color="auto"/>
          <w:color w:val="auto"/>
        </w:rPr>
        <w:t>SGR Security Agreement</w:t>
      </w:r>
      <w:r>
        <w:rPr>
          <w:rFonts w:ascii="Arial" w:cs="Arial" w:eastAsia="Arial" w:hAnsi="Arial"/>
          <w:sz w:val="21"/>
          <w:szCs w:val="21"/>
          <w:color w:val="auto"/>
        </w:rPr>
        <w:t xml:space="preserve"> ” shall have the meaning provided in the preamble hereof.</w:t>
      </w:r>
    </w:p>
    <w:p>
      <w:pPr>
        <w:spacing w:after="0" w:line="1" w:lineRule="exact"/>
        <w:rPr>
          <w:sz w:val="20"/>
          <w:szCs w:val="20"/>
          <w:color w:val="auto"/>
        </w:rPr>
      </w:pPr>
    </w:p>
    <w:p>
      <w:pPr>
        <w:ind w:left="640" w:right="1500"/>
        <w:spacing w:after="0" w:line="51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SGR Security Agreement Supplement</w:t>
      </w:r>
      <w:r>
        <w:rPr>
          <w:rFonts w:ascii="Arial" w:cs="Arial" w:eastAsia="Arial" w:hAnsi="Arial"/>
          <w:sz w:val="19"/>
          <w:szCs w:val="19"/>
          <w:color w:val="auto"/>
        </w:rPr>
        <w:t xml:space="preserve"> ” shall have the meaning provided in </w:t>
      </w:r>
      <w:r>
        <w:rPr>
          <w:rFonts w:ascii="Arial" w:cs="Arial" w:eastAsia="Arial" w:hAnsi="Arial"/>
          <w:sz w:val="19"/>
          <w:szCs w:val="19"/>
          <w:u w:val="single" w:color="auto"/>
          <w:color w:val="auto"/>
        </w:rPr>
        <w:t>Section 6(a)</w:t>
      </w:r>
      <w:r>
        <w:rPr>
          <w:rFonts w:ascii="Arial" w:cs="Arial" w:eastAsia="Arial" w:hAnsi="Arial"/>
          <w:sz w:val="19"/>
          <w:szCs w:val="19"/>
          <w:color w:val="auto"/>
        </w:rPr>
        <w:t xml:space="preserve"> hereof. “ </w:t>
      </w:r>
      <w:r>
        <w:rPr>
          <w:rFonts w:ascii="Arial" w:cs="Arial" w:eastAsia="Arial" w:hAnsi="Arial"/>
          <w:sz w:val="19"/>
          <w:szCs w:val="19"/>
          <w:u w:val="single" w:color="auto"/>
          <w:color w:val="auto"/>
        </w:rPr>
        <w:t>Slots</w:t>
      </w:r>
      <w:r>
        <w:rPr>
          <w:rFonts w:ascii="Arial" w:cs="Arial" w:eastAsia="Arial" w:hAnsi="Arial"/>
          <w:sz w:val="19"/>
          <w:szCs w:val="19"/>
          <w:color w:val="auto"/>
        </w:rPr>
        <w:t xml:space="preserve"> ” shall mean each FAA Route Slot and each Foreign Route Slot, or any of them.</w:t>
      </w: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Temporary FAA Slot</w:t>
      </w:r>
      <w:r>
        <w:rPr>
          <w:rFonts w:ascii="Arial" w:cs="Arial" w:eastAsia="Arial" w:hAnsi="Arial"/>
          <w:sz w:val="22"/>
          <w:szCs w:val="22"/>
          <w:color w:val="auto"/>
        </w:rPr>
        <w:t xml:space="preserve"> ” shall mean an FAA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Temporary Foreign Slot</w:t>
      </w:r>
      <w:r>
        <w:rPr>
          <w:rFonts w:ascii="Arial" w:cs="Arial" w:eastAsia="Arial" w:hAnsi="Arial"/>
          <w:sz w:val="22"/>
          <w:szCs w:val="22"/>
          <w:color w:val="auto"/>
        </w:rPr>
        <w:t xml:space="preserve"> ” shall mean a Foreign Slot that was obtained by any Grantor from another air carrier pursuant to an agreement (including but not limited to a loan agreement, lease agreement, slot exchange agreement or a slot release agreement) and is held by such Grantor on a temporary basis.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79" w:right="339" w:bottom="1440" w:gutter="0" w:footer="0" w:header="0"/>
        </w:sectPr>
      </w:pPr>
    </w:p>
    <w:bookmarkStart w:id="420" w:name="page421"/>
    <w:bookmarkEnd w:id="420"/>
    <w:p>
      <w:pPr>
        <w:jc w:val="both"/>
        <w:ind w:left="660"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Title 14</w:t>
      </w:r>
      <w:r>
        <w:rPr>
          <w:rFonts w:ascii="Arial" w:cs="Arial" w:eastAsia="Arial" w:hAnsi="Arial"/>
          <w:sz w:val="22"/>
          <w:szCs w:val="22"/>
          <w:color w:val="auto"/>
        </w:rPr>
        <w:t xml:space="preserve"> ” shall mean Title 14 of the United States Code of Federal Regulations, including Part 93, Subparts K and S thereof, as amended from time to time or any subsequent regulation that amends, supplements or supersedes such provisions.</w:t>
      </w:r>
    </w:p>
    <w:p>
      <w:pPr>
        <w:spacing w:after="0" w:line="185" w:lineRule="exact"/>
        <w:rPr>
          <w:sz w:val="20"/>
          <w:szCs w:val="20"/>
          <w:color w:val="auto"/>
        </w:rPr>
      </w:pPr>
    </w:p>
    <w:p>
      <w:pPr>
        <w:jc w:val="both"/>
        <w:ind w:left="660" w:right="20"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Title 49</w:t>
      </w:r>
      <w:r>
        <w:rPr>
          <w:rFonts w:ascii="Arial" w:cs="Arial" w:eastAsia="Arial" w:hAnsi="Arial"/>
          <w:sz w:val="19"/>
          <w:szCs w:val="19"/>
          <w:color w:val="auto"/>
        </w:rPr>
        <w:t xml:space="preserve"> ” shall mean Title 49 of the United States Code, which, among other things, recodified and replaced the U.S. Federal Aviation Act of 1958, and the rules and regulations promulgated pursuant thereto, as amended from time to time or any subsequent legislation that amends, supplements or supersedes such provisions.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Transfer Restriction</w:t>
      </w:r>
      <w:r>
        <w:rPr>
          <w:rFonts w:ascii="Arial" w:cs="Arial" w:eastAsia="Arial" w:hAnsi="Arial"/>
          <w:sz w:val="22"/>
          <w:szCs w:val="22"/>
          <w:color w:val="auto"/>
        </w:rPr>
        <w:t xml:space="preserve"> ” shall have the meaning provided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hereof.</w:t>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 shall mean the Uniform Commercial Code, as in effect from time to time in any applicable jurisdiction.</w:t>
      </w:r>
    </w:p>
    <w:p>
      <w:pPr>
        <w:spacing w:after="0" w:line="254"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United States Citizen</w:t>
      </w:r>
      <w:r>
        <w:rPr>
          <w:rFonts w:ascii="Arial" w:cs="Arial" w:eastAsia="Arial" w:hAnsi="Arial"/>
          <w:sz w:val="22"/>
          <w:szCs w:val="22"/>
          <w:color w:val="auto"/>
        </w:rPr>
        <w:t xml:space="preserve"> ” shall mean a “citizen of the United States” as defined in Section 40102(a)(15) of Title 49 and as that statutory provision has been interpreted by the DOT pursuant to its policies.</w:t>
      </w:r>
    </w:p>
    <w:p>
      <w:pPr>
        <w:spacing w:after="0" w:line="174" w:lineRule="exact"/>
        <w:rPr>
          <w:sz w:val="20"/>
          <w:szCs w:val="20"/>
          <w:color w:val="auto"/>
        </w:rPr>
      </w:pPr>
    </w:p>
    <w:p>
      <w:pPr>
        <w:ind w:left="1240" w:hanging="584"/>
        <w:spacing w:after="0"/>
        <w:tabs>
          <w:tab w:leader="none" w:pos="1240" w:val="left"/>
        </w:tabs>
        <w:numPr>
          <w:ilvl w:val="0"/>
          <w:numId w:val="529"/>
        </w:numPr>
        <w:rPr>
          <w:rFonts w:ascii="Arial" w:cs="Arial" w:eastAsia="Arial" w:hAnsi="Arial"/>
          <w:sz w:val="22"/>
          <w:szCs w:val="22"/>
          <w:color w:val="010000"/>
        </w:rPr>
      </w:pPr>
      <w:r>
        <w:rPr>
          <w:rFonts w:ascii="Arial" w:cs="Arial" w:eastAsia="Arial" w:hAnsi="Arial"/>
          <w:sz w:val="22"/>
          <w:szCs w:val="22"/>
          <w:u w:val="single" w:color="auto"/>
          <w:color w:val="auto"/>
        </w:rPr>
        <w:t>Rules of Interpretation</w:t>
      </w:r>
      <w:r>
        <w:rPr>
          <w:rFonts w:ascii="Arial" w:cs="Arial" w:eastAsia="Arial" w:hAnsi="Arial"/>
          <w:sz w:val="22"/>
          <w:szCs w:val="22"/>
          <w:color w:val="auto"/>
        </w:rPr>
        <w:t xml:space="preserve"> .</w:t>
      </w:r>
    </w:p>
    <w:p>
      <w:pPr>
        <w:spacing w:after="0" w:line="220" w:lineRule="exact"/>
        <w:rPr>
          <w:sz w:val="20"/>
          <w:szCs w:val="20"/>
          <w:color w:val="auto"/>
        </w:rPr>
      </w:pPr>
    </w:p>
    <w:p>
      <w:pPr>
        <w:ind w:left="1780" w:hanging="476"/>
        <w:spacing w:after="0"/>
        <w:tabs>
          <w:tab w:leader="none" w:pos="1780" w:val="left"/>
        </w:tabs>
        <w:numPr>
          <w:ilvl w:val="0"/>
          <w:numId w:val="530"/>
        </w:numPr>
        <w:rPr>
          <w:rFonts w:ascii="Arial" w:cs="Arial" w:eastAsia="Arial" w:hAnsi="Arial"/>
          <w:sz w:val="19"/>
          <w:szCs w:val="19"/>
          <w:color w:val="010000"/>
        </w:rPr>
      </w:pPr>
      <w:r>
        <w:rPr>
          <w:rFonts w:ascii="Arial" w:cs="Arial" w:eastAsia="Arial" w:hAnsi="Arial"/>
          <w:sz w:val="19"/>
          <w:szCs w:val="19"/>
          <w:color w:val="auto"/>
        </w:rPr>
        <w:t>The definitions stated herein shall be equally applicable to the singular and plural forms of the terms defined.</w:t>
      </w:r>
    </w:p>
    <w:p>
      <w:pPr>
        <w:spacing w:after="0" w:line="254" w:lineRule="exact"/>
        <w:rPr>
          <w:rFonts w:ascii="Arial" w:cs="Arial" w:eastAsia="Arial" w:hAnsi="Arial"/>
          <w:sz w:val="19"/>
          <w:szCs w:val="19"/>
          <w:color w:val="010000"/>
        </w:rPr>
      </w:pPr>
    </w:p>
    <w:p>
      <w:pPr>
        <w:ind w:firstLine="1304"/>
        <w:spacing w:after="0" w:line="263" w:lineRule="auto"/>
        <w:tabs>
          <w:tab w:leader="none" w:pos="1832" w:val="left"/>
        </w:tabs>
        <w:numPr>
          <w:ilvl w:val="0"/>
          <w:numId w:val="530"/>
        </w:numPr>
        <w:rPr>
          <w:rFonts w:ascii="Arial" w:cs="Arial" w:eastAsia="Arial" w:hAnsi="Arial"/>
          <w:sz w:val="22"/>
          <w:szCs w:val="22"/>
          <w:color w:val="010000"/>
        </w:rPr>
      </w:pPr>
      <w:r>
        <w:rPr>
          <w:rFonts w:ascii="Arial" w:cs="Arial" w:eastAsia="Arial" w:hAnsi="Arial"/>
          <w:sz w:val="22"/>
          <w:szCs w:val="22"/>
          <w:color w:val="auto"/>
        </w:rPr>
        <w:t>For the avoidance of doubt, references herein to any airport shall, in the event of a name change with respect to any such airport, include such renamed airport.</w:t>
      </w:r>
    </w:p>
    <w:p>
      <w:pPr>
        <w:spacing w:after="0" w:line="174" w:lineRule="exact"/>
        <w:rPr>
          <w:rFonts w:ascii="Arial" w:cs="Arial" w:eastAsia="Arial" w:hAnsi="Arial"/>
          <w:sz w:val="22"/>
          <w:szCs w:val="22"/>
          <w:color w:val="010000"/>
        </w:rPr>
      </w:pPr>
    </w:p>
    <w:p>
      <w:pPr>
        <w:jc w:val="both"/>
        <w:ind w:firstLine="1304"/>
        <w:spacing w:after="0" w:line="343" w:lineRule="auto"/>
        <w:tabs>
          <w:tab w:leader="none" w:pos="1915" w:val="left"/>
        </w:tabs>
        <w:numPr>
          <w:ilvl w:val="0"/>
          <w:numId w:val="530"/>
        </w:numPr>
        <w:rPr>
          <w:rFonts w:ascii="Arial" w:cs="Arial" w:eastAsia="Arial" w:hAnsi="Arial"/>
          <w:sz w:val="19"/>
          <w:szCs w:val="19"/>
          <w:color w:val="010000"/>
        </w:rPr>
      </w:pPr>
      <w:r>
        <w:rPr>
          <w:rFonts w:ascii="Arial" w:cs="Arial" w:eastAsia="Arial" w:hAnsi="Arial"/>
          <w:sz w:val="19"/>
          <w:szCs w:val="19"/>
          <w:color w:val="auto"/>
        </w:rPr>
        <w:t>The parties to this SGR Security Agreement agree that the rules of interpretation set out in Section 1.02 of the Credit Agreement shall apply to this SGR Security Agreement mutatis mutandis as if set out in this SGR Security Agreement.</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18. Notices.</w:t>
      </w:r>
    </w:p>
    <w:p>
      <w:pPr>
        <w:spacing w:after="0" w:line="220" w:lineRule="exact"/>
        <w:rPr>
          <w:sz w:val="20"/>
          <w:szCs w:val="20"/>
          <w:color w:val="auto"/>
        </w:rPr>
      </w:pPr>
    </w:p>
    <w:p>
      <w:pPr>
        <w:jc w:val="both"/>
        <w:ind w:firstLine="656"/>
        <w:spacing w:after="0" w:line="250" w:lineRule="auto"/>
        <w:tabs>
          <w:tab w:leader="none" w:pos="1158" w:val="left"/>
        </w:tabs>
        <w:numPr>
          <w:ilvl w:val="0"/>
          <w:numId w:val="531"/>
        </w:numPr>
        <w:rPr>
          <w:rFonts w:ascii="Arial" w:cs="Arial" w:eastAsia="Arial" w:hAnsi="Arial"/>
          <w:sz w:val="22"/>
          <w:szCs w:val="22"/>
          <w:color w:val="010000"/>
        </w:rPr>
      </w:pPr>
      <w:r>
        <w:rPr>
          <w:rFonts w:ascii="Arial" w:cs="Arial" w:eastAsia="Arial" w:hAnsi="Arial"/>
          <w:sz w:val="22"/>
          <w:szCs w:val="22"/>
          <w:color w:val="auto"/>
        </w:rPr>
        <w:t>Except in the case of notices and other communications expressly permitted to be given by telephone (and subject to paragraph (b) below), all notices and other communications provided for herein shall be in writing (including by facsimile or electronic mail), and shall be delivered by hand or overnight courier service, mailed by certified or registered mail or sent by facsimile, as follows:</w:t>
      </w:r>
    </w:p>
    <w:p>
      <w:pPr>
        <w:spacing w:after="0" w:line="187" w:lineRule="exact"/>
        <w:rPr>
          <w:rFonts w:ascii="Arial" w:cs="Arial" w:eastAsia="Arial" w:hAnsi="Arial"/>
          <w:sz w:val="22"/>
          <w:szCs w:val="22"/>
          <w:color w:val="010000"/>
        </w:rPr>
      </w:pPr>
    </w:p>
    <w:p>
      <w:pPr>
        <w:ind w:left="1780" w:hanging="476"/>
        <w:spacing w:after="0"/>
        <w:tabs>
          <w:tab w:leader="none" w:pos="1780" w:val="left"/>
        </w:tabs>
        <w:numPr>
          <w:ilvl w:val="1"/>
          <w:numId w:val="531"/>
        </w:numPr>
        <w:rPr>
          <w:rFonts w:ascii="Arial" w:cs="Arial" w:eastAsia="Arial" w:hAnsi="Arial"/>
          <w:sz w:val="22"/>
          <w:szCs w:val="22"/>
          <w:color w:val="010000"/>
        </w:rPr>
      </w:pPr>
      <w:r>
        <w:rPr>
          <w:rFonts w:ascii="Arial" w:cs="Arial" w:eastAsia="Arial" w:hAnsi="Arial"/>
          <w:sz w:val="22"/>
          <w:szCs w:val="22"/>
          <w:color w:val="auto"/>
        </w:rPr>
        <w:t xml:space="preserve">if to any Grantor, to it at the notice address provided for such Grantor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21" w:name="page422"/>
    <w:bookmarkEnd w:id="421"/>
    <w:p>
      <w:pPr>
        <w:ind w:left="1900" w:hanging="596"/>
        <w:spacing w:after="0"/>
        <w:tabs>
          <w:tab w:leader="none" w:pos="1900" w:val="left"/>
        </w:tabs>
        <w:numPr>
          <w:ilvl w:val="1"/>
          <w:numId w:val="532"/>
        </w:numPr>
        <w:rPr>
          <w:rFonts w:ascii="Arial" w:cs="Arial" w:eastAsia="Arial" w:hAnsi="Arial"/>
          <w:sz w:val="19"/>
          <w:szCs w:val="19"/>
          <w:color w:val="010000"/>
        </w:rPr>
      </w:pPr>
      <w:r>
        <w:rPr>
          <w:rFonts w:ascii="Arial" w:cs="Arial" w:eastAsia="Arial" w:hAnsi="Arial"/>
          <w:sz w:val="19"/>
          <w:szCs w:val="19"/>
          <w:color w:val="010000"/>
        </w:rPr>
        <w:t>if to the Collateral Agent: CRMS Documentation Unit, 580 Crosspoint Pkwy, Getzville, NY 14068, and by</w:t>
      </w:r>
    </w:p>
    <w:p>
      <w:pPr>
        <w:spacing w:after="0" w:line="55"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2"/>
          <w:szCs w:val="22"/>
          <w:color w:val="010000"/>
        </w:rPr>
        <w:t xml:space="preserve">email at ### </w:t>
      </w:r>
      <w:r>
        <w:rPr>
          <w:rFonts w:ascii="Arial" w:cs="Arial" w:eastAsia="Arial" w:hAnsi="Arial"/>
          <w:sz w:val="22"/>
          <w:szCs w:val="22"/>
          <w:color w:val="000000"/>
        </w:rPr>
        <w:t>.</w:t>
      </w:r>
    </w:p>
    <w:p>
      <w:pPr>
        <w:spacing w:after="0" w:line="201" w:lineRule="exact"/>
        <w:rPr>
          <w:rFonts w:ascii="Arial" w:cs="Arial" w:eastAsia="Arial" w:hAnsi="Arial"/>
          <w:sz w:val="19"/>
          <w:szCs w:val="19"/>
          <w:color w:val="010000"/>
        </w:rPr>
      </w:pPr>
    </w:p>
    <w:p>
      <w:pPr>
        <w:jc w:val="both"/>
        <w:ind w:firstLine="656"/>
        <w:spacing w:after="0" w:line="253" w:lineRule="auto"/>
        <w:tabs>
          <w:tab w:leader="none" w:pos="1439" w:val="left"/>
        </w:tabs>
        <w:numPr>
          <w:ilvl w:val="0"/>
          <w:numId w:val="533"/>
        </w:numPr>
        <w:rPr>
          <w:rFonts w:ascii="Arial" w:cs="Arial" w:eastAsia="Arial" w:hAnsi="Arial"/>
          <w:sz w:val="22"/>
          <w:szCs w:val="22"/>
          <w:color w:val="010000"/>
        </w:rPr>
      </w:pPr>
      <w:r>
        <w:rPr>
          <w:rFonts w:ascii="Arial" w:cs="Arial" w:eastAsia="Arial" w:hAnsi="Arial"/>
          <w:sz w:val="22"/>
          <w:szCs w:val="22"/>
          <w:color w:val="auto"/>
        </w:rPr>
        <w:t xml:space="preserve">The Collateral Agent or any Grantor may, in its reasonable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85" w:lineRule="exact"/>
        <w:rPr>
          <w:rFonts w:ascii="Arial" w:cs="Arial" w:eastAsia="Arial" w:hAnsi="Arial"/>
          <w:sz w:val="22"/>
          <w:szCs w:val="22"/>
          <w:color w:val="010000"/>
        </w:rPr>
      </w:pPr>
    </w:p>
    <w:p>
      <w:pPr>
        <w:jc w:val="both"/>
        <w:ind w:firstLine="656"/>
        <w:spacing w:after="0" w:line="312" w:lineRule="auto"/>
        <w:tabs>
          <w:tab w:leader="none" w:pos="1200" w:val="left"/>
        </w:tabs>
        <w:numPr>
          <w:ilvl w:val="0"/>
          <w:numId w:val="533"/>
        </w:numPr>
        <w:rPr>
          <w:rFonts w:ascii="Arial" w:cs="Arial" w:eastAsia="Arial" w:hAnsi="Arial"/>
          <w:sz w:val="19"/>
          <w:szCs w:val="19"/>
          <w:color w:val="010000"/>
        </w:rPr>
      </w:pPr>
      <w:r>
        <w:rPr>
          <w:rFonts w:ascii="Arial" w:cs="Arial" w:eastAsia="Arial" w:hAnsi="Arial"/>
          <w:sz w:val="19"/>
          <w:szCs w:val="19"/>
          <w:color w:val="auto"/>
        </w:rPr>
        <w:t>Any party hereto may change its address or facsimile number for notices and other communications hereunder by notice to the other parties hereto. All notices and other communications given to any party hereto in accordance with the provisions of this SGR Security Agreement shall be deemed to have been given on the date of receipt.</w:t>
      </w:r>
    </w:p>
    <w:p>
      <w:pPr>
        <w:spacing w:after="0" w:line="133" w:lineRule="exact"/>
        <w:rPr>
          <w:sz w:val="20"/>
          <w:szCs w:val="20"/>
          <w:color w:val="auto"/>
        </w:rPr>
      </w:pPr>
    </w:p>
    <w:p>
      <w:pPr>
        <w:jc w:val="both"/>
        <w:ind w:left="1300" w:hanging="323"/>
        <w:spacing w:after="0" w:line="286" w:lineRule="auto"/>
        <w:rPr>
          <w:sz w:val="20"/>
          <w:szCs w:val="20"/>
          <w:color w:val="auto"/>
        </w:rPr>
      </w:pPr>
      <w:r>
        <w:rPr>
          <w:rFonts w:ascii="Arial" w:cs="Arial" w:eastAsia="Arial" w:hAnsi="Arial"/>
          <w:sz w:val="19"/>
          <w:szCs w:val="19"/>
          <w:color w:val="auto"/>
        </w:rPr>
        <w:t xml:space="preserve">Section 19. Continuing Security Interest; Transfer of Indebtedness. This SGR Security Agreement shall create a continuing security interest in the Collateral and shall (i) remain in full force and effect until the termination of this SGR Security Agreement in accordance with </w:t>
      </w:r>
      <w:r>
        <w:rPr>
          <w:rFonts w:ascii="Arial" w:cs="Arial" w:eastAsia="Arial" w:hAnsi="Arial"/>
          <w:sz w:val="19"/>
          <w:szCs w:val="19"/>
          <w:u w:val="single" w:color="auto"/>
          <w:color w:val="auto"/>
        </w:rPr>
        <w:t>Section 16(a)</w:t>
      </w:r>
      <w:r>
        <w:rPr>
          <w:rFonts w:ascii="Arial" w:cs="Arial" w:eastAsia="Arial" w:hAnsi="Arial"/>
          <w:sz w:val="19"/>
          <w:szCs w:val="19"/>
          <w:color w:val="auto"/>
        </w:rPr>
        <w:t xml:space="preserve"> , (ii) be binding upon each Grantor, its successors and assigns, and (iii) inure, together with the rights and remedies of the Collateral Agent hereunder, to the benefit of the Collateral Agent and each other Secured Party and each of their respective successors, permitted transferees and permitted assigns; no other persons (including, without limitation, any other creditor of any Grantor) shall have any interest herein or any right or benefit with respect hereto. Without limiting the generality of the foregoing clause (iii) and subject to the provisions of the applicable Loan Documents (including the Intercreditor Agreement and any Other Intercreditor Agreement), any Secured Party may assign or otherwise transfer any indebtedness held by it secured by this SGR Security Agreement to any other Person, and following such assignment or transfer, the Collateral Agent shall hold the security interest and mortgage of this SGR Security Agreement for the benefit of such other Person, subject, however, to the provisions of the applicable Loan Documents (including the Intercreditor Agreement and any Other Intercreditor Agreement).</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21"/>
          <w:szCs w:val="21"/>
          <w:color w:val="auto"/>
        </w:rPr>
        <w:t xml:space="preserve">Section 20. Governing Law. </w:t>
      </w:r>
      <w:r>
        <w:rPr>
          <w:rFonts w:ascii="Arial" w:cs="Arial" w:eastAsia="Arial" w:hAnsi="Arial"/>
          <w:sz w:val="21"/>
          <w:szCs w:val="21"/>
          <w:b w:val="1"/>
          <w:bCs w:val="1"/>
          <w:color w:val="auto"/>
        </w:rPr>
        <w:t>THIS SGR SECURITY AGREEMENT HAS BEEN DELIVERED IN THE STATE</w:t>
      </w:r>
    </w:p>
    <w:p>
      <w:pPr>
        <w:spacing w:after="0" w:line="39" w:lineRule="exact"/>
        <w:rPr>
          <w:sz w:val="20"/>
          <w:szCs w:val="20"/>
          <w:color w:val="auto"/>
        </w:rPr>
      </w:pPr>
    </w:p>
    <w:p>
      <w:pPr>
        <w:jc w:val="both"/>
        <w:ind w:left="1300"/>
        <w:spacing w:after="0" w:line="244" w:lineRule="auto"/>
        <w:rPr>
          <w:sz w:val="20"/>
          <w:szCs w:val="20"/>
          <w:color w:val="auto"/>
        </w:rPr>
      </w:pPr>
      <w:r>
        <w:rPr>
          <w:rFonts w:ascii="Arial" w:cs="Arial" w:eastAsia="Arial" w:hAnsi="Arial"/>
          <w:sz w:val="22"/>
          <w:szCs w:val="22"/>
          <w:b w:val="1"/>
          <w:bCs w:val="1"/>
          <w:color w:val="auto"/>
        </w:rPr>
        <w:t xml:space="preserve">OF NEW YORK, AND THIS SGR SECURITY AGREEMENT AND THE RIGHTS AND OBLIGATIONS OF THE PARTIES UNDER THIS SGR SECURITY AGREEMENT SHALL BE GOVERNED BY, AND CONSTRUED AND INTERPRETED IN ACCORDANCE WITH, THE LAWS OF THE STATE OF NEW YORK </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22" w:name="page423"/>
    <w:bookmarkEnd w:id="422"/>
    <w:p>
      <w:pPr>
        <w:ind w:left="980"/>
        <w:spacing w:after="0"/>
        <w:rPr>
          <w:sz w:val="20"/>
          <w:szCs w:val="20"/>
          <w:color w:val="auto"/>
        </w:rPr>
      </w:pPr>
      <w:r>
        <w:rPr>
          <w:rFonts w:ascii="Arial" w:cs="Arial" w:eastAsia="Arial" w:hAnsi="Arial"/>
          <w:sz w:val="21"/>
          <w:szCs w:val="21"/>
          <w:color w:val="auto"/>
        </w:rPr>
        <w:t xml:space="preserve">Section 21. Waiver of Jury Trial. </w:t>
      </w:r>
      <w:r>
        <w:rPr>
          <w:rFonts w:ascii="Arial" w:cs="Arial" w:eastAsia="Arial" w:hAnsi="Arial"/>
          <w:sz w:val="21"/>
          <w:szCs w:val="21"/>
          <w:b w:val="1"/>
          <w:bCs w:val="1"/>
          <w:color w:val="auto"/>
        </w:rPr>
        <w:t>EACH PARTY HERETO HEREBY WAIVES, TO THE FULLEST EXTENT</w:t>
      </w:r>
    </w:p>
    <w:p>
      <w:pPr>
        <w:spacing w:after="0" w:line="39" w:lineRule="exact"/>
        <w:rPr>
          <w:sz w:val="20"/>
          <w:szCs w:val="20"/>
          <w:color w:val="auto"/>
        </w:rPr>
      </w:pPr>
    </w:p>
    <w:p>
      <w:pPr>
        <w:jc w:val="both"/>
        <w:ind w:left="1300"/>
        <w:spacing w:after="0" w:line="243" w:lineRule="auto"/>
        <w:rPr>
          <w:sz w:val="20"/>
          <w:szCs w:val="20"/>
          <w:color w:val="auto"/>
        </w:rPr>
      </w:pPr>
      <w:r>
        <w:rPr>
          <w:rFonts w:ascii="Arial" w:cs="Arial" w:eastAsia="Arial" w:hAnsi="Arial"/>
          <w:sz w:val="22"/>
          <w:szCs w:val="22"/>
          <w:b w:val="1"/>
          <w:bCs w:val="1"/>
          <w:color w:val="auto"/>
        </w:rPr>
        <w:t xml:space="preserve">PERMITTED BY APPLICABLE LAW, ANY RIGHT IT MAY HAVE TO A TRIAL BY JURY IN ANY LEGAL PROCEEDING DIRECTLY OR INDIRECTLY ARISING OUT OF OR RELATING TO THIS SGR SECURITY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SGR SECURITY AGREEMENT BY, AMONG OTHER THINGS, THE MUTUAL WAIVERS AND CERTIFICATIONS IN THIS </w:t>
      </w:r>
      <w:r>
        <w:rPr>
          <w:rFonts w:ascii="Arial" w:cs="Arial" w:eastAsia="Arial" w:hAnsi="Arial"/>
          <w:sz w:val="22"/>
          <w:szCs w:val="22"/>
          <w:b w:val="1"/>
          <w:bCs w:val="1"/>
          <w:u w:val="single" w:color="auto"/>
          <w:color w:val="auto"/>
        </w:rPr>
        <w:t>SECTION 21</w:t>
      </w:r>
      <w:r>
        <w:rPr>
          <w:rFonts w:ascii="Arial" w:cs="Arial" w:eastAsia="Arial" w:hAnsi="Arial"/>
          <w:sz w:val="22"/>
          <w:szCs w:val="22"/>
          <w:b w:val="1"/>
          <w:bCs w:val="1"/>
          <w:color w:val="auto"/>
        </w:rPr>
        <w:t xml:space="preserve"> .</w:t>
      </w:r>
    </w:p>
    <w:p>
      <w:pPr>
        <w:spacing w:after="0" w:line="202" w:lineRule="exact"/>
        <w:rPr>
          <w:sz w:val="20"/>
          <w:szCs w:val="20"/>
          <w:color w:val="auto"/>
        </w:rPr>
      </w:pPr>
    </w:p>
    <w:p>
      <w:pPr>
        <w:ind w:left="980"/>
        <w:spacing w:after="0"/>
        <w:rPr>
          <w:sz w:val="20"/>
          <w:szCs w:val="20"/>
          <w:color w:val="auto"/>
        </w:rPr>
      </w:pPr>
      <w:r>
        <w:rPr>
          <w:rFonts w:ascii="Arial" w:cs="Arial" w:eastAsia="Arial" w:hAnsi="Arial"/>
          <w:sz w:val="22"/>
          <w:szCs w:val="22"/>
          <w:color w:val="auto"/>
        </w:rPr>
        <w:t>Section 22. Consent to Jurisdiction and Service of Process.</w:t>
      </w:r>
    </w:p>
    <w:p>
      <w:pPr>
        <w:spacing w:after="0" w:line="220" w:lineRule="exact"/>
        <w:rPr>
          <w:sz w:val="20"/>
          <w:szCs w:val="20"/>
          <w:color w:val="auto"/>
        </w:rPr>
      </w:pPr>
    </w:p>
    <w:p>
      <w:pPr>
        <w:jc w:val="both"/>
        <w:ind w:firstLine="656"/>
        <w:spacing w:after="0" w:line="259" w:lineRule="auto"/>
        <w:tabs>
          <w:tab w:leader="none" w:pos="1201" w:val="left"/>
        </w:tabs>
        <w:numPr>
          <w:ilvl w:val="0"/>
          <w:numId w:val="534"/>
        </w:numPr>
        <w:rPr>
          <w:rFonts w:ascii="Arial" w:cs="Arial" w:eastAsia="Arial" w:hAnsi="Arial"/>
          <w:sz w:val="21"/>
          <w:szCs w:val="21"/>
          <w:color w:val="010000"/>
        </w:rPr>
      </w:pPr>
      <w:r>
        <w:rPr>
          <w:rFonts w:ascii="Arial" w:cs="Arial" w:eastAsia="Arial" w:hAnsi="Arial"/>
          <w:sz w:val="21"/>
          <w:szCs w:val="21"/>
          <w:color w:val="auto"/>
        </w:rPr>
        <w:t>Each party hereto hereby irrevocably and unconditionally submits, for itself and its property in any legal action or proceeding relating to this SGR Security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any appellate court from any thereof, in any action or proceeding arising out of or relating to this SGR Security Agreement,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79" w:lineRule="exact"/>
        <w:rPr>
          <w:rFonts w:ascii="Arial" w:cs="Arial" w:eastAsia="Arial" w:hAnsi="Arial"/>
          <w:sz w:val="21"/>
          <w:szCs w:val="21"/>
          <w:color w:val="010000"/>
        </w:rPr>
      </w:pPr>
    </w:p>
    <w:p>
      <w:pPr>
        <w:jc w:val="both"/>
        <w:ind w:firstLine="656"/>
        <w:spacing w:after="0" w:line="248" w:lineRule="auto"/>
        <w:tabs>
          <w:tab w:leader="none" w:pos="1183" w:val="left"/>
        </w:tabs>
        <w:numPr>
          <w:ilvl w:val="0"/>
          <w:numId w:val="534"/>
        </w:numPr>
        <w:rPr>
          <w:rFonts w:ascii="Arial" w:cs="Arial" w:eastAsia="Arial" w:hAnsi="Arial"/>
          <w:sz w:val="22"/>
          <w:szCs w:val="22"/>
          <w:color w:val="010000"/>
        </w:rPr>
      </w:pPr>
      <w:r>
        <w:rPr>
          <w:rFonts w:ascii="Arial" w:cs="Arial" w:eastAsia="Arial" w:hAnsi="Arial"/>
          <w:sz w:val="22"/>
          <w:szCs w:val="22"/>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SGR Security Agreement in any court referred to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 Each of the parties hereto hereby irrevocably waives, to the fullest extent permitted by law, the defense of an inconvenient forum to the maintenance of such action or proceeding in any such court.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3" w:name="page424"/>
    <w:bookmarkEnd w:id="423"/>
    <w:p>
      <w:pPr>
        <w:jc w:val="both"/>
        <w:ind w:firstLine="656"/>
        <w:spacing w:after="0" w:line="253" w:lineRule="auto"/>
        <w:tabs>
          <w:tab w:leader="none" w:pos="1177" w:val="left"/>
        </w:tabs>
        <w:numPr>
          <w:ilvl w:val="0"/>
          <w:numId w:val="535"/>
        </w:numPr>
        <w:rPr>
          <w:rFonts w:ascii="Arial" w:cs="Arial" w:eastAsia="Arial" w:hAnsi="Arial"/>
          <w:sz w:val="22"/>
          <w:szCs w:val="22"/>
          <w:color w:val="010000"/>
        </w:rPr>
      </w:pPr>
      <w:r>
        <w:rPr>
          <w:rFonts w:ascii="Arial" w:cs="Arial" w:eastAsia="Arial" w:hAnsi="Arial"/>
          <w:sz w:val="22"/>
          <w:szCs w:val="22"/>
          <w:color w:val="auto"/>
        </w:rPr>
        <w:t xml:space="preserve">Each party hereto hereby irrevocably and unconditionally consents to service of process in the manner provided for notices in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 Nothing in this SGR Security Agreement will affect the right of any party to this SGR Security Agreement to serve process in any other manner permitted by law.</w:t>
      </w:r>
    </w:p>
    <w:p>
      <w:pPr>
        <w:spacing w:after="0" w:line="185" w:lineRule="exact"/>
        <w:rPr>
          <w:sz w:val="20"/>
          <w:szCs w:val="20"/>
          <w:color w:val="auto"/>
        </w:rPr>
      </w:pPr>
    </w:p>
    <w:p>
      <w:pPr>
        <w:jc w:val="both"/>
        <w:ind w:left="1300" w:hanging="323"/>
        <w:spacing w:after="0" w:line="258" w:lineRule="exact"/>
        <w:rPr>
          <w:sz w:val="20"/>
          <w:szCs w:val="20"/>
          <w:color w:val="auto"/>
        </w:rPr>
      </w:pPr>
      <w:r>
        <w:rPr>
          <w:rFonts w:ascii="Arial" w:cs="Arial" w:eastAsia="Arial" w:hAnsi="Arial"/>
          <w:sz w:val="21"/>
          <w:szCs w:val="21"/>
          <w:color w:val="auto"/>
        </w:rPr>
        <w:t>Section 23. Security Interest Absolute. To the extent permitted by applicable law, the obligations of the Grantors hereunder shall remain in full force and effect without regard to, and shall not be impaired by (a) any bankruptcy, insolvency, reorganization, arrangement, readjustment, composition, liquidation or the like of any Grantor, except to the extent that the enforceability thereof may be limited by any such event; (b) any exercise or non</w:t>
      </w:r>
      <w:r>
        <w:rPr>
          <w:rFonts w:ascii="MS PGothic" w:cs="MS PGothic" w:eastAsia="MS PGothic" w:hAnsi="MS PGothic"/>
          <w:sz w:val="21"/>
          <w:szCs w:val="21"/>
          <w:color w:val="auto"/>
        </w:rPr>
        <w:t>‑</w:t>
      </w:r>
      <w:r>
        <w:rPr>
          <w:rFonts w:ascii="Arial" w:cs="Arial" w:eastAsia="Arial" w:hAnsi="Arial"/>
          <w:sz w:val="21"/>
          <w:szCs w:val="21"/>
          <w:color w:val="auto"/>
        </w:rPr>
        <w:t>exercise, or any waiver of any right, remedy, power or privilege under or in respect of this SGR Security Agreement or any other Loan Documents, except as specifically set forth in a waiver granted pursuant to Section 15; (c) any lack of validity or enforceability of the Liens granted hereunder; or (d) any other circumstances which might otherwise constitute a defense available to, or a discharge of, any Grantor (other than payment or performance in accordance with the terms of the Loan Documents (including the Intercreditor Agreement and any Other Intercreditor Agreement)).</w:t>
      </w:r>
    </w:p>
    <w:p>
      <w:pPr>
        <w:spacing w:after="0" w:line="205" w:lineRule="exact"/>
        <w:rPr>
          <w:sz w:val="20"/>
          <w:szCs w:val="20"/>
          <w:color w:val="auto"/>
        </w:rPr>
      </w:pPr>
    </w:p>
    <w:p>
      <w:pPr>
        <w:jc w:val="both"/>
        <w:ind w:left="1300" w:hanging="323"/>
        <w:spacing w:after="0" w:line="263" w:lineRule="auto"/>
        <w:rPr>
          <w:sz w:val="20"/>
          <w:szCs w:val="20"/>
          <w:color w:val="auto"/>
        </w:rPr>
      </w:pPr>
      <w:r>
        <w:rPr>
          <w:rFonts w:ascii="Arial" w:cs="Arial" w:eastAsia="Arial" w:hAnsi="Arial"/>
          <w:sz w:val="21"/>
          <w:szCs w:val="21"/>
          <w:color w:val="auto"/>
        </w:rPr>
        <w:t>Section 24. Severability of Provisions. To the extent permitted by applicable law, any provision of this SGR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5" w:lineRule="exact"/>
        <w:rPr>
          <w:sz w:val="20"/>
          <w:szCs w:val="20"/>
          <w:color w:val="auto"/>
        </w:rPr>
      </w:pPr>
    </w:p>
    <w:p>
      <w:pPr>
        <w:jc w:val="both"/>
        <w:ind w:left="1300" w:hanging="323"/>
        <w:spacing w:after="0" w:line="263" w:lineRule="auto"/>
        <w:rPr>
          <w:sz w:val="20"/>
          <w:szCs w:val="20"/>
          <w:color w:val="auto"/>
        </w:rPr>
      </w:pPr>
      <w:r>
        <w:rPr>
          <w:rFonts w:ascii="Arial" w:cs="Arial" w:eastAsia="Arial" w:hAnsi="Arial"/>
          <w:sz w:val="22"/>
          <w:szCs w:val="22"/>
          <w:color w:val="auto"/>
        </w:rPr>
        <w:t>Section 25. Headings. Section headings used herein are for convenience only and are not to affect the construction of or be taken into consideration in interpreting this SGR Security Agreement.</w:t>
      </w:r>
    </w:p>
    <w:p>
      <w:pPr>
        <w:spacing w:after="0" w:line="175" w:lineRule="exact"/>
        <w:rPr>
          <w:sz w:val="20"/>
          <w:szCs w:val="20"/>
          <w:color w:val="auto"/>
        </w:rPr>
      </w:pPr>
    </w:p>
    <w:p>
      <w:pPr>
        <w:jc w:val="both"/>
        <w:ind w:left="1300" w:hanging="323"/>
        <w:spacing w:after="0" w:line="248" w:lineRule="auto"/>
        <w:rPr>
          <w:sz w:val="20"/>
          <w:szCs w:val="20"/>
          <w:color w:val="auto"/>
        </w:rPr>
      </w:pPr>
      <w:r>
        <w:rPr>
          <w:rFonts w:ascii="Arial" w:cs="Arial" w:eastAsia="Arial" w:hAnsi="Arial"/>
          <w:sz w:val="22"/>
          <w:szCs w:val="22"/>
          <w:color w:val="auto"/>
        </w:rPr>
        <w:t>Section 26. Execution in Counterparts. This SGR Security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SGR Security Agreement by facsimile or electronic .pdf copy shall be effective as delivery of a manually executed counterpart of this SGR Security Agreement.</w:t>
      </w:r>
    </w:p>
    <w:p>
      <w:pPr>
        <w:spacing w:after="0" w:line="192" w:lineRule="exact"/>
        <w:rPr>
          <w:sz w:val="20"/>
          <w:szCs w:val="20"/>
          <w:color w:val="auto"/>
        </w:rPr>
      </w:pPr>
    </w:p>
    <w:p>
      <w:pPr>
        <w:jc w:val="both"/>
        <w:ind w:left="1300" w:hanging="323"/>
        <w:spacing w:after="0" w:line="263" w:lineRule="auto"/>
        <w:rPr>
          <w:sz w:val="20"/>
          <w:szCs w:val="20"/>
          <w:color w:val="auto"/>
        </w:rPr>
      </w:pPr>
      <w:r>
        <w:rPr>
          <w:rFonts w:ascii="Arial" w:cs="Arial" w:eastAsia="Arial" w:hAnsi="Arial"/>
          <w:sz w:val="22"/>
          <w:szCs w:val="22"/>
          <w:color w:val="auto"/>
        </w:rPr>
        <w:t>Section 27. Additional Grantors. If, at the option of the Borrower or as required pursuant to Section 5.09 of the Credit Agreement, the Borrower shall cause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24" w:name="page425"/>
    <w:bookmarkEnd w:id="424"/>
    <w:p>
      <w:pPr>
        <w:jc w:val="both"/>
        <w:ind w:left="180"/>
        <w:spacing w:after="0" w:line="247" w:lineRule="auto"/>
        <w:rPr>
          <w:sz w:val="20"/>
          <w:szCs w:val="20"/>
          <w:color w:val="auto"/>
        </w:rPr>
      </w:pPr>
      <w:r>
        <w:rPr>
          <w:rFonts w:ascii="Arial" w:cs="Arial" w:eastAsia="Arial" w:hAnsi="Arial"/>
          <w:sz w:val="22"/>
          <w:szCs w:val="22"/>
          <w:color w:val="auto"/>
        </w:rPr>
        <w:t xml:space="preserve">any Affiliate that is not a Grantor to become a Grantor hereunder, such Affiliate shall execute and deliver to the Collateral Agent a Joinder Agreement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shall thereafter for all purposes be a party hereto and have the same rights, benefits and obligations as a Grantor party hereto on the Closing Date, it being understood that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shall apply to, and the representations and warranties contained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shall be made by, such Affiliate only after such Affiliate executes and delivers to the Administrative Agent a Joinder Agreement.</w:t>
      </w:r>
    </w:p>
    <w:p>
      <w:pPr>
        <w:spacing w:after="0" w:line="193" w:lineRule="exact"/>
        <w:rPr>
          <w:sz w:val="20"/>
          <w:szCs w:val="20"/>
          <w:color w:val="auto"/>
        </w:rPr>
      </w:pPr>
    </w:p>
    <w:p>
      <w:pPr>
        <w:jc w:val="both"/>
        <w:ind w:left="180" w:hanging="323"/>
        <w:spacing w:after="0" w:line="289" w:lineRule="auto"/>
        <w:rPr>
          <w:sz w:val="20"/>
          <w:szCs w:val="20"/>
          <w:color w:val="auto"/>
        </w:rPr>
      </w:pPr>
      <w:r>
        <w:rPr>
          <w:rFonts w:ascii="Arial" w:cs="Arial" w:eastAsia="Arial" w:hAnsi="Arial"/>
          <w:sz w:val="19"/>
          <w:szCs w:val="19"/>
          <w:color w:val="auto"/>
        </w:rPr>
        <w:t>Section 28. Successors and Assigns. This SGR Security Agreement shall be binding upon each Grantor and its successors and assigns and shall inure to the benefit of the Collateral Agent and each Secured Party and their respective successors and permitted assigns; provided that no Grantor may transfer or assign any or all of its rights or obligations hereunder without the prior written consent of the Collateral Agent, unless otherwise permitted by the applicable Loan Documents. All agreements, statements, representations and warranties made by any Grantor herein or in any certificate or other instrument delivered by such Grantor or on its behalf under this SGR Security Agreement shall be considered to have been relied upon by the Secured Parties and shall survive the execution and delivery of this SGR Security Agreement and the other Loan Documents regardless of any investigation made by the Secured Parties or on their behalf.</w:t>
      </w:r>
    </w:p>
    <w:p>
      <w:pPr>
        <w:spacing w:after="0" w:line="157" w:lineRule="exact"/>
        <w:rPr>
          <w:sz w:val="20"/>
          <w:szCs w:val="20"/>
          <w:color w:val="auto"/>
        </w:rPr>
      </w:pPr>
    </w:p>
    <w:p>
      <w:pPr>
        <w:jc w:val="both"/>
        <w:ind w:left="180" w:hanging="323"/>
        <w:spacing w:after="0" w:line="289" w:lineRule="auto"/>
        <w:rPr>
          <w:sz w:val="20"/>
          <w:szCs w:val="20"/>
          <w:color w:val="auto"/>
        </w:rPr>
      </w:pPr>
      <w:r>
        <w:rPr>
          <w:rFonts w:ascii="Arial" w:cs="Arial" w:eastAsia="Arial" w:hAnsi="Arial"/>
          <w:sz w:val="19"/>
          <w:szCs w:val="19"/>
          <w:color w:val="auto"/>
        </w:rPr>
        <w:t>Section 29. Limited Obligations. It is the desire and intent of each Grantor, the Collateral Agent and the Secured Parties that this SGR Security Agreement shall be enforced against each Grantor to the fullest extent permissible under the laws and public policies applied in each jurisdiction in which enforcement is sought. If and to the extent that the obligations of any Grantor under this SGR Security Agreement shall be adjudicated to be invalid or unenforceable for any reason (including, without limitation, because of any applicable state or federal law relating to fraudulent conveyances or transfers, which laws would determine the solvency of such Grantor by reference to the full amount of the Obligations at the time of the execution and delivery of this SGR Security Agreement), then the amount of the Obligations of such Grantor shall be deemed to be reduced and such Grantor shall pay the maximum amount of the Obligations which would be permissible under the applicable law.</w:t>
      </w:r>
    </w:p>
    <w:p>
      <w:pPr>
        <w:spacing w:after="0" w:line="157" w:lineRule="exact"/>
        <w:rPr>
          <w:sz w:val="20"/>
          <w:szCs w:val="20"/>
          <w:color w:val="auto"/>
        </w:rPr>
      </w:pPr>
    </w:p>
    <w:p>
      <w:pPr>
        <w:jc w:val="both"/>
        <w:ind w:left="180" w:hanging="323"/>
        <w:spacing w:after="0" w:line="312" w:lineRule="auto"/>
        <w:rPr>
          <w:sz w:val="20"/>
          <w:szCs w:val="20"/>
          <w:color w:val="auto"/>
        </w:rPr>
      </w:pPr>
      <w:r>
        <w:rPr>
          <w:rFonts w:ascii="Arial" w:cs="Arial" w:eastAsia="Arial" w:hAnsi="Arial"/>
          <w:sz w:val="19"/>
          <w:szCs w:val="19"/>
          <w:color w:val="auto"/>
        </w:rPr>
        <w:t xml:space="preserve">Section 30. Construction of Schedules. It is understood and agreed that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is intended to be descriptive of the Slots listed on such Schedule scheduled for the start of the IATA summer season of 2020 and that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is intended to be descriptive of the Scheduled Services listed on such Schedule as of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79" w:right="339" w:bottom="1440" w:gutter="0" w:footer="0" w:header="0"/>
        </w:sectPr>
      </w:pPr>
    </w:p>
    <w:bookmarkStart w:id="425" w:name="page426"/>
    <w:bookmarkEnd w:id="425"/>
    <w:p>
      <w:pPr>
        <w:ind w:left="180"/>
        <w:spacing w:after="0" w:line="263" w:lineRule="auto"/>
        <w:rPr>
          <w:sz w:val="20"/>
          <w:szCs w:val="20"/>
          <w:color w:val="auto"/>
        </w:rPr>
      </w:pPr>
      <w:r>
        <w:rPr>
          <w:rFonts w:ascii="Arial" w:cs="Arial" w:eastAsia="Arial" w:hAnsi="Arial"/>
          <w:sz w:val="22"/>
          <w:szCs w:val="22"/>
          <w:color w:val="auto"/>
        </w:rPr>
        <w:t>date hereof, and such Schedules shall not be construed as expanding or limiting in any way the Collateral subject to this SGR Security Agreement.</w:t>
      </w:r>
    </w:p>
    <w:p>
      <w:pPr>
        <w:spacing w:after="0" w:line="175"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79" w:right="339" w:bottom="1440" w:gutter="0" w:footer="0" w:header="0"/>
        </w:sectPr>
      </w:pPr>
    </w:p>
    <w:bookmarkStart w:id="426" w:name="page427"/>
    <w:bookmarkEnd w:id="426"/>
    <w:p>
      <w:pPr>
        <w:ind w:firstLine="1296"/>
        <w:spacing w:after="0" w:line="287" w:lineRule="auto"/>
        <w:rPr>
          <w:sz w:val="20"/>
          <w:szCs w:val="20"/>
          <w:color w:val="auto"/>
        </w:rPr>
      </w:pPr>
      <w:r>
        <w:rPr>
          <w:rFonts w:ascii="Arial" w:cs="Arial" w:eastAsia="Arial" w:hAnsi="Arial"/>
          <w:sz w:val="21"/>
          <w:szCs w:val="21"/>
          <w:color w:val="auto"/>
        </w:rPr>
        <w:t>IN WITNESS WHEREOF, the Grantors and the Collateral Agent each has caused this SGR Security Agreement to be duly executed and delivered by its officer thereunto duly authorized as of the date first above written.</w:t>
      </w:r>
    </w:p>
    <w:p>
      <w:pPr>
        <w:spacing w:after="0" w:line="1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8229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Second Lien Security Agreement (Slots, Foreign Gate Leaseholds and Route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27" w:name="page428"/>
    <w:bookmarkEnd w:id="427"/>
    <w:p>
      <w:pPr>
        <w:ind w:left="278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Second Lien Collateral Agent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2166620</wp:posOffset>
            </wp:positionH>
            <wp:positionV relativeFrom="paragraph">
              <wp:posOffset>-17780</wp:posOffset>
            </wp:positionV>
            <wp:extent cx="68580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144145</wp:posOffset>
            </wp:positionV>
            <wp:extent cx="54864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4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[Signature Page to Second Lien Security Agreement (Slots, Foreign Gate Leaseholds and Route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28" w:name="page429"/>
    <w:bookmarkEnd w:id="428"/>
    <w:p>
      <w:pPr>
        <w:jc w:val="right"/>
        <w:spacing w:after="0"/>
        <w:rPr>
          <w:sz w:val="20"/>
          <w:szCs w:val="20"/>
          <w:color w:val="auto"/>
        </w:rPr>
      </w:pPr>
      <w:r>
        <w:rPr>
          <w:rFonts w:ascii="Arial" w:cs="Arial" w:eastAsia="Arial" w:hAnsi="Arial"/>
          <w:sz w:val="22"/>
          <w:szCs w:val="22"/>
          <w:color w:val="auto"/>
        </w:rPr>
        <w:t>Schedule I</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 OF GRANTORS; LOCATIONS OF CHIEF EXECUTIVE OFFICES AND ADDRESSES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520" w:type="dxa"/>
            <w:vAlign w:val="bottom"/>
            <w:tcBorders>
              <w:right w:val="single" w:sz="8" w:color="auto"/>
            </w:tcBorders>
          </w:tcPr>
          <w:p>
            <w:pPr>
              <w:spacing w:after="0"/>
              <w:rPr>
                <w:sz w:val="24"/>
                <w:szCs w:val="24"/>
                <w:color w:val="auto"/>
              </w:rPr>
            </w:pPr>
          </w:p>
        </w:tc>
        <w:tc>
          <w:tcPr>
            <w:tcW w:w="512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Grantor</w:t>
            </w:r>
          </w:p>
        </w:tc>
        <w:tc>
          <w:tcPr>
            <w:tcW w:w="5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Address</w:t>
            </w:r>
          </w:p>
        </w:tc>
        <w:tc>
          <w:tcPr>
            <w:tcW w:w="460" w:type="dxa"/>
            <w:vAlign w:val="bottom"/>
          </w:tcPr>
          <w:p>
            <w:pPr>
              <w:spacing w:after="0"/>
              <w:rPr>
                <w:sz w:val="24"/>
                <w:szCs w:val="24"/>
                <w:color w:val="auto"/>
              </w:rPr>
            </w:pPr>
          </w:p>
        </w:tc>
      </w:tr>
      <w:tr>
        <w:trPr>
          <w:trHeight w:val="249"/>
        </w:trPr>
        <w:tc>
          <w:tcPr>
            <w:tcW w:w="520" w:type="dxa"/>
            <w:vAlign w:val="bottom"/>
            <w:tcBorders>
              <w:right w:val="single" w:sz="8" w:color="auto"/>
            </w:tcBorders>
          </w:tcPr>
          <w:p>
            <w:pPr>
              <w:spacing w:after="0"/>
              <w:rPr>
                <w:sz w:val="21"/>
                <w:szCs w:val="21"/>
                <w:color w:val="auto"/>
              </w:rPr>
            </w:pPr>
          </w:p>
        </w:tc>
        <w:tc>
          <w:tcPr>
            <w:tcW w:w="512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American Airlines, Inc.</w:t>
            </w:r>
          </w:p>
        </w:tc>
        <w:tc>
          <w:tcPr>
            <w:tcW w:w="5140" w:type="dxa"/>
            <w:vAlign w:val="bottom"/>
            <w:tcBorders>
              <w:right w:val="single" w:sz="8" w:color="auto"/>
            </w:tcBorders>
          </w:tcPr>
          <w:p>
            <w:pPr>
              <w:ind w:left="20"/>
              <w:spacing w:after="0" w:line="248" w:lineRule="exact"/>
              <w:rPr>
                <w:sz w:val="20"/>
                <w:szCs w:val="20"/>
                <w:color w:val="auto"/>
              </w:rPr>
            </w:pPr>
            <w:r>
              <w:rPr>
                <w:rFonts w:ascii="Arial" w:cs="Arial" w:eastAsia="Arial" w:hAnsi="Arial"/>
                <w:sz w:val="22"/>
                <w:szCs w:val="22"/>
                <w:color w:val="auto"/>
              </w:rPr>
              <w:t>1 Skyview Drive,</w:t>
            </w:r>
          </w:p>
        </w:tc>
        <w:tc>
          <w:tcPr>
            <w:tcW w:w="460" w:type="dxa"/>
            <w:vAlign w:val="bottom"/>
          </w:tcPr>
          <w:p>
            <w:pPr>
              <w:spacing w:after="0"/>
              <w:rPr>
                <w:sz w:val="21"/>
                <w:szCs w:val="21"/>
                <w:color w:val="auto"/>
              </w:rPr>
            </w:pPr>
          </w:p>
        </w:tc>
      </w:tr>
      <w:tr>
        <w:trPr>
          <w:trHeight w:val="285"/>
        </w:trPr>
        <w:tc>
          <w:tcPr>
            <w:tcW w:w="520" w:type="dxa"/>
            <w:vAlign w:val="bottom"/>
            <w:tcBorders>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tcPr>
          <w:p>
            <w:pPr>
              <w:spacing w:after="0"/>
              <w:rPr>
                <w:sz w:val="24"/>
                <w:szCs w:val="24"/>
                <w:color w:val="auto"/>
              </w:rPr>
            </w:pP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Fort Worth, Texas 76155</w:t>
            </w:r>
          </w:p>
        </w:tc>
        <w:tc>
          <w:tcPr>
            <w:tcW w:w="460" w:type="dxa"/>
            <w:vAlign w:val="bottom"/>
          </w:tcPr>
          <w:p>
            <w:pPr>
              <w:spacing w:after="0"/>
              <w:rPr>
                <w:sz w:val="24"/>
                <w:szCs w:val="24"/>
                <w:color w:val="auto"/>
              </w:rPr>
            </w:pPr>
          </w:p>
        </w:tc>
      </w:tr>
      <w:tr>
        <w:trPr>
          <w:trHeight w:val="533"/>
        </w:trPr>
        <w:tc>
          <w:tcPr>
            <w:tcW w:w="5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29" w:name="page430"/>
    <w:bookmarkEnd w:id="429"/>
    <w:p>
      <w:pPr>
        <w:jc w:val="right"/>
        <w:spacing w:after="0"/>
        <w:rPr>
          <w:sz w:val="20"/>
          <w:szCs w:val="20"/>
          <w:color w:val="auto"/>
        </w:rPr>
      </w:pPr>
      <w:r>
        <w:rPr>
          <w:rFonts w:ascii="Arial" w:cs="Arial" w:eastAsia="Arial" w:hAnsi="Arial"/>
          <w:sz w:val="22"/>
          <w:szCs w:val="22"/>
          <w:color w:val="auto"/>
        </w:rPr>
        <w:t>Schedule II</w:t>
      </w:r>
    </w:p>
    <w:p>
      <w:pPr>
        <w:spacing w:after="0" w:line="200" w:lineRule="exact"/>
        <w:rPr>
          <w:sz w:val="20"/>
          <w:szCs w:val="20"/>
          <w:color w:val="auto"/>
        </w:rPr>
      </w:pPr>
    </w:p>
    <w:p>
      <w:pPr>
        <w:spacing w:after="0" w:line="276"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SLOTS</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[See attached.]</w:t>
      </w: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430" w:name="page431"/>
    <w:bookmarkEnd w:id="430"/>
    <w:p>
      <w:pPr>
        <w:jc w:val="right"/>
        <w:spacing w:after="0"/>
        <w:rPr>
          <w:sz w:val="20"/>
          <w:szCs w:val="20"/>
          <w:color w:val="auto"/>
        </w:rPr>
      </w:pPr>
      <w:r>
        <w:rPr>
          <w:rFonts w:ascii="Arial" w:cs="Arial" w:eastAsia="Arial" w:hAnsi="Arial"/>
          <w:sz w:val="22"/>
          <w:szCs w:val="22"/>
          <w:color w:val="auto"/>
        </w:rPr>
        <w:t>Schedule III</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SCHEDULED SERVICES</w:t>
      </w:r>
    </w:p>
    <w:p>
      <w:pPr>
        <w:spacing w:after="0" w:line="220"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Non-stop scheduled air carrier service being operated by Grantor between (i) any airport in the United States and any airport in the European Union (“EU”) and (ii) any airport in the United States and any airport in the United Kingdom (“UK”).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Route Authorities</w:t>
      </w:r>
    </w:p>
    <w:p>
      <w:pPr>
        <w:spacing w:after="0" w:line="193" w:lineRule="exact"/>
        <w:rPr>
          <w:sz w:val="20"/>
          <w:szCs w:val="20"/>
          <w:color w:val="auto"/>
        </w:rPr>
      </w:pPr>
    </w:p>
    <w:p>
      <w:pPr>
        <w:ind w:right="100" w:firstLine="656"/>
        <w:spacing w:after="0" w:line="252" w:lineRule="auto"/>
        <w:tabs>
          <w:tab w:leader="none" w:pos="1506" w:val="left"/>
        </w:tabs>
        <w:numPr>
          <w:ilvl w:val="0"/>
          <w:numId w:val="536"/>
        </w:numPr>
        <w:rPr>
          <w:rFonts w:ascii="Arial" w:cs="Arial" w:eastAsia="Arial" w:hAnsi="Arial"/>
          <w:sz w:val="16"/>
          <w:szCs w:val="16"/>
          <w:color w:val="auto"/>
        </w:rPr>
      </w:pPr>
      <w:r>
        <w:rPr>
          <w:rFonts w:ascii="Arial" w:cs="Arial" w:eastAsia="Arial" w:hAnsi="Arial"/>
          <w:sz w:val="19"/>
          <w:szCs w:val="19"/>
          <w:color w:val="auto"/>
        </w:rPr>
        <w:t>the route authority or authorities (including any applicable certificate, exemption and frequency authorities, or portion thereof) granted by the DOT and held by Grantor pursuant to (x) the Air Transport Agreement between the United States of America and the European Community and its Member States signed on April 25 and 30, 2007, as amended or modified from time to time, to operate air carrier service between points in the United States and points in the EU, or (y) such other agreements or treaties entered into by the applicable U.S. Governmental Authority and as in effect from time to time that permit Grantor and its successors and/or permitted assigns to operate air carrier service between points in the United States and the EU;</w:t>
      </w:r>
    </w:p>
    <w:p>
      <w:pPr>
        <w:spacing w:after="0" w:line="149" w:lineRule="exact"/>
        <w:rPr>
          <w:rFonts w:ascii="Arial" w:cs="Arial" w:eastAsia="Arial" w:hAnsi="Arial"/>
          <w:sz w:val="16"/>
          <w:szCs w:val="16"/>
          <w:color w:val="auto"/>
        </w:rPr>
      </w:pPr>
    </w:p>
    <w:p>
      <w:pPr>
        <w:ind w:right="140" w:firstLine="656"/>
        <w:spacing w:after="0" w:line="244" w:lineRule="auto"/>
        <w:tabs>
          <w:tab w:leader="none" w:pos="1530" w:val="left"/>
        </w:tabs>
        <w:numPr>
          <w:ilvl w:val="0"/>
          <w:numId w:val="536"/>
        </w:numPr>
        <w:rPr>
          <w:rFonts w:ascii="Arial" w:cs="Arial" w:eastAsia="Arial" w:hAnsi="Arial"/>
          <w:sz w:val="19"/>
          <w:szCs w:val="19"/>
          <w:color w:val="auto"/>
        </w:rPr>
      </w:pPr>
      <w:r>
        <w:rPr>
          <w:rFonts w:ascii="Arial" w:cs="Arial" w:eastAsia="Arial" w:hAnsi="Arial"/>
          <w:sz w:val="19"/>
          <w:szCs w:val="19"/>
          <w:color w:val="auto"/>
        </w:rPr>
        <w:t>the route authority or authorities (including any applicable certificate, exemption and frequency authorities, or portion thereof) granted by the DOT and held by Grantor pursuant to (x) when effective, the Air Transport Agreement between the Government of the United States of America and the Government of the United Kingdom of Great Britain and Northern Island signed on November 28, 2018, as amended or modified from time to time, to operate air carrier service between points in the United States and points in the UK, (y) when effective, the Memorandum of Consultations, signed by the Government of the United States of America and the Government of the United Kingdom of Great Britain and Northern Island on November 28, 2018, as amended or modified from time to time, to operate air carrier service between points in the United States and points in the UK as specified therein, or (z) such other agreements or treaties entered into by the applicable U.S. Governmental Authority and as in effect from time to time that permit Grantor and its successors and/or permitted assigns to operate air carrier service between points in the United States and the UK; and</w:t>
      </w:r>
    </w:p>
    <w:p>
      <w:pPr>
        <w:spacing w:after="0" w:line="154" w:lineRule="exact"/>
        <w:rPr>
          <w:rFonts w:ascii="Arial" w:cs="Arial" w:eastAsia="Arial" w:hAnsi="Arial"/>
          <w:sz w:val="19"/>
          <w:szCs w:val="19"/>
          <w:color w:val="auto"/>
        </w:rPr>
      </w:pPr>
    </w:p>
    <w:p>
      <w:pPr>
        <w:ind w:right="140" w:firstLine="656"/>
        <w:spacing w:after="0" w:line="224" w:lineRule="auto"/>
        <w:tabs>
          <w:tab w:leader="none" w:pos="1518" w:val="left"/>
        </w:tabs>
        <w:numPr>
          <w:ilvl w:val="0"/>
          <w:numId w:val="536"/>
        </w:numPr>
        <w:rPr>
          <w:rFonts w:ascii="Arial" w:cs="Arial" w:eastAsia="Arial" w:hAnsi="Arial"/>
          <w:sz w:val="21"/>
          <w:szCs w:val="21"/>
          <w:color w:val="auto"/>
        </w:rPr>
      </w:pPr>
      <w:r>
        <w:rPr>
          <w:rFonts w:ascii="Arial" w:cs="Arial" w:eastAsia="Arial" w:hAnsi="Arial"/>
          <w:sz w:val="21"/>
          <w:szCs w:val="21"/>
          <w:color w:val="auto"/>
        </w:rPr>
        <w:t>any other route authority or authorities (including any applicable certificate, exemption and frequency authorities, or portion thereof) relating to the operation commenced by Grantor after the Closing Date of any Scheduled Service between any airport in the United States and any airport in the EU or the UK that are granted by the DOT and held by Grantor pursuant to such agreements or treaties entered into by the applicable U.S. Governmental Authority and as in effect from time to time that permit Grantor and its successors and/or permitted assigns to operate air carrier service between points in the United States and points in the EU or the UK as may be specified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31" w:name="page432"/>
    <w:bookmarkEnd w:id="431"/>
    <w:p>
      <w:pPr>
        <w:jc w:val="right"/>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SGR Security Agreement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SGR SECOND LIEN SECURITY AGREEMENT SUPPLEMENT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SGR Second Lien Security Agreement Supplement No. __</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SGR SECOND LIEN SECURITY AGREEMENT SUPPLEMENT NO. __ , dated _____________, ____ (“ </w:t>
      </w:r>
      <w:r>
        <w:rPr>
          <w:rFonts w:ascii="Arial" w:cs="Arial" w:eastAsia="Arial" w:hAnsi="Arial"/>
          <w:sz w:val="21"/>
          <w:szCs w:val="21"/>
          <w:u w:val="single" w:color="auto"/>
          <w:color w:val="auto"/>
        </w:rPr>
        <w:t>SGR</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Security Agreement Supplement</w:t>
      </w:r>
      <w:r>
        <w:rPr>
          <w:rFonts w:ascii="Arial" w:cs="Arial" w:eastAsia="Arial" w:hAnsi="Arial"/>
          <w:sz w:val="19"/>
          <w:szCs w:val="19"/>
          <w:color w:val="auto"/>
        </w:rPr>
        <w:t xml:space="preserve"> ”), between [_________], a [_______] corporation (together with its permitted successors and</w:t>
      </w:r>
    </w:p>
    <w:p>
      <w:pPr>
        <w:spacing w:after="0" w:line="38"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 xml:space="preserve">assigns, the “ </w:t>
      </w:r>
      <w:r>
        <w:rPr>
          <w:rFonts w:ascii="Arial" w:cs="Arial" w:eastAsia="Arial" w:hAnsi="Arial"/>
          <w:sz w:val="22"/>
          <w:szCs w:val="22"/>
          <w:u w:val="single" w:color="auto"/>
          <w:color w:val="auto"/>
        </w:rPr>
        <w:t>Grantor</w:t>
      </w:r>
      <w:r>
        <w:rPr>
          <w:rFonts w:ascii="Arial" w:cs="Arial" w:eastAsia="Arial" w:hAnsi="Arial"/>
          <w:sz w:val="22"/>
          <w:szCs w:val="22"/>
          <w:color w:val="auto"/>
        </w:rPr>
        <w:t xml:space="preserve"> ”) and CITIBANK N.A., as Second Lien Collateral Agent (in such capacity, together with its successors and permitted assigns in such capacity, the “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ind w:firstLine="656"/>
        <w:spacing w:after="0" w:line="278" w:lineRule="auto"/>
        <w:tabs>
          <w:tab w:leader="none" w:pos="1175" w:val="left"/>
        </w:tabs>
        <w:numPr>
          <w:ilvl w:val="0"/>
          <w:numId w:val="537"/>
        </w:numPr>
        <w:rPr>
          <w:rFonts w:ascii="Arial" w:cs="Arial" w:eastAsia="Arial" w:hAnsi="Arial"/>
          <w:sz w:val="21"/>
          <w:szCs w:val="21"/>
          <w:color w:val="auto"/>
        </w:rPr>
      </w:pPr>
      <w:r>
        <w:rPr>
          <w:rFonts w:ascii="Arial" w:cs="Arial" w:eastAsia="Arial" w:hAnsi="Arial"/>
          <w:sz w:val="21"/>
          <w:szCs w:val="21"/>
          <w:color w:val="auto"/>
        </w:rPr>
        <w:t xml:space="preserve">Reference is made to the Second Lien Security Agreement (Slots, Foreign Gate Leaseholds and Route Authorities), dated as of March 18, 2020 (as may be amended, supplemented or otherwise modified from time to time, the “ </w:t>
      </w:r>
      <w:r>
        <w:rPr>
          <w:rFonts w:ascii="Arial" w:cs="Arial" w:eastAsia="Arial" w:hAnsi="Arial"/>
          <w:sz w:val="21"/>
          <w:szCs w:val="21"/>
          <w:u w:val="single" w:color="auto"/>
          <w:color w:val="auto"/>
        </w:rPr>
        <w:t>SGR Security</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xml:space="preserve"> ”), between the Grantor, the other Grantors named therein and the Collateral Agent.</w:t>
      </w:r>
    </w:p>
    <w:p>
      <w:pPr>
        <w:spacing w:after="0" w:line="159" w:lineRule="exact"/>
        <w:rPr>
          <w:rFonts w:ascii="Arial" w:cs="Arial" w:eastAsia="Arial" w:hAnsi="Arial"/>
          <w:sz w:val="21"/>
          <w:szCs w:val="21"/>
          <w:color w:val="auto"/>
        </w:rPr>
      </w:pPr>
    </w:p>
    <w:p>
      <w:pPr>
        <w:ind w:firstLine="656"/>
        <w:spacing w:after="0" w:line="276" w:lineRule="auto"/>
        <w:tabs>
          <w:tab w:leader="none" w:pos="1204" w:val="left"/>
        </w:tabs>
        <w:numPr>
          <w:ilvl w:val="0"/>
          <w:numId w:val="537"/>
        </w:numPr>
        <w:rPr>
          <w:rFonts w:ascii="Arial" w:cs="Arial" w:eastAsia="Arial" w:hAnsi="Arial"/>
          <w:sz w:val="22"/>
          <w:szCs w:val="22"/>
          <w:color w:val="auto"/>
        </w:rPr>
      </w:pPr>
      <w:r>
        <w:rPr>
          <w:rFonts w:ascii="Arial" w:cs="Arial" w:eastAsia="Arial" w:hAnsi="Arial"/>
          <w:sz w:val="22"/>
          <w:szCs w:val="22"/>
          <w:color w:val="auto"/>
        </w:rPr>
        <w:t>Capitalized terms used herein and not otherwise defined herein shall have the meanings assigned to such terms in the SGR Security Agreement.</w:t>
      </w:r>
    </w:p>
    <w:p>
      <w:pPr>
        <w:spacing w:after="0" w:line="160" w:lineRule="exact"/>
        <w:rPr>
          <w:rFonts w:ascii="Arial" w:cs="Arial" w:eastAsia="Arial" w:hAnsi="Arial"/>
          <w:sz w:val="22"/>
          <w:szCs w:val="22"/>
          <w:color w:val="auto"/>
        </w:rPr>
      </w:pPr>
    </w:p>
    <w:p>
      <w:pPr>
        <w:jc w:val="both"/>
        <w:ind w:firstLine="656"/>
        <w:spacing w:after="0" w:line="259" w:lineRule="auto"/>
        <w:tabs>
          <w:tab w:leader="none" w:pos="1258" w:val="left"/>
        </w:tabs>
        <w:numPr>
          <w:ilvl w:val="0"/>
          <w:numId w:val="537"/>
        </w:numPr>
        <w:rPr>
          <w:rFonts w:ascii="Arial" w:cs="Arial" w:eastAsia="Arial" w:hAnsi="Arial"/>
          <w:sz w:val="22"/>
          <w:szCs w:val="22"/>
          <w:color w:val="auto"/>
        </w:rPr>
      </w:pPr>
      <w:r>
        <w:rPr>
          <w:rFonts w:ascii="Arial" w:cs="Arial" w:eastAsia="Arial" w:hAnsi="Arial"/>
          <w:sz w:val="22"/>
          <w:szCs w:val="22"/>
          <w:u w:val="single" w:color="auto"/>
          <w:color w:val="auto"/>
        </w:rPr>
        <w:t>Section 6(a)</w:t>
      </w:r>
      <w:r>
        <w:rPr>
          <w:rFonts w:ascii="Arial" w:cs="Arial" w:eastAsia="Arial" w:hAnsi="Arial"/>
          <w:sz w:val="22"/>
          <w:szCs w:val="22"/>
          <w:color w:val="auto"/>
        </w:rPr>
        <w:t xml:space="preserve"> of the SGR Security Agreement provides that the Grantor may, at any time and from time to time, designate additional non-stop scheduled air carrier services being operated by the Grantor at such time as additional Scheduled Services by execution and delivery of supplements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Accordingly, the Grantor and the Collateral Agent agree as follows: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6(a)</w:t>
      </w:r>
      <w:r>
        <w:rPr>
          <w:rFonts w:ascii="Arial" w:cs="Arial" w:eastAsia="Arial" w:hAnsi="Arial"/>
          <w:sz w:val="22"/>
          <w:szCs w:val="22"/>
          <w:color w:val="auto"/>
        </w:rPr>
        <w:t xml:space="preserve"> of the SGR Security Agreement:</w:t>
      </w:r>
    </w:p>
    <w:p>
      <w:pPr>
        <w:spacing w:after="0" w:line="220" w:lineRule="exact"/>
        <w:rPr>
          <w:sz w:val="20"/>
          <w:szCs w:val="20"/>
          <w:color w:val="auto"/>
        </w:rPr>
      </w:pPr>
    </w:p>
    <w:p>
      <w:pPr>
        <w:jc w:val="both"/>
        <w:ind w:firstLine="656"/>
        <w:spacing w:after="0" w:line="319" w:lineRule="auto"/>
        <w:tabs>
          <w:tab w:leader="none" w:pos="1217" w:val="left"/>
        </w:tabs>
        <w:numPr>
          <w:ilvl w:val="0"/>
          <w:numId w:val="538"/>
        </w:numPr>
        <w:rPr>
          <w:rFonts w:ascii="Arial" w:cs="Arial" w:eastAsia="Arial" w:hAnsi="Arial"/>
          <w:sz w:val="19"/>
          <w:szCs w:val="19"/>
          <w:color w:val="auto"/>
        </w:rPr>
      </w:pPr>
      <w:r>
        <w:rPr>
          <w:rFonts w:ascii="Arial" w:cs="Arial" w:eastAsia="Arial" w:hAnsi="Arial"/>
          <w:sz w:val="19"/>
          <w:szCs w:val="19"/>
          <w:color w:val="auto"/>
        </w:rPr>
        <w:t xml:space="preserve">the non-stop scheduled air carrier service[s] listed below (the “ </w:t>
      </w:r>
      <w:r>
        <w:rPr>
          <w:rFonts w:ascii="Arial" w:cs="Arial" w:eastAsia="Arial" w:hAnsi="Arial"/>
          <w:sz w:val="19"/>
          <w:szCs w:val="19"/>
          <w:u w:val="single" w:color="auto"/>
          <w:color w:val="auto"/>
        </w:rPr>
        <w:t>Designated Service[s]</w:t>
      </w:r>
      <w:r>
        <w:rPr>
          <w:rFonts w:ascii="Arial" w:cs="Arial" w:eastAsia="Arial" w:hAnsi="Arial"/>
          <w:sz w:val="19"/>
          <w:szCs w:val="19"/>
          <w:color w:val="auto"/>
        </w:rPr>
        <w:t xml:space="preserve"> ”) [is][are] hereby designated as [a] Scheduled Service[s] under the SGR Security Agreement, and Schedule III of the SGR Security Agreement is hereby amended and supplemented to include such Designated Service[s] for all purposes of the SGR Security Agreement.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Designated Services</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[list Designated Service(s)]. </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407670</wp:posOffset>
            </wp:positionV>
            <wp:extent cx="6858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80" w:right="2080" w:hanging="5572"/>
        <w:spacing w:after="0" w:line="392" w:lineRule="auto"/>
        <w:tabs>
          <w:tab w:leader="none" w:pos="666" w:val="left"/>
        </w:tabs>
        <w:numPr>
          <w:ilvl w:val="0"/>
          <w:numId w:val="539"/>
        </w:numPr>
        <w:rPr>
          <w:rFonts w:ascii="Arial" w:cs="Arial" w:eastAsia="Arial" w:hAnsi="Arial"/>
          <w:sz w:val="29"/>
          <w:szCs w:val="29"/>
          <w:color w:val="auto"/>
          <w:vertAlign w:val="superscript"/>
        </w:rPr>
      </w:pPr>
      <w:r>
        <w:rPr>
          <w:rFonts w:ascii="Arial" w:cs="Arial" w:eastAsia="Arial" w:hAnsi="Arial"/>
          <w:sz w:val="22"/>
          <w:szCs w:val="22"/>
          <w:color w:val="auto"/>
        </w:rPr>
        <w:t>Specify airport-to-airport, region to airport, or region to region Designated Services, as applicable.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32" w:name="page433"/>
    <w:bookmarkEnd w:id="432"/>
    <w:p>
      <w:pPr>
        <w:jc w:val="both"/>
        <w:ind w:firstLine="648"/>
        <w:spacing w:after="0" w:line="312" w:lineRule="auto"/>
        <w:rPr>
          <w:sz w:val="20"/>
          <w:szCs w:val="20"/>
          <w:color w:val="auto"/>
        </w:rPr>
      </w:pPr>
      <w:r>
        <w:rPr>
          <w:rFonts w:ascii="Arial" w:cs="Arial" w:eastAsia="Arial" w:hAnsi="Arial"/>
          <w:sz w:val="19"/>
          <w:szCs w:val="19"/>
          <w:color w:val="auto"/>
        </w:rPr>
        <w:t xml:space="preserve">NOW, THEREFORE, to secure all of the Obligations, the Grantor hereby pledges, grants and creates a security interest and mortgage in favor of the Collateral Agent for its benefit and the benefit of the other Secured Parties in all of the following assets, rights and properties, whether real or personal and whether tangible or intangible (the “ </w:t>
      </w:r>
      <w:r>
        <w:rPr>
          <w:rFonts w:ascii="Arial" w:cs="Arial" w:eastAsia="Arial" w:hAnsi="Arial"/>
          <w:sz w:val="19"/>
          <w:szCs w:val="19"/>
          <w:u w:val="single" w:color="auto"/>
          <w:color w:val="auto"/>
        </w:rPr>
        <w:t>Additional Collateral</w:t>
      </w:r>
      <w:r>
        <w:rPr>
          <w:rFonts w:ascii="Arial" w:cs="Arial" w:eastAsia="Arial" w:hAnsi="Arial"/>
          <w:sz w:val="19"/>
          <w:szCs w:val="19"/>
          <w:color w:val="auto"/>
        </w:rPr>
        <w:t xml:space="preserve"> ”):</w:t>
      </w:r>
    </w:p>
    <w:p>
      <w:pPr>
        <w:spacing w:after="0" w:line="133" w:lineRule="exact"/>
        <w:rPr>
          <w:sz w:val="20"/>
          <w:szCs w:val="20"/>
          <w:color w:val="auto"/>
        </w:rPr>
      </w:pPr>
    </w:p>
    <w:p>
      <w:pPr>
        <w:jc w:val="both"/>
        <w:ind w:left="660" w:firstLine="644"/>
        <w:spacing w:after="0" w:line="254" w:lineRule="auto"/>
        <w:tabs>
          <w:tab w:leader="none" w:pos="1897" w:val="left"/>
        </w:tabs>
        <w:numPr>
          <w:ilvl w:val="0"/>
          <w:numId w:val="540"/>
        </w:numPr>
        <w:rPr>
          <w:rFonts w:ascii="Arial" w:cs="Arial" w:eastAsia="Arial" w:hAnsi="Arial"/>
          <w:sz w:val="22"/>
          <w:szCs w:val="22"/>
          <w:color w:val="auto"/>
        </w:rPr>
      </w:pPr>
      <w:r>
        <w:rPr>
          <w:rFonts w:ascii="Arial" w:cs="Arial" w:eastAsia="Arial" w:hAnsi="Arial"/>
          <w:sz w:val="22"/>
          <w:szCs w:val="22"/>
          <w:color w:val="auto"/>
        </w:rPr>
        <w:t>all of the right, title and interest of the Grantor in, to and under [the Additional Slots] and [the Additional Foreign Gate Leaseholds], whether now owned or held or hereafter acquired and whether such assets, rights or properties constitute General Intangibles or another type or category of collateral under the NY UCC or any other type of asset, right or property;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jc w:val="both"/>
        <w:ind w:left="660" w:firstLine="644"/>
        <w:spacing w:after="0" w:line="307" w:lineRule="auto"/>
        <w:tabs>
          <w:tab w:leader="none" w:pos="1903" w:val="left"/>
        </w:tabs>
        <w:numPr>
          <w:ilvl w:val="0"/>
          <w:numId w:val="540"/>
        </w:numPr>
        <w:rPr>
          <w:rFonts w:ascii="Arial" w:cs="Arial" w:eastAsia="Arial" w:hAnsi="Arial"/>
          <w:sz w:val="19"/>
          <w:szCs w:val="19"/>
          <w:color w:val="auto"/>
        </w:rPr>
      </w:pPr>
      <w:r>
        <w:rPr>
          <w:rFonts w:ascii="Arial" w:cs="Arial" w:eastAsia="Arial" w:hAnsi="Arial"/>
          <w:sz w:val="19"/>
          <w:szCs w:val="19"/>
          <w:color w:val="auto"/>
        </w:rPr>
        <w:t>all of the right, title and interest of the Grantor in, to and under all Proceeds of any and all of the foregoing (including, without limitation, all Proceeds (of any kind) received or to be received by the Grantor upon the transfer or other disposition of any of the assets, rights and properties described in clause (i), notwithstanding whether the mortgage, pledge and grant of the security interest in any such asset, right or property is legally effective under applicable law);</w:t>
      </w:r>
    </w:p>
    <w:p>
      <w:pPr>
        <w:spacing w:after="0" w:line="35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notwithstanding the foregoing or any other provision of any provision of the SGR Security Agreement, if a Transfer Restriction would be applicable to the pledge, grant or creation of a security interest in or mortgage on any asset, right or property described above, then so long as such Transfer Restriction is in effect, the SGR Security Agreement and this SGR Security Agreement Supplement shall not pledge, grant or create any security interest in or mortgage on, and the terms “Additional Collateral” and “Collateral” shall not include, any such asset, right or property.</w:t>
      </w:r>
    </w:p>
    <w:p>
      <w:pPr>
        <w:spacing w:after="0" w:line="3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shall have the following meanings:</w:t>
      </w:r>
    </w:p>
    <w:p>
      <w:pPr>
        <w:spacing w:after="0" w:line="20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Slots</w:t>
      </w:r>
      <w:r>
        <w:rPr>
          <w:rFonts w:ascii="Arial" w:cs="Arial" w:eastAsia="Arial" w:hAnsi="Arial"/>
          <w:sz w:val="22"/>
          <w:szCs w:val="22"/>
          <w:color w:val="auto"/>
        </w:rPr>
        <w:t xml:space="preserve"> ” shall mean, at any time of determination, ( </w:t>
      </w:r>
      <w:r>
        <w:rPr>
          <w:rFonts w:ascii="Arial" w:cs="Arial" w:eastAsia="Arial" w:hAnsi="Arial"/>
          <w:sz w:val="22"/>
          <w:szCs w:val="22"/>
          <w:u w:val="single" w:color="auto"/>
          <w:color w:val="auto"/>
        </w:rPr>
        <w:t>x</w:t>
      </w:r>
      <w:r>
        <w:rPr>
          <w:rFonts w:ascii="Arial" w:cs="Arial" w:eastAsia="Arial" w:hAnsi="Arial"/>
          <w:sz w:val="22"/>
          <w:szCs w:val="22"/>
          <w:color w:val="auto"/>
        </w:rPr>
        <w:t xml:space="preserve"> ) any Foreign Slot of the Grantor at [ ] </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 in each case only to the extent such Foreign Slot is being utilized by the Grantor (or any other “Grantor” as defined in the SGR Security Agreement on behalf of the Grantor) to provide any Designated Service, but in each case excluding any Temporary Foreign Slot, and ( </w:t>
      </w:r>
      <w:r>
        <w:rPr>
          <w:rFonts w:ascii="Arial" w:cs="Arial" w:eastAsia="Arial" w:hAnsi="Arial"/>
          <w:sz w:val="22"/>
          <w:szCs w:val="22"/>
          <w:u w:val="single" w:color="auto"/>
          <w:color w:val="auto"/>
        </w:rPr>
        <w:t>y</w:t>
      </w:r>
      <w:r>
        <w:rPr>
          <w:rFonts w:ascii="Arial" w:cs="Arial" w:eastAsia="Arial" w:hAnsi="Arial"/>
          <w:sz w:val="22"/>
          <w:szCs w:val="22"/>
          <w:color w:val="auto"/>
        </w:rPr>
        <w:t xml:space="preserve"> ) any FAA Slot of the Grantor [at any airport in the United States] </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that is an origin and/or destination point with respect to any Designated Service, in each case only to the extent such FAA Slot is being utilized by the Grantor (or any other “Grantor” as defined in the SGR Security Agreement on behalf of the Grantor) to provide such Designated Service, but in each case excluding any Temporary FAA Slot.]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432435</wp:posOffset>
            </wp:positionV>
            <wp:extent cx="6858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To list any foreign airport or airports within any region that is or are an origin and/or destination point(s) with respect to the Designated Service(s).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Alternately identify specific US airports.</w:t>
      </w:r>
    </w:p>
    <w:p>
      <w:pPr>
        <w:spacing w:after="0" w:line="220"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779" w:right="339" w:bottom="1440" w:gutter="0" w:footer="0" w:header="0"/>
          <w:type w:val="continuous"/>
        </w:sectPr>
      </w:pPr>
    </w:p>
    <w:bookmarkStart w:id="433" w:name="page434"/>
    <w:bookmarkEnd w:id="433"/>
    <w:p>
      <w:pPr>
        <w:jc w:val="both"/>
        <w:ind w:firstLine="648"/>
        <w:spacing w:after="0" w:line="22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Foreign Gate Leaseholds</w:t>
      </w:r>
      <w:r>
        <w:rPr>
          <w:rFonts w:ascii="Arial" w:cs="Arial" w:eastAsia="Arial" w:hAnsi="Arial"/>
          <w:sz w:val="22"/>
          <w:szCs w:val="22"/>
          <w:color w:val="auto"/>
        </w:rPr>
        <w:t xml:space="preserve"> ” shall mean, at any time of determination, all of the right, title, privilege, interest and authority of the Grantor to use or occupy space in an airport terminal at [ ] </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 in each case only to the extent necessary for the Grantor to provide any Designated Service.]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reference to “Collateral” in the SGR Security Agreement shall be deemed to include the Additional Collateral.</w:t>
      </w:r>
    </w:p>
    <w:p>
      <w:pPr>
        <w:spacing w:after="0" w:line="254"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SGR Security Agreement Supplement shall be construed as supplemental to the SGR Security Agreement and shall form a part thereof, and the SGR Security Agreement as so supplemented is hereby ratified, approved and confirmed.</w:t>
      </w:r>
    </w:p>
    <w:p>
      <w:pPr>
        <w:spacing w:after="0" w:line="9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SGR SECURITY AGREEMENT SUPPLEMENT HAS BEEN DELIVERED IN THE STATE OF NEW YORK, AND THIS SGR SECURITY AGREEMENT SUPPLEMENT AND THE RIGHTS AND OBLIGATIONS OF THE PARTIES UNDER THIS SGR SECURITY AGREEMENT SUPPLEMENT SHALL BE GOVERNED BY, AND CONSTRUED AND INTERPRETED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3954780</wp:posOffset>
            </wp:positionV>
            <wp:extent cx="68580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220" w:hanging="652"/>
        <w:spacing w:after="0" w:line="217" w:lineRule="auto"/>
        <w:tabs>
          <w:tab w:leader="none" w:pos="660" w:val="left"/>
        </w:tabs>
        <w:numPr>
          <w:ilvl w:val="0"/>
          <w:numId w:val="541"/>
        </w:numPr>
        <w:rPr>
          <w:rFonts w:ascii="Arial" w:cs="Arial" w:eastAsia="Arial" w:hAnsi="Arial"/>
          <w:sz w:val="29"/>
          <w:szCs w:val="29"/>
          <w:color w:val="auto"/>
          <w:vertAlign w:val="superscript"/>
        </w:rPr>
      </w:pPr>
      <w:r>
        <w:rPr>
          <w:rFonts w:ascii="Arial" w:cs="Arial" w:eastAsia="Arial" w:hAnsi="Arial"/>
          <w:sz w:val="22"/>
          <w:szCs w:val="22"/>
          <w:color w:val="auto"/>
        </w:rPr>
        <w:t>To list any foreign airport or airports within any region that is or are an origin and/or destination point(s) with respect to the Designated Service(s).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34" w:name="page435"/>
    <w:bookmarkEnd w:id="434"/>
    <w:p>
      <w:pPr>
        <w:ind w:firstLine="1296"/>
        <w:spacing w:after="0" w:line="291" w:lineRule="auto"/>
        <w:rPr>
          <w:sz w:val="20"/>
          <w:szCs w:val="20"/>
          <w:color w:val="auto"/>
        </w:rPr>
      </w:pPr>
      <w:r>
        <w:rPr>
          <w:rFonts w:ascii="Arial" w:cs="Arial" w:eastAsia="Arial" w:hAnsi="Arial"/>
          <w:sz w:val="19"/>
          <w:szCs w:val="19"/>
          <w:color w:val="auto"/>
        </w:rPr>
        <w:t>IN WITNESS WHEREOF, the Grantor and the Collateral Agent each has caused this SGR Security Agreement Supplement No. __ to be duly executed and delivered by its officer thereunto duly authorized as of the date first above written.</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 as Grantor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-17780</wp:posOffset>
            </wp:positionV>
            <wp:extent cx="8229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9" w:right="359" w:bottom="1440" w:gutter="0" w:footer="0" w:header="0"/>
        </w:sectPr>
      </w:pPr>
    </w:p>
    <w:bookmarkStart w:id="435" w:name="page436"/>
    <w:bookmarkEnd w:id="435"/>
    <w:p>
      <w:pPr>
        <w:ind w:left="2780"/>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as Second Lien Collateral Agent</w:t>
      </w:r>
    </w:p>
    <w:p>
      <w:pPr>
        <w:spacing w:after="0" w:line="23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8229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36" w:name="page437"/>
    <w:bookmarkEnd w:id="436"/>
    <w:p>
      <w:pPr>
        <w:jc w:val="right"/>
        <w:spacing w:after="0"/>
        <w:rPr>
          <w:sz w:val="20"/>
          <w:szCs w:val="20"/>
          <w:color w:val="auto"/>
        </w:rPr>
      </w:pPr>
      <w:r>
        <w:rPr>
          <w:rFonts w:ascii="Arial" w:cs="Arial" w:eastAsia="Arial" w:hAnsi="Arial"/>
          <w:sz w:val="22"/>
          <w:szCs w:val="22"/>
          <w:color w:val="auto"/>
        </w:rPr>
        <w:t>Schedule [_]</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Exhibit A</w:t>
      </w:r>
    </w:p>
    <w:p>
      <w:pPr>
        <w:spacing w:after="0" w:line="200" w:lineRule="exact"/>
        <w:rPr>
          <w:sz w:val="20"/>
          <w:szCs w:val="20"/>
          <w:color w:val="auto"/>
        </w:rPr>
      </w:pPr>
    </w:p>
    <w:p>
      <w:pPr>
        <w:spacing w:after="0" w:line="236" w:lineRule="exact"/>
        <w:rPr>
          <w:sz w:val="20"/>
          <w:szCs w:val="20"/>
          <w:color w:val="auto"/>
        </w:rPr>
      </w:pPr>
    </w:p>
    <w:p>
      <w:pPr>
        <w:ind w:left="3780"/>
        <w:spacing w:after="0"/>
        <w:rPr>
          <w:sz w:val="20"/>
          <w:szCs w:val="20"/>
          <w:color w:val="auto"/>
        </w:rPr>
      </w:pPr>
      <w:r>
        <w:rPr>
          <w:rFonts w:ascii="Arial" w:cs="Arial" w:eastAsia="Arial" w:hAnsi="Arial"/>
          <w:sz w:val="22"/>
          <w:szCs w:val="22"/>
          <w:u w:val="single" w:color="auto"/>
          <w:color w:val="auto"/>
        </w:rPr>
        <w:t>SCHEDULE [_]</w:t>
      </w:r>
    </w:p>
    <w:p>
      <w:pPr>
        <w:spacing w:after="0" w:line="200" w:lineRule="exact"/>
        <w:rPr>
          <w:sz w:val="20"/>
          <w:szCs w:val="20"/>
          <w:color w:val="auto"/>
        </w:rPr>
      </w:pPr>
    </w:p>
    <w:p>
      <w:pPr>
        <w:spacing w:after="0" w:line="236" w:lineRule="exact"/>
        <w:rPr>
          <w:sz w:val="20"/>
          <w:szCs w:val="20"/>
          <w:color w:val="auto"/>
        </w:rPr>
      </w:pPr>
    </w:p>
    <w:p>
      <w:pPr>
        <w:ind w:left="1000"/>
        <w:spacing w:after="0"/>
        <w:rPr>
          <w:sz w:val="20"/>
          <w:szCs w:val="20"/>
          <w:color w:val="auto"/>
        </w:rPr>
      </w:pPr>
      <w:r>
        <w:rPr>
          <w:rFonts w:ascii="Arial" w:cs="Arial" w:eastAsia="Arial" w:hAnsi="Arial"/>
          <w:sz w:val="22"/>
          <w:szCs w:val="22"/>
          <w:u w:val="single" w:color="auto"/>
          <w:color w:val="auto"/>
        </w:rPr>
        <w:t>TO SGR SECOND LIEN SECURITY AGREEMENT SUPPLEMENT NO. [__]</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79" w:right="339" w:bottom="1440" w:gutter="0" w:footer="0" w:header="0"/>
        </w:sectPr>
      </w:pPr>
    </w:p>
    <w:bookmarkStart w:id="437" w:name="page438"/>
    <w:bookmarkEnd w:id="437"/>
    <w:p>
      <w:pPr>
        <w:jc w:val="right"/>
        <w:spacing w:after="0"/>
        <w:rPr>
          <w:sz w:val="20"/>
          <w:szCs w:val="20"/>
          <w:color w:val="auto"/>
        </w:rPr>
      </w:pPr>
      <w:r>
        <w:rPr>
          <w:rFonts w:ascii="Arial" w:cs="Arial" w:eastAsia="Arial" w:hAnsi="Arial"/>
          <w:sz w:val="22"/>
          <w:szCs w:val="22"/>
          <w:color w:val="auto"/>
        </w:rPr>
        <w:t>EXHIBIT B</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SGR Security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FORM OF JOINDER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JOINDER AGREEMENT, dated as of _________ __, 20__, is delivered pursuant to Section 27 of the Second</w:t>
      </w:r>
    </w:p>
    <w:p>
      <w:pPr>
        <w:spacing w:after="0" w:line="5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 xml:space="preserve">Lien Security Agreement (Slots, Foreign Gate Leaseholds and Route Authorities), dated as of March 18, 2020 (as may be amended, supplemented and/or otherwise modified from time to time, the “ </w:t>
      </w:r>
      <w:r>
        <w:rPr>
          <w:rFonts w:ascii="Arial" w:cs="Arial" w:eastAsia="Arial" w:hAnsi="Arial"/>
          <w:sz w:val="19"/>
          <w:szCs w:val="19"/>
          <w:u w:val="single" w:color="auto"/>
          <w:color w:val="auto"/>
        </w:rPr>
        <w:t>SGR Security Agreement</w:t>
      </w:r>
      <w:r>
        <w:rPr>
          <w:rFonts w:ascii="Arial" w:cs="Arial" w:eastAsia="Arial" w:hAnsi="Arial"/>
          <w:sz w:val="19"/>
          <w:szCs w:val="19"/>
          <w:color w:val="auto"/>
        </w:rPr>
        <w:t xml:space="preserve"> ”), between the parties listed in Schedule I thereto as Grantors, and Citibank, N.A., as second lien collateral agent for the Secured Parties referred to therein. Capitalized terms used herein without definition are used as defined in the SGR Security Agreement.</w:t>
      </w:r>
    </w:p>
    <w:p>
      <w:pPr>
        <w:spacing w:after="0" w:line="1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By executing and delivering this Joinder Agreement, the undersigned, as provided in Section 27 of the SGR Security Agreement, hereby becomes a party to the SGR Security Agreement as a Grantor thereunder with the same force and effect as if originally named as a Grantor therein and, without limiting the generality of the foregoing, as collateral security for the prompt and complete payment and performance when due (whether at stated maturity, by acceleration or otherwise) of the Obligations of the undersigned, hereby grants, pledges and creates a security interest and mortgage in favor of the Collateral Agent for its benefit and the benefit of the other Secured Parties in all of its right, title and interest in, to and under the Collateral of the undersigned, whether real or personal and whether tangible or intangible and expressly assumes all obligations and liabilities of a Grantor thereunder.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hereby agrees to be bound as a Grantor for the purposes of the SGR Security Agreement.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information set forth in the schedules to this Joinder Agreement is hereby added to the information set forth in Schedules I through III of the SGR Security Agreement. By acknowledging and agreeing to this Joinder Agreement, the undersigned hereby agrees that this Joinder Agreement may be attached to the SGR Security Agreement and that the Collateral listed on the schedule to this Joinder Agreement shall be and become part of the Collateral referred to in the SGR Security Agreement and shall secure all Obligations of the undersigned.</w:t>
      </w:r>
    </w:p>
    <w:p>
      <w:pPr>
        <w:spacing w:after="0" w:line="19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The undersigned hereby represents and warrants that each of the representations and warranties contained in Section 4 of the SGR Security Agreement applicable to it is true and correct on and as the date hereof as if made on and as of such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38" w:name="page439"/>
    <w:bookmarkEnd w:id="438"/>
    <w:p>
      <w:pPr>
        <w:ind w:firstLine="1296"/>
        <w:spacing w:after="0" w:line="263" w:lineRule="auto"/>
        <w:rPr>
          <w:sz w:val="20"/>
          <w:szCs w:val="20"/>
          <w:color w:val="auto"/>
        </w:rPr>
      </w:pPr>
      <w:r>
        <w:rPr>
          <w:rFonts w:ascii="Arial" w:cs="Arial" w:eastAsia="Arial" w:hAnsi="Arial"/>
          <w:sz w:val="22"/>
          <w:szCs w:val="22"/>
          <w:color w:val="auto"/>
        </w:rPr>
        <w:t>IN WITNESS WHEREOF, the undersigned has caused this Joinder Agreement to be duly executed and delivered as of the date first above written.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[ADDITIONAL GRANTOR]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8229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39" w:name="page440"/>
    <w:bookmarkEnd w:id="439"/>
    <w:p>
      <w:pPr>
        <w:jc w:val="right"/>
        <w:spacing w:after="0"/>
        <w:rPr>
          <w:sz w:val="20"/>
          <w:szCs w:val="20"/>
          <w:color w:val="auto"/>
        </w:rPr>
      </w:pPr>
      <w:r>
        <w:rPr>
          <w:rFonts w:ascii="Arial" w:cs="Arial" w:eastAsia="Arial" w:hAnsi="Arial"/>
          <w:sz w:val="22"/>
          <w:szCs w:val="22"/>
          <w:color w:val="auto"/>
        </w:rPr>
        <w:t>EXHIBIT A-2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Form of UK Debenture</w:t>
      </w:r>
    </w:p>
    <w:p>
      <w:pPr>
        <w:spacing w:after="0" w:line="386"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341630</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440" w:name="page441"/>
    <w:bookmarkEnd w:id="4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1339850</wp:posOffset>
            </wp:positionH>
            <wp:positionV relativeFrom="page">
              <wp:posOffset>448945</wp:posOffset>
            </wp:positionV>
            <wp:extent cx="495490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120"/>
        <w:spacing w:after="0"/>
        <w:rPr>
          <w:sz w:val="20"/>
          <w:szCs w:val="20"/>
          <w:color w:val="auto"/>
        </w:rPr>
      </w:pPr>
      <w:r>
        <w:rPr>
          <w:rFonts w:ascii="Arial" w:cs="Arial" w:eastAsia="Arial" w:hAnsi="Arial"/>
          <w:sz w:val="20"/>
          <w:szCs w:val="20"/>
          <w:b w:val="1"/>
          <w:bCs w:val="1"/>
          <w:color w:val="auto"/>
        </w:rPr>
        <w:t>Dated ____ March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Debenture</w:t>
      </w:r>
    </w:p>
    <w:p>
      <w:pPr>
        <w:spacing w:after="0" w:line="216"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between</w:t>
      </w:r>
    </w:p>
    <w:p>
      <w:pPr>
        <w:spacing w:after="0" w:line="200" w:lineRule="exact"/>
        <w:rPr>
          <w:sz w:val="20"/>
          <w:szCs w:val="20"/>
          <w:color w:val="auto"/>
        </w:rPr>
      </w:pPr>
    </w:p>
    <w:p>
      <w:pPr>
        <w:spacing w:after="0" w:line="232"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American Airlines, Inc.,</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as Chargor</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Citibank N.A.,</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as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40"/>
        <w:spacing w:after="0"/>
        <w:rPr>
          <w:sz w:val="20"/>
          <w:szCs w:val="20"/>
          <w:color w:val="auto"/>
        </w:rPr>
      </w:pPr>
      <w:r>
        <w:rPr>
          <w:rFonts w:ascii="Arial" w:cs="Arial" w:eastAsia="Arial" w:hAnsi="Arial"/>
          <w:sz w:val="20"/>
          <w:szCs w:val="20"/>
          <w:b w:val="1"/>
          <w:bCs w:val="1"/>
          <w:color w:val="auto"/>
        </w:rPr>
        <w:t>This Debenture is entered into subject to</w:t>
      </w:r>
    </w:p>
    <w:p>
      <w:pPr>
        <w:spacing w:after="0" w:line="22" w:lineRule="exact"/>
        <w:rPr>
          <w:sz w:val="20"/>
          <w:szCs w:val="20"/>
          <w:color w:val="auto"/>
        </w:rPr>
      </w:pPr>
    </w:p>
    <w:p>
      <w:pPr>
        <w:jc w:val="center"/>
        <w:ind w:right="-1260"/>
        <w:spacing w:after="0"/>
        <w:rPr>
          <w:sz w:val="20"/>
          <w:szCs w:val="20"/>
          <w:color w:val="auto"/>
        </w:rPr>
      </w:pPr>
      <w:r>
        <w:rPr>
          <w:rFonts w:ascii="Arial" w:cs="Arial" w:eastAsia="Arial" w:hAnsi="Arial"/>
          <w:sz w:val="16"/>
          <w:szCs w:val="16"/>
          <w:b w:val="1"/>
          <w:bCs w:val="1"/>
          <w:color w:val="auto"/>
        </w:rPr>
        <w:t>the terms of a Credit and Guaranty Agreement dated on or about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MILBANK LLP</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365760</wp:posOffset>
            </wp:positionV>
            <wp:extent cx="71323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1" w:name="page442"/>
    <w:bookmarkEnd w:id="441"/>
    <w:p>
      <w:pPr>
        <w:ind w:left="47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336550</wp:posOffset>
            </wp:positionH>
            <wp:positionV relativeFrom="page">
              <wp:posOffset>448945</wp:posOffset>
            </wp:positionV>
            <wp:extent cx="68834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6883400" cy="8255"/>
                    </a:xfrm>
                    <a:prstGeom prst="rect">
                      <a:avLst/>
                    </a:prstGeom>
                    <a:noFill/>
                  </pic:spPr>
                </pic:pic>
              </a:graphicData>
            </a:graphic>
          </wp:anchor>
        </w:drawing>
        <w:t>CONTENTS</w:t>
      </w:r>
    </w:p>
    <w:p>
      <w:pPr>
        <w:spacing w:after="0" w:line="368" w:lineRule="exact"/>
        <w:rPr>
          <w:sz w:val="20"/>
          <w:szCs w:val="20"/>
          <w:color w:val="auto"/>
        </w:rPr>
      </w:pPr>
    </w:p>
    <w:p>
      <w:pPr>
        <w:spacing w:after="0"/>
        <w:tabs>
          <w:tab w:leader="none" w:pos="10320" w:val="left"/>
        </w:tabs>
        <w:rPr>
          <w:sz w:val="20"/>
          <w:szCs w:val="20"/>
          <w:color w:val="auto"/>
        </w:rPr>
      </w:pPr>
      <w:r>
        <w:rPr>
          <w:rFonts w:ascii="Arial" w:cs="Arial" w:eastAsia="Arial" w:hAnsi="Arial"/>
          <w:sz w:val="22"/>
          <w:szCs w:val="22"/>
          <w:b w:val="1"/>
          <w:bCs w:val="1"/>
          <w:color w:val="auto"/>
        </w:rPr>
        <w:t>Clause</w:t>
      </w:r>
      <w:r>
        <w:rPr>
          <w:sz w:val="20"/>
          <w:szCs w:val="20"/>
          <w:color w:val="auto"/>
        </w:rPr>
        <w:tab/>
      </w:r>
      <w:r>
        <w:rPr>
          <w:rFonts w:ascii="Arial" w:cs="Arial" w:eastAsia="Arial" w:hAnsi="Arial"/>
          <w:sz w:val="18"/>
          <w:szCs w:val="18"/>
          <w:b w:val="1"/>
          <w:bCs w:val="1"/>
          <w:color w:val="auto"/>
        </w:rPr>
        <w:t>Page</w:t>
      </w:r>
    </w:p>
    <w:p>
      <w:pPr>
        <w:spacing w:after="0" w:line="374" w:lineRule="exact"/>
        <w:rPr>
          <w:sz w:val="20"/>
          <w:szCs w:val="20"/>
          <w:color w:val="auto"/>
        </w:rPr>
      </w:pPr>
    </w:p>
    <w:p>
      <w:pPr>
        <w:spacing w:after="0"/>
        <w:tabs>
          <w:tab w:leader="none" w:pos="960" w:val="left"/>
          <w:tab w:leader="dot" w:pos="80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Interpretation</w:t>
      </w:r>
      <w:r>
        <w:rPr>
          <w:sz w:val="20"/>
          <w:szCs w:val="20"/>
          <w:color w:val="auto"/>
        </w:rPr>
        <w:tab/>
      </w:r>
      <w:r>
        <w:rPr>
          <w:rFonts w:ascii="Arial" w:cs="Arial" w:eastAsia="Arial" w:hAnsi="Arial"/>
          <w:sz w:val="17"/>
          <w:szCs w:val="17"/>
          <w:color w:val="auto"/>
        </w:rPr>
        <w:t>1</w:t>
      </w:r>
    </w:p>
    <w:p>
      <w:pPr>
        <w:spacing w:after="0" w:line="179" w:lineRule="exact"/>
        <w:rPr>
          <w:sz w:val="20"/>
          <w:szCs w:val="20"/>
          <w:color w:val="auto"/>
        </w:rPr>
      </w:pPr>
    </w:p>
    <w:p>
      <w:pPr>
        <w:spacing w:after="0"/>
        <w:tabs>
          <w:tab w:leader="none" w:pos="960" w:val="left"/>
          <w:tab w:leader="dot" w:pos="814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Covenant to Pay</w:t>
      </w:r>
      <w:r>
        <w:rPr>
          <w:sz w:val="20"/>
          <w:szCs w:val="20"/>
          <w:color w:val="auto"/>
        </w:rPr>
        <w:tab/>
      </w:r>
      <w:r>
        <w:rPr>
          <w:rFonts w:ascii="Arial" w:cs="Arial" w:eastAsia="Arial" w:hAnsi="Arial"/>
          <w:sz w:val="21"/>
          <w:szCs w:val="21"/>
          <w:color w:val="auto"/>
        </w:rPr>
        <w:t>5</w:t>
      </w:r>
    </w:p>
    <w:p>
      <w:pPr>
        <w:spacing w:after="0" w:line="179" w:lineRule="exact"/>
        <w:rPr>
          <w:sz w:val="20"/>
          <w:szCs w:val="20"/>
          <w:color w:val="auto"/>
        </w:rPr>
      </w:pPr>
    </w:p>
    <w:p>
      <w:pPr>
        <w:spacing w:after="0"/>
        <w:tabs>
          <w:tab w:leader="none" w:pos="960" w:val="left"/>
          <w:tab w:leader="dot" w:pos="81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Fixed Charge</w:t>
      </w:r>
      <w:r>
        <w:rPr>
          <w:sz w:val="20"/>
          <w:szCs w:val="20"/>
          <w:color w:val="auto"/>
        </w:rPr>
        <w:tab/>
      </w:r>
      <w:r>
        <w:rPr>
          <w:rFonts w:ascii="Arial" w:cs="Arial" w:eastAsia="Arial" w:hAnsi="Arial"/>
          <w:sz w:val="17"/>
          <w:szCs w:val="17"/>
          <w:color w:val="auto"/>
        </w:rPr>
        <w:t>5</w:t>
      </w:r>
    </w:p>
    <w:p>
      <w:pPr>
        <w:spacing w:after="0" w:line="179" w:lineRule="exact"/>
        <w:rPr>
          <w:sz w:val="20"/>
          <w:szCs w:val="20"/>
          <w:color w:val="auto"/>
        </w:rPr>
      </w:pPr>
    </w:p>
    <w:p>
      <w:pPr>
        <w:spacing w:after="0"/>
        <w:tabs>
          <w:tab w:leader="none" w:pos="960" w:val="left"/>
          <w:tab w:leader="dot" w:pos="808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22"/>
          <w:szCs w:val="22"/>
          <w:color w:val="auto"/>
        </w:rPr>
        <w:t>No Obligation</w:t>
      </w:r>
      <w:r>
        <w:rPr>
          <w:sz w:val="20"/>
          <w:szCs w:val="20"/>
          <w:color w:val="auto"/>
        </w:rPr>
        <w:tab/>
      </w:r>
      <w:r>
        <w:rPr>
          <w:rFonts w:ascii="Arial" w:cs="Arial" w:eastAsia="Arial" w:hAnsi="Arial"/>
          <w:sz w:val="21"/>
          <w:szCs w:val="21"/>
          <w:color w:val="auto"/>
        </w:rPr>
        <w:t>6</w:t>
      </w:r>
    </w:p>
    <w:p>
      <w:pPr>
        <w:spacing w:after="0" w:line="179" w:lineRule="exact"/>
        <w:rPr>
          <w:sz w:val="20"/>
          <w:szCs w:val="20"/>
          <w:color w:val="auto"/>
        </w:rPr>
      </w:pPr>
    </w:p>
    <w:p>
      <w:pPr>
        <w:spacing w:after="0"/>
        <w:tabs>
          <w:tab w:leader="none" w:pos="960" w:val="left"/>
          <w:tab w:leader="dot" w:pos="814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2"/>
          <w:szCs w:val="22"/>
          <w:color w:val="auto"/>
        </w:rPr>
        <w:t>When Security Becomes Enforceable</w:t>
      </w:r>
      <w:r>
        <w:rPr>
          <w:sz w:val="20"/>
          <w:szCs w:val="20"/>
          <w:color w:val="auto"/>
        </w:rPr>
        <w:tab/>
      </w:r>
      <w:r>
        <w:rPr>
          <w:rFonts w:ascii="Arial" w:cs="Arial" w:eastAsia="Arial" w:hAnsi="Arial"/>
          <w:sz w:val="17"/>
          <w:szCs w:val="17"/>
          <w:color w:val="auto"/>
        </w:rPr>
        <w:t>6</w:t>
      </w:r>
    </w:p>
    <w:p>
      <w:pPr>
        <w:spacing w:after="0" w:line="179" w:lineRule="exact"/>
        <w:rPr>
          <w:sz w:val="20"/>
          <w:szCs w:val="20"/>
          <w:color w:val="auto"/>
        </w:rPr>
      </w:pPr>
    </w:p>
    <w:p>
      <w:pPr>
        <w:spacing w:after="0"/>
        <w:tabs>
          <w:tab w:leader="none" w:pos="960" w:val="left"/>
          <w:tab w:leader="dot" w:pos="814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2"/>
          <w:szCs w:val="22"/>
          <w:color w:val="auto"/>
        </w:rPr>
        <w:t>Enforcement of Security</w:t>
      </w:r>
      <w:r>
        <w:rPr>
          <w:sz w:val="20"/>
          <w:szCs w:val="20"/>
          <w:color w:val="auto"/>
        </w:rPr>
        <w:tab/>
      </w:r>
      <w:r>
        <w:rPr>
          <w:rFonts w:ascii="Arial" w:cs="Arial" w:eastAsia="Arial" w:hAnsi="Arial"/>
          <w:sz w:val="17"/>
          <w:szCs w:val="17"/>
          <w:color w:val="auto"/>
        </w:rPr>
        <w:t>6</w:t>
      </w:r>
    </w:p>
    <w:p>
      <w:pPr>
        <w:spacing w:after="0" w:line="179" w:lineRule="exact"/>
        <w:rPr>
          <w:sz w:val="20"/>
          <w:szCs w:val="20"/>
          <w:color w:val="auto"/>
        </w:rPr>
      </w:pPr>
    </w:p>
    <w:p>
      <w:pPr>
        <w:spacing w:after="0"/>
        <w:tabs>
          <w:tab w:leader="none" w:pos="960" w:val="left"/>
          <w:tab w:leader="dot" w:pos="810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2"/>
          <w:szCs w:val="22"/>
          <w:color w:val="auto"/>
        </w:rPr>
        <w:t>Receiver</w:t>
      </w:r>
      <w:r>
        <w:rPr>
          <w:sz w:val="20"/>
          <w:szCs w:val="20"/>
          <w:color w:val="auto"/>
        </w:rPr>
        <w:tab/>
      </w:r>
      <w:r>
        <w:rPr>
          <w:rFonts w:ascii="Arial" w:cs="Arial" w:eastAsia="Arial" w:hAnsi="Arial"/>
          <w:sz w:val="17"/>
          <w:szCs w:val="17"/>
          <w:color w:val="auto"/>
        </w:rPr>
        <w:t>8</w:t>
      </w:r>
    </w:p>
    <w:p>
      <w:pPr>
        <w:spacing w:after="0" w:line="179" w:lineRule="exact"/>
        <w:rPr>
          <w:sz w:val="20"/>
          <w:szCs w:val="20"/>
          <w:color w:val="auto"/>
        </w:rPr>
      </w:pPr>
    </w:p>
    <w:p>
      <w:pPr>
        <w:spacing w:after="0"/>
        <w:tabs>
          <w:tab w:leader="none" w:pos="960" w:val="left"/>
          <w:tab w:leader="dot" w:pos="810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2"/>
          <w:szCs w:val="22"/>
          <w:color w:val="auto"/>
        </w:rPr>
        <w:t>Non-Lender Secured Parties</w:t>
      </w:r>
      <w:r>
        <w:rPr>
          <w:sz w:val="20"/>
          <w:szCs w:val="20"/>
          <w:color w:val="auto"/>
        </w:rPr>
        <w:tab/>
      </w:r>
      <w:r>
        <w:rPr>
          <w:rFonts w:ascii="Arial" w:cs="Arial" w:eastAsia="Arial" w:hAnsi="Arial"/>
          <w:sz w:val="17"/>
          <w:szCs w:val="17"/>
          <w:color w:val="auto"/>
        </w:rPr>
        <w:t>9</w:t>
      </w:r>
    </w:p>
    <w:p>
      <w:pPr>
        <w:spacing w:after="0" w:line="179" w:lineRule="exact"/>
        <w:rPr>
          <w:sz w:val="20"/>
          <w:szCs w:val="20"/>
          <w:color w:val="auto"/>
        </w:rPr>
      </w:pPr>
    </w:p>
    <w:p>
      <w:pPr>
        <w:spacing w:after="0"/>
        <w:tabs>
          <w:tab w:leader="none" w:pos="960" w:val="left"/>
          <w:tab w:leader="dot" w:pos="806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2"/>
          <w:szCs w:val="22"/>
          <w:color w:val="auto"/>
        </w:rPr>
        <w:t>Application of Proceeds</w:t>
      </w:r>
      <w:r>
        <w:rPr>
          <w:sz w:val="20"/>
          <w:szCs w:val="20"/>
          <w:color w:val="auto"/>
        </w:rPr>
        <w:tab/>
      </w:r>
      <w:r>
        <w:rPr>
          <w:rFonts w:ascii="Arial" w:cs="Arial" w:eastAsia="Arial" w:hAnsi="Arial"/>
          <w:sz w:val="19"/>
          <w:szCs w:val="19"/>
          <w:color w:val="auto"/>
        </w:rPr>
        <w:t>11</w:t>
      </w:r>
    </w:p>
    <w:p>
      <w:pPr>
        <w:spacing w:after="0" w:line="179" w:lineRule="exact"/>
        <w:rPr>
          <w:sz w:val="20"/>
          <w:szCs w:val="20"/>
          <w:color w:val="auto"/>
        </w:rPr>
      </w:pPr>
    </w:p>
    <w:p>
      <w:pPr>
        <w:spacing w:after="0"/>
        <w:tabs>
          <w:tab w:leader="none" w:pos="960" w:val="left"/>
          <w:tab w:leader="dot" w:pos="800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Delegation</w:t>
      </w:r>
      <w:r>
        <w:rPr>
          <w:sz w:val="20"/>
          <w:szCs w:val="20"/>
          <w:color w:val="auto"/>
        </w:rPr>
        <w:tab/>
      </w:r>
      <w:r>
        <w:rPr>
          <w:rFonts w:ascii="Arial" w:cs="Arial" w:eastAsia="Arial" w:hAnsi="Arial"/>
          <w:sz w:val="19"/>
          <w:szCs w:val="19"/>
          <w:color w:val="auto"/>
        </w:rPr>
        <w:t>11</w:t>
      </w:r>
    </w:p>
    <w:p>
      <w:pPr>
        <w:spacing w:after="0" w:line="179" w:lineRule="exact"/>
        <w:rPr>
          <w:sz w:val="20"/>
          <w:szCs w:val="20"/>
          <w:color w:val="auto"/>
        </w:rPr>
      </w:pPr>
    </w:p>
    <w:p>
      <w:pPr>
        <w:spacing w:after="0"/>
        <w:tabs>
          <w:tab w:leader="none" w:pos="960" w:val="left"/>
          <w:tab w:leader="dot" w:pos="80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Power of Attorney</w:t>
      </w:r>
      <w:r>
        <w:rPr>
          <w:sz w:val="20"/>
          <w:szCs w:val="20"/>
          <w:color w:val="auto"/>
        </w:rPr>
        <w:tab/>
      </w:r>
      <w:r>
        <w:rPr>
          <w:rFonts w:ascii="Arial" w:cs="Arial" w:eastAsia="Arial" w:hAnsi="Arial"/>
          <w:sz w:val="17"/>
          <w:szCs w:val="17"/>
          <w:color w:val="auto"/>
        </w:rPr>
        <w:t>11</w:t>
      </w:r>
    </w:p>
    <w:p>
      <w:pPr>
        <w:spacing w:after="0" w:line="179" w:lineRule="exact"/>
        <w:rPr>
          <w:sz w:val="20"/>
          <w:szCs w:val="20"/>
          <w:color w:val="auto"/>
        </w:rPr>
      </w:pPr>
    </w:p>
    <w:p>
      <w:pPr>
        <w:spacing w:after="0"/>
        <w:tabs>
          <w:tab w:leader="none" w:pos="960" w:val="left"/>
          <w:tab w:leader="dot" w:pos="80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Preservation of Security</w:t>
      </w:r>
      <w:r>
        <w:rPr>
          <w:sz w:val="20"/>
          <w:szCs w:val="20"/>
          <w:color w:val="auto"/>
        </w:rPr>
        <w:tab/>
      </w:r>
      <w:r>
        <w:rPr>
          <w:rFonts w:ascii="Arial" w:cs="Arial" w:eastAsia="Arial" w:hAnsi="Arial"/>
          <w:sz w:val="17"/>
          <w:szCs w:val="17"/>
          <w:color w:val="auto"/>
        </w:rPr>
        <w:t>11</w:t>
      </w:r>
    </w:p>
    <w:p>
      <w:pPr>
        <w:spacing w:after="0" w:line="179" w:lineRule="exact"/>
        <w:rPr>
          <w:sz w:val="20"/>
          <w:szCs w:val="20"/>
          <w:color w:val="auto"/>
        </w:rPr>
      </w:pPr>
    </w:p>
    <w:p>
      <w:pPr>
        <w:spacing w:after="0"/>
        <w:tabs>
          <w:tab w:leader="none" w:pos="960" w:val="left"/>
          <w:tab w:leader="dot" w:pos="80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Release of Security</w:t>
      </w:r>
      <w:r>
        <w:rPr>
          <w:sz w:val="20"/>
          <w:szCs w:val="20"/>
          <w:color w:val="auto"/>
        </w:rPr>
        <w:tab/>
      </w:r>
      <w:r>
        <w:rPr>
          <w:rFonts w:ascii="Arial" w:cs="Arial" w:eastAsia="Arial" w:hAnsi="Arial"/>
          <w:sz w:val="19"/>
          <w:szCs w:val="19"/>
          <w:color w:val="auto"/>
        </w:rPr>
        <w:t>13</w:t>
      </w:r>
    </w:p>
    <w:p>
      <w:pPr>
        <w:spacing w:after="0" w:line="179" w:lineRule="exact"/>
        <w:rPr>
          <w:sz w:val="20"/>
          <w:szCs w:val="20"/>
          <w:color w:val="auto"/>
        </w:rPr>
      </w:pPr>
    </w:p>
    <w:p>
      <w:pPr>
        <w:spacing w:after="0"/>
        <w:tabs>
          <w:tab w:leader="none" w:pos="960" w:val="left"/>
          <w:tab w:leader="dot" w:pos="80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Indemnity</w:t>
      </w:r>
      <w:r>
        <w:rPr>
          <w:sz w:val="20"/>
          <w:szCs w:val="20"/>
          <w:color w:val="auto"/>
        </w:rPr>
        <w:tab/>
      </w:r>
      <w:r>
        <w:rPr>
          <w:rFonts w:ascii="Arial" w:cs="Arial" w:eastAsia="Arial" w:hAnsi="Arial"/>
          <w:sz w:val="19"/>
          <w:szCs w:val="19"/>
          <w:color w:val="auto"/>
        </w:rPr>
        <w:t>14</w:t>
      </w:r>
    </w:p>
    <w:p>
      <w:pPr>
        <w:spacing w:after="0" w:line="179" w:lineRule="exact"/>
        <w:rPr>
          <w:sz w:val="20"/>
          <w:szCs w:val="20"/>
          <w:color w:val="auto"/>
        </w:rPr>
      </w:pPr>
    </w:p>
    <w:p>
      <w:pPr>
        <w:spacing w:after="0"/>
        <w:tabs>
          <w:tab w:leader="none" w:pos="960" w:val="left"/>
          <w:tab w:leader="dot" w:pos="79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Notices</w:t>
      </w:r>
      <w:r>
        <w:rPr>
          <w:sz w:val="20"/>
          <w:szCs w:val="20"/>
          <w:color w:val="auto"/>
        </w:rPr>
        <w:tab/>
      </w:r>
      <w:r>
        <w:rPr>
          <w:rFonts w:ascii="Arial" w:cs="Arial" w:eastAsia="Arial" w:hAnsi="Arial"/>
          <w:sz w:val="19"/>
          <w:szCs w:val="19"/>
          <w:color w:val="auto"/>
        </w:rPr>
        <w:t>15</w:t>
      </w:r>
    </w:p>
    <w:p>
      <w:pPr>
        <w:spacing w:after="0" w:line="179" w:lineRule="exact"/>
        <w:rPr>
          <w:sz w:val="20"/>
          <w:szCs w:val="20"/>
          <w:color w:val="auto"/>
        </w:rPr>
      </w:pPr>
    </w:p>
    <w:p>
      <w:pPr>
        <w:spacing w:after="0"/>
        <w:tabs>
          <w:tab w:leader="none" w:pos="960" w:val="left"/>
          <w:tab w:leader="dot" w:pos="806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22"/>
          <w:szCs w:val="22"/>
          <w:color w:val="auto"/>
        </w:rPr>
        <w:t>Assignments and Transfers</w:t>
      </w:r>
      <w:r>
        <w:rPr>
          <w:sz w:val="20"/>
          <w:szCs w:val="20"/>
          <w:color w:val="auto"/>
        </w:rPr>
        <w:tab/>
      </w:r>
      <w:r>
        <w:rPr>
          <w:rFonts w:ascii="Arial" w:cs="Arial" w:eastAsia="Arial" w:hAnsi="Arial"/>
          <w:sz w:val="17"/>
          <w:szCs w:val="17"/>
          <w:color w:val="auto"/>
        </w:rPr>
        <w:t>15</w:t>
      </w:r>
    </w:p>
    <w:p>
      <w:pPr>
        <w:spacing w:after="0" w:line="179" w:lineRule="exact"/>
        <w:rPr>
          <w:sz w:val="20"/>
          <w:szCs w:val="20"/>
          <w:color w:val="auto"/>
        </w:rPr>
      </w:pPr>
    </w:p>
    <w:p>
      <w:pPr>
        <w:spacing w:after="0"/>
        <w:tabs>
          <w:tab w:leader="none" w:pos="960" w:val="left"/>
          <w:tab w:leader="dot" w:pos="800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2"/>
          <w:szCs w:val="22"/>
          <w:color w:val="auto"/>
        </w:rPr>
        <w:t>Amendments</w:t>
      </w:r>
      <w:r>
        <w:rPr>
          <w:sz w:val="20"/>
          <w:szCs w:val="20"/>
          <w:color w:val="auto"/>
        </w:rPr>
        <w:tab/>
      </w:r>
      <w:r>
        <w:rPr>
          <w:rFonts w:ascii="Arial" w:cs="Arial" w:eastAsia="Arial" w:hAnsi="Arial"/>
          <w:sz w:val="19"/>
          <w:szCs w:val="19"/>
          <w:color w:val="auto"/>
        </w:rPr>
        <w:t>15</w:t>
      </w:r>
    </w:p>
    <w:p>
      <w:pPr>
        <w:spacing w:after="0" w:line="179" w:lineRule="exact"/>
        <w:rPr>
          <w:sz w:val="20"/>
          <w:szCs w:val="20"/>
          <w:color w:val="auto"/>
        </w:rPr>
      </w:pPr>
    </w:p>
    <w:p>
      <w:pPr>
        <w:spacing w:after="0"/>
        <w:tabs>
          <w:tab w:leader="none" w:pos="960" w:val="left"/>
          <w:tab w:leader="dot" w:pos="79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color w:val="auto"/>
        </w:rPr>
        <w:t>Miscellaneous</w:t>
      </w:r>
      <w:r>
        <w:rPr>
          <w:sz w:val="20"/>
          <w:szCs w:val="20"/>
          <w:color w:val="auto"/>
        </w:rPr>
        <w:tab/>
      </w:r>
      <w:r>
        <w:rPr>
          <w:rFonts w:ascii="Arial" w:cs="Arial" w:eastAsia="Arial" w:hAnsi="Arial"/>
          <w:sz w:val="19"/>
          <w:szCs w:val="19"/>
          <w:color w:val="auto"/>
        </w:rPr>
        <w:t>15</w:t>
      </w:r>
    </w:p>
    <w:p>
      <w:pPr>
        <w:spacing w:after="0" w:line="179" w:lineRule="exact"/>
        <w:rPr>
          <w:sz w:val="20"/>
          <w:szCs w:val="20"/>
          <w:color w:val="auto"/>
        </w:rPr>
      </w:pPr>
    </w:p>
    <w:p>
      <w:pPr>
        <w:spacing w:after="0"/>
        <w:tabs>
          <w:tab w:leader="none" w:pos="960" w:val="left"/>
          <w:tab w:leader="dot" w:pos="802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22"/>
          <w:szCs w:val="22"/>
          <w:color w:val="auto"/>
        </w:rPr>
        <w:t>Counterparts</w:t>
      </w:r>
      <w:r>
        <w:rPr>
          <w:sz w:val="20"/>
          <w:szCs w:val="20"/>
          <w:color w:val="auto"/>
        </w:rPr>
        <w:tab/>
      </w:r>
      <w:r>
        <w:rPr>
          <w:rFonts w:ascii="Arial" w:cs="Arial" w:eastAsia="Arial" w:hAnsi="Arial"/>
          <w:sz w:val="17"/>
          <w:szCs w:val="17"/>
          <w:color w:val="auto"/>
        </w:rPr>
        <w:t>16</w:t>
      </w:r>
    </w:p>
    <w:p>
      <w:pPr>
        <w:spacing w:after="0" w:line="179" w:lineRule="exact"/>
        <w:rPr>
          <w:sz w:val="20"/>
          <w:szCs w:val="20"/>
          <w:color w:val="auto"/>
        </w:rPr>
      </w:pPr>
    </w:p>
    <w:p>
      <w:pPr>
        <w:spacing w:after="0"/>
        <w:tabs>
          <w:tab w:leader="none" w:pos="960" w:val="left"/>
          <w:tab w:leader="dot" w:pos="798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22"/>
          <w:szCs w:val="22"/>
          <w:color w:val="auto"/>
        </w:rPr>
        <w:t>Governing Law</w:t>
      </w:r>
      <w:r>
        <w:rPr>
          <w:sz w:val="20"/>
          <w:szCs w:val="20"/>
          <w:color w:val="auto"/>
        </w:rPr>
        <w:tab/>
      </w:r>
      <w:r>
        <w:rPr>
          <w:rFonts w:ascii="Arial" w:cs="Arial" w:eastAsia="Arial" w:hAnsi="Arial"/>
          <w:sz w:val="17"/>
          <w:szCs w:val="17"/>
          <w:color w:val="auto"/>
        </w:rPr>
        <w:t>16</w:t>
      </w:r>
    </w:p>
    <w:p>
      <w:pPr>
        <w:spacing w:after="0" w:line="179" w:lineRule="exact"/>
        <w:rPr>
          <w:sz w:val="20"/>
          <w:szCs w:val="20"/>
          <w:color w:val="auto"/>
        </w:rPr>
      </w:pPr>
    </w:p>
    <w:p>
      <w:pPr>
        <w:spacing w:after="0"/>
        <w:tabs>
          <w:tab w:leader="none" w:pos="960" w:val="left"/>
          <w:tab w:leader="dot" w:pos="80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Enforcement</w:t>
      </w:r>
      <w:r>
        <w:rPr>
          <w:sz w:val="20"/>
          <w:szCs w:val="20"/>
          <w:color w:val="auto"/>
        </w:rPr>
        <w:tab/>
      </w:r>
      <w:r>
        <w:rPr>
          <w:rFonts w:ascii="Arial" w:cs="Arial" w:eastAsia="Arial" w:hAnsi="Arial"/>
          <w:sz w:val="17"/>
          <w:szCs w:val="17"/>
          <w:color w:val="auto"/>
        </w:rPr>
        <w:t>16</w:t>
      </w:r>
    </w:p>
    <w:p>
      <w:pPr>
        <w:spacing w:after="0" w:line="368" w:lineRule="exact"/>
        <w:rPr>
          <w:sz w:val="20"/>
          <w:szCs w:val="20"/>
          <w:color w:val="auto"/>
        </w:rPr>
      </w:pPr>
    </w:p>
    <w:p>
      <w:pPr>
        <w:spacing w:after="0"/>
        <w:tabs>
          <w:tab w:leader="dot" w:pos="7560" w:val="left"/>
        </w:tabs>
        <w:rPr>
          <w:sz w:val="20"/>
          <w:szCs w:val="20"/>
          <w:color w:val="auto"/>
        </w:rPr>
      </w:pPr>
      <w:r>
        <w:rPr>
          <w:rFonts w:ascii="Arial" w:cs="Arial" w:eastAsia="Arial" w:hAnsi="Arial"/>
          <w:sz w:val="22"/>
          <w:szCs w:val="22"/>
          <w:color w:val="auto"/>
        </w:rPr>
        <w:t>Schedule 1 Additional Rights of Receiver</w:t>
      </w:r>
      <w:r>
        <w:rPr>
          <w:sz w:val="20"/>
          <w:szCs w:val="20"/>
          <w:color w:val="auto"/>
        </w:rPr>
        <w:tab/>
      </w: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1464310</wp:posOffset>
            </wp:positionV>
            <wp:extent cx="68834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688340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1670050</wp:posOffset>
            </wp:positionV>
            <wp:extent cx="71323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60" w:top="1367" w:right="559" w:bottom="1440" w:gutter="0" w:footer="0" w:header="0"/>
        </w:sectPr>
      </w:pPr>
    </w:p>
    <w:bookmarkStart w:id="442" w:name="page443"/>
    <w:bookmarkEnd w:id="442"/>
    <w:p>
      <w:pPr>
        <w:spacing w:after="0"/>
        <w:rPr>
          <w:sz w:val="20"/>
          <w:szCs w:val="20"/>
          <w:color w:val="auto"/>
        </w:rPr>
      </w:pPr>
      <w:r>
        <w:rPr>
          <w:rFonts w:ascii="Arial" w:cs="Arial" w:eastAsia="Arial" w:hAnsi="Arial"/>
          <w:sz w:val="22"/>
          <w:szCs w:val="22"/>
          <w:b w:val="1"/>
          <w:bCs w:val="1"/>
          <w:color w:val="auto"/>
        </w:rPr>
        <w:t xml:space="preserve">THIS DEBENTURE </w:t>
      </w:r>
      <w:r>
        <w:rPr>
          <w:rFonts w:ascii="Arial" w:cs="Arial" w:eastAsia="Arial" w:hAnsi="Arial"/>
          <w:sz w:val="22"/>
          <w:szCs w:val="22"/>
          <w:color w:val="auto"/>
        </w:rPr>
        <w:t>is dated ____ March 2020</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BETWEEN:</w:t>
      </w:r>
    </w:p>
    <w:p>
      <w:pPr>
        <w:spacing w:after="0" w:line="137" w:lineRule="exact"/>
        <w:rPr>
          <w:sz w:val="20"/>
          <w:szCs w:val="20"/>
          <w:color w:val="auto"/>
        </w:rPr>
      </w:pPr>
    </w:p>
    <w:p>
      <w:pPr>
        <w:ind w:left="500" w:hanging="492"/>
        <w:spacing w:after="0" w:line="270" w:lineRule="auto"/>
        <w:tabs>
          <w:tab w:leader="none" w:pos="500" w:val="left"/>
        </w:tabs>
        <w:numPr>
          <w:ilvl w:val="0"/>
          <w:numId w:val="542"/>
        </w:numPr>
        <w:rPr>
          <w:rFonts w:ascii="Arial" w:cs="Arial" w:eastAsia="Arial" w:hAnsi="Arial"/>
          <w:sz w:val="21"/>
          <w:szCs w:val="21"/>
          <w:color w:val="auto"/>
        </w:rPr>
      </w:pPr>
      <w:r>
        <w:rPr>
          <w:rFonts w:ascii="Arial" w:cs="Arial" w:eastAsia="Arial" w:hAnsi="Arial"/>
          <w:sz w:val="21"/>
          <w:szCs w:val="21"/>
          <w:b w:val="1"/>
          <w:bCs w:val="1"/>
          <w:color w:val="auto"/>
        </w:rPr>
        <w:t xml:space="preserve">American Airlines, Inc., </w:t>
      </w:r>
      <w:r>
        <w:rPr>
          <w:rFonts w:ascii="Arial" w:cs="Arial" w:eastAsia="Arial" w:hAnsi="Arial"/>
          <w:sz w:val="21"/>
          <w:szCs w:val="21"/>
          <w:color w:val="auto"/>
        </w:rPr>
        <w:t>a Delaware corporation having its registered office at 1 Skyview Drive, MD 8B361, Fort Worth, Texas,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76155 as chargor (the “ </w:t>
      </w:r>
      <w:r>
        <w:rPr>
          <w:rFonts w:ascii="Arial" w:cs="Arial" w:eastAsia="Arial" w:hAnsi="Arial"/>
          <w:sz w:val="21"/>
          <w:szCs w:val="21"/>
          <w:b w:val="1"/>
          <w:bCs w:val="1"/>
          <w:color w:val="auto"/>
        </w:rPr>
        <w:t>Chargor</w:t>
      </w:r>
      <w:r>
        <w:rPr>
          <w:rFonts w:ascii="Arial" w:cs="Arial" w:eastAsia="Arial" w:hAnsi="Arial"/>
          <w:sz w:val="21"/>
          <w:szCs w:val="21"/>
          <w:color w:val="auto"/>
        </w:rPr>
        <w:t xml:space="preserve"> ”); and</w:t>
      </w:r>
    </w:p>
    <w:p>
      <w:pPr>
        <w:spacing w:after="0" w:line="185" w:lineRule="exact"/>
        <w:rPr>
          <w:rFonts w:ascii="Arial" w:cs="Arial" w:eastAsia="Arial" w:hAnsi="Arial"/>
          <w:sz w:val="21"/>
          <w:szCs w:val="21"/>
          <w:color w:val="auto"/>
        </w:rPr>
      </w:pPr>
    </w:p>
    <w:p>
      <w:pPr>
        <w:ind w:left="500" w:hanging="492"/>
        <w:spacing w:after="0" w:line="270" w:lineRule="auto"/>
        <w:tabs>
          <w:tab w:leader="none" w:pos="500" w:val="left"/>
        </w:tabs>
        <w:numPr>
          <w:ilvl w:val="0"/>
          <w:numId w:val="542"/>
        </w:numPr>
        <w:rPr>
          <w:rFonts w:ascii="Arial" w:cs="Arial" w:eastAsia="Arial" w:hAnsi="Arial"/>
          <w:sz w:val="21"/>
          <w:szCs w:val="21"/>
          <w:color w:val="auto"/>
        </w:rPr>
      </w:pPr>
      <w:r>
        <w:rPr>
          <w:rFonts w:ascii="Arial" w:cs="Arial" w:eastAsia="Arial" w:hAnsi="Arial"/>
          <w:sz w:val="21"/>
          <w:szCs w:val="21"/>
          <w:b w:val="1"/>
          <w:bCs w:val="1"/>
          <w:color w:val="auto"/>
        </w:rPr>
        <w:t xml:space="preserve">Citibank N.A. </w:t>
      </w:r>
      <w:r>
        <w:rPr>
          <w:rFonts w:ascii="Arial" w:cs="Arial" w:eastAsia="Arial" w:hAnsi="Arial"/>
          <w:sz w:val="21"/>
          <w:szCs w:val="21"/>
          <w:color w:val="auto"/>
        </w:rPr>
        <w:t>, acting through its office at 388 Greenwich Street, New York, NY 10013 as collateral agent for the Secured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Parties (as defined in the Credit Agreement referred to below) (the “ </w:t>
      </w:r>
      <w:r>
        <w:rPr>
          <w:rFonts w:ascii="Arial" w:cs="Arial" w:eastAsia="Arial" w:hAnsi="Arial"/>
          <w:sz w:val="21"/>
          <w:szCs w:val="21"/>
          <w:b w:val="1"/>
          <w:bCs w:val="1"/>
          <w:color w:val="auto"/>
        </w:rPr>
        <w:t>Collateral Agent</w:t>
      </w:r>
      <w:r>
        <w:rPr>
          <w:rFonts w:ascii="Arial" w:cs="Arial" w:eastAsia="Arial" w:hAnsi="Arial"/>
          <w:sz w:val="21"/>
          <w:szCs w:val="21"/>
          <w:color w:val="auto"/>
        </w:rPr>
        <w:t xml:space="preserve"> ”).</w:t>
      </w:r>
    </w:p>
    <w:p>
      <w:pPr>
        <w:spacing w:after="0" w:line="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Background</w:t>
      </w:r>
    </w:p>
    <w:p>
      <w:pPr>
        <w:spacing w:after="0" w:line="143" w:lineRule="exact"/>
        <w:rPr>
          <w:sz w:val="20"/>
          <w:szCs w:val="20"/>
          <w:color w:val="auto"/>
        </w:rPr>
      </w:pPr>
    </w:p>
    <w:p>
      <w:pPr>
        <w:ind w:left="500" w:hanging="492"/>
        <w:spacing w:after="0"/>
        <w:tabs>
          <w:tab w:leader="none" w:pos="500" w:val="left"/>
        </w:tabs>
        <w:numPr>
          <w:ilvl w:val="0"/>
          <w:numId w:val="543"/>
        </w:numPr>
        <w:rPr>
          <w:rFonts w:ascii="Arial" w:cs="Arial" w:eastAsia="Arial" w:hAnsi="Arial"/>
          <w:sz w:val="21"/>
          <w:szCs w:val="21"/>
          <w:color w:val="auto"/>
        </w:rPr>
      </w:pPr>
      <w:r>
        <w:rPr>
          <w:rFonts w:ascii="Arial" w:cs="Arial" w:eastAsia="Arial" w:hAnsi="Arial"/>
          <w:sz w:val="21"/>
          <w:szCs w:val="21"/>
          <w:color w:val="auto"/>
        </w:rPr>
        <w:t>The Chargor enters into this Debenture in connection with the Credit Agreement (as defined below).</w:t>
      </w:r>
    </w:p>
    <w:p>
      <w:pPr>
        <w:spacing w:after="0" w:line="82" w:lineRule="exact"/>
        <w:rPr>
          <w:rFonts w:ascii="Arial" w:cs="Arial" w:eastAsia="Arial" w:hAnsi="Arial"/>
          <w:sz w:val="21"/>
          <w:szCs w:val="21"/>
          <w:color w:val="auto"/>
        </w:rPr>
      </w:pPr>
    </w:p>
    <w:p>
      <w:pPr>
        <w:ind w:left="500" w:hanging="492"/>
        <w:spacing w:after="0" w:line="264" w:lineRule="auto"/>
        <w:tabs>
          <w:tab w:leader="none" w:pos="500" w:val="left"/>
        </w:tabs>
        <w:numPr>
          <w:ilvl w:val="0"/>
          <w:numId w:val="543"/>
        </w:numPr>
        <w:rPr>
          <w:rFonts w:ascii="Arial" w:cs="Arial" w:eastAsia="Arial" w:hAnsi="Arial"/>
          <w:sz w:val="21"/>
          <w:szCs w:val="21"/>
          <w:color w:val="auto"/>
        </w:rPr>
      </w:pPr>
      <w:r>
        <w:rPr>
          <w:rFonts w:ascii="Arial" w:cs="Arial" w:eastAsia="Arial" w:hAnsi="Arial"/>
          <w:sz w:val="21"/>
          <w:szCs w:val="21"/>
          <w:color w:val="auto"/>
        </w:rPr>
        <w:t>It is intended that this document takes effect as a deed notwithstanding the fact that a party may only execute this document under hand.</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 IS AGREED </w:t>
      </w:r>
      <w:r>
        <w:rPr>
          <w:rFonts w:ascii="Arial" w:cs="Arial" w:eastAsia="Arial" w:hAnsi="Arial"/>
          <w:sz w:val="21"/>
          <w:szCs w:val="21"/>
          <w:color w:val="auto"/>
        </w:rPr>
        <w:t>as follows:</w:t>
      </w:r>
    </w:p>
    <w:p>
      <w:pPr>
        <w:spacing w:after="0" w:line="143" w:lineRule="exact"/>
        <w:rPr>
          <w:sz w:val="20"/>
          <w:szCs w:val="20"/>
          <w:color w:val="auto"/>
        </w:rPr>
      </w:pPr>
    </w:p>
    <w:p>
      <w:pPr>
        <w:ind w:right="9600" w:firstLine="8"/>
        <w:spacing w:after="0" w:line="355" w:lineRule="auto"/>
        <w:tabs>
          <w:tab w:leader="none" w:pos="499" w:val="left"/>
        </w:tabs>
        <w:numPr>
          <w:ilvl w:val="0"/>
          <w:numId w:val="544"/>
        </w:numPr>
        <w:rPr>
          <w:rFonts w:ascii="Arial" w:cs="Arial" w:eastAsia="Arial" w:hAnsi="Arial"/>
          <w:sz w:val="19"/>
          <w:szCs w:val="19"/>
          <w:color w:val="auto"/>
        </w:rPr>
      </w:pPr>
      <w:r>
        <w:rPr>
          <w:rFonts w:ascii="Arial" w:cs="Arial" w:eastAsia="Arial" w:hAnsi="Arial"/>
          <w:sz w:val="19"/>
          <w:szCs w:val="19"/>
          <w:u w:val="single" w:color="auto"/>
          <w:color w:val="auto"/>
        </w:rPr>
        <w:t xml:space="preserve">Interpretation </w:t>
      </w:r>
      <w:r>
        <w:rPr>
          <w:rFonts w:ascii="Arial" w:cs="Arial" w:eastAsia="Arial" w:hAnsi="Arial"/>
          <w:sz w:val="19"/>
          <w:szCs w:val="19"/>
          <w:color w:val="auto"/>
        </w:rPr>
        <w:t xml:space="preserve">1.1 </w:t>
      </w:r>
      <w:r>
        <w:rPr>
          <w:rFonts w:ascii="Arial" w:cs="Arial" w:eastAsia="Arial" w:hAnsi="Arial"/>
          <w:sz w:val="19"/>
          <w:szCs w:val="19"/>
          <w:u w:val="single" w:color="auto"/>
          <w:color w:val="auto"/>
        </w:rPr>
        <w:t>Definitions</w:t>
      </w:r>
    </w:p>
    <w:p>
      <w:pPr>
        <w:spacing w:after="0" w:line="1" w:lineRule="exact"/>
        <w:rPr>
          <w:rFonts w:ascii="Arial" w:cs="Arial" w:eastAsia="Arial" w:hAnsi="Arial"/>
          <w:sz w:val="19"/>
          <w:szCs w:val="19"/>
          <w:color w:val="auto"/>
        </w:rPr>
      </w:pPr>
    </w:p>
    <w:p>
      <w:pPr>
        <w:ind w:left="500"/>
        <w:spacing w:after="0"/>
        <w:rPr>
          <w:rFonts w:ascii="Arial" w:cs="Arial" w:eastAsia="Arial" w:hAnsi="Arial"/>
          <w:sz w:val="19"/>
          <w:szCs w:val="19"/>
          <w:color w:val="auto"/>
        </w:rPr>
      </w:pPr>
      <w:r>
        <w:rPr>
          <w:rFonts w:ascii="Arial" w:cs="Arial" w:eastAsia="Arial" w:hAnsi="Arial"/>
          <w:sz w:val="21"/>
          <w:szCs w:val="21"/>
          <w:color w:val="auto"/>
        </w:rPr>
        <w:t>In this Debenture:</w:t>
      </w:r>
    </w:p>
    <w:p>
      <w:pPr>
        <w:spacing w:after="0" w:line="19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Act</w:t>
      </w:r>
      <w:r>
        <w:rPr>
          <w:rFonts w:ascii="Arial" w:cs="Arial" w:eastAsia="Arial" w:hAnsi="Arial"/>
          <w:sz w:val="21"/>
          <w:szCs w:val="21"/>
          <w:color w:val="auto"/>
        </w:rPr>
        <w:t xml:space="preserve"> ” means the Law of Property Act 1925.</w:t>
      </w:r>
    </w:p>
    <w:p>
      <w:pPr>
        <w:spacing w:after="0" w:line="190" w:lineRule="exact"/>
        <w:rPr>
          <w:rFonts w:ascii="Arial" w:cs="Arial" w:eastAsia="Arial" w:hAnsi="Arial"/>
          <w:sz w:val="19"/>
          <w:szCs w:val="19"/>
          <w:color w:val="auto"/>
        </w:rPr>
      </w:pPr>
    </w:p>
    <w:p>
      <w:pPr>
        <w:ind w:left="500" w:firstLine="135"/>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Authorised Signatory</w:t>
      </w:r>
      <w:r>
        <w:rPr>
          <w:rFonts w:ascii="Arial" w:cs="Arial" w:eastAsia="Arial" w:hAnsi="Arial"/>
          <w:sz w:val="21"/>
          <w:szCs w:val="21"/>
          <w:color w:val="auto"/>
        </w:rPr>
        <w:t xml:space="preserve"> ” means a duly authorised signatory of the Chargor recognised by the Coordinator as being authorised to approve an exchange or transfer of LHR Slots.</w:t>
      </w:r>
    </w:p>
    <w:p>
      <w:pPr>
        <w:spacing w:after="0" w:line="159" w:lineRule="exact"/>
        <w:rPr>
          <w:rFonts w:ascii="Arial" w:cs="Arial" w:eastAsia="Arial" w:hAnsi="Arial"/>
          <w:sz w:val="19"/>
          <w:szCs w:val="19"/>
          <w:color w:val="auto"/>
        </w:rPr>
      </w:pPr>
    </w:p>
    <w:p>
      <w:pPr>
        <w:ind w:left="500" w:firstLine="135"/>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Banking Product Provider</w:t>
      </w:r>
      <w:r>
        <w:rPr>
          <w:rFonts w:ascii="Arial" w:cs="Arial" w:eastAsia="Arial" w:hAnsi="Arial"/>
          <w:sz w:val="21"/>
          <w:szCs w:val="21"/>
          <w:color w:val="auto"/>
        </w:rPr>
        <w:t xml:space="preserve"> ” means any Person that has entered into a Designated Banking Product Agreement with the Parent or the Chargor.</w:t>
      </w:r>
    </w:p>
    <w:p>
      <w:pPr>
        <w:spacing w:after="0" w:line="158" w:lineRule="exact"/>
        <w:rPr>
          <w:rFonts w:ascii="Arial" w:cs="Arial" w:eastAsia="Arial" w:hAnsi="Arial"/>
          <w:sz w:val="19"/>
          <w:szCs w:val="19"/>
          <w:color w:val="auto"/>
        </w:rPr>
      </w:pPr>
    </w:p>
    <w:p>
      <w:pPr>
        <w:ind w:left="500" w:firstLine="135"/>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Business Day</w:t>
      </w:r>
      <w:r>
        <w:rPr>
          <w:rFonts w:ascii="Arial" w:cs="Arial" w:eastAsia="Arial" w:hAnsi="Arial"/>
          <w:sz w:val="21"/>
          <w:szCs w:val="21"/>
          <w:color w:val="auto"/>
        </w:rPr>
        <w:t xml:space="preserve"> ” means a day (other than a Saturday or Sunday) on which banks are open for general business in London and New York City.</w:t>
      </w:r>
    </w:p>
    <w:p>
      <w:pPr>
        <w:spacing w:after="0" w:line="15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Collateral</w:t>
      </w:r>
      <w:r>
        <w:rPr>
          <w:rFonts w:ascii="Arial" w:cs="Arial" w:eastAsia="Arial" w:hAnsi="Arial"/>
          <w:sz w:val="21"/>
          <w:szCs w:val="21"/>
          <w:color w:val="auto"/>
        </w:rPr>
        <w:t xml:space="preserve"> ” means the LHR Slots and the Proceeds.</w:t>
      </w:r>
    </w:p>
    <w:p>
      <w:pPr>
        <w:spacing w:after="0" w:line="190" w:lineRule="exact"/>
        <w:rPr>
          <w:rFonts w:ascii="Arial" w:cs="Arial" w:eastAsia="Arial" w:hAnsi="Arial"/>
          <w:sz w:val="19"/>
          <w:szCs w:val="19"/>
          <w:color w:val="auto"/>
        </w:rPr>
      </w:pPr>
    </w:p>
    <w:p>
      <w:pPr>
        <w:ind w:left="500" w:firstLine="135"/>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Coordinator</w:t>
      </w:r>
      <w:r>
        <w:rPr>
          <w:rFonts w:ascii="Arial" w:cs="Arial" w:eastAsia="Arial" w:hAnsi="Arial"/>
          <w:sz w:val="21"/>
          <w:szCs w:val="21"/>
          <w:color w:val="auto"/>
        </w:rPr>
        <w:t xml:space="preserve"> ” means Airport Coordination Limited and any successor or other body set up to regulate or facilitate the allocation of slots (as defined in the European Slot Regulations).</w:t>
      </w:r>
    </w:p>
    <w:p>
      <w:pPr>
        <w:spacing w:after="0" w:line="158" w:lineRule="exact"/>
        <w:rPr>
          <w:rFonts w:ascii="Arial" w:cs="Arial" w:eastAsia="Arial" w:hAnsi="Arial"/>
          <w:sz w:val="19"/>
          <w:szCs w:val="19"/>
          <w:color w:val="auto"/>
        </w:rPr>
      </w:pPr>
    </w:p>
    <w:p>
      <w:pPr>
        <w:ind w:left="500" w:right="20" w:firstLine="135"/>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Credit Agreement</w:t>
      </w:r>
      <w:r>
        <w:rPr>
          <w:rFonts w:ascii="Arial" w:cs="Arial" w:eastAsia="Arial" w:hAnsi="Arial"/>
          <w:sz w:val="21"/>
          <w:szCs w:val="21"/>
          <w:color w:val="auto"/>
        </w:rPr>
        <w:t xml:space="preserve"> ” means the credit and guaranty agreement dated on or about the date of this Debenture, between, amongst others, the Chargor as borrower and the Collateral Agent.</w:t>
      </w:r>
    </w:p>
    <w:p>
      <w:pPr>
        <w:spacing w:after="0" w:line="158" w:lineRule="exact"/>
        <w:rPr>
          <w:rFonts w:ascii="Arial" w:cs="Arial" w:eastAsia="Arial" w:hAnsi="Arial"/>
          <w:sz w:val="19"/>
          <w:szCs w:val="19"/>
          <w:color w:val="auto"/>
        </w:rPr>
      </w:pPr>
    </w:p>
    <w:p>
      <w:pPr>
        <w:ind w:left="500" w:firstLine="135"/>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Dispute</w:t>
      </w:r>
      <w:r>
        <w:rPr>
          <w:rFonts w:ascii="Arial" w:cs="Arial" w:eastAsia="Arial" w:hAnsi="Arial"/>
          <w:sz w:val="21"/>
          <w:szCs w:val="21"/>
          <w:color w:val="auto"/>
        </w:rPr>
        <w:t xml:space="preserve"> ” means a dispute arising out of or in connection with this Debenture (including a dispute regarding the existence, validity or termination of this Debenture) (whether arising in contract, tort or otherwise).</w:t>
      </w:r>
    </w:p>
    <w:p>
      <w:pPr>
        <w:spacing w:after="0" w:line="158"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Enforcement Event</w:t>
      </w:r>
      <w:r>
        <w:rPr>
          <w:rFonts w:ascii="Arial" w:cs="Arial" w:eastAsia="Arial" w:hAnsi="Arial"/>
          <w:sz w:val="21"/>
          <w:szCs w:val="21"/>
          <w:color w:val="auto"/>
        </w:rPr>
        <w:t xml:space="preserve"> ” means an Event of Default has occurred and is continuing.</w:t>
      </w:r>
    </w:p>
    <w:p>
      <w:pPr>
        <w:spacing w:after="0" w:line="190" w:lineRule="exact"/>
        <w:rPr>
          <w:rFonts w:ascii="Arial" w:cs="Arial" w:eastAsia="Arial" w:hAnsi="Arial"/>
          <w:sz w:val="19"/>
          <w:szCs w:val="19"/>
          <w:color w:val="auto"/>
        </w:rPr>
      </w:pPr>
    </w:p>
    <w:p>
      <w:pPr>
        <w:ind w:left="500" w:firstLine="135"/>
        <w:spacing w:after="0" w:line="243" w:lineRule="auto"/>
        <w:rPr>
          <w:rFonts w:ascii="Arial" w:cs="Arial" w:eastAsia="Arial" w:hAnsi="Arial"/>
          <w:sz w:val="19"/>
          <w:szCs w:val="19"/>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European Slot Regulations</w:t>
      </w:r>
      <w:r>
        <w:rPr>
          <w:rFonts w:ascii="Arial" w:cs="Arial" w:eastAsia="Arial" w:hAnsi="Arial"/>
          <w:sz w:val="21"/>
          <w:szCs w:val="21"/>
          <w:color w:val="auto"/>
        </w:rPr>
        <w:t xml:space="preserve"> ” mean Council Regulation (EEC) 95/93 of 18 January 1993, on common rules of the allocation of slots at Community airports, as amended by Regulation (EC)</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1" w:lineRule="exact"/>
        <w:rPr>
          <w:rFonts w:ascii="Arial" w:cs="Arial" w:eastAsia="Arial" w:hAnsi="Arial"/>
          <w:sz w:val="19"/>
          <w:szCs w:val="19"/>
          <w:color w:val="auto"/>
        </w:rPr>
      </w:pPr>
    </w:p>
    <w:p>
      <w:pPr>
        <w:ind w:left="542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17"/>
          <w:szCs w:val="17"/>
          <w:color w:val="auto"/>
        </w:rPr>
        <w:t>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3" w:name="page444"/>
    <w:bookmarkEnd w:id="443"/>
    <w:p>
      <w:pPr>
        <w:jc w:val="both"/>
        <w:ind w:left="6"/>
        <w:spacing w:after="0" w:line="226" w:lineRule="auto"/>
        <w:rPr>
          <w:sz w:val="20"/>
          <w:szCs w:val="20"/>
          <w:color w:val="auto"/>
        </w:rPr>
      </w:pPr>
      <w:r>
        <w:rPr>
          <w:rFonts w:ascii="Arial" w:cs="Arial" w:eastAsia="Arial" w:hAnsi="Arial"/>
          <w:sz w:val="21"/>
          <w:szCs w:val="21"/>
          <w:color w:val="auto"/>
        </w:rPr>
        <w:t>No. 894/2002, Regulation (EC) No. 1554/2003, Regulation (EC) No. 793/2004, Regulation (EC) No. 545/2009 and (in respect of airports within the United Kingdom only) The Airports Slot Allocation (Amendment) (EU Exit) Regulations 2019, in each case, as the same may be further amended, revised, supplemented, re-enacted or substituted from time to time, and any replacement or equivalent regulations and laws.</w:t>
      </w:r>
    </w:p>
    <w:p>
      <w:pPr>
        <w:spacing w:after="0" w:line="164" w:lineRule="exact"/>
        <w:rPr>
          <w:sz w:val="20"/>
          <w:szCs w:val="20"/>
          <w:color w:val="auto"/>
        </w:rPr>
      </w:pPr>
    </w:p>
    <w:p>
      <w:pPr>
        <w:ind w:left="146"/>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Hedging Provider</w:t>
      </w:r>
      <w:r>
        <w:rPr>
          <w:rFonts w:ascii="Arial" w:cs="Arial" w:eastAsia="Arial" w:hAnsi="Arial"/>
          <w:sz w:val="18"/>
          <w:szCs w:val="18"/>
          <w:color w:val="auto"/>
        </w:rPr>
        <w:t xml:space="preserve"> ” means any Person that has entered into a Designated Hedging Agreement with the Parent or the Chargor.</w:t>
      </w:r>
    </w:p>
    <w:p>
      <w:pPr>
        <w:spacing w:after="0" w:line="200" w:lineRule="exact"/>
        <w:rPr>
          <w:sz w:val="20"/>
          <w:szCs w:val="20"/>
          <w:color w:val="auto"/>
        </w:rPr>
      </w:pPr>
    </w:p>
    <w:p>
      <w:pPr>
        <w:spacing w:after="0" w:line="241" w:lineRule="exact"/>
        <w:rPr>
          <w:sz w:val="20"/>
          <w:szCs w:val="20"/>
          <w:color w:val="auto"/>
        </w:rPr>
      </w:pPr>
    </w:p>
    <w:p>
      <w:pPr>
        <w:ind w:left="146"/>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LHR Slot Regulations</w:t>
      </w:r>
      <w:r>
        <w:rPr>
          <w:rFonts w:ascii="Arial" w:cs="Arial" w:eastAsia="Arial" w:hAnsi="Arial"/>
          <w:sz w:val="21"/>
          <w:szCs w:val="21"/>
          <w:color w:val="auto"/>
        </w:rPr>
        <w:t xml:space="preserve"> ” means the European Slots Regulations and the UK Slot Regulations.</w:t>
      </w:r>
    </w:p>
    <w:p>
      <w:pPr>
        <w:spacing w:after="0" w:line="190" w:lineRule="exact"/>
        <w:rPr>
          <w:sz w:val="20"/>
          <w:szCs w:val="20"/>
          <w:color w:val="auto"/>
        </w:rPr>
      </w:pPr>
    </w:p>
    <w:p>
      <w:pPr>
        <w:jc w:val="both"/>
        <w:ind w:left="6" w:firstLine="135"/>
        <w:spacing w:after="0" w:line="23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LHR Slot</w:t>
      </w:r>
      <w:r>
        <w:rPr>
          <w:rFonts w:ascii="Arial" w:cs="Arial" w:eastAsia="Arial" w:hAnsi="Arial"/>
          <w:sz w:val="21"/>
          <w:szCs w:val="21"/>
          <w:color w:val="auto"/>
        </w:rPr>
        <w:t xml:space="preserve"> ” shall mean, at any time of determination, any Slot of the Chargor at Heathrow Airport, England, in each case only to the extent such Slot is being utilized by the Chargor to provide any Scheduled Service, but in each case excluding any Temporary Slot.</w:t>
      </w:r>
    </w:p>
    <w:p>
      <w:pPr>
        <w:spacing w:after="0" w:line="163" w:lineRule="exact"/>
        <w:rPr>
          <w:sz w:val="20"/>
          <w:szCs w:val="20"/>
          <w:color w:val="auto"/>
        </w:rPr>
      </w:pPr>
    </w:p>
    <w:p>
      <w:pPr>
        <w:jc w:val="both"/>
        <w:ind w:left="6" w:firstLine="135"/>
        <w:spacing w:after="0" w:line="23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Non-Lender Secured Parties</w:t>
      </w:r>
      <w:r>
        <w:rPr>
          <w:rFonts w:ascii="Arial" w:cs="Arial" w:eastAsia="Arial" w:hAnsi="Arial"/>
          <w:sz w:val="21"/>
          <w:szCs w:val="21"/>
          <w:color w:val="auto"/>
        </w:rPr>
        <w:t xml:space="preserve"> ” means, collectively, all Banking Product Providers and Hedging Providers and their respective successors, assigns and transferees. For the avoidance of doubt, “Non-Lender Secured Parties” shall exclude Banking Product Providers and Hedging Providers in their capacities as Lenders, if applicable.</w:t>
      </w:r>
    </w:p>
    <w:p>
      <w:pPr>
        <w:spacing w:after="0" w:line="163" w:lineRule="exact"/>
        <w:rPr>
          <w:sz w:val="20"/>
          <w:szCs w:val="20"/>
          <w:color w:val="auto"/>
        </w:rPr>
      </w:pPr>
    </w:p>
    <w:p>
      <w:pPr>
        <w:ind w:left="146" w:right="7080"/>
        <w:spacing w:after="0" w:line="43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Party</w:t>
      </w:r>
      <w:r>
        <w:rPr>
          <w:rFonts w:ascii="Arial" w:cs="Arial" w:eastAsia="Arial" w:hAnsi="Arial"/>
          <w:sz w:val="21"/>
          <w:szCs w:val="21"/>
          <w:color w:val="auto"/>
        </w:rPr>
        <w:t xml:space="preserve"> ” means a party to this Debenture. “ </w:t>
      </w:r>
      <w:r>
        <w:rPr>
          <w:rFonts w:ascii="Arial" w:cs="Arial" w:eastAsia="Arial" w:hAnsi="Arial"/>
          <w:sz w:val="21"/>
          <w:szCs w:val="21"/>
          <w:b w:val="1"/>
          <w:bCs w:val="1"/>
          <w:color w:val="auto"/>
        </w:rPr>
        <w:t>Proceeds</w:t>
      </w:r>
      <w:r>
        <w:rPr>
          <w:rFonts w:ascii="Arial" w:cs="Arial" w:eastAsia="Arial" w:hAnsi="Arial"/>
          <w:sz w:val="21"/>
          <w:szCs w:val="21"/>
          <w:color w:val="auto"/>
        </w:rPr>
        <w:t xml:space="preserve"> ” means:</w:t>
      </w:r>
    </w:p>
    <w:p>
      <w:pPr>
        <w:ind w:left="506" w:hanging="506"/>
        <w:spacing w:after="0"/>
        <w:tabs>
          <w:tab w:leader="none" w:pos="506" w:val="left"/>
        </w:tabs>
        <w:numPr>
          <w:ilvl w:val="0"/>
          <w:numId w:val="545"/>
        </w:numPr>
        <w:rPr>
          <w:rFonts w:ascii="Arial" w:cs="Arial" w:eastAsia="Arial" w:hAnsi="Arial"/>
          <w:sz w:val="20"/>
          <w:szCs w:val="20"/>
          <w:color w:val="auto"/>
        </w:rPr>
      </w:pPr>
      <w:r>
        <w:rPr>
          <w:rFonts w:ascii="Arial" w:cs="Arial" w:eastAsia="Arial" w:hAnsi="Arial"/>
          <w:sz w:val="20"/>
          <w:szCs w:val="20"/>
          <w:color w:val="auto"/>
        </w:rPr>
        <w:t>whatever is acquired upon the sale, lease, licence, exchange or other disposition of the LHR Slots or any of them;</w:t>
      </w:r>
    </w:p>
    <w:p>
      <w:pPr>
        <w:spacing w:after="0" w:line="229" w:lineRule="exact"/>
        <w:rPr>
          <w:rFonts w:ascii="Arial" w:cs="Arial" w:eastAsia="Arial" w:hAnsi="Arial"/>
          <w:sz w:val="20"/>
          <w:szCs w:val="20"/>
          <w:color w:val="auto"/>
        </w:rPr>
      </w:pPr>
    </w:p>
    <w:p>
      <w:pPr>
        <w:ind w:left="506" w:hanging="506"/>
        <w:spacing w:after="0"/>
        <w:tabs>
          <w:tab w:leader="none" w:pos="506" w:val="left"/>
        </w:tabs>
        <w:numPr>
          <w:ilvl w:val="0"/>
          <w:numId w:val="545"/>
        </w:numPr>
        <w:rPr>
          <w:rFonts w:ascii="Arial" w:cs="Arial" w:eastAsia="Arial" w:hAnsi="Arial"/>
          <w:sz w:val="21"/>
          <w:szCs w:val="21"/>
          <w:color w:val="auto"/>
        </w:rPr>
      </w:pPr>
      <w:r>
        <w:rPr>
          <w:rFonts w:ascii="Arial" w:cs="Arial" w:eastAsia="Arial" w:hAnsi="Arial"/>
          <w:sz w:val="21"/>
          <w:szCs w:val="21"/>
          <w:color w:val="auto"/>
        </w:rPr>
        <w:t>whatever is distributed on account of the LHR Slots;</w:t>
      </w:r>
    </w:p>
    <w:p>
      <w:pPr>
        <w:spacing w:after="0" w:line="217" w:lineRule="exact"/>
        <w:rPr>
          <w:rFonts w:ascii="Arial" w:cs="Arial" w:eastAsia="Arial" w:hAnsi="Arial"/>
          <w:sz w:val="21"/>
          <w:szCs w:val="21"/>
          <w:color w:val="auto"/>
        </w:rPr>
      </w:pPr>
    </w:p>
    <w:p>
      <w:pPr>
        <w:ind w:left="506" w:hanging="506"/>
        <w:spacing w:after="0"/>
        <w:tabs>
          <w:tab w:leader="none" w:pos="506" w:val="left"/>
        </w:tabs>
        <w:numPr>
          <w:ilvl w:val="0"/>
          <w:numId w:val="545"/>
        </w:numPr>
        <w:rPr>
          <w:rFonts w:ascii="Arial" w:cs="Arial" w:eastAsia="Arial" w:hAnsi="Arial"/>
          <w:sz w:val="21"/>
          <w:szCs w:val="21"/>
          <w:color w:val="auto"/>
        </w:rPr>
      </w:pPr>
      <w:r>
        <w:rPr>
          <w:rFonts w:ascii="Arial" w:cs="Arial" w:eastAsia="Arial" w:hAnsi="Arial"/>
          <w:sz w:val="21"/>
          <w:szCs w:val="21"/>
          <w:color w:val="auto"/>
        </w:rPr>
        <w:t>all other rights arising out of or otherwise attributable to the LHR Slots or any of them;</w:t>
      </w:r>
    </w:p>
    <w:p>
      <w:pPr>
        <w:spacing w:after="0" w:line="217" w:lineRule="exact"/>
        <w:rPr>
          <w:rFonts w:ascii="Arial" w:cs="Arial" w:eastAsia="Arial" w:hAnsi="Arial"/>
          <w:sz w:val="21"/>
          <w:szCs w:val="21"/>
          <w:color w:val="auto"/>
        </w:rPr>
      </w:pPr>
    </w:p>
    <w:p>
      <w:pPr>
        <w:ind w:left="506" w:right="20" w:hanging="506"/>
        <w:spacing w:after="0" w:line="264" w:lineRule="auto"/>
        <w:tabs>
          <w:tab w:leader="none" w:pos="506" w:val="left"/>
        </w:tabs>
        <w:numPr>
          <w:ilvl w:val="0"/>
          <w:numId w:val="545"/>
        </w:numPr>
        <w:rPr>
          <w:rFonts w:ascii="Arial" w:cs="Arial" w:eastAsia="Arial" w:hAnsi="Arial"/>
          <w:sz w:val="21"/>
          <w:szCs w:val="21"/>
          <w:color w:val="auto"/>
        </w:rPr>
      </w:pPr>
      <w:r>
        <w:rPr>
          <w:rFonts w:ascii="Arial" w:cs="Arial" w:eastAsia="Arial" w:hAnsi="Arial"/>
          <w:sz w:val="21"/>
          <w:szCs w:val="21"/>
          <w:color w:val="auto"/>
        </w:rPr>
        <w:t>to the extent of the value of the relevant LHR Slots, claims arising out of the loss of the LHR Slots or any of them (or any interference with the use thereof or any infringement of rights therein); or</w:t>
      </w:r>
    </w:p>
    <w:p>
      <w:pPr>
        <w:spacing w:after="0" w:line="170" w:lineRule="exact"/>
        <w:rPr>
          <w:rFonts w:ascii="Arial" w:cs="Arial" w:eastAsia="Arial" w:hAnsi="Arial"/>
          <w:sz w:val="21"/>
          <w:szCs w:val="21"/>
          <w:color w:val="auto"/>
        </w:rPr>
      </w:pPr>
    </w:p>
    <w:p>
      <w:pPr>
        <w:ind w:left="506" w:right="20" w:hanging="506"/>
        <w:spacing w:after="0" w:line="289" w:lineRule="auto"/>
        <w:tabs>
          <w:tab w:leader="none" w:pos="506" w:val="left"/>
        </w:tabs>
        <w:numPr>
          <w:ilvl w:val="0"/>
          <w:numId w:val="545"/>
        </w:numPr>
        <w:rPr>
          <w:rFonts w:ascii="Arial" w:cs="Arial" w:eastAsia="Arial" w:hAnsi="Arial"/>
          <w:sz w:val="20"/>
          <w:szCs w:val="20"/>
          <w:color w:val="auto"/>
        </w:rPr>
      </w:pPr>
      <w:r>
        <w:rPr>
          <w:rFonts w:ascii="Arial" w:cs="Arial" w:eastAsia="Arial" w:hAnsi="Arial"/>
          <w:sz w:val="20"/>
          <w:szCs w:val="20"/>
          <w:color w:val="auto"/>
        </w:rPr>
        <w:t>to the extent of the value of the relevant LHR Slots and to the extent payable to the Chargor or any Secured Party, insurance payable by reason of the loss of the LHR Slots or any of them (or any infringement of rights therein),</w:t>
      </w:r>
    </w:p>
    <w:p>
      <w:pPr>
        <w:spacing w:after="0" w:line="148" w:lineRule="exact"/>
        <w:rPr>
          <w:rFonts w:ascii="Arial" w:cs="Arial" w:eastAsia="Arial" w:hAnsi="Arial"/>
          <w:sz w:val="20"/>
          <w:szCs w:val="20"/>
          <w:color w:val="auto"/>
        </w:rPr>
      </w:pPr>
    </w:p>
    <w:p>
      <w:pPr>
        <w:ind w:left="506"/>
        <w:spacing w:after="0" w:line="264" w:lineRule="auto"/>
        <w:rPr>
          <w:rFonts w:ascii="Arial" w:cs="Arial" w:eastAsia="Arial" w:hAnsi="Arial"/>
          <w:sz w:val="20"/>
          <w:szCs w:val="20"/>
          <w:color w:val="auto"/>
        </w:rPr>
      </w:pPr>
      <w:r>
        <w:rPr>
          <w:rFonts w:ascii="Arial" w:cs="Arial" w:eastAsia="Arial" w:hAnsi="Arial"/>
          <w:sz w:val="21"/>
          <w:szCs w:val="21"/>
          <w:color w:val="auto"/>
        </w:rPr>
        <w:t>provided that for the avoidance of doubt “Proceeds” shall not include revenues generated from passenger or other flights operated by the Chargor or any of its affiliates using any Slot.</w:t>
      </w:r>
    </w:p>
    <w:p>
      <w:pPr>
        <w:spacing w:after="0" w:line="151" w:lineRule="exact"/>
        <w:rPr>
          <w:rFonts w:ascii="Arial" w:cs="Arial" w:eastAsia="Arial" w:hAnsi="Arial"/>
          <w:sz w:val="20"/>
          <w:szCs w:val="20"/>
          <w:color w:val="auto"/>
        </w:rPr>
      </w:pPr>
    </w:p>
    <w:p>
      <w:pPr>
        <w:ind w:left="6" w:firstLine="135"/>
        <w:spacing w:after="0" w:line="243" w:lineRule="auto"/>
        <w:rPr>
          <w:rFonts w:ascii="Arial" w:cs="Arial" w:eastAsia="Arial" w:hAnsi="Arial"/>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Receiver</w:t>
      </w:r>
      <w:r>
        <w:rPr>
          <w:rFonts w:ascii="Arial" w:cs="Arial" w:eastAsia="Arial" w:hAnsi="Arial"/>
          <w:sz w:val="21"/>
          <w:szCs w:val="21"/>
          <w:color w:val="auto"/>
        </w:rPr>
        <w:t xml:space="preserve"> ” means a receiver and manager or any other receiver of all or any of the Collateral, and shall, where permitted by law, include an administrative receiver in each case, appointed under this Debenture.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3" w:lineRule="exact"/>
        <w:rPr>
          <w:rFonts w:ascii="Arial" w:cs="Arial" w:eastAsia="Arial" w:hAnsi="Arial"/>
          <w:sz w:val="20"/>
          <w:szCs w:val="20"/>
          <w:color w:val="auto"/>
        </w:rPr>
      </w:pPr>
    </w:p>
    <w:p>
      <w:pPr>
        <w:ind w:left="4926"/>
        <w:spacing w:after="0"/>
        <w:rPr>
          <w:rFonts w:ascii="Arial" w:cs="Arial" w:eastAsia="Arial" w:hAnsi="Arial"/>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65151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-307975</wp:posOffset>
            </wp:positionH>
            <wp:positionV relativeFrom="paragraph">
              <wp:posOffset>75565</wp:posOffset>
            </wp:positionV>
            <wp:extent cx="71323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625" w:right="339" w:bottom="1440" w:gutter="0" w:footer="0" w:header="0"/>
        </w:sectPr>
      </w:pPr>
    </w:p>
    <w:bookmarkStart w:id="444" w:name="page445"/>
    <w:bookmarkEnd w:id="444"/>
    <w:p>
      <w:pPr>
        <w:ind w:firstLine="135"/>
        <w:spacing w:after="0" w:line="29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Rights</w:t>
      </w:r>
      <w:r>
        <w:rPr>
          <w:rFonts w:ascii="Arial" w:cs="Arial" w:eastAsia="Arial" w:hAnsi="Arial"/>
          <w:sz w:val="19"/>
          <w:szCs w:val="19"/>
          <w:color w:val="auto"/>
        </w:rPr>
        <w:t xml:space="preserve"> ” means rights, permissions, entitlements, expectations, benefits, powers, privileges, authorities, discretions, remedies, indemnities, covenants, liberties, easements, quasi-easements and appurtenances (in each case, of any nature).</w:t>
      </w:r>
    </w:p>
    <w:p>
      <w:pPr>
        <w:spacing w:after="0" w:line="112" w:lineRule="exact"/>
        <w:rPr>
          <w:sz w:val="20"/>
          <w:szCs w:val="20"/>
          <w:color w:val="auto"/>
        </w:rPr>
      </w:pPr>
    </w:p>
    <w:p>
      <w:pPr>
        <w:jc w:val="both"/>
        <w:ind w:firstLine="135"/>
        <w:spacing w:after="0" w:line="22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Scheduled Services</w:t>
      </w:r>
      <w:r>
        <w:rPr>
          <w:rFonts w:ascii="Arial" w:cs="Arial" w:eastAsia="Arial" w:hAnsi="Arial"/>
          <w:sz w:val="21"/>
          <w:szCs w:val="21"/>
          <w:color w:val="auto"/>
        </w:rPr>
        <w:t xml:space="preserve"> ” shall mean, at any time of determination, the non-stop scheduled air carrier services being operated by the Chargor at such time between any airport in the United States and Heathrow Airport, England and any other non-stop scheduled air carrier service being operated by the Chargor at such time that has been designated as an additional “Scheduled Service” pursuant to any SGR Security Agreement Supplement, and “ </w:t>
      </w:r>
      <w:r>
        <w:rPr>
          <w:rFonts w:ascii="Arial" w:cs="Arial" w:eastAsia="Arial" w:hAnsi="Arial"/>
          <w:sz w:val="21"/>
          <w:szCs w:val="21"/>
          <w:b w:val="1"/>
          <w:bCs w:val="1"/>
          <w:color w:val="auto"/>
        </w:rPr>
        <w:t>Scheduled Service</w:t>
      </w:r>
      <w:r>
        <w:rPr>
          <w:rFonts w:ascii="Arial" w:cs="Arial" w:eastAsia="Arial" w:hAnsi="Arial"/>
          <w:sz w:val="21"/>
          <w:szCs w:val="21"/>
          <w:color w:val="auto"/>
        </w:rPr>
        <w:t xml:space="preserve"> ” shall mean any of such Scheduled Services as the context requires.</w:t>
      </w:r>
    </w:p>
    <w:p>
      <w:pPr>
        <w:spacing w:after="0" w:line="164" w:lineRule="exact"/>
        <w:rPr>
          <w:sz w:val="20"/>
          <w:szCs w:val="20"/>
          <w:color w:val="auto"/>
        </w:rPr>
      </w:pPr>
    </w:p>
    <w:p>
      <w:pPr>
        <w:jc w:val="both"/>
        <w:ind w:firstLine="135"/>
        <w:spacing w:after="0" w:line="23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Secured Obligations</w:t>
      </w:r>
      <w:r>
        <w:rPr>
          <w:rFonts w:ascii="Arial" w:cs="Arial" w:eastAsia="Arial" w:hAnsi="Arial"/>
          <w:sz w:val="21"/>
          <w:szCs w:val="21"/>
          <w:color w:val="auto"/>
        </w:rPr>
        <w:t xml:space="preserve"> ” has the meaning given to the term “Obligations” in the Credit Agreement, but excludes any obligation or liability which, if it were so included, would result in this Debenture contravening any law (including, without limitation, sections 678 and 679 of the Companies Act 2006).</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Secured Parties</w:t>
      </w:r>
      <w:r>
        <w:rPr>
          <w:rFonts w:ascii="Arial" w:cs="Arial" w:eastAsia="Arial" w:hAnsi="Arial"/>
          <w:sz w:val="21"/>
          <w:szCs w:val="21"/>
          <w:color w:val="auto"/>
        </w:rPr>
        <w:t xml:space="preserve"> ” has the meaning given to that term in the Credit Agreement.</w:t>
      </w:r>
    </w:p>
    <w:p>
      <w:pPr>
        <w:spacing w:after="0" w:line="190" w:lineRule="exact"/>
        <w:rPr>
          <w:sz w:val="20"/>
          <w:szCs w:val="20"/>
          <w:color w:val="auto"/>
        </w:rPr>
      </w:pPr>
    </w:p>
    <w:p>
      <w:pPr>
        <w:ind w:firstLine="135"/>
        <w:spacing w:after="0" w:line="243"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Security</w:t>
      </w:r>
      <w:r>
        <w:rPr>
          <w:rFonts w:ascii="Arial" w:cs="Arial" w:eastAsia="Arial" w:hAnsi="Arial"/>
          <w:sz w:val="21"/>
          <w:szCs w:val="21"/>
          <w:color w:val="auto"/>
        </w:rPr>
        <w:t xml:space="preserve"> ” means a mortgage, charge, pledge, lien or other security interest securing any obligation of any person or any other agreement or arrangement having a similar effect.</w:t>
      </w:r>
    </w:p>
    <w:p>
      <w:pPr>
        <w:spacing w:after="0" w:line="158" w:lineRule="exact"/>
        <w:rPr>
          <w:sz w:val="20"/>
          <w:szCs w:val="20"/>
          <w:color w:val="auto"/>
        </w:rPr>
      </w:pPr>
    </w:p>
    <w:p>
      <w:pPr>
        <w:jc w:val="both"/>
        <w:ind w:firstLine="135"/>
        <w:spacing w:after="0" w:line="22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Security Period</w:t>
      </w:r>
      <w:r>
        <w:rPr>
          <w:rFonts w:ascii="Arial" w:cs="Arial" w:eastAsia="Arial" w:hAnsi="Arial"/>
          <w:sz w:val="21"/>
          <w:szCs w:val="21"/>
          <w:color w:val="auto"/>
        </w:rPr>
        <w:t xml:space="preserve"> ” means the period beginning on the date of this Debenture and ending on the date on which all the Secured Obligations (other than any Secured Obligations owing to a Non-Lender Secured Party) have been unconditionally and irrevocably paid and discharged in full and no further Secured Obligations (other than any Secured Obligations owing to a Non-Lender Secured Party) are capable of being outstanding.</w:t>
      </w:r>
    </w:p>
    <w:p>
      <w:pPr>
        <w:spacing w:after="0" w:line="162" w:lineRule="exact"/>
        <w:rPr>
          <w:sz w:val="20"/>
          <w:szCs w:val="20"/>
          <w:color w:val="auto"/>
        </w:rPr>
      </w:pPr>
    </w:p>
    <w:p>
      <w:pPr>
        <w:jc w:val="both"/>
        <w:ind w:firstLine="135"/>
        <w:spacing w:after="0" w:line="24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SGR Security Agreement</w:t>
      </w:r>
      <w:r>
        <w:rPr>
          <w:rFonts w:ascii="Arial" w:cs="Arial" w:eastAsia="Arial" w:hAnsi="Arial"/>
          <w:sz w:val="20"/>
          <w:szCs w:val="20"/>
          <w:color w:val="auto"/>
        </w:rPr>
        <w:t xml:space="preserve"> ” means that certain Second Lien Security Agreement (slots, foreign gate leaseholds and route authorities), dated as of the Closing Date by and among the Chargor, as grantor, the other grantors thereto from time to time and the Collateral Agent (as amended, restated, supplemented or otherwise modified from time to time).</w:t>
      </w:r>
    </w:p>
    <w:p>
      <w:pPr>
        <w:spacing w:after="0" w:line="156" w:lineRule="exact"/>
        <w:rPr>
          <w:sz w:val="20"/>
          <w:szCs w:val="20"/>
          <w:color w:val="auto"/>
        </w:rPr>
      </w:pPr>
    </w:p>
    <w:p>
      <w:pPr>
        <w:jc w:val="both"/>
        <w:ind w:firstLine="135"/>
        <w:spacing w:after="0" w:line="23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SGR Security Agreement Supplement</w:t>
      </w:r>
      <w:r>
        <w:rPr>
          <w:rFonts w:ascii="Arial" w:cs="Arial" w:eastAsia="Arial" w:hAnsi="Arial"/>
          <w:sz w:val="21"/>
          <w:szCs w:val="21"/>
          <w:color w:val="auto"/>
        </w:rPr>
        <w:t xml:space="preserve"> ” means any supplement to the SGR Security Agreement executed by the Chargor at any time and from time to time designating any non-stop scheduled air carrier service being operated by the Chargor at such time as an additional Scheduled Service.</w:t>
      </w:r>
    </w:p>
    <w:p>
      <w:pPr>
        <w:spacing w:after="0" w:line="163" w:lineRule="exact"/>
        <w:rPr>
          <w:sz w:val="20"/>
          <w:szCs w:val="20"/>
          <w:color w:val="auto"/>
        </w:rPr>
      </w:pPr>
    </w:p>
    <w:p>
      <w:pPr>
        <w:jc w:val="both"/>
        <w:ind w:firstLine="135"/>
        <w:spacing w:after="0" w:line="24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Slot</w:t>
      </w:r>
      <w:r>
        <w:rPr>
          <w:rFonts w:ascii="Arial" w:cs="Arial" w:eastAsia="Arial" w:hAnsi="Arial"/>
          <w:sz w:val="20"/>
          <w:szCs w:val="20"/>
          <w:color w:val="auto"/>
        </w:rPr>
        <w:t xml:space="preserve"> ” means all permissions given by the Coordinator in accordance with the LHR Slot Regulations to use the full range of airport infrastructure necessary to operate an air service at Heathrow Airport, England on a specific date and time for the purpose of landing or take off as allocated by the Coordinator in accordance with the LHR Slot Regulations.</w:t>
      </w:r>
    </w:p>
    <w:p>
      <w:pPr>
        <w:spacing w:after="0" w:line="156" w:lineRule="exact"/>
        <w:rPr>
          <w:sz w:val="20"/>
          <w:szCs w:val="20"/>
          <w:color w:val="auto"/>
        </w:rPr>
      </w:pPr>
    </w:p>
    <w:p>
      <w:pPr>
        <w:jc w:val="both"/>
        <w:ind w:firstLine="135"/>
        <w:spacing w:after="0" w:line="232"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Temporary Slot</w:t>
      </w:r>
      <w:r>
        <w:rPr>
          <w:rFonts w:ascii="Arial" w:cs="Arial" w:eastAsia="Arial" w:hAnsi="Arial"/>
          <w:sz w:val="21"/>
          <w:szCs w:val="21"/>
          <w:color w:val="auto"/>
        </w:rPr>
        <w:t xml:space="preserve"> ” means, at any time of determination, a Slot that was obtained by the Chargor from another air carrier pursuant to an agreement (including but not limited to a loan agreement, lease agreement, slot exchange agreement or a slot release agreement) and is held by the Chargor on a temporary basis.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651510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75565</wp:posOffset>
            </wp:positionV>
            <wp:extent cx="71323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19" w:right="339" w:bottom="1440" w:gutter="0" w:footer="0" w:header="0"/>
        </w:sectPr>
      </w:pPr>
    </w:p>
    <w:bookmarkStart w:id="445" w:name="page446"/>
    <w:bookmarkEnd w:id="445"/>
    <w:p>
      <w:pPr>
        <w:jc w:val="both"/>
        <w:ind w:left="500" w:firstLine="135"/>
        <w:spacing w:after="0" w:line="24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Trust Property</w:t>
      </w:r>
      <w:r>
        <w:rPr>
          <w:rFonts w:ascii="Arial" w:cs="Arial" w:eastAsia="Arial" w:hAnsi="Arial"/>
          <w:sz w:val="19"/>
          <w:szCs w:val="19"/>
          <w:color w:val="auto"/>
        </w:rPr>
        <w:t xml:space="preserve"> ” means (a) the Security and all other powers, rights and guarantees (both present and future) granted to the Collateral Agent under or pursuant to this Debenture (other than any given solely for its own benefit in its capacity as Collateral Agent); (b) all monies received or recovered by the Collateral Agent from time to time as trustee for the Secured Parties under, pursuant to or in connection with this Debenture and (c) all investments, property, money and other assets at any time representing or derived from any of the foregoing, including without limitation all interest, income and other sums at any time received or receivable by the Collateral Agent (or any agent of the Collateral Agent) in respect of the same (or any part thereof).</w:t>
      </w:r>
    </w:p>
    <w:p>
      <w:pPr>
        <w:spacing w:after="0" w:line="157" w:lineRule="exact"/>
        <w:rPr>
          <w:sz w:val="20"/>
          <w:szCs w:val="20"/>
          <w:color w:val="auto"/>
        </w:rPr>
      </w:pPr>
    </w:p>
    <w:p>
      <w:pPr>
        <w:ind w:left="500" w:firstLine="135"/>
        <w:spacing w:after="0" w:line="243"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UK Slot Regulations</w:t>
      </w:r>
      <w:r>
        <w:rPr>
          <w:rFonts w:ascii="Arial" w:cs="Arial" w:eastAsia="Arial" w:hAnsi="Arial"/>
          <w:sz w:val="21"/>
          <w:szCs w:val="21"/>
          <w:color w:val="auto"/>
        </w:rPr>
        <w:t xml:space="preserve"> ” means The Airport Slot Allocation Regulations 2006, as the same may be amended, revised, supplemented, re-enacted or substituted from time to time.</w:t>
      </w:r>
    </w:p>
    <w:p>
      <w:pPr>
        <w:spacing w:after="0" w:line="98"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u w:val="single" w:color="auto"/>
          <w:color w:val="auto"/>
        </w:rPr>
        <w:t>Construction</w:t>
      </w:r>
    </w:p>
    <w:p>
      <w:pPr>
        <w:spacing w:after="0" w:line="83" w:lineRule="exact"/>
        <w:rPr>
          <w:sz w:val="20"/>
          <w:szCs w:val="20"/>
          <w:color w:val="auto"/>
        </w:rPr>
      </w:pPr>
    </w:p>
    <w:p>
      <w:pPr>
        <w:ind w:left="1000" w:hanging="506"/>
        <w:spacing w:after="0" w:line="264" w:lineRule="auto"/>
        <w:tabs>
          <w:tab w:leader="none" w:pos="1000" w:val="left"/>
        </w:tabs>
        <w:numPr>
          <w:ilvl w:val="0"/>
          <w:numId w:val="548"/>
        </w:numPr>
        <w:rPr>
          <w:rFonts w:ascii="Arial" w:cs="Arial" w:eastAsia="Arial" w:hAnsi="Arial"/>
          <w:sz w:val="21"/>
          <w:szCs w:val="21"/>
          <w:color w:val="auto"/>
        </w:rPr>
      </w:pPr>
      <w:r>
        <w:rPr>
          <w:rFonts w:ascii="Arial" w:cs="Arial" w:eastAsia="Arial" w:hAnsi="Arial"/>
          <w:sz w:val="21"/>
          <w:szCs w:val="21"/>
          <w:color w:val="auto"/>
        </w:rPr>
        <w:t>Capitalised terms defined in the Credit Agreement have, unless expressly defined in this Debenture, the same meaning in this Debenture.</w:t>
      </w:r>
    </w:p>
    <w:p>
      <w:pPr>
        <w:spacing w:after="0" w:line="170" w:lineRule="exact"/>
        <w:rPr>
          <w:rFonts w:ascii="Arial" w:cs="Arial" w:eastAsia="Arial" w:hAnsi="Arial"/>
          <w:sz w:val="21"/>
          <w:szCs w:val="21"/>
          <w:color w:val="auto"/>
        </w:rPr>
      </w:pPr>
    </w:p>
    <w:p>
      <w:pPr>
        <w:jc w:val="both"/>
        <w:ind w:left="1000" w:hanging="506"/>
        <w:spacing w:after="0" w:line="252" w:lineRule="auto"/>
        <w:tabs>
          <w:tab w:leader="none" w:pos="1000" w:val="left"/>
        </w:tabs>
        <w:numPr>
          <w:ilvl w:val="0"/>
          <w:numId w:val="548"/>
        </w:numPr>
        <w:rPr>
          <w:rFonts w:ascii="Arial" w:cs="Arial" w:eastAsia="Arial" w:hAnsi="Arial"/>
          <w:sz w:val="21"/>
          <w:szCs w:val="21"/>
          <w:color w:val="auto"/>
        </w:rPr>
      </w:pPr>
      <w:r>
        <w:rPr>
          <w:rFonts w:ascii="Arial" w:cs="Arial" w:eastAsia="Arial" w:hAnsi="Arial"/>
          <w:sz w:val="21"/>
          <w:szCs w:val="21"/>
          <w:color w:val="auto"/>
        </w:rPr>
        <w:t xml:space="preserve">The provisions of section 1.02 ( </w:t>
      </w:r>
      <w:r>
        <w:rPr>
          <w:rFonts w:ascii="Arial" w:cs="Arial" w:eastAsia="Arial" w:hAnsi="Arial"/>
          <w:sz w:val="21"/>
          <w:szCs w:val="21"/>
          <w:i w:val="1"/>
          <w:iCs w:val="1"/>
          <w:color w:val="auto"/>
        </w:rPr>
        <w:t>Terms Generally</w:t>
      </w:r>
      <w:r>
        <w:rPr>
          <w:rFonts w:ascii="Arial" w:cs="Arial" w:eastAsia="Arial" w:hAnsi="Arial"/>
          <w:sz w:val="21"/>
          <w:szCs w:val="21"/>
          <w:color w:val="auto"/>
        </w:rPr>
        <w:t xml:space="preserve"> ) of the Credit Agreement apply to this Debenture as though they were set out in full in this Debenture, except that references to the Credit Agreement will be construed as references to this Debenture.</w:t>
      </w:r>
    </w:p>
    <w:p>
      <w:pPr>
        <w:spacing w:after="0" w:line="184" w:lineRule="exact"/>
        <w:rPr>
          <w:rFonts w:ascii="Arial" w:cs="Arial" w:eastAsia="Arial" w:hAnsi="Arial"/>
          <w:sz w:val="21"/>
          <w:szCs w:val="21"/>
          <w:color w:val="auto"/>
        </w:rPr>
      </w:pPr>
    </w:p>
    <w:p>
      <w:pPr>
        <w:ind w:left="1000" w:hanging="506"/>
        <w:spacing w:after="0" w:line="264" w:lineRule="auto"/>
        <w:tabs>
          <w:tab w:leader="none" w:pos="1000" w:val="left"/>
        </w:tabs>
        <w:numPr>
          <w:ilvl w:val="0"/>
          <w:numId w:val="548"/>
        </w:numPr>
        <w:rPr>
          <w:rFonts w:ascii="Arial" w:cs="Arial" w:eastAsia="Arial" w:hAnsi="Arial"/>
          <w:sz w:val="21"/>
          <w:szCs w:val="21"/>
          <w:color w:val="auto"/>
        </w:rPr>
      </w:pPr>
      <w:r>
        <w:rPr>
          <w:rFonts w:ascii="Arial" w:cs="Arial" w:eastAsia="Arial" w:hAnsi="Arial"/>
          <w:sz w:val="21"/>
          <w:szCs w:val="21"/>
          <w:color w:val="auto"/>
        </w:rPr>
        <w:t>All security made with “full title guarantee” is made with full title guarantee in accordance with the Law of Property (Miscellaneous Provisions) Act 1994.</w:t>
      </w:r>
    </w:p>
    <w:p>
      <w:pPr>
        <w:spacing w:after="0" w:line="170" w:lineRule="exact"/>
        <w:rPr>
          <w:rFonts w:ascii="Arial" w:cs="Arial" w:eastAsia="Arial" w:hAnsi="Arial"/>
          <w:sz w:val="21"/>
          <w:szCs w:val="21"/>
          <w:color w:val="auto"/>
        </w:rPr>
      </w:pPr>
    </w:p>
    <w:p>
      <w:pPr>
        <w:ind w:left="1000" w:hanging="506"/>
        <w:spacing w:after="0" w:line="264" w:lineRule="auto"/>
        <w:tabs>
          <w:tab w:leader="none" w:pos="1000" w:val="left"/>
        </w:tabs>
        <w:numPr>
          <w:ilvl w:val="0"/>
          <w:numId w:val="548"/>
        </w:numPr>
        <w:rPr>
          <w:rFonts w:ascii="Arial" w:cs="Arial" w:eastAsia="Arial" w:hAnsi="Arial"/>
          <w:sz w:val="21"/>
          <w:szCs w:val="21"/>
          <w:color w:val="auto"/>
        </w:rPr>
      </w:pPr>
      <w:r>
        <w:rPr>
          <w:rFonts w:ascii="Arial" w:cs="Arial" w:eastAsia="Arial" w:hAnsi="Arial"/>
          <w:sz w:val="21"/>
          <w:szCs w:val="21"/>
          <w:color w:val="auto"/>
        </w:rPr>
        <w:t>Unless the context otherwise requires, a reference to the Collateral includes any part of the Collateral, any proceeds of the Collateral and any present and future asset of that type.</w:t>
      </w:r>
    </w:p>
    <w:p>
      <w:pPr>
        <w:spacing w:after="0" w:line="9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u w:val="single" w:color="auto"/>
          <w:color w:val="auto"/>
        </w:rPr>
        <w:t>Trust</w:t>
      </w:r>
    </w:p>
    <w:p>
      <w:pPr>
        <w:spacing w:after="0" w:line="83" w:lineRule="exact"/>
        <w:rPr>
          <w:sz w:val="20"/>
          <w:szCs w:val="20"/>
          <w:color w:val="auto"/>
        </w:rPr>
      </w:pPr>
    </w:p>
    <w:p>
      <w:pPr>
        <w:ind w:left="1000" w:hanging="506"/>
        <w:spacing w:after="0" w:line="264" w:lineRule="auto"/>
        <w:tabs>
          <w:tab w:leader="none" w:pos="1000" w:val="left"/>
        </w:tabs>
        <w:numPr>
          <w:ilvl w:val="0"/>
          <w:numId w:val="549"/>
        </w:numPr>
        <w:rPr>
          <w:rFonts w:ascii="Arial" w:cs="Arial" w:eastAsia="Arial" w:hAnsi="Arial"/>
          <w:sz w:val="21"/>
          <w:szCs w:val="21"/>
          <w:color w:val="auto"/>
        </w:rPr>
      </w:pPr>
      <w:r>
        <w:rPr>
          <w:rFonts w:ascii="Arial" w:cs="Arial" w:eastAsia="Arial" w:hAnsi="Arial"/>
          <w:sz w:val="21"/>
          <w:szCs w:val="21"/>
          <w:color w:val="auto"/>
        </w:rPr>
        <w:t>The Collateral Agent hereby agrees to hold the Trust Property as trustee for and on behalf of the Secured Parties on the basis of the duties, obligations and responsibilities set out in the Credit Agreement.</w:t>
      </w:r>
    </w:p>
    <w:p>
      <w:pPr>
        <w:spacing w:after="0" w:line="170" w:lineRule="exact"/>
        <w:rPr>
          <w:rFonts w:ascii="Arial" w:cs="Arial" w:eastAsia="Arial" w:hAnsi="Arial"/>
          <w:sz w:val="21"/>
          <w:szCs w:val="21"/>
          <w:color w:val="auto"/>
        </w:rPr>
      </w:pPr>
    </w:p>
    <w:p>
      <w:pPr>
        <w:jc w:val="both"/>
        <w:ind w:left="1000" w:hanging="506"/>
        <w:spacing w:after="0" w:line="273" w:lineRule="auto"/>
        <w:tabs>
          <w:tab w:leader="none" w:pos="1000" w:val="left"/>
        </w:tabs>
        <w:numPr>
          <w:ilvl w:val="0"/>
          <w:numId w:val="549"/>
        </w:numPr>
        <w:rPr>
          <w:rFonts w:ascii="Arial" w:cs="Arial" w:eastAsia="Arial" w:hAnsi="Arial"/>
          <w:sz w:val="19"/>
          <w:szCs w:val="19"/>
          <w:color w:val="auto"/>
        </w:rPr>
      </w:pPr>
      <w:r>
        <w:rPr>
          <w:rFonts w:ascii="Arial" w:cs="Arial" w:eastAsia="Arial" w:hAnsi="Arial"/>
          <w:sz w:val="19"/>
          <w:szCs w:val="19"/>
          <w:color w:val="auto"/>
        </w:rPr>
        <w:t>Section 1 of the Trustee Act 2000 shall not apply to the duties of the Collateral Agent in relation to the trusts constituted by this Debenture. Where there are any inconsistencies between the Trustee Act 1925 and the Trustee Act 2000 and the provisions of this Debenture, the provisions of this Debenture shall, to the extent allowed by law, prevail and, in the case of any such inconsistency with the Trustee Act 2000, the provisions of these presents shall constitute a restriction or exclusion for the purposes of that Act. In performing or carrying out its duties, obligations and responsibilities, the Collateral Agent shall be considered to be acting only in a mechanical and administrative capacity (save as expressly provided in this Debenture) and (save for any liability it might incur as a result of gross negligence or wilful misconduct (as determined by a court of competent jurisdiction in a final non-appealable judgment) shall not have or be deemed to have any duty, obligation or responsibility to or relationship of trust or agency with, any Secured Party.</w:t>
      </w:r>
    </w:p>
    <w:p>
      <w:pPr>
        <w:spacing w:after="0" w:line="166" w:lineRule="exact"/>
        <w:rPr>
          <w:rFonts w:ascii="Arial" w:cs="Arial" w:eastAsia="Arial" w:hAnsi="Arial"/>
          <w:sz w:val="19"/>
          <w:szCs w:val="19"/>
          <w:color w:val="auto"/>
        </w:rPr>
      </w:pPr>
    </w:p>
    <w:p>
      <w:pPr>
        <w:jc w:val="both"/>
        <w:ind w:left="1000" w:hanging="506"/>
        <w:spacing w:after="0" w:line="252" w:lineRule="auto"/>
        <w:tabs>
          <w:tab w:leader="none" w:pos="1000" w:val="left"/>
        </w:tabs>
        <w:numPr>
          <w:ilvl w:val="0"/>
          <w:numId w:val="549"/>
        </w:numPr>
        <w:rPr>
          <w:rFonts w:ascii="Arial" w:cs="Arial" w:eastAsia="Arial" w:hAnsi="Arial"/>
          <w:sz w:val="21"/>
          <w:szCs w:val="21"/>
          <w:color w:val="auto"/>
        </w:rPr>
      </w:pPr>
      <w:r>
        <w:rPr>
          <w:rFonts w:ascii="Arial" w:cs="Arial" w:eastAsia="Arial" w:hAnsi="Arial"/>
          <w:sz w:val="21"/>
          <w:szCs w:val="21"/>
          <w:color w:val="auto"/>
        </w:rPr>
        <w:t>In acting as trustee under this Debenture for the Secured Parties, the Collateral Agent shall be regarded as acting through its trustee division which shall be treated as a separate entity from any other of its divisions or departments. Notwithstanding the foregoing, any</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97" w:lineRule="exact"/>
        <w:rPr>
          <w:rFonts w:ascii="Arial" w:cs="Arial" w:eastAsia="Arial" w:hAnsi="Arial"/>
          <w:sz w:val="21"/>
          <w:szCs w:val="21"/>
          <w:color w:val="auto"/>
        </w:rPr>
      </w:pPr>
    </w:p>
    <w:p>
      <w:pPr>
        <w:ind w:left="5420"/>
        <w:spacing w:after="0"/>
        <w:rPr>
          <w:rFonts w:ascii="Arial" w:cs="Arial" w:eastAsia="Arial" w:hAnsi="Arial"/>
          <w:sz w:val="21"/>
          <w:szCs w:val="21"/>
          <w:color w:val="auto"/>
        </w:rPr>
      </w:pPr>
      <w:r>
        <w:rPr>
          <w:rFonts w:ascii="Arial" w:cs="Arial" w:eastAsia="Arial" w:hAnsi="Arial"/>
          <w:sz w:val="22"/>
          <w:szCs w:val="22"/>
          <w:color w:val="auto"/>
        </w:rPr>
        <w:t xml:space="preserve">– </w:t>
      </w:r>
      <w:r>
        <w:rPr>
          <w:rFonts w:ascii="Arial" w:cs="Arial" w:eastAsia="Arial" w:hAnsi="Arial"/>
          <w:sz w:val="17"/>
          <w:szCs w:val="17"/>
          <w:color w:val="auto"/>
        </w:rPr>
        <w:t>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9" w:right="339" w:bottom="1440" w:gutter="0" w:footer="0" w:header="0"/>
        </w:sectPr>
      </w:pPr>
    </w:p>
    <w:bookmarkStart w:id="446" w:name="page447"/>
    <w:bookmarkEnd w:id="446"/>
    <w:p>
      <w:pPr>
        <w:ind w:left="1000"/>
        <w:spacing w:after="0" w:line="238" w:lineRule="auto"/>
        <w:rPr>
          <w:sz w:val="20"/>
          <w:szCs w:val="20"/>
          <w:color w:val="auto"/>
        </w:rPr>
      </w:pPr>
      <w:r>
        <w:rPr>
          <w:rFonts w:ascii="Arial" w:cs="Arial" w:eastAsia="Arial" w:hAnsi="Arial"/>
          <w:sz w:val="21"/>
          <w:szCs w:val="21"/>
          <w:color w:val="auto"/>
        </w:rPr>
        <w:t>information received by some other division or department of the Collateral Agent may be treated as confidential and shall not be regarded as having been given to the Collateral Agent’s trustee division.</w:t>
      </w:r>
    </w:p>
    <w:p>
      <w:pPr>
        <w:spacing w:after="0" w:line="102"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u w:val="single" w:color="auto"/>
          <w:color w:val="auto"/>
        </w:rPr>
        <w:t>Third Party Rights</w:t>
      </w:r>
    </w:p>
    <w:p>
      <w:pPr>
        <w:spacing w:after="0" w:line="83" w:lineRule="exact"/>
        <w:rPr>
          <w:sz w:val="20"/>
          <w:szCs w:val="20"/>
          <w:color w:val="auto"/>
        </w:rPr>
      </w:pPr>
    </w:p>
    <w:p>
      <w:pPr>
        <w:jc w:val="both"/>
        <w:ind w:left="1000" w:hanging="506"/>
        <w:spacing w:after="0" w:line="252" w:lineRule="auto"/>
        <w:tabs>
          <w:tab w:leader="none" w:pos="1000" w:val="left"/>
        </w:tabs>
        <w:numPr>
          <w:ilvl w:val="0"/>
          <w:numId w:val="550"/>
        </w:numPr>
        <w:rPr>
          <w:rFonts w:ascii="Arial" w:cs="Arial" w:eastAsia="Arial" w:hAnsi="Arial"/>
          <w:sz w:val="21"/>
          <w:szCs w:val="21"/>
          <w:color w:val="auto"/>
        </w:rPr>
      </w:pPr>
      <w:r>
        <w:rPr>
          <w:rFonts w:ascii="Arial" w:cs="Arial" w:eastAsia="Arial" w:hAnsi="Arial"/>
          <w:sz w:val="21"/>
          <w:szCs w:val="21"/>
          <w:color w:val="auto"/>
        </w:rPr>
        <w:t xml:space="preserve">Unless expressly provided to the contrary in this Debenture, a person who is not a Party has no right under the Contracts (Rights of Third Parties) Act 1999 (the “ </w:t>
      </w:r>
      <w:r>
        <w:rPr>
          <w:rFonts w:ascii="Arial" w:cs="Arial" w:eastAsia="Arial" w:hAnsi="Arial"/>
          <w:sz w:val="21"/>
          <w:szCs w:val="21"/>
          <w:b w:val="1"/>
          <w:bCs w:val="1"/>
          <w:color w:val="auto"/>
        </w:rPr>
        <w:t>Third Parties Act</w:t>
      </w:r>
      <w:r>
        <w:rPr>
          <w:rFonts w:ascii="Arial" w:cs="Arial" w:eastAsia="Arial" w:hAnsi="Arial"/>
          <w:sz w:val="21"/>
          <w:szCs w:val="21"/>
          <w:color w:val="auto"/>
        </w:rPr>
        <w:t xml:space="preserve"> ”) to enforce or enjoy the benefit of any term of this Debenture.</w:t>
      </w:r>
    </w:p>
    <w:p>
      <w:pPr>
        <w:spacing w:after="0" w:line="184" w:lineRule="exact"/>
        <w:rPr>
          <w:rFonts w:ascii="Arial" w:cs="Arial" w:eastAsia="Arial" w:hAnsi="Arial"/>
          <w:sz w:val="21"/>
          <w:szCs w:val="21"/>
          <w:color w:val="auto"/>
        </w:rPr>
      </w:pPr>
    </w:p>
    <w:p>
      <w:pPr>
        <w:ind w:left="1000" w:hanging="506"/>
        <w:spacing w:after="0" w:line="264" w:lineRule="auto"/>
        <w:tabs>
          <w:tab w:leader="none" w:pos="1000" w:val="left"/>
        </w:tabs>
        <w:numPr>
          <w:ilvl w:val="0"/>
          <w:numId w:val="550"/>
        </w:numPr>
        <w:rPr>
          <w:rFonts w:ascii="Arial" w:cs="Arial" w:eastAsia="Arial" w:hAnsi="Arial"/>
          <w:sz w:val="21"/>
          <w:szCs w:val="21"/>
          <w:color w:val="auto"/>
        </w:rPr>
      </w:pPr>
      <w:r>
        <w:rPr>
          <w:rFonts w:ascii="Arial" w:cs="Arial" w:eastAsia="Arial" w:hAnsi="Arial"/>
          <w:sz w:val="21"/>
          <w:szCs w:val="21"/>
          <w:color w:val="auto"/>
        </w:rPr>
        <w:t>Notwithstanding any term of any Loan Document, the consent of any person who is not a party is not required to vary, rescind or terminate this Debenture at any time.</w:t>
      </w:r>
    </w:p>
    <w:p>
      <w:pPr>
        <w:spacing w:after="0" w:line="170" w:lineRule="exact"/>
        <w:rPr>
          <w:rFonts w:ascii="Arial" w:cs="Arial" w:eastAsia="Arial" w:hAnsi="Arial"/>
          <w:sz w:val="21"/>
          <w:szCs w:val="21"/>
          <w:color w:val="auto"/>
        </w:rPr>
      </w:pPr>
    </w:p>
    <w:p>
      <w:pPr>
        <w:ind w:left="1000" w:right="20" w:hanging="506"/>
        <w:spacing w:after="0" w:line="264" w:lineRule="auto"/>
        <w:tabs>
          <w:tab w:leader="none" w:pos="1000" w:val="left"/>
        </w:tabs>
        <w:numPr>
          <w:ilvl w:val="0"/>
          <w:numId w:val="550"/>
        </w:numPr>
        <w:rPr>
          <w:rFonts w:ascii="Arial" w:cs="Arial" w:eastAsia="Arial" w:hAnsi="Arial"/>
          <w:sz w:val="21"/>
          <w:szCs w:val="21"/>
          <w:color w:val="auto"/>
        </w:rPr>
      </w:pPr>
      <w:r>
        <w:rPr>
          <w:rFonts w:ascii="Arial" w:cs="Arial" w:eastAsia="Arial" w:hAnsi="Arial"/>
          <w:sz w:val="21"/>
          <w:szCs w:val="21"/>
          <w:color w:val="auto"/>
        </w:rPr>
        <w:t xml:space="preserve">Any Receiver may, subject to this Clause 1.4 ( </w:t>
      </w:r>
      <w:r>
        <w:rPr>
          <w:rFonts w:ascii="Arial" w:cs="Arial" w:eastAsia="Arial" w:hAnsi="Arial"/>
          <w:sz w:val="21"/>
          <w:szCs w:val="21"/>
          <w:i w:val="1"/>
          <w:iCs w:val="1"/>
          <w:color w:val="auto"/>
        </w:rPr>
        <w:t>Third Party Rights</w:t>
      </w:r>
      <w:r>
        <w:rPr>
          <w:rFonts w:ascii="Arial" w:cs="Arial" w:eastAsia="Arial" w:hAnsi="Arial"/>
          <w:sz w:val="21"/>
          <w:szCs w:val="21"/>
          <w:color w:val="auto"/>
        </w:rPr>
        <w:t xml:space="preserve"> ) and the Third Parties Act, rely on any Clause of this Debenture which expressly confers rights on it.</w:t>
      </w:r>
    </w:p>
    <w:p>
      <w:pPr>
        <w:spacing w:after="0" w:line="9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u w:val="single" w:color="auto"/>
          <w:color w:val="auto"/>
        </w:rPr>
        <w:t>Intercreditor Relations</w:t>
      </w:r>
    </w:p>
    <w:p>
      <w:pPr>
        <w:spacing w:after="0" w:line="83" w:lineRule="exact"/>
        <w:rPr>
          <w:sz w:val="20"/>
          <w:szCs w:val="20"/>
          <w:color w:val="auto"/>
        </w:rPr>
      </w:pPr>
    </w:p>
    <w:p>
      <w:pPr>
        <w:jc w:val="both"/>
        <w:ind w:left="500" w:right="20"/>
        <w:spacing w:after="0" w:line="252" w:lineRule="auto"/>
        <w:rPr>
          <w:sz w:val="20"/>
          <w:szCs w:val="20"/>
          <w:color w:val="auto"/>
        </w:rPr>
      </w:pPr>
      <w:r>
        <w:rPr>
          <w:rFonts w:ascii="Arial" w:cs="Arial" w:eastAsia="Arial" w:hAnsi="Arial"/>
          <w:sz w:val="21"/>
          <w:szCs w:val="21"/>
          <w:color w:val="auto"/>
        </w:rPr>
        <w:t>The Collateral Agent has entered into that certain Intercreditor Agreement between, amongst others, the Collateral Agent and the Borrower dated on or about the date of this Debenture and the terms of such Intercreditor Agreement shall prevail in the case of any conflict with the terms of this Debenture.</w:t>
      </w:r>
    </w:p>
    <w:p>
      <w:pPr>
        <w:spacing w:after="0" w:line="319" w:lineRule="exact"/>
        <w:rPr>
          <w:sz w:val="20"/>
          <w:szCs w:val="20"/>
          <w:color w:val="auto"/>
        </w:rPr>
      </w:pPr>
    </w:p>
    <w:p>
      <w:pPr>
        <w:jc w:val="both"/>
        <w:ind w:right="9360" w:firstLine="8"/>
        <w:spacing w:after="0" w:line="375" w:lineRule="auto"/>
        <w:tabs>
          <w:tab w:leader="none" w:pos="499"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 xml:space="preserve">Covenant to Pay </w:t>
      </w:r>
      <w:r>
        <w:rPr>
          <w:rFonts w:ascii="Arial" w:cs="Arial" w:eastAsia="Arial" w:hAnsi="Arial"/>
          <w:sz w:val="18"/>
          <w:szCs w:val="18"/>
          <w:color w:val="auto"/>
        </w:rPr>
        <w:t xml:space="preserve">2.1 </w:t>
      </w:r>
      <w:r>
        <w:rPr>
          <w:rFonts w:ascii="Arial" w:cs="Arial" w:eastAsia="Arial" w:hAnsi="Arial"/>
          <w:sz w:val="18"/>
          <w:szCs w:val="18"/>
          <w:u w:val="single" w:color="auto"/>
          <w:color w:val="auto"/>
        </w:rPr>
        <w:t>Covenant to Pay</w:t>
      </w:r>
    </w:p>
    <w:p>
      <w:pPr>
        <w:spacing w:after="0" w:line="1" w:lineRule="exact"/>
        <w:rPr>
          <w:sz w:val="20"/>
          <w:szCs w:val="20"/>
          <w:color w:val="auto"/>
        </w:rPr>
      </w:pPr>
    </w:p>
    <w:p>
      <w:pPr>
        <w:ind w:left="500"/>
        <w:spacing w:after="0" w:line="264" w:lineRule="auto"/>
        <w:rPr>
          <w:sz w:val="20"/>
          <w:szCs w:val="20"/>
          <w:color w:val="auto"/>
        </w:rPr>
      </w:pPr>
      <w:r>
        <w:rPr>
          <w:rFonts w:ascii="Arial" w:cs="Arial" w:eastAsia="Arial" w:hAnsi="Arial"/>
          <w:sz w:val="21"/>
          <w:szCs w:val="21"/>
          <w:color w:val="auto"/>
        </w:rPr>
        <w:t>The Chargor shall as primary obligor and not only as a surety on demand, pay to the Collateral Agent and discharge the Secured Obligations when they become due.</w:t>
      </w:r>
    </w:p>
    <w:p>
      <w:pPr>
        <w:spacing w:after="0" w:line="306" w:lineRule="exact"/>
        <w:rPr>
          <w:sz w:val="20"/>
          <w:szCs w:val="20"/>
          <w:color w:val="auto"/>
        </w:rPr>
      </w:pPr>
    </w:p>
    <w:p>
      <w:pPr>
        <w:ind w:left="500" w:hanging="492"/>
        <w:spacing w:after="0"/>
        <w:tabs>
          <w:tab w:leader="none" w:pos="500" w:val="left"/>
        </w:tabs>
        <w:numPr>
          <w:ilvl w:val="0"/>
          <w:numId w:val="552"/>
        </w:numPr>
        <w:rPr>
          <w:rFonts w:ascii="Arial" w:cs="Arial" w:eastAsia="Arial" w:hAnsi="Arial"/>
          <w:sz w:val="21"/>
          <w:szCs w:val="21"/>
          <w:color w:val="auto"/>
        </w:rPr>
      </w:pPr>
      <w:r>
        <w:rPr>
          <w:rFonts w:ascii="Arial" w:cs="Arial" w:eastAsia="Arial" w:hAnsi="Arial"/>
          <w:sz w:val="21"/>
          <w:szCs w:val="21"/>
          <w:u w:val="single" w:color="auto"/>
          <w:color w:val="auto"/>
        </w:rPr>
        <w:t>Fixed Charge</w:t>
      </w:r>
    </w:p>
    <w:p>
      <w:pPr>
        <w:spacing w:after="0" w:line="8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Creation</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The Chargor with full title guarantee, and as continuing security for the payment and discharge of all Secured Obligations, charges in favour of the Collateral Agent by way of first fixed charge, all its present and future right, title and interest in and to the Collateral.</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Trust Over Collateral</w:t>
      </w:r>
    </w:p>
    <w:p>
      <w:pPr>
        <w:spacing w:after="0" w:line="83" w:lineRule="exact"/>
        <w:rPr>
          <w:sz w:val="20"/>
          <w:szCs w:val="20"/>
          <w:color w:val="auto"/>
        </w:rPr>
      </w:pPr>
    </w:p>
    <w:p>
      <w:pPr>
        <w:jc w:val="both"/>
        <w:ind w:left="500"/>
        <w:spacing w:after="0" w:line="262" w:lineRule="auto"/>
        <w:rPr>
          <w:sz w:val="20"/>
          <w:szCs w:val="20"/>
          <w:color w:val="auto"/>
        </w:rPr>
      </w:pPr>
      <w:r>
        <w:rPr>
          <w:rFonts w:ascii="Arial" w:cs="Arial" w:eastAsia="Arial" w:hAnsi="Arial"/>
          <w:sz w:val="20"/>
          <w:szCs w:val="20"/>
          <w:color w:val="auto"/>
        </w:rPr>
        <w:t xml:space="preserve">If the Security granted pursuant to Clause 3.1 ( </w:t>
      </w:r>
      <w:r>
        <w:rPr>
          <w:rFonts w:ascii="Arial" w:cs="Arial" w:eastAsia="Arial" w:hAnsi="Arial"/>
          <w:sz w:val="20"/>
          <w:szCs w:val="20"/>
          <w:i w:val="1"/>
          <w:iCs w:val="1"/>
          <w:color w:val="auto"/>
        </w:rPr>
        <w:t>Creation</w:t>
      </w:r>
      <w:r>
        <w:rPr>
          <w:rFonts w:ascii="Arial" w:cs="Arial" w:eastAsia="Arial" w:hAnsi="Arial"/>
          <w:sz w:val="20"/>
          <w:szCs w:val="20"/>
          <w:color w:val="auto"/>
        </w:rPr>
        <w:t xml:space="preserve"> ) is ineffective for any reason, the Chargor shall hold on trust by way of Security (and the Chargor hereby declares itself as a trustee as at the date hereof accordingly) the Collateral, and (without prejudice to any rights, debts, claims and/or obligations having priority to the obligations imposed by this Debenture) shall pay the Proceeds to the Collateral Agent in or towards payment and discharge of the Secured Obligations in accordance with, and to the extent required by, the terms of or as contemplated by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291465</wp:posOffset>
            </wp:positionV>
            <wp:extent cx="65151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47" w:name="page448"/>
    <w:bookmarkEnd w:id="447"/>
    <w:p>
      <w:pPr>
        <w:ind w:left="500" w:hanging="492"/>
        <w:spacing w:after="0"/>
        <w:tabs>
          <w:tab w:leader="none" w:pos="500" w:val="left"/>
        </w:tabs>
        <w:numPr>
          <w:ilvl w:val="0"/>
          <w:numId w:val="553"/>
        </w:numPr>
        <w:rPr>
          <w:rFonts w:ascii="Arial" w:cs="Arial" w:eastAsia="Arial" w:hAnsi="Arial"/>
          <w:sz w:val="21"/>
          <w:szCs w:val="21"/>
          <w:color w:val="auto"/>
        </w:rPr>
      </w:pPr>
      <w:r>
        <w:rPr>
          <w:rFonts w:ascii="Arial" w:cs="Arial" w:eastAsia="Arial" w:hAnsi="Arial"/>
          <w:sz w:val="21"/>
          <w:szCs w:val="21"/>
          <w:u w:val="single" w:color="auto"/>
          <w:color w:val="auto"/>
        </w:rPr>
        <w:t>No Obligation</w:t>
      </w:r>
    </w:p>
    <w:p>
      <w:pPr>
        <w:spacing w:after="0" w:line="82" w:lineRule="exact"/>
        <w:rPr>
          <w:rFonts w:ascii="Arial" w:cs="Arial" w:eastAsia="Arial" w:hAnsi="Arial"/>
          <w:sz w:val="21"/>
          <w:szCs w:val="21"/>
          <w:color w:val="auto"/>
        </w:rPr>
      </w:pPr>
    </w:p>
    <w:p>
      <w:pPr>
        <w:jc w:val="both"/>
        <w:ind w:left="500"/>
        <w:spacing w:after="0" w:line="249" w:lineRule="auto"/>
        <w:rPr>
          <w:rFonts w:ascii="Arial" w:cs="Arial" w:eastAsia="Arial" w:hAnsi="Arial"/>
          <w:sz w:val="21"/>
          <w:szCs w:val="21"/>
          <w:color w:val="auto"/>
        </w:rPr>
      </w:pPr>
      <w:r>
        <w:rPr>
          <w:rFonts w:ascii="Arial" w:cs="Arial" w:eastAsia="Arial" w:hAnsi="Arial"/>
          <w:sz w:val="21"/>
          <w:szCs w:val="21"/>
          <w:color w:val="auto"/>
        </w:rPr>
        <w:t>The Collateral Agent shall not be required to perform or fulfil any obligation of the Chargor in respect of the LHR Slots or make any payment, or to make any enquiry as to the nature or sufficiency of any payment received by it or the Chargor, or to present or file any claim or take any other action to collect or enforce the payment of any amount to which it may have been or to which it may be entitled under this Debenture at any time or times.</w:t>
      </w:r>
    </w:p>
    <w:p>
      <w:pPr>
        <w:spacing w:after="0" w:line="104" w:lineRule="exact"/>
        <w:rPr>
          <w:rFonts w:ascii="Arial" w:cs="Arial" w:eastAsia="Arial" w:hAnsi="Arial"/>
          <w:sz w:val="21"/>
          <w:szCs w:val="21"/>
          <w:color w:val="auto"/>
        </w:rPr>
      </w:pPr>
    </w:p>
    <w:p>
      <w:pPr>
        <w:ind w:left="500" w:hanging="492"/>
        <w:spacing w:after="0"/>
        <w:tabs>
          <w:tab w:leader="none" w:pos="500" w:val="left"/>
        </w:tabs>
        <w:numPr>
          <w:ilvl w:val="0"/>
          <w:numId w:val="553"/>
        </w:numPr>
        <w:rPr>
          <w:rFonts w:ascii="Arial" w:cs="Arial" w:eastAsia="Arial" w:hAnsi="Arial"/>
          <w:sz w:val="21"/>
          <w:szCs w:val="21"/>
          <w:color w:val="auto"/>
        </w:rPr>
      </w:pPr>
      <w:r>
        <w:rPr>
          <w:rFonts w:ascii="Arial" w:cs="Arial" w:eastAsia="Arial" w:hAnsi="Arial"/>
          <w:sz w:val="21"/>
          <w:szCs w:val="21"/>
          <w:u w:val="single" w:color="auto"/>
          <w:color w:val="auto"/>
        </w:rPr>
        <w:t>When Security Becomes Enforceable</w:t>
      </w:r>
    </w:p>
    <w:p>
      <w:pPr>
        <w:spacing w:after="0" w:line="8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8"/>
          <w:szCs w:val="18"/>
          <w:u w:val="single" w:color="auto"/>
          <w:color w:val="auto"/>
        </w:rPr>
        <w:t>When Enforceable</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Security created by this Debenture shall become immediately enforceable if an Enforcement Event occurs and is continuing.</w:t>
      </w:r>
    </w:p>
    <w:p>
      <w:pPr>
        <w:spacing w:after="0" w:line="171"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5.2</w:t>
      </w:r>
      <w:r>
        <w:rPr>
          <w:sz w:val="20"/>
          <w:szCs w:val="20"/>
          <w:color w:val="auto"/>
        </w:rPr>
        <w:tab/>
      </w:r>
      <w:r>
        <w:rPr>
          <w:rFonts w:ascii="Arial" w:cs="Arial" w:eastAsia="Arial" w:hAnsi="Arial"/>
          <w:sz w:val="19"/>
          <w:szCs w:val="19"/>
          <w:u w:val="single" w:color="auto"/>
          <w:color w:val="auto"/>
        </w:rPr>
        <w:t>Enforcement</w:t>
      </w:r>
    </w:p>
    <w:p>
      <w:pPr>
        <w:spacing w:after="0" w:line="83" w:lineRule="exact"/>
        <w:rPr>
          <w:sz w:val="20"/>
          <w:szCs w:val="20"/>
          <w:color w:val="auto"/>
        </w:rPr>
      </w:pPr>
    </w:p>
    <w:p>
      <w:pPr>
        <w:ind w:left="500"/>
        <w:spacing w:after="0" w:line="264" w:lineRule="auto"/>
        <w:rPr>
          <w:sz w:val="20"/>
          <w:szCs w:val="20"/>
          <w:color w:val="auto"/>
        </w:rPr>
      </w:pPr>
      <w:r>
        <w:rPr>
          <w:rFonts w:ascii="Arial" w:cs="Arial" w:eastAsia="Arial" w:hAnsi="Arial"/>
          <w:sz w:val="21"/>
          <w:szCs w:val="21"/>
          <w:color w:val="auto"/>
        </w:rPr>
        <w:t>After the occurrence of an Enforcement Event, the Collateral Agent may in its absolute discretion enforce all or any part of this Security in such manner as it sees fit or as the Required Lenders direct.</w:t>
      </w:r>
    </w:p>
    <w:p>
      <w:pPr>
        <w:spacing w:after="0" w:line="306" w:lineRule="exact"/>
        <w:rPr>
          <w:sz w:val="20"/>
          <w:szCs w:val="20"/>
          <w:color w:val="auto"/>
        </w:rPr>
      </w:pPr>
    </w:p>
    <w:p>
      <w:pPr>
        <w:ind w:right="8700" w:firstLine="8"/>
        <w:spacing w:after="0" w:line="322" w:lineRule="auto"/>
        <w:tabs>
          <w:tab w:leader="none" w:pos="499" w:val="left"/>
        </w:tabs>
        <w:numPr>
          <w:ilvl w:val="0"/>
          <w:numId w:val="554"/>
        </w:numPr>
        <w:rPr>
          <w:rFonts w:ascii="Arial" w:cs="Arial" w:eastAsia="Arial" w:hAnsi="Arial"/>
          <w:sz w:val="21"/>
          <w:szCs w:val="21"/>
          <w:color w:val="auto"/>
        </w:rPr>
      </w:pPr>
      <w:r>
        <w:rPr>
          <w:rFonts w:ascii="Arial" w:cs="Arial" w:eastAsia="Arial" w:hAnsi="Arial"/>
          <w:sz w:val="21"/>
          <w:szCs w:val="21"/>
          <w:u w:val="single" w:color="auto"/>
          <w:color w:val="auto"/>
        </w:rPr>
        <w:t xml:space="preserve">Enforcement of Security </w:t>
      </w:r>
      <w:r>
        <w:rPr>
          <w:rFonts w:ascii="Arial" w:cs="Arial" w:eastAsia="Arial" w:hAnsi="Arial"/>
          <w:sz w:val="21"/>
          <w:szCs w:val="21"/>
          <w:color w:val="auto"/>
        </w:rPr>
        <w:t xml:space="preserve">6.1 </w:t>
      </w:r>
      <w:r>
        <w:rPr>
          <w:rFonts w:ascii="Arial" w:cs="Arial" w:eastAsia="Arial" w:hAnsi="Arial"/>
          <w:sz w:val="21"/>
          <w:szCs w:val="21"/>
          <w:u w:val="single" w:color="auto"/>
          <w:color w:val="auto"/>
        </w:rPr>
        <w:t>General</w:t>
      </w:r>
    </w:p>
    <w:p>
      <w:pPr>
        <w:jc w:val="both"/>
        <w:ind w:left="1000" w:hanging="506"/>
        <w:spacing w:after="0" w:line="252" w:lineRule="auto"/>
        <w:tabs>
          <w:tab w:leader="none" w:pos="1000" w:val="left"/>
        </w:tabs>
        <w:numPr>
          <w:ilvl w:val="1"/>
          <w:numId w:val="554"/>
        </w:numPr>
        <w:rPr>
          <w:rFonts w:ascii="Arial" w:cs="Arial" w:eastAsia="Arial" w:hAnsi="Arial"/>
          <w:sz w:val="21"/>
          <w:szCs w:val="21"/>
          <w:color w:val="auto"/>
        </w:rPr>
      </w:pPr>
      <w:r>
        <w:rPr>
          <w:rFonts w:ascii="Arial" w:cs="Arial" w:eastAsia="Arial" w:hAnsi="Arial"/>
          <w:sz w:val="21"/>
          <w:szCs w:val="21"/>
          <w:color w:val="auto"/>
        </w:rPr>
        <w:t>The power of sale and any other power conferred by law (including under section 101 of the Act) as varied or amended by this Debenture shall be immediately exercisable upon and at any time after the occurrence of an Enforcement Event which is continuing.</w:t>
      </w:r>
    </w:p>
    <w:p>
      <w:pPr>
        <w:spacing w:after="0" w:line="184" w:lineRule="exact"/>
        <w:rPr>
          <w:rFonts w:ascii="Arial" w:cs="Arial" w:eastAsia="Arial" w:hAnsi="Arial"/>
          <w:sz w:val="21"/>
          <w:szCs w:val="21"/>
          <w:color w:val="auto"/>
        </w:rPr>
      </w:pPr>
    </w:p>
    <w:p>
      <w:pPr>
        <w:ind w:left="1000" w:hanging="506"/>
        <w:spacing w:after="0" w:line="264" w:lineRule="auto"/>
        <w:tabs>
          <w:tab w:leader="none" w:pos="1000" w:val="left"/>
        </w:tabs>
        <w:numPr>
          <w:ilvl w:val="1"/>
          <w:numId w:val="554"/>
        </w:numPr>
        <w:rPr>
          <w:rFonts w:ascii="Arial" w:cs="Arial" w:eastAsia="Arial" w:hAnsi="Arial"/>
          <w:sz w:val="21"/>
          <w:szCs w:val="21"/>
          <w:color w:val="auto"/>
        </w:rPr>
      </w:pPr>
      <w:r>
        <w:rPr>
          <w:rFonts w:ascii="Arial" w:cs="Arial" w:eastAsia="Arial" w:hAnsi="Arial"/>
          <w:sz w:val="21"/>
          <w:szCs w:val="21"/>
          <w:color w:val="auto"/>
        </w:rPr>
        <w:t>For the purposes of all powers implied by law, the Secured Obligations are deemed to have become due and payable on the date of this Debenture.</w:t>
      </w:r>
    </w:p>
    <w:p>
      <w:pPr>
        <w:spacing w:after="0" w:line="170" w:lineRule="exact"/>
        <w:rPr>
          <w:rFonts w:ascii="Arial" w:cs="Arial" w:eastAsia="Arial" w:hAnsi="Arial"/>
          <w:sz w:val="21"/>
          <w:szCs w:val="21"/>
          <w:color w:val="auto"/>
        </w:rPr>
      </w:pPr>
    </w:p>
    <w:p>
      <w:pPr>
        <w:ind w:left="1000" w:hanging="506"/>
        <w:spacing w:after="0" w:line="264" w:lineRule="auto"/>
        <w:tabs>
          <w:tab w:leader="none" w:pos="1000" w:val="left"/>
        </w:tabs>
        <w:numPr>
          <w:ilvl w:val="1"/>
          <w:numId w:val="554"/>
        </w:numPr>
        <w:rPr>
          <w:rFonts w:ascii="Arial" w:cs="Arial" w:eastAsia="Arial" w:hAnsi="Arial"/>
          <w:sz w:val="21"/>
          <w:szCs w:val="21"/>
          <w:color w:val="auto"/>
        </w:rPr>
      </w:pPr>
      <w:r>
        <w:rPr>
          <w:rFonts w:ascii="Arial" w:cs="Arial" w:eastAsia="Arial" w:hAnsi="Arial"/>
          <w:sz w:val="21"/>
          <w:szCs w:val="21"/>
          <w:color w:val="auto"/>
        </w:rPr>
        <w:t>Any restriction imposed by law on the power of sale (including under section 103 of the Act) does not apply to the Security created by this Debenture.</w:t>
      </w:r>
    </w:p>
    <w:p>
      <w:pPr>
        <w:spacing w:after="0" w:line="9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19"/>
          <w:szCs w:val="19"/>
          <w:u w:val="single" w:color="auto"/>
          <w:color w:val="auto"/>
        </w:rPr>
        <w:t>Appointment of Receiver</w:t>
      </w:r>
    </w:p>
    <w:p>
      <w:pPr>
        <w:spacing w:after="0" w:line="83" w:lineRule="exact"/>
        <w:rPr>
          <w:sz w:val="20"/>
          <w:szCs w:val="20"/>
          <w:color w:val="auto"/>
        </w:rPr>
      </w:pPr>
    </w:p>
    <w:p>
      <w:pPr>
        <w:ind w:left="1000" w:hanging="506"/>
        <w:spacing w:after="0" w:line="264" w:lineRule="auto"/>
        <w:tabs>
          <w:tab w:leader="none" w:pos="1000" w:val="left"/>
        </w:tabs>
        <w:numPr>
          <w:ilvl w:val="0"/>
          <w:numId w:val="555"/>
        </w:numPr>
        <w:rPr>
          <w:rFonts w:ascii="Arial" w:cs="Arial" w:eastAsia="Arial" w:hAnsi="Arial"/>
          <w:sz w:val="21"/>
          <w:szCs w:val="21"/>
          <w:color w:val="auto"/>
        </w:rPr>
      </w:pPr>
      <w:r>
        <w:rPr>
          <w:rFonts w:ascii="Arial" w:cs="Arial" w:eastAsia="Arial" w:hAnsi="Arial"/>
          <w:sz w:val="21"/>
          <w:szCs w:val="21"/>
          <w:color w:val="auto"/>
        </w:rPr>
        <w:t>Except as provided below, the Collateral Agent may appoint any one or more persons to be a Receiver of all or any part of the Collateral if:</w:t>
      </w:r>
    </w:p>
    <w:p>
      <w:pPr>
        <w:spacing w:after="0" w:line="170" w:lineRule="exact"/>
        <w:rPr>
          <w:rFonts w:ascii="Arial" w:cs="Arial" w:eastAsia="Arial" w:hAnsi="Arial"/>
          <w:sz w:val="21"/>
          <w:szCs w:val="21"/>
          <w:color w:val="auto"/>
        </w:rPr>
      </w:pPr>
    </w:p>
    <w:p>
      <w:pPr>
        <w:ind w:left="1660" w:hanging="518"/>
        <w:spacing w:after="0"/>
        <w:tabs>
          <w:tab w:leader="none" w:pos="1660" w:val="left"/>
        </w:tabs>
        <w:numPr>
          <w:ilvl w:val="1"/>
          <w:numId w:val="555"/>
        </w:numPr>
        <w:rPr>
          <w:rFonts w:ascii="Arial" w:cs="Arial" w:eastAsia="Arial" w:hAnsi="Arial"/>
          <w:sz w:val="19"/>
          <w:szCs w:val="19"/>
          <w:color w:val="auto"/>
        </w:rPr>
      </w:pPr>
      <w:r>
        <w:rPr>
          <w:rFonts w:ascii="Arial" w:cs="Arial" w:eastAsia="Arial" w:hAnsi="Arial"/>
          <w:sz w:val="19"/>
          <w:szCs w:val="19"/>
          <w:color w:val="auto"/>
        </w:rPr>
        <w:t xml:space="preserve">the Security created by this Debenture has become enforceable in accordance with Clause 6.1 ( </w:t>
      </w:r>
      <w:r>
        <w:rPr>
          <w:rFonts w:ascii="Arial" w:cs="Arial" w:eastAsia="Arial" w:hAnsi="Arial"/>
          <w:sz w:val="19"/>
          <w:szCs w:val="19"/>
          <w:i w:val="1"/>
          <w:iCs w:val="1"/>
          <w:color w:val="auto"/>
        </w:rPr>
        <w:t>General</w:t>
      </w:r>
      <w:r>
        <w:rPr>
          <w:rFonts w:ascii="Arial" w:cs="Arial" w:eastAsia="Arial" w:hAnsi="Arial"/>
          <w:sz w:val="19"/>
          <w:szCs w:val="19"/>
          <w:color w:val="auto"/>
        </w:rPr>
        <w:t xml:space="preserve"> ); or</w:t>
      </w:r>
    </w:p>
    <w:p>
      <w:pPr>
        <w:spacing w:after="0" w:line="240" w:lineRule="exact"/>
        <w:rPr>
          <w:rFonts w:ascii="Arial" w:cs="Arial" w:eastAsia="Arial" w:hAnsi="Arial"/>
          <w:sz w:val="19"/>
          <w:szCs w:val="19"/>
          <w:color w:val="auto"/>
        </w:rPr>
      </w:pPr>
    </w:p>
    <w:p>
      <w:pPr>
        <w:ind w:left="1660" w:hanging="518"/>
        <w:spacing w:after="0"/>
        <w:tabs>
          <w:tab w:leader="none" w:pos="1660" w:val="left"/>
        </w:tabs>
        <w:numPr>
          <w:ilvl w:val="1"/>
          <w:numId w:val="555"/>
        </w:numPr>
        <w:rPr>
          <w:rFonts w:ascii="Arial" w:cs="Arial" w:eastAsia="Arial" w:hAnsi="Arial"/>
          <w:sz w:val="21"/>
          <w:szCs w:val="21"/>
          <w:color w:val="auto"/>
        </w:rPr>
      </w:pPr>
      <w:r>
        <w:rPr>
          <w:rFonts w:ascii="Arial" w:cs="Arial" w:eastAsia="Arial" w:hAnsi="Arial"/>
          <w:sz w:val="21"/>
          <w:szCs w:val="21"/>
          <w:color w:val="auto"/>
        </w:rPr>
        <w:t>requested to do so by the Chargor.</w:t>
      </w:r>
    </w:p>
    <w:p>
      <w:pPr>
        <w:spacing w:after="0" w:line="217" w:lineRule="exact"/>
        <w:rPr>
          <w:rFonts w:ascii="Arial" w:cs="Arial" w:eastAsia="Arial" w:hAnsi="Arial"/>
          <w:sz w:val="21"/>
          <w:szCs w:val="21"/>
          <w:color w:val="auto"/>
        </w:rPr>
      </w:pPr>
    </w:p>
    <w:p>
      <w:pPr>
        <w:ind w:left="1000" w:hanging="506"/>
        <w:spacing w:after="0"/>
        <w:tabs>
          <w:tab w:leader="none" w:pos="1000" w:val="left"/>
        </w:tabs>
        <w:numPr>
          <w:ilvl w:val="0"/>
          <w:numId w:val="555"/>
        </w:numPr>
        <w:rPr>
          <w:rFonts w:ascii="Arial" w:cs="Arial" w:eastAsia="Arial" w:hAnsi="Arial"/>
          <w:sz w:val="21"/>
          <w:szCs w:val="21"/>
          <w:color w:val="auto"/>
        </w:rPr>
      </w:pPr>
      <w:r>
        <w:rPr>
          <w:rFonts w:ascii="Arial" w:cs="Arial" w:eastAsia="Arial" w:hAnsi="Arial"/>
          <w:sz w:val="21"/>
          <w:szCs w:val="21"/>
          <w:color w:val="auto"/>
        </w:rPr>
        <w:t>Any appointment under paragraph (a) above may be by deed, under seal or in writing under its hand.</w:t>
      </w:r>
    </w:p>
    <w:p>
      <w:pPr>
        <w:spacing w:after="0" w:line="217" w:lineRule="exact"/>
        <w:rPr>
          <w:rFonts w:ascii="Arial" w:cs="Arial" w:eastAsia="Arial" w:hAnsi="Arial"/>
          <w:sz w:val="21"/>
          <w:szCs w:val="21"/>
          <w:color w:val="auto"/>
        </w:rPr>
      </w:pPr>
    </w:p>
    <w:p>
      <w:pPr>
        <w:jc w:val="both"/>
        <w:ind w:left="1000" w:hanging="506"/>
        <w:spacing w:after="0" w:line="292" w:lineRule="auto"/>
        <w:tabs>
          <w:tab w:leader="none" w:pos="1000" w:val="left"/>
        </w:tabs>
        <w:numPr>
          <w:ilvl w:val="0"/>
          <w:numId w:val="555"/>
        </w:numPr>
        <w:rPr>
          <w:rFonts w:ascii="Arial" w:cs="Arial" w:eastAsia="Arial" w:hAnsi="Arial"/>
          <w:sz w:val="19"/>
          <w:szCs w:val="19"/>
          <w:color w:val="auto"/>
        </w:rPr>
      </w:pPr>
      <w:r>
        <w:rPr>
          <w:rFonts w:ascii="Arial" w:cs="Arial" w:eastAsia="Arial" w:hAnsi="Arial"/>
          <w:sz w:val="19"/>
          <w:szCs w:val="19"/>
          <w:color w:val="auto"/>
        </w:rPr>
        <w:t>Except as provided below, any restriction imposed by law on the right to appoint a Receiver (including an appointment under section 109(1) of the Act) does not apply to this Debenture. If the Collateral Agent appoints more than one person as Receiver, the Collateral Agent may give those persons power to act either jointly or severally.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60" w:lineRule="exact"/>
        <w:rPr>
          <w:rFonts w:ascii="Arial" w:cs="Arial" w:eastAsia="Arial" w:hAnsi="Arial"/>
          <w:sz w:val="19"/>
          <w:szCs w:val="19"/>
          <w:color w:val="auto"/>
        </w:rPr>
      </w:pPr>
    </w:p>
    <w:p>
      <w:pPr>
        <w:ind w:left="5420"/>
        <w:spacing w:after="0"/>
        <w:rPr>
          <w:rFonts w:ascii="Arial" w:cs="Arial" w:eastAsia="Arial" w:hAnsi="Arial"/>
          <w:sz w:val="19"/>
          <w:szCs w:val="19"/>
          <w:color w:val="auto"/>
        </w:rPr>
      </w:pPr>
      <w:r>
        <w:rPr>
          <w:rFonts w:ascii="Arial" w:cs="Arial" w:eastAsia="Arial" w:hAnsi="Arial"/>
          <w:sz w:val="22"/>
          <w:szCs w:val="22"/>
          <w:color w:val="auto"/>
        </w:rPr>
        <w:t xml:space="preserve">– </w:t>
      </w:r>
      <w:r>
        <w:rPr>
          <w:rFonts w:ascii="Arial" w:cs="Arial" w:eastAsia="Arial" w:hAnsi="Arial"/>
          <w:sz w:val="17"/>
          <w:szCs w:val="17"/>
          <w:color w:val="auto"/>
        </w:rPr>
        <w:t>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48" w:name="page449"/>
    <w:bookmarkEnd w:id="448"/>
    <w:p>
      <w:pPr>
        <w:ind w:left="1000" w:hanging="506"/>
        <w:spacing w:after="0" w:line="289" w:lineRule="auto"/>
        <w:tabs>
          <w:tab w:leader="none" w:pos="1000" w:val="left"/>
        </w:tabs>
        <w:numPr>
          <w:ilvl w:val="0"/>
          <w:numId w:val="556"/>
        </w:numPr>
        <w:rPr>
          <w:rFonts w:ascii="Arial" w:cs="Arial" w:eastAsia="Arial" w:hAnsi="Arial"/>
          <w:sz w:val="20"/>
          <w:szCs w:val="20"/>
          <w:color w:val="auto"/>
        </w:rPr>
      </w:pPr>
      <w:r>
        <w:rPr>
          <w:rFonts w:ascii="Arial" w:cs="Arial" w:eastAsia="Arial" w:hAnsi="Arial"/>
          <w:sz w:val="20"/>
          <w:szCs w:val="20"/>
          <w:color w:val="auto"/>
        </w:rPr>
        <w:t>The Collateral Agent shall not be entitled to appoint a Receiver solely as a result of the obtaining of a moratorium (or anything done with a view to obtaining a moratorium) under section 1A to the Insolvency Act 1986.</w:t>
      </w:r>
    </w:p>
    <w:p>
      <w:pPr>
        <w:spacing w:after="0" w:line="148" w:lineRule="exact"/>
        <w:rPr>
          <w:rFonts w:ascii="Arial" w:cs="Arial" w:eastAsia="Arial" w:hAnsi="Arial"/>
          <w:sz w:val="20"/>
          <w:szCs w:val="20"/>
          <w:color w:val="auto"/>
        </w:rPr>
      </w:pPr>
    </w:p>
    <w:p>
      <w:pPr>
        <w:ind w:left="1000" w:right="20" w:hanging="506"/>
        <w:spacing w:after="0" w:line="317" w:lineRule="auto"/>
        <w:tabs>
          <w:tab w:leader="none" w:pos="1000" w:val="left"/>
        </w:tabs>
        <w:numPr>
          <w:ilvl w:val="0"/>
          <w:numId w:val="556"/>
        </w:numPr>
        <w:rPr>
          <w:rFonts w:ascii="Arial" w:cs="Arial" w:eastAsia="Arial" w:hAnsi="Arial"/>
          <w:sz w:val="19"/>
          <w:szCs w:val="19"/>
          <w:color w:val="auto"/>
        </w:rPr>
      </w:pPr>
      <w:r>
        <w:rPr>
          <w:rFonts w:ascii="Arial" w:cs="Arial" w:eastAsia="Arial" w:hAnsi="Arial"/>
          <w:sz w:val="19"/>
          <w:szCs w:val="19"/>
          <w:color w:val="auto"/>
        </w:rPr>
        <w:t>The Collateral Agent may not appoint an administrative receiver (as defined in section 29(2) of the Insolvency Act 1986) over the Collateral if the Collateral Agent is prohibited from so doing by section 72A of the Insolvency Act 1986.</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6.3</w:t>
      </w:r>
      <w:r>
        <w:rPr>
          <w:sz w:val="20"/>
          <w:szCs w:val="20"/>
          <w:color w:val="auto"/>
        </w:rPr>
        <w:tab/>
      </w:r>
      <w:r>
        <w:rPr>
          <w:rFonts w:ascii="Arial" w:cs="Arial" w:eastAsia="Arial" w:hAnsi="Arial"/>
          <w:sz w:val="18"/>
          <w:szCs w:val="18"/>
          <w:u w:val="single" w:color="auto"/>
          <w:color w:val="auto"/>
        </w:rPr>
        <w:t>Agent of the Chargor</w:t>
      </w:r>
    </w:p>
    <w:p>
      <w:pPr>
        <w:spacing w:after="0" w:line="83" w:lineRule="exact"/>
        <w:rPr>
          <w:sz w:val="20"/>
          <w:szCs w:val="20"/>
          <w:color w:val="auto"/>
        </w:rPr>
      </w:pPr>
    </w:p>
    <w:p>
      <w:pPr>
        <w:ind w:left="1000" w:hanging="506"/>
        <w:spacing w:after="0" w:line="289" w:lineRule="auto"/>
        <w:tabs>
          <w:tab w:leader="none" w:pos="1000" w:val="left"/>
        </w:tabs>
        <w:numPr>
          <w:ilvl w:val="0"/>
          <w:numId w:val="557"/>
        </w:numPr>
        <w:rPr>
          <w:rFonts w:ascii="Arial" w:cs="Arial" w:eastAsia="Arial" w:hAnsi="Arial"/>
          <w:sz w:val="20"/>
          <w:szCs w:val="20"/>
          <w:color w:val="auto"/>
        </w:rPr>
      </w:pPr>
      <w:r>
        <w:rPr>
          <w:rFonts w:ascii="Arial" w:cs="Arial" w:eastAsia="Arial" w:hAnsi="Arial"/>
          <w:sz w:val="20"/>
          <w:szCs w:val="20"/>
          <w:color w:val="auto"/>
        </w:rPr>
        <w:t>A Receiver shall for all purposes be deemed to be the agent of the Chargor. The Chargor is solely responsible for the contracts, engagements, acts, omissions, defaults and losses and for all liabilities incurred by a Receiver.</w:t>
      </w:r>
    </w:p>
    <w:p>
      <w:pPr>
        <w:spacing w:after="0" w:line="148" w:lineRule="exact"/>
        <w:rPr>
          <w:rFonts w:ascii="Arial" w:cs="Arial" w:eastAsia="Arial" w:hAnsi="Arial"/>
          <w:sz w:val="20"/>
          <w:szCs w:val="20"/>
          <w:color w:val="auto"/>
        </w:rPr>
      </w:pPr>
    </w:p>
    <w:p>
      <w:pPr>
        <w:ind w:left="1000" w:hanging="506"/>
        <w:spacing w:after="0" w:line="264" w:lineRule="auto"/>
        <w:tabs>
          <w:tab w:leader="none" w:pos="1000" w:val="left"/>
        </w:tabs>
        <w:numPr>
          <w:ilvl w:val="0"/>
          <w:numId w:val="557"/>
        </w:numPr>
        <w:rPr>
          <w:rFonts w:ascii="Arial" w:cs="Arial" w:eastAsia="Arial" w:hAnsi="Arial"/>
          <w:sz w:val="21"/>
          <w:szCs w:val="21"/>
          <w:color w:val="auto"/>
        </w:rPr>
      </w:pPr>
      <w:r>
        <w:rPr>
          <w:rFonts w:ascii="Arial" w:cs="Arial" w:eastAsia="Arial" w:hAnsi="Arial"/>
          <w:sz w:val="21"/>
          <w:szCs w:val="21"/>
          <w:color w:val="auto"/>
        </w:rPr>
        <w:t>No Secured Party will incur any liability (either to the Chargor or to any other person) by reason of the appointment of a Receiver or for any other reason.</w:t>
      </w:r>
    </w:p>
    <w:p>
      <w:pPr>
        <w:spacing w:after="0" w:line="9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6.4</w:t>
      </w:r>
      <w:r>
        <w:rPr>
          <w:sz w:val="20"/>
          <w:szCs w:val="20"/>
          <w:color w:val="auto"/>
        </w:rPr>
        <w:tab/>
      </w:r>
      <w:r>
        <w:rPr>
          <w:rFonts w:ascii="Arial" w:cs="Arial" w:eastAsia="Arial" w:hAnsi="Arial"/>
          <w:sz w:val="18"/>
          <w:szCs w:val="18"/>
          <w:u w:val="single" w:color="auto"/>
          <w:color w:val="auto"/>
        </w:rPr>
        <w:t>Removal and Replacement</w:t>
      </w:r>
    </w:p>
    <w:p>
      <w:pPr>
        <w:spacing w:after="0" w:line="83" w:lineRule="exact"/>
        <w:rPr>
          <w:sz w:val="20"/>
          <w:szCs w:val="20"/>
          <w:color w:val="auto"/>
        </w:rPr>
      </w:pPr>
    </w:p>
    <w:p>
      <w:pPr>
        <w:jc w:val="both"/>
        <w:ind w:left="500"/>
        <w:spacing w:after="0" w:line="264" w:lineRule="auto"/>
        <w:rPr>
          <w:sz w:val="20"/>
          <w:szCs w:val="20"/>
          <w:color w:val="auto"/>
        </w:rPr>
      </w:pPr>
      <w:r>
        <w:rPr>
          <w:rFonts w:ascii="Arial" w:cs="Arial" w:eastAsia="Arial" w:hAnsi="Arial"/>
          <w:sz w:val="21"/>
          <w:szCs w:val="21"/>
          <w:color w:val="auto"/>
        </w:rPr>
        <w:t>The Collateral Agent may by writing under its hand remove any Receiver appointed by it and may, whenever it thinks fit, appoint a new Receiver in the place of any Receiver whose appointment has terminated.</w:t>
      </w:r>
    </w:p>
    <w:p>
      <w:pPr>
        <w:spacing w:after="0" w:line="9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6.5</w:t>
      </w:r>
      <w:r>
        <w:rPr>
          <w:sz w:val="20"/>
          <w:szCs w:val="20"/>
          <w:color w:val="auto"/>
        </w:rPr>
        <w:tab/>
      </w:r>
      <w:r>
        <w:rPr>
          <w:rFonts w:ascii="Arial" w:cs="Arial" w:eastAsia="Arial" w:hAnsi="Arial"/>
          <w:sz w:val="18"/>
          <w:szCs w:val="18"/>
          <w:u w:val="single" w:color="auto"/>
          <w:color w:val="auto"/>
        </w:rPr>
        <w:t>Remuneration</w:t>
      </w:r>
    </w:p>
    <w:p>
      <w:pPr>
        <w:spacing w:after="0" w:line="83" w:lineRule="exact"/>
        <w:rPr>
          <w:sz w:val="20"/>
          <w:szCs w:val="20"/>
          <w:color w:val="auto"/>
        </w:rPr>
      </w:pPr>
    </w:p>
    <w:p>
      <w:pPr>
        <w:jc w:val="both"/>
        <w:ind w:left="500"/>
        <w:spacing w:after="0" w:line="264" w:lineRule="auto"/>
        <w:rPr>
          <w:sz w:val="20"/>
          <w:szCs w:val="20"/>
          <w:color w:val="auto"/>
        </w:rPr>
      </w:pPr>
      <w:r>
        <w:rPr>
          <w:rFonts w:ascii="Arial" w:cs="Arial" w:eastAsia="Arial" w:hAnsi="Arial"/>
          <w:sz w:val="21"/>
          <w:szCs w:val="21"/>
          <w:color w:val="auto"/>
        </w:rPr>
        <w:t>The Collateral Agent may fix the remuneration of any Receiver appointed by it without the limitations imposed by section 109(6) of the Act.</w:t>
      </w:r>
    </w:p>
    <w:p>
      <w:pPr>
        <w:spacing w:after="0" w:line="90"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6.6</w:t>
      </w:r>
      <w:r>
        <w:rPr>
          <w:sz w:val="20"/>
          <w:szCs w:val="20"/>
          <w:color w:val="auto"/>
        </w:rPr>
        <w:tab/>
      </w:r>
      <w:r>
        <w:rPr>
          <w:rFonts w:ascii="Arial" w:cs="Arial" w:eastAsia="Arial" w:hAnsi="Arial"/>
          <w:sz w:val="19"/>
          <w:szCs w:val="19"/>
          <w:u w:val="single" w:color="auto"/>
          <w:color w:val="auto"/>
        </w:rPr>
        <w:t>Relationship with the Collateral Agent</w:t>
      </w:r>
    </w:p>
    <w:p>
      <w:pPr>
        <w:spacing w:after="0" w:line="83" w:lineRule="exact"/>
        <w:rPr>
          <w:sz w:val="20"/>
          <w:szCs w:val="20"/>
          <w:color w:val="auto"/>
        </w:rPr>
      </w:pPr>
    </w:p>
    <w:p>
      <w:pPr>
        <w:jc w:val="both"/>
        <w:ind w:left="500"/>
        <w:spacing w:after="0" w:line="292" w:lineRule="auto"/>
        <w:rPr>
          <w:sz w:val="20"/>
          <w:szCs w:val="20"/>
          <w:color w:val="auto"/>
        </w:rPr>
      </w:pPr>
      <w:r>
        <w:rPr>
          <w:rFonts w:ascii="Arial" w:cs="Arial" w:eastAsia="Arial" w:hAnsi="Arial"/>
          <w:sz w:val="19"/>
          <w:szCs w:val="19"/>
          <w:color w:val="auto"/>
        </w:rPr>
        <w:t>To the fullest extent allowed by law, any right, power or discretion conferred by this Debenture (either expressly or impliedly) or by law on a Receiver may, after the Security created by this Debenture becomes enforceable, be exercised by the Collateral Agent in relation to any Collateral without first appointing a Receiver or notwithstanding the appointment of a Receiver.</w:t>
      </w:r>
    </w:p>
    <w:p>
      <w:pPr>
        <w:spacing w:after="0" w:line="67"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6.7</w:t>
      </w:r>
      <w:r>
        <w:rPr>
          <w:sz w:val="20"/>
          <w:szCs w:val="20"/>
          <w:color w:val="auto"/>
        </w:rPr>
        <w:tab/>
      </w:r>
      <w:r>
        <w:rPr>
          <w:rFonts w:ascii="Arial" w:cs="Arial" w:eastAsia="Arial" w:hAnsi="Arial"/>
          <w:sz w:val="18"/>
          <w:szCs w:val="18"/>
          <w:u w:val="single" w:color="auto"/>
          <w:color w:val="auto"/>
        </w:rPr>
        <w:t>No Liability as Mortgagee in Possession</w:t>
      </w:r>
    </w:p>
    <w:p>
      <w:pPr>
        <w:spacing w:after="0" w:line="83" w:lineRule="exact"/>
        <w:rPr>
          <w:sz w:val="20"/>
          <w:szCs w:val="20"/>
          <w:color w:val="auto"/>
        </w:rPr>
      </w:pPr>
    </w:p>
    <w:p>
      <w:pPr>
        <w:jc w:val="both"/>
        <w:ind w:left="500"/>
        <w:spacing w:after="0" w:line="264" w:lineRule="auto"/>
        <w:rPr>
          <w:sz w:val="20"/>
          <w:szCs w:val="20"/>
          <w:color w:val="auto"/>
        </w:rPr>
      </w:pPr>
      <w:r>
        <w:rPr>
          <w:rFonts w:ascii="Arial" w:cs="Arial" w:eastAsia="Arial" w:hAnsi="Arial"/>
          <w:sz w:val="21"/>
          <w:szCs w:val="21"/>
          <w:color w:val="auto"/>
        </w:rPr>
        <w:t>Neither the Collateral Agent nor any Receiver shall, by reason of entering into possession of all or any part of the Collateral or taking any action permitted by this Debenture, be liable:</w:t>
      </w:r>
    </w:p>
    <w:p>
      <w:pPr>
        <w:spacing w:after="0" w:line="171" w:lineRule="exact"/>
        <w:rPr>
          <w:sz w:val="20"/>
          <w:szCs w:val="20"/>
          <w:color w:val="auto"/>
        </w:rPr>
      </w:pPr>
    </w:p>
    <w:p>
      <w:pPr>
        <w:ind w:left="1000" w:hanging="506"/>
        <w:spacing w:after="0"/>
        <w:tabs>
          <w:tab w:leader="none" w:pos="1000" w:val="left"/>
        </w:tabs>
        <w:numPr>
          <w:ilvl w:val="0"/>
          <w:numId w:val="558"/>
        </w:numPr>
        <w:rPr>
          <w:rFonts w:ascii="Arial" w:cs="Arial" w:eastAsia="Arial" w:hAnsi="Arial"/>
          <w:sz w:val="21"/>
          <w:szCs w:val="21"/>
          <w:color w:val="auto"/>
        </w:rPr>
      </w:pPr>
      <w:r>
        <w:rPr>
          <w:rFonts w:ascii="Arial" w:cs="Arial" w:eastAsia="Arial" w:hAnsi="Arial"/>
          <w:sz w:val="21"/>
          <w:szCs w:val="21"/>
          <w:color w:val="auto"/>
        </w:rPr>
        <w:t>to account as mortgagee in possession or for any loss on realisation; or</w:t>
      </w:r>
    </w:p>
    <w:p>
      <w:pPr>
        <w:spacing w:after="0" w:line="217" w:lineRule="exact"/>
        <w:rPr>
          <w:rFonts w:ascii="Arial" w:cs="Arial" w:eastAsia="Arial" w:hAnsi="Arial"/>
          <w:sz w:val="21"/>
          <w:szCs w:val="21"/>
          <w:color w:val="auto"/>
        </w:rPr>
      </w:pPr>
    </w:p>
    <w:p>
      <w:pPr>
        <w:ind w:right="3580" w:firstLine="494"/>
        <w:spacing w:after="0" w:line="456" w:lineRule="auto"/>
        <w:tabs>
          <w:tab w:leader="none" w:pos="999" w:val="left"/>
        </w:tabs>
        <w:numPr>
          <w:ilvl w:val="0"/>
          <w:numId w:val="558"/>
        </w:numPr>
        <w:rPr>
          <w:rFonts w:ascii="Arial" w:cs="Arial" w:eastAsia="Arial" w:hAnsi="Arial"/>
          <w:sz w:val="21"/>
          <w:szCs w:val="21"/>
          <w:color w:val="auto"/>
        </w:rPr>
      </w:pPr>
      <w:r>
        <w:rPr>
          <w:rFonts w:ascii="Arial" w:cs="Arial" w:eastAsia="Arial" w:hAnsi="Arial"/>
          <w:sz w:val="21"/>
          <w:szCs w:val="21"/>
          <w:color w:val="auto"/>
        </w:rPr>
        <w:t xml:space="preserve">for any default or omission for which a mortgagee in possession might be liable. 6.8 </w:t>
      </w:r>
      <w:r>
        <w:rPr>
          <w:rFonts w:ascii="Arial" w:cs="Arial" w:eastAsia="Arial" w:hAnsi="Arial"/>
          <w:sz w:val="21"/>
          <w:szCs w:val="21"/>
          <w:u w:val="single" w:color="auto"/>
          <w:color w:val="auto"/>
        </w:rPr>
        <w:t>Redemption of Prior Mortgages</w:t>
      </w:r>
    </w:p>
    <w:p>
      <w:pPr>
        <w:ind w:left="1000" w:hanging="506"/>
        <w:spacing w:after="0"/>
        <w:tabs>
          <w:tab w:leader="none" w:pos="1000" w:val="left"/>
        </w:tabs>
        <w:numPr>
          <w:ilvl w:val="0"/>
          <w:numId w:val="559"/>
        </w:numPr>
        <w:rPr>
          <w:rFonts w:ascii="Arial" w:cs="Arial" w:eastAsia="Arial" w:hAnsi="Arial"/>
          <w:sz w:val="21"/>
          <w:szCs w:val="21"/>
          <w:color w:val="auto"/>
        </w:rPr>
      </w:pPr>
      <w:r>
        <w:rPr>
          <w:rFonts w:ascii="Arial" w:cs="Arial" w:eastAsia="Arial" w:hAnsi="Arial"/>
          <w:sz w:val="21"/>
          <w:szCs w:val="21"/>
          <w:color w:val="auto"/>
        </w:rPr>
        <w:t>At any time after the occurrence of an Enforcement Event, the Collateral Agent may:</w:t>
      </w:r>
    </w:p>
    <w:p>
      <w:pPr>
        <w:spacing w:after="0" w:line="217" w:lineRule="exact"/>
        <w:rPr>
          <w:rFonts w:ascii="Arial" w:cs="Arial" w:eastAsia="Arial" w:hAnsi="Arial"/>
          <w:sz w:val="21"/>
          <w:szCs w:val="21"/>
          <w:color w:val="auto"/>
        </w:rPr>
      </w:pPr>
    </w:p>
    <w:p>
      <w:pPr>
        <w:ind w:left="1660" w:hanging="518"/>
        <w:spacing w:after="0"/>
        <w:tabs>
          <w:tab w:leader="none" w:pos="1660" w:val="left"/>
        </w:tabs>
        <w:numPr>
          <w:ilvl w:val="1"/>
          <w:numId w:val="559"/>
        </w:numPr>
        <w:rPr>
          <w:rFonts w:ascii="Arial" w:cs="Arial" w:eastAsia="Arial" w:hAnsi="Arial"/>
          <w:sz w:val="21"/>
          <w:szCs w:val="21"/>
          <w:color w:val="auto"/>
        </w:rPr>
      </w:pPr>
      <w:r>
        <w:rPr>
          <w:rFonts w:ascii="Arial" w:cs="Arial" w:eastAsia="Arial" w:hAnsi="Arial"/>
          <w:sz w:val="21"/>
          <w:szCs w:val="21"/>
          <w:color w:val="auto"/>
        </w:rPr>
        <w:t>redeem any prior Security against the Collateral or any part of it;</w:t>
      </w:r>
    </w:p>
    <w:p>
      <w:pPr>
        <w:spacing w:after="0" w:line="217" w:lineRule="exact"/>
        <w:rPr>
          <w:rFonts w:ascii="Arial" w:cs="Arial" w:eastAsia="Arial" w:hAnsi="Arial"/>
          <w:sz w:val="21"/>
          <w:szCs w:val="21"/>
          <w:color w:val="auto"/>
        </w:rPr>
      </w:pPr>
    </w:p>
    <w:p>
      <w:pPr>
        <w:ind w:left="1660" w:hanging="518"/>
        <w:spacing w:after="0"/>
        <w:tabs>
          <w:tab w:leader="none" w:pos="1660" w:val="left"/>
        </w:tabs>
        <w:numPr>
          <w:ilvl w:val="1"/>
          <w:numId w:val="559"/>
        </w:numPr>
        <w:rPr>
          <w:rFonts w:ascii="Arial" w:cs="Arial" w:eastAsia="Arial" w:hAnsi="Arial"/>
          <w:sz w:val="21"/>
          <w:szCs w:val="21"/>
          <w:color w:val="auto"/>
        </w:rPr>
      </w:pPr>
      <w:r>
        <w:rPr>
          <w:rFonts w:ascii="Arial" w:cs="Arial" w:eastAsia="Arial" w:hAnsi="Arial"/>
          <w:sz w:val="21"/>
          <w:szCs w:val="21"/>
          <w:color w:val="auto"/>
        </w:rPr>
        <w:t>procure the transfer of that Security to itself; and/or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30" w:lineRule="exact"/>
        <w:rPr>
          <w:rFonts w:ascii="Arial" w:cs="Arial" w:eastAsia="Arial" w:hAnsi="Arial"/>
          <w:sz w:val="21"/>
          <w:szCs w:val="21"/>
          <w:color w:val="auto"/>
        </w:rPr>
      </w:pPr>
    </w:p>
    <w:p>
      <w:pPr>
        <w:ind w:left="5420"/>
        <w:spacing w:after="0"/>
        <w:rPr>
          <w:rFonts w:ascii="Arial" w:cs="Arial" w:eastAsia="Arial" w:hAnsi="Arial"/>
          <w:sz w:val="21"/>
          <w:szCs w:val="21"/>
          <w:color w:val="auto"/>
        </w:rPr>
      </w:pPr>
      <w:r>
        <w:rPr>
          <w:rFonts w:ascii="Arial" w:cs="Arial" w:eastAsia="Arial" w:hAnsi="Arial"/>
          <w:sz w:val="22"/>
          <w:szCs w:val="22"/>
          <w:color w:val="auto"/>
        </w:rPr>
        <w:t xml:space="preserve">– </w:t>
      </w:r>
      <w:r>
        <w:rPr>
          <w:rFonts w:ascii="Arial" w:cs="Arial" w:eastAsia="Arial" w:hAnsi="Arial"/>
          <w:sz w:val="17"/>
          <w:szCs w:val="17"/>
          <w:color w:val="auto"/>
        </w:rPr>
        <w:t>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49" w:name="page450"/>
    <w:bookmarkEnd w:id="449"/>
    <w:p>
      <w:pPr>
        <w:ind w:left="1660" w:hanging="518"/>
        <w:spacing w:after="0" w:line="264" w:lineRule="auto"/>
        <w:tabs>
          <w:tab w:leader="none" w:pos="1660" w:val="left"/>
        </w:tabs>
        <w:numPr>
          <w:ilvl w:val="1"/>
          <w:numId w:val="560"/>
        </w:numPr>
        <w:rPr>
          <w:rFonts w:ascii="Arial" w:cs="Arial" w:eastAsia="Arial" w:hAnsi="Arial"/>
          <w:sz w:val="21"/>
          <w:szCs w:val="21"/>
          <w:color w:val="auto"/>
        </w:rPr>
      </w:pPr>
      <w:r>
        <w:rPr>
          <w:rFonts w:ascii="Arial" w:cs="Arial" w:eastAsia="Arial" w:hAnsi="Arial"/>
          <w:sz w:val="21"/>
          <w:szCs w:val="21"/>
          <w:color w:val="auto"/>
        </w:rPr>
        <w:t>settle and pass the accounts of the prior mortgagee, chargee or encumbrancer; any accounts so settled and passed will be, in the absence of manifest error, conclusive and binding on the Chargor.</w:t>
      </w:r>
    </w:p>
    <w:p>
      <w:pPr>
        <w:spacing w:after="0" w:line="170" w:lineRule="exact"/>
        <w:rPr>
          <w:rFonts w:ascii="Arial" w:cs="Arial" w:eastAsia="Arial" w:hAnsi="Arial"/>
          <w:sz w:val="21"/>
          <w:szCs w:val="21"/>
          <w:color w:val="auto"/>
        </w:rPr>
      </w:pPr>
    </w:p>
    <w:p>
      <w:pPr>
        <w:ind w:left="1000" w:hanging="506"/>
        <w:spacing w:after="0" w:line="317" w:lineRule="auto"/>
        <w:tabs>
          <w:tab w:leader="none" w:pos="1000" w:val="left"/>
        </w:tabs>
        <w:numPr>
          <w:ilvl w:val="0"/>
          <w:numId w:val="561"/>
        </w:numPr>
        <w:rPr>
          <w:rFonts w:ascii="Arial" w:cs="Arial" w:eastAsia="Arial" w:hAnsi="Arial"/>
          <w:sz w:val="19"/>
          <w:szCs w:val="19"/>
          <w:color w:val="auto"/>
        </w:rPr>
      </w:pPr>
      <w:r>
        <w:rPr>
          <w:rFonts w:ascii="Arial" w:cs="Arial" w:eastAsia="Arial" w:hAnsi="Arial"/>
          <w:sz w:val="19"/>
          <w:szCs w:val="19"/>
          <w:color w:val="auto"/>
        </w:rPr>
        <w:t>The Chargor shall pay to the Collateral Agent, immediately on demand, the costs and expenses incurred by the Collateral Agent in connection with any such redemption and/or transfer, including the payment of any principal or interest.</w:t>
      </w:r>
    </w:p>
    <w:p>
      <w:pPr>
        <w:spacing w:after="0" w:line="44"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6.9</w:t>
      </w:r>
      <w:r>
        <w:rPr>
          <w:sz w:val="20"/>
          <w:szCs w:val="20"/>
          <w:color w:val="auto"/>
        </w:rPr>
        <w:tab/>
      </w:r>
      <w:r>
        <w:rPr>
          <w:rFonts w:ascii="Arial" w:cs="Arial" w:eastAsia="Arial" w:hAnsi="Arial"/>
          <w:sz w:val="19"/>
          <w:szCs w:val="19"/>
          <w:u w:val="single" w:color="auto"/>
          <w:color w:val="auto"/>
        </w:rPr>
        <w:t>Privileges</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Each Receiver and the Collateral Agent is entitled to all the rights, powers, privileges and immunities conferred by law (including by the Act) on mortgagees and receivers duly appointed under any law (including the Act) save that section 103 of the Act shall not apply.</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Contingencies</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If the Security created by this Debenture is enforced at a time when no amount is due under the Loan Documents but at a time when amounts may or will become due, the Collateral Agent (or the Receiver) may pay the proceeds of any recoveries effected by it into such number of suspense accounts as it considers appropriate.</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Protection of Third Parties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9"/>
          <w:szCs w:val="19"/>
          <w:color w:val="auto"/>
        </w:rPr>
        <w:t>No person (including a purchaser) dealing with the Collateral Agent or a Receiver or its delegate will be concerned to enquire:</w:t>
      </w:r>
    </w:p>
    <w:p>
      <w:pPr>
        <w:spacing w:after="0" w:line="241" w:lineRule="exact"/>
        <w:rPr>
          <w:sz w:val="20"/>
          <w:szCs w:val="20"/>
          <w:color w:val="auto"/>
        </w:rPr>
      </w:pPr>
    </w:p>
    <w:p>
      <w:pPr>
        <w:ind w:left="1000" w:hanging="506"/>
        <w:spacing w:after="0"/>
        <w:tabs>
          <w:tab w:leader="none" w:pos="1000" w:val="left"/>
        </w:tabs>
        <w:numPr>
          <w:ilvl w:val="0"/>
          <w:numId w:val="562"/>
        </w:numPr>
        <w:rPr>
          <w:rFonts w:ascii="Arial" w:cs="Arial" w:eastAsia="Arial" w:hAnsi="Arial"/>
          <w:sz w:val="21"/>
          <w:szCs w:val="21"/>
          <w:color w:val="auto"/>
        </w:rPr>
      </w:pPr>
      <w:r>
        <w:rPr>
          <w:rFonts w:ascii="Arial" w:cs="Arial" w:eastAsia="Arial" w:hAnsi="Arial"/>
          <w:sz w:val="21"/>
          <w:szCs w:val="21"/>
          <w:color w:val="auto"/>
        </w:rPr>
        <w:t>whether the Secured Obligations have become payable;</w:t>
      </w:r>
    </w:p>
    <w:p>
      <w:pPr>
        <w:spacing w:after="0" w:line="217" w:lineRule="exact"/>
        <w:rPr>
          <w:rFonts w:ascii="Arial" w:cs="Arial" w:eastAsia="Arial" w:hAnsi="Arial"/>
          <w:sz w:val="21"/>
          <w:szCs w:val="21"/>
          <w:color w:val="auto"/>
        </w:rPr>
      </w:pPr>
    </w:p>
    <w:p>
      <w:pPr>
        <w:ind w:left="1000" w:hanging="506"/>
        <w:spacing w:after="0" w:line="264" w:lineRule="auto"/>
        <w:tabs>
          <w:tab w:leader="none" w:pos="1000" w:val="left"/>
        </w:tabs>
        <w:numPr>
          <w:ilvl w:val="0"/>
          <w:numId w:val="562"/>
        </w:numPr>
        <w:rPr>
          <w:rFonts w:ascii="Arial" w:cs="Arial" w:eastAsia="Arial" w:hAnsi="Arial"/>
          <w:sz w:val="21"/>
          <w:szCs w:val="21"/>
          <w:color w:val="auto"/>
        </w:rPr>
      </w:pPr>
      <w:r>
        <w:rPr>
          <w:rFonts w:ascii="Arial" w:cs="Arial" w:eastAsia="Arial" w:hAnsi="Arial"/>
          <w:sz w:val="21"/>
          <w:szCs w:val="21"/>
          <w:color w:val="auto"/>
        </w:rPr>
        <w:t>whether any power which the Collateral Agent or a Receiver is purporting to exercise has become exercisable or is being properly exercised;</w:t>
      </w:r>
    </w:p>
    <w:p>
      <w:pPr>
        <w:spacing w:after="0" w:line="170" w:lineRule="exact"/>
        <w:rPr>
          <w:rFonts w:ascii="Arial" w:cs="Arial" w:eastAsia="Arial" w:hAnsi="Arial"/>
          <w:sz w:val="21"/>
          <w:szCs w:val="21"/>
          <w:color w:val="auto"/>
        </w:rPr>
      </w:pPr>
    </w:p>
    <w:p>
      <w:pPr>
        <w:ind w:left="1000" w:hanging="506"/>
        <w:spacing w:after="0"/>
        <w:tabs>
          <w:tab w:leader="none" w:pos="1000" w:val="left"/>
        </w:tabs>
        <w:numPr>
          <w:ilvl w:val="0"/>
          <w:numId w:val="562"/>
        </w:numPr>
        <w:rPr>
          <w:rFonts w:ascii="Arial" w:cs="Arial" w:eastAsia="Arial" w:hAnsi="Arial"/>
          <w:sz w:val="21"/>
          <w:szCs w:val="21"/>
          <w:color w:val="auto"/>
        </w:rPr>
      </w:pPr>
      <w:r>
        <w:rPr>
          <w:rFonts w:ascii="Arial" w:cs="Arial" w:eastAsia="Arial" w:hAnsi="Arial"/>
          <w:sz w:val="21"/>
          <w:szCs w:val="21"/>
          <w:color w:val="auto"/>
        </w:rPr>
        <w:t>whether any money remains due under the Loan Documents; or</w:t>
      </w:r>
    </w:p>
    <w:p>
      <w:pPr>
        <w:spacing w:after="0" w:line="217" w:lineRule="exact"/>
        <w:rPr>
          <w:rFonts w:ascii="Arial" w:cs="Arial" w:eastAsia="Arial" w:hAnsi="Arial"/>
          <w:sz w:val="21"/>
          <w:szCs w:val="21"/>
          <w:color w:val="auto"/>
        </w:rPr>
      </w:pPr>
    </w:p>
    <w:p>
      <w:pPr>
        <w:ind w:left="1000" w:hanging="506"/>
        <w:spacing w:after="0"/>
        <w:tabs>
          <w:tab w:leader="none" w:pos="1000" w:val="left"/>
        </w:tabs>
        <w:numPr>
          <w:ilvl w:val="0"/>
          <w:numId w:val="562"/>
        </w:numPr>
        <w:rPr>
          <w:rFonts w:ascii="Arial" w:cs="Arial" w:eastAsia="Arial" w:hAnsi="Arial"/>
          <w:sz w:val="21"/>
          <w:szCs w:val="21"/>
          <w:color w:val="auto"/>
        </w:rPr>
      </w:pPr>
      <w:r>
        <w:rPr>
          <w:rFonts w:ascii="Arial" w:cs="Arial" w:eastAsia="Arial" w:hAnsi="Arial"/>
          <w:sz w:val="21"/>
          <w:szCs w:val="21"/>
          <w:color w:val="auto"/>
        </w:rPr>
        <w:t>how any money paid to the Collateral Agent or that Receiver is to be applied.</w:t>
      </w:r>
    </w:p>
    <w:p>
      <w:pPr>
        <w:spacing w:after="0" w:line="137" w:lineRule="exact"/>
        <w:rPr>
          <w:sz w:val="20"/>
          <w:szCs w:val="20"/>
          <w:color w:val="auto"/>
        </w:rPr>
      </w:pPr>
    </w:p>
    <w:p>
      <w:pPr>
        <w:ind w:left="500" w:hanging="492"/>
        <w:spacing w:after="0"/>
        <w:tabs>
          <w:tab w:leader="none" w:pos="500" w:val="left"/>
        </w:tabs>
        <w:numPr>
          <w:ilvl w:val="0"/>
          <w:numId w:val="563"/>
        </w:numPr>
        <w:rPr>
          <w:rFonts w:ascii="Arial" w:cs="Arial" w:eastAsia="Arial" w:hAnsi="Arial"/>
          <w:sz w:val="21"/>
          <w:szCs w:val="21"/>
          <w:color w:val="auto"/>
        </w:rPr>
      </w:pPr>
      <w:r>
        <w:rPr>
          <w:rFonts w:ascii="Arial" w:cs="Arial" w:eastAsia="Arial" w:hAnsi="Arial"/>
          <w:sz w:val="21"/>
          <w:szCs w:val="21"/>
          <w:u w:val="single" w:color="auto"/>
          <w:color w:val="auto"/>
        </w:rPr>
        <w:t>Receiver</w:t>
      </w:r>
    </w:p>
    <w:p>
      <w:pPr>
        <w:spacing w:after="0" w:line="8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18"/>
          <w:szCs w:val="18"/>
          <w:u w:val="single" w:color="auto"/>
          <w:color w:val="auto"/>
        </w:rPr>
        <w:t>Powers of Receiver</w:t>
      </w:r>
    </w:p>
    <w:p>
      <w:pPr>
        <w:spacing w:after="0" w:line="83" w:lineRule="exact"/>
        <w:rPr>
          <w:sz w:val="20"/>
          <w:szCs w:val="20"/>
          <w:color w:val="auto"/>
        </w:rPr>
      </w:pPr>
    </w:p>
    <w:p>
      <w:pPr>
        <w:ind w:left="500" w:right="180"/>
        <w:spacing w:after="0" w:line="252" w:lineRule="auto"/>
        <w:rPr>
          <w:sz w:val="20"/>
          <w:szCs w:val="20"/>
          <w:color w:val="auto"/>
        </w:rPr>
      </w:pPr>
      <w:r>
        <w:rPr>
          <w:rFonts w:ascii="Arial" w:cs="Arial" w:eastAsia="Arial" w:hAnsi="Arial"/>
          <w:sz w:val="21"/>
          <w:szCs w:val="21"/>
          <w:color w:val="auto"/>
        </w:rPr>
        <w:t xml:space="preserve">A Receiver shall have all the rights, powers, privileges and immunities conferred from time to time on receivers by law (including the Act and the Insolvency Act 1986) and the provisions set out in Schedule 1 ( </w:t>
      </w:r>
      <w:r>
        <w:rPr>
          <w:rFonts w:ascii="Arial" w:cs="Arial" w:eastAsia="Arial" w:hAnsi="Arial"/>
          <w:sz w:val="21"/>
          <w:szCs w:val="21"/>
          <w:i w:val="1"/>
          <w:iCs w:val="1"/>
          <w:color w:val="auto"/>
        </w:rPr>
        <w:t>Additional Rights of Receiver</w:t>
      </w:r>
      <w:r>
        <w:rPr>
          <w:rFonts w:ascii="Arial" w:cs="Arial" w:eastAsia="Arial" w:hAnsi="Arial"/>
          <w:sz w:val="21"/>
          <w:szCs w:val="21"/>
          <w:color w:val="auto"/>
        </w:rPr>
        <w:t xml:space="preserve"> )to the Insolvency Act 1986 shall extend to every Receiver.</w:t>
      </w:r>
    </w:p>
    <w:p>
      <w:pPr>
        <w:spacing w:after="0" w:line="103"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7.2</w:t>
      </w:r>
      <w:r>
        <w:rPr>
          <w:sz w:val="20"/>
          <w:szCs w:val="20"/>
          <w:color w:val="auto"/>
        </w:rPr>
        <w:tab/>
      </w:r>
      <w:r>
        <w:rPr>
          <w:rFonts w:ascii="Arial" w:cs="Arial" w:eastAsia="Arial" w:hAnsi="Arial"/>
          <w:sz w:val="19"/>
          <w:szCs w:val="19"/>
          <w:u w:val="single" w:color="auto"/>
          <w:color w:val="auto"/>
        </w:rPr>
        <w:t>Additional Powers</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 xml:space="preserve">A Receiver shall have all the additional powers set out in Schedule 1 ( </w:t>
      </w:r>
      <w:r>
        <w:rPr>
          <w:rFonts w:ascii="Arial" w:cs="Arial" w:eastAsia="Arial" w:hAnsi="Arial"/>
          <w:sz w:val="21"/>
          <w:szCs w:val="21"/>
          <w:i w:val="1"/>
          <w:iCs w:val="1"/>
          <w:color w:val="auto"/>
        </w:rPr>
        <w:t>Additional Rights of Receiver</w:t>
      </w:r>
      <w:r>
        <w:rPr>
          <w:rFonts w:ascii="Arial" w:cs="Arial" w:eastAsia="Arial" w:hAnsi="Arial"/>
          <w:sz w:val="21"/>
          <w:szCs w:val="2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318135</wp:posOffset>
            </wp:positionV>
            <wp:extent cx="651510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50" w:name="page451"/>
    <w:bookmarkEnd w:id="450"/>
    <w:p>
      <w:pPr>
        <w:spacing w:after="0"/>
        <w:tabs>
          <w:tab w:leader="none" w:pos="480" w:val="left"/>
        </w:tabs>
        <w:rPr>
          <w:sz w:val="20"/>
          <w:szCs w:val="20"/>
          <w:color w:val="auto"/>
        </w:rPr>
      </w:pPr>
      <w:r>
        <w:rPr>
          <w:rFonts w:ascii="Arial" w:cs="Arial" w:eastAsia="Arial" w:hAnsi="Arial"/>
          <w:sz w:val="21"/>
          <w:szCs w:val="21"/>
          <w:color w:val="auto"/>
        </w:rPr>
        <w:t>7.3</w:t>
      </w:r>
      <w:r>
        <w:rPr>
          <w:sz w:val="20"/>
          <w:szCs w:val="20"/>
          <w:color w:val="auto"/>
        </w:rPr>
        <w:tab/>
      </w:r>
      <w:r>
        <w:rPr>
          <w:rFonts w:ascii="Arial" w:cs="Arial" w:eastAsia="Arial" w:hAnsi="Arial"/>
          <w:sz w:val="18"/>
          <w:szCs w:val="18"/>
          <w:u w:val="single" w:color="auto"/>
          <w:color w:val="auto"/>
        </w:rPr>
        <w:t>Several Powers</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If there is more than one Receiver holding office at the same time, each Receiver may (unless the document appointing him states otherwise) exercise all the powers conferred on a Receiver under this Debenture individually and to the exclusion of any other Receiver.</w:t>
      </w:r>
    </w:p>
    <w:p>
      <w:pPr>
        <w:spacing w:after="0" w:line="103" w:lineRule="exact"/>
        <w:rPr>
          <w:sz w:val="20"/>
          <w:szCs w:val="20"/>
          <w:color w:val="auto"/>
        </w:rPr>
      </w:pPr>
    </w:p>
    <w:p>
      <w:pPr>
        <w:ind w:right="8380" w:firstLine="8"/>
        <w:spacing w:after="0" w:line="322" w:lineRule="auto"/>
        <w:tabs>
          <w:tab w:leader="none" w:pos="499" w:val="left"/>
        </w:tabs>
        <w:numPr>
          <w:ilvl w:val="0"/>
          <w:numId w:val="564"/>
        </w:numPr>
        <w:rPr>
          <w:rFonts w:ascii="Arial" w:cs="Arial" w:eastAsia="Arial" w:hAnsi="Arial"/>
          <w:sz w:val="21"/>
          <w:szCs w:val="21"/>
          <w:color w:val="auto"/>
        </w:rPr>
      </w:pPr>
      <w:r>
        <w:rPr>
          <w:rFonts w:ascii="Arial" w:cs="Arial" w:eastAsia="Arial" w:hAnsi="Arial"/>
          <w:sz w:val="21"/>
          <w:szCs w:val="21"/>
          <w:u w:val="single" w:color="auto"/>
          <w:color w:val="auto"/>
        </w:rPr>
        <w:t xml:space="preserve">Non-Lender Secured Parties </w:t>
      </w:r>
      <w:r>
        <w:rPr>
          <w:rFonts w:ascii="Arial" w:cs="Arial" w:eastAsia="Arial" w:hAnsi="Arial"/>
          <w:sz w:val="21"/>
          <w:szCs w:val="21"/>
          <w:color w:val="auto"/>
        </w:rPr>
        <w:t xml:space="preserve">8.1 </w:t>
      </w:r>
      <w:r>
        <w:rPr>
          <w:rFonts w:ascii="Arial" w:cs="Arial" w:eastAsia="Arial" w:hAnsi="Arial"/>
          <w:sz w:val="21"/>
          <w:szCs w:val="21"/>
          <w:u w:val="single" w:color="auto"/>
          <w:color w:val="auto"/>
        </w:rPr>
        <w:t>Rights to Collateral</w:t>
      </w:r>
    </w:p>
    <w:p>
      <w:pPr>
        <w:ind w:left="500"/>
        <w:spacing w:after="0"/>
        <w:rPr>
          <w:rFonts w:ascii="Arial" w:cs="Arial" w:eastAsia="Arial" w:hAnsi="Arial"/>
          <w:sz w:val="21"/>
          <w:szCs w:val="21"/>
          <w:color w:val="auto"/>
        </w:rPr>
      </w:pPr>
      <w:r>
        <w:rPr>
          <w:rFonts w:ascii="Arial" w:cs="Arial" w:eastAsia="Arial" w:hAnsi="Arial"/>
          <w:sz w:val="21"/>
          <w:szCs w:val="21"/>
          <w:color w:val="auto"/>
        </w:rPr>
        <w:t>The Non-Lender Secured Parties shall not be permitted to do any of the following:</w:t>
      </w:r>
    </w:p>
    <w:p>
      <w:pPr>
        <w:spacing w:after="0" w:line="217" w:lineRule="exact"/>
        <w:rPr>
          <w:rFonts w:ascii="Arial" w:cs="Arial" w:eastAsia="Arial" w:hAnsi="Arial"/>
          <w:sz w:val="21"/>
          <w:szCs w:val="21"/>
          <w:color w:val="auto"/>
        </w:rPr>
      </w:pPr>
    </w:p>
    <w:p>
      <w:pPr>
        <w:ind w:left="1000" w:right="20" w:hanging="506"/>
        <w:spacing w:after="0" w:line="264" w:lineRule="auto"/>
        <w:tabs>
          <w:tab w:leader="none" w:pos="1000" w:val="left"/>
        </w:tabs>
        <w:numPr>
          <w:ilvl w:val="1"/>
          <w:numId w:val="564"/>
        </w:numPr>
        <w:rPr>
          <w:rFonts w:ascii="Arial" w:cs="Arial" w:eastAsia="Arial" w:hAnsi="Arial"/>
          <w:sz w:val="21"/>
          <w:szCs w:val="21"/>
          <w:color w:val="auto"/>
        </w:rPr>
      </w:pPr>
      <w:r>
        <w:rPr>
          <w:rFonts w:ascii="Arial" w:cs="Arial" w:eastAsia="Arial" w:hAnsi="Arial"/>
          <w:sz w:val="21"/>
          <w:szCs w:val="21"/>
          <w:color w:val="auto"/>
        </w:rPr>
        <w:t>exercise any rights or remedies with respect to the Collateral or direct the Collateral Agent to do the same, including, without limitation, the right to:</w:t>
      </w:r>
    </w:p>
    <w:p>
      <w:pPr>
        <w:spacing w:after="0" w:line="170" w:lineRule="exact"/>
        <w:rPr>
          <w:rFonts w:ascii="Arial" w:cs="Arial" w:eastAsia="Arial" w:hAnsi="Arial"/>
          <w:sz w:val="21"/>
          <w:szCs w:val="21"/>
          <w:color w:val="auto"/>
        </w:rPr>
      </w:pPr>
    </w:p>
    <w:p>
      <w:pPr>
        <w:ind w:left="1660" w:hanging="518"/>
        <w:spacing w:after="0"/>
        <w:tabs>
          <w:tab w:leader="none" w:pos="1660" w:val="left"/>
        </w:tabs>
        <w:numPr>
          <w:ilvl w:val="2"/>
          <w:numId w:val="564"/>
        </w:numPr>
        <w:rPr>
          <w:rFonts w:ascii="Arial" w:cs="Arial" w:eastAsia="Arial" w:hAnsi="Arial"/>
          <w:sz w:val="21"/>
          <w:szCs w:val="21"/>
          <w:color w:val="auto"/>
        </w:rPr>
      </w:pPr>
      <w:r>
        <w:rPr>
          <w:rFonts w:ascii="Arial" w:cs="Arial" w:eastAsia="Arial" w:hAnsi="Arial"/>
          <w:sz w:val="21"/>
          <w:szCs w:val="21"/>
          <w:color w:val="auto"/>
        </w:rPr>
        <w:t>enforce any Security or sell or otherwise foreclose on any portion of the Collateral;</w:t>
      </w:r>
    </w:p>
    <w:p>
      <w:pPr>
        <w:spacing w:after="0" w:line="217" w:lineRule="exact"/>
        <w:rPr>
          <w:rFonts w:ascii="Arial" w:cs="Arial" w:eastAsia="Arial" w:hAnsi="Arial"/>
          <w:sz w:val="21"/>
          <w:szCs w:val="21"/>
          <w:color w:val="auto"/>
        </w:rPr>
      </w:pPr>
    </w:p>
    <w:p>
      <w:pPr>
        <w:ind w:left="1660" w:right="20" w:hanging="518"/>
        <w:spacing w:after="0" w:line="264" w:lineRule="auto"/>
        <w:tabs>
          <w:tab w:leader="none" w:pos="1660" w:val="left"/>
        </w:tabs>
        <w:numPr>
          <w:ilvl w:val="2"/>
          <w:numId w:val="564"/>
        </w:numPr>
        <w:rPr>
          <w:rFonts w:ascii="Arial" w:cs="Arial" w:eastAsia="Arial" w:hAnsi="Arial"/>
          <w:sz w:val="21"/>
          <w:szCs w:val="21"/>
          <w:color w:val="auto"/>
        </w:rPr>
      </w:pPr>
      <w:r>
        <w:rPr>
          <w:rFonts w:ascii="Arial" w:cs="Arial" w:eastAsia="Arial" w:hAnsi="Arial"/>
          <w:sz w:val="21"/>
          <w:szCs w:val="21"/>
          <w:color w:val="auto"/>
        </w:rPr>
        <w:t>request any action, institute any proceedings, exercise any voting rights, give any instructions, make any election or make collections with respect to all or any portion of the Collateral; or</w:t>
      </w:r>
    </w:p>
    <w:p>
      <w:pPr>
        <w:spacing w:after="0" w:line="170" w:lineRule="exact"/>
        <w:rPr>
          <w:rFonts w:ascii="Arial" w:cs="Arial" w:eastAsia="Arial" w:hAnsi="Arial"/>
          <w:sz w:val="21"/>
          <w:szCs w:val="21"/>
          <w:color w:val="auto"/>
        </w:rPr>
      </w:pPr>
    </w:p>
    <w:p>
      <w:pPr>
        <w:ind w:left="1660" w:right="20" w:hanging="518"/>
        <w:spacing w:after="0" w:line="264" w:lineRule="auto"/>
        <w:tabs>
          <w:tab w:leader="none" w:pos="1660" w:val="left"/>
        </w:tabs>
        <w:numPr>
          <w:ilvl w:val="2"/>
          <w:numId w:val="564"/>
        </w:numPr>
        <w:rPr>
          <w:rFonts w:ascii="Arial" w:cs="Arial" w:eastAsia="Arial" w:hAnsi="Arial"/>
          <w:sz w:val="21"/>
          <w:szCs w:val="21"/>
          <w:color w:val="auto"/>
        </w:rPr>
      </w:pPr>
      <w:r>
        <w:rPr>
          <w:rFonts w:ascii="Arial" w:cs="Arial" w:eastAsia="Arial" w:hAnsi="Arial"/>
          <w:sz w:val="21"/>
          <w:szCs w:val="21"/>
          <w:color w:val="auto"/>
        </w:rPr>
        <w:t>release the Chargor under this Debenture or release any Collateral from the Security created by this Debenture or consent to or otherwise approve any such release;</w:t>
      </w:r>
    </w:p>
    <w:p>
      <w:pPr>
        <w:spacing w:after="0" w:line="170" w:lineRule="exact"/>
        <w:rPr>
          <w:rFonts w:ascii="Arial" w:cs="Arial" w:eastAsia="Arial" w:hAnsi="Arial"/>
          <w:sz w:val="21"/>
          <w:szCs w:val="21"/>
          <w:color w:val="auto"/>
        </w:rPr>
      </w:pPr>
    </w:p>
    <w:p>
      <w:pPr>
        <w:ind w:left="1000" w:right="20" w:hanging="506"/>
        <w:spacing w:after="0" w:line="264" w:lineRule="auto"/>
        <w:tabs>
          <w:tab w:leader="none" w:pos="1000" w:val="left"/>
        </w:tabs>
        <w:numPr>
          <w:ilvl w:val="1"/>
          <w:numId w:val="564"/>
        </w:numPr>
        <w:rPr>
          <w:rFonts w:ascii="Arial" w:cs="Arial" w:eastAsia="Arial" w:hAnsi="Arial"/>
          <w:sz w:val="21"/>
          <w:szCs w:val="21"/>
          <w:color w:val="auto"/>
        </w:rPr>
      </w:pPr>
      <w:r>
        <w:rPr>
          <w:rFonts w:ascii="Arial" w:cs="Arial" w:eastAsia="Arial" w:hAnsi="Arial"/>
          <w:sz w:val="21"/>
          <w:szCs w:val="21"/>
          <w:color w:val="auto"/>
        </w:rPr>
        <w:t>demand, accept or obtain any Security on the Collateral or any part of it (except for Security arising under, and subject to the terms of, this Debenture);</w:t>
      </w:r>
    </w:p>
    <w:p>
      <w:pPr>
        <w:spacing w:after="0" w:line="170" w:lineRule="exact"/>
        <w:rPr>
          <w:rFonts w:ascii="Arial" w:cs="Arial" w:eastAsia="Arial" w:hAnsi="Arial"/>
          <w:sz w:val="21"/>
          <w:szCs w:val="21"/>
          <w:color w:val="auto"/>
        </w:rPr>
      </w:pPr>
    </w:p>
    <w:p>
      <w:pPr>
        <w:ind w:left="1000" w:hanging="506"/>
        <w:spacing w:after="0" w:line="264" w:lineRule="auto"/>
        <w:tabs>
          <w:tab w:leader="none" w:pos="1000" w:val="left"/>
        </w:tabs>
        <w:numPr>
          <w:ilvl w:val="1"/>
          <w:numId w:val="564"/>
        </w:numPr>
        <w:rPr>
          <w:rFonts w:ascii="Arial" w:cs="Arial" w:eastAsia="Arial" w:hAnsi="Arial"/>
          <w:sz w:val="21"/>
          <w:szCs w:val="21"/>
          <w:color w:val="auto"/>
        </w:rPr>
      </w:pPr>
      <w:r>
        <w:rPr>
          <w:rFonts w:ascii="Arial" w:cs="Arial" w:eastAsia="Arial" w:hAnsi="Arial"/>
          <w:sz w:val="21"/>
          <w:szCs w:val="21"/>
          <w:color w:val="auto"/>
        </w:rPr>
        <w:t>receive any proceeds from any sale, transfer or other disposition of any of the Collateral (except in accordance with this Debenture); or</w:t>
      </w:r>
    </w:p>
    <w:p>
      <w:pPr>
        <w:spacing w:after="0" w:line="170" w:lineRule="exact"/>
        <w:rPr>
          <w:rFonts w:ascii="Arial" w:cs="Arial" w:eastAsia="Arial" w:hAnsi="Arial"/>
          <w:sz w:val="21"/>
          <w:szCs w:val="21"/>
          <w:color w:val="auto"/>
        </w:rPr>
      </w:pPr>
    </w:p>
    <w:p>
      <w:pPr>
        <w:ind w:left="1000" w:hanging="506"/>
        <w:spacing w:after="0"/>
        <w:tabs>
          <w:tab w:leader="none" w:pos="1000" w:val="left"/>
        </w:tabs>
        <w:numPr>
          <w:ilvl w:val="1"/>
          <w:numId w:val="564"/>
        </w:numPr>
        <w:rPr>
          <w:rFonts w:ascii="Arial" w:cs="Arial" w:eastAsia="Arial" w:hAnsi="Arial"/>
          <w:sz w:val="21"/>
          <w:szCs w:val="21"/>
          <w:color w:val="auto"/>
        </w:rPr>
      </w:pPr>
      <w:r>
        <w:rPr>
          <w:rFonts w:ascii="Arial" w:cs="Arial" w:eastAsia="Arial" w:hAnsi="Arial"/>
          <w:sz w:val="21"/>
          <w:szCs w:val="21"/>
          <w:color w:val="auto"/>
        </w:rPr>
        <w:t>oppose any sale, transfer or other disposition of the Collateral.</w:t>
      </w:r>
    </w:p>
    <w:p>
      <w:pPr>
        <w:spacing w:after="0" w:line="137" w:lineRule="exact"/>
        <w:rPr>
          <w:sz w:val="20"/>
          <w:szCs w:val="20"/>
          <w:color w:val="auto"/>
        </w:rPr>
      </w:pPr>
    </w:p>
    <w:p>
      <w:pPr>
        <w:jc w:val="both"/>
        <w:ind w:left="500" w:hanging="498"/>
        <w:spacing w:after="0" w:line="271" w:lineRule="auto"/>
        <w:tabs>
          <w:tab w:leader="none" w:pos="48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19"/>
          <w:szCs w:val="19"/>
          <w:color w:val="auto"/>
        </w:rPr>
        <w:t>Each Non-Lender Secured Party, by its acceptance of the provisions of this Debenture, agrees that, in exercising rights and remedies with respect to the Collateral, the Collateral Agent and the Lenders, with the consent of the Collateral Agent, may enforce the provisions of this Debenture and exercise remedies thereunder and under any other Loan Document (or refrain from enforcing rights and exercising remedies), all in such order and in such manner as they may determine in the exercise of their sole business judgment and subject to the terms of any Intercreditor Agreement and any Other Intercreditor Agreement. Such exercise and enforcement shall include, without limitation, the rights to collect, sell, dispose of or otherwise realise all or any part of the Collateral and to incur expenses in connection with such collection, sale, disposition or other realisation. The Non-Lender Secured Parties by their acceptance of the provisions of this Debenture hereby agree not to contest or otherwise challenge any such collection, sale, disposition or other realisation of or upon all or any of the Collateral. Whether or not bankruptcy proceedings have been commenced, the Non-Lender Secured Parties shall be deemed to have consented to any sale or other disposition of any property, business or assets of the Parent or any of its Subsidiaries and the release of any or all of the Collateral from the Security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203200</wp:posOffset>
            </wp:positionV>
            <wp:extent cx="65151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10</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51" w:name="page452"/>
    <w:bookmarkEnd w:id="451"/>
    <w:p>
      <w:pPr>
        <w:jc w:val="both"/>
        <w:ind w:left="500" w:hanging="498"/>
        <w:spacing w:after="0" w:line="271" w:lineRule="auto"/>
        <w:tabs>
          <w:tab w:leader="none" w:pos="48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20"/>
          <w:szCs w:val="20"/>
          <w:color w:val="auto"/>
        </w:rPr>
        <w:t xml:space="preserve">Notwithstanding any provision of this Clause 8 ( </w:t>
      </w:r>
      <w:r>
        <w:rPr>
          <w:rFonts w:ascii="Arial" w:cs="Arial" w:eastAsia="Arial" w:hAnsi="Arial"/>
          <w:sz w:val="20"/>
          <w:szCs w:val="20"/>
          <w:i w:val="1"/>
          <w:iCs w:val="1"/>
          <w:color w:val="auto"/>
        </w:rPr>
        <w:t>Non-Lender Secured Parties</w:t>
      </w:r>
      <w:r>
        <w:rPr>
          <w:rFonts w:ascii="Arial" w:cs="Arial" w:eastAsia="Arial" w:hAnsi="Arial"/>
          <w:sz w:val="20"/>
          <w:szCs w:val="20"/>
          <w:color w:val="auto"/>
        </w:rPr>
        <w:t xml:space="preserve"> ), the Non-Lender Secured Parties shall be entitled, subject to any Intercreditor Agreement and any Other Intercreditor Agreement, to file any necessary responsive or defensive pleadings in opposition to any motion, claim, adversary proceeding or other pleadings:</w:t>
      </w:r>
    </w:p>
    <w:p>
      <w:pPr>
        <w:spacing w:after="0" w:line="31" w:lineRule="exact"/>
        <w:rPr>
          <w:sz w:val="20"/>
          <w:szCs w:val="20"/>
          <w:color w:val="auto"/>
        </w:rPr>
      </w:pPr>
    </w:p>
    <w:p>
      <w:pPr>
        <w:ind w:left="1000" w:right="20" w:hanging="506"/>
        <w:spacing w:after="0" w:line="264" w:lineRule="auto"/>
        <w:tabs>
          <w:tab w:leader="none" w:pos="1000" w:val="left"/>
        </w:tabs>
        <w:numPr>
          <w:ilvl w:val="0"/>
          <w:numId w:val="565"/>
        </w:numPr>
        <w:rPr>
          <w:rFonts w:ascii="Arial" w:cs="Arial" w:eastAsia="Arial" w:hAnsi="Arial"/>
          <w:sz w:val="21"/>
          <w:szCs w:val="21"/>
          <w:color w:val="auto"/>
        </w:rPr>
      </w:pPr>
      <w:r>
        <w:rPr>
          <w:rFonts w:ascii="Arial" w:cs="Arial" w:eastAsia="Arial" w:hAnsi="Arial"/>
          <w:sz w:val="21"/>
          <w:szCs w:val="21"/>
          <w:color w:val="auto"/>
        </w:rPr>
        <w:t>in order to prevent any Person from seeking to foreclose on the Collateral or supersede the Non-Lender Secured Parties’ claim thereto; or</w:t>
      </w:r>
    </w:p>
    <w:p>
      <w:pPr>
        <w:spacing w:after="0" w:line="170" w:lineRule="exact"/>
        <w:rPr>
          <w:rFonts w:ascii="Arial" w:cs="Arial" w:eastAsia="Arial" w:hAnsi="Arial"/>
          <w:sz w:val="21"/>
          <w:szCs w:val="21"/>
          <w:color w:val="auto"/>
        </w:rPr>
      </w:pPr>
    </w:p>
    <w:p>
      <w:pPr>
        <w:ind w:left="1000" w:right="20" w:hanging="506"/>
        <w:spacing w:after="0" w:line="264" w:lineRule="auto"/>
        <w:tabs>
          <w:tab w:leader="none" w:pos="1000" w:val="left"/>
        </w:tabs>
        <w:numPr>
          <w:ilvl w:val="0"/>
          <w:numId w:val="565"/>
        </w:numPr>
        <w:rPr>
          <w:rFonts w:ascii="Arial" w:cs="Arial" w:eastAsia="Arial" w:hAnsi="Arial"/>
          <w:sz w:val="21"/>
          <w:szCs w:val="21"/>
          <w:color w:val="auto"/>
        </w:rPr>
      </w:pPr>
      <w:r>
        <w:rPr>
          <w:rFonts w:ascii="Arial" w:cs="Arial" w:eastAsia="Arial" w:hAnsi="Arial"/>
          <w:sz w:val="21"/>
          <w:szCs w:val="21"/>
          <w:color w:val="auto"/>
        </w:rPr>
        <w:t>in opposition to any motion, claim, adversary proceeding or other pleading made by any Person objecting to or otherwise seeking the disallowance of the claims of the Non-Lender Secured Parties.</w:t>
      </w:r>
    </w:p>
    <w:p>
      <w:pPr>
        <w:spacing w:after="0" w:line="171"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Each Non-Lender Secured Party, by its acceptance of the provisions of this Debenture, agrees to be bound by and to comply with any Intercreditor Agreement and any Other Intercreditor Agreement and authorises the Collateral Agent to enter into the Intercreditor Agreements and Other Intercreditor Agreements on its behalf.</w:t>
      </w:r>
    </w:p>
    <w:p>
      <w:pPr>
        <w:spacing w:after="0" w:line="103" w:lineRule="exact"/>
        <w:rPr>
          <w:sz w:val="20"/>
          <w:szCs w:val="20"/>
          <w:color w:val="auto"/>
        </w:rPr>
      </w:pPr>
    </w:p>
    <w:p>
      <w:pPr>
        <w:jc w:val="both"/>
        <w:ind w:left="500" w:hanging="498"/>
        <w:spacing w:after="0" w:line="283" w:lineRule="auto"/>
        <w:tabs>
          <w:tab w:leader="none" w:pos="480" w:val="left"/>
        </w:tabs>
        <w:rPr>
          <w:sz w:val="20"/>
          <w:szCs w:val="20"/>
          <w:color w:val="auto"/>
        </w:rPr>
      </w:pPr>
      <w:r>
        <w:rPr>
          <w:rFonts w:ascii="Arial" w:cs="Arial" w:eastAsia="Arial" w:hAnsi="Arial"/>
          <w:sz w:val="21"/>
          <w:szCs w:val="21"/>
          <w:color w:val="auto"/>
        </w:rPr>
        <w:t>8.4</w:t>
      </w:r>
      <w:r>
        <w:rPr>
          <w:sz w:val="20"/>
          <w:szCs w:val="20"/>
          <w:color w:val="auto"/>
        </w:rPr>
        <w:tab/>
      </w:r>
      <w:r>
        <w:rPr>
          <w:rFonts w:ascii="Arial" w:cs="Arial" w:eastAsia="Arial" w:hAnsi="Arial"/>
          <w:sz w:val="19"/>
          <w:szCs w:val="19"/>
          <w:color w:val="auto"/>
        </w:rPr>
        <w:t>Each Non-Lender Secured Party, by its acceptance of the provisions of this Debenture, agrees that the Collateral Agent and the Lenders may deal with the Collateral, including any exchange, taking of or release of the Collateral, may change or increase the amount of the Secured Obligations, and may release any Grantor from its Secured Obligations hereunder, all without any liability or obligation (except as may be otherwise expressly provided herein) to the Non- Lender Secured Parties.</w:t>
      </w:r>
    </w:p>
    <w:p>
      <w:pPr>
        <w:spacing w:after="0" w:line="22"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8.5</w:t>
      </w:r>
      <w:r>
        <w:rPr>
          <w:sz w:val="20"/>
          <w:szCs w:val="20"/>
          <w:color w:val="auto"/>
        </w:rPr>
        <w:tab/>
      </w:r>
      <w:r>
        <w:rPr>
          <w:rFonts w:ascii="Arial" w:cs="Arial" w:eastAsia="Arial" w:hAnsi="Arial"/>
          <w:sz w:val="19"/>
          <w:szCs w:val="19"/>
          <w:u w:val="single" w:color="auto"/>
          <w:color w:val="auto"/>
        </w:rPr>
        <w:t>Appointment of Agent</w:t>
      </w:r>
    </w:p>
    <w:p>
      <w:pPr>
        <w:spacing w:after="0" w:line="83" w:lineRule="exact"/>
        <w:rPr>
          <w:sz w:val="20"/>
          <w:szCs w:val="20"/>
          <w:color w:val="auto"/>
        </w:rPr>
      </w:pPr>
    </w:p>
    <w:p>
      <w:pPr>
        <w:jc w:val="both"/>
        <w:ind w:left="500"/>
        <w:spacing w:after="0" w:line="249" w:lineRule="auto"/>
        <w:rPr>
          <w:sz w:val="20"/>
          <w:szCs w:val="20"/>
          <w:color w:val="auto"/>
        </w:rPr>
      </w:pPr>
      <w:r>
        <w:rPr>
          <w:rFonts w:ascii="Arial" w:cs="Arial" w:eastAsia="Arial" w:hAnsi="Arial"/>
          <w:sz w:val="21"/>
          <w:szCs w:val="21"/>
          <w:color w:val="auto"/>
        </w:rPr>
        <w:t>Each Non-Lender Secured Party, by way of security, irrevocably and severally appoints the Collateral Agent, each Receiver and each of their respective delegates and sub delegates to be its attorney (with full power of substitution) to effectuate any sale, transfer or other disposition of the Collateral in accordance with and subject to this Debenture, any Intercreditor Agreement and any Other Intercreditor Agreement.</w:t>
      </w:r>
    </w:p>
    <w:p>
      <w:pPr>
        <w:spacing w:after="0" w:line="105"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8.6</w:t>
      </w:r>
      <w:r>
        <w:rPr>
          <w:sz w:val="20"/>
          <w:szCs w:val="20"/>
          <w:color w:val="auto"/>
        </w:rPr>
        <w:tab/>
      </w:r>
      <w:r>
        <w:rPr>
          <w:rFonts w:ascii="Arial" w:cs="Arial" w:eastAsia="Arial" w:hAnsi="Arial"/>
          <w:sz w:val="19"/>
          <w:szCs w:val="19"/>
          <w:u w:val="single" w:color="auto"/>
          <w:color w:val="auto"/>
        </w:rPr>
        <w:t>Waiver of Claims</w:t>
      </w:r>
    </w:p>
    <w:p>
      <w:pPr>
        <w:spacing w:after="0" w:line="83" w:lineRule="exact"/>
        <w:rPr>
          <w:sz w:val="20"/>
          <w:szCs w:val="20"/>
          <w:color w:val="auto"/>
        </w:rPr>
      </w:pPr>
    </w:p>
    <w:p>
      <w:pPr>
        <w:jc w:val="both"/>
        <w:ind w:left="500"/>
        <w:spacing w:after="0" w:line="257" w:lineRule="auto"/>
        <w:rPr>
          <w:sz w:val="20"/>
          <w:szCs w:val="20"/>
          <w:color w:val="auto"/>
        </w:rPr>
      </w:pPr>
      <w:r>
        <w:rPr>
          <w:rFonts w:ascii="Arial" w:cs="Arial" w:eastAsia="Arial" w:hAnsi="Arial"/>
          <w:sz w:val="20"/>
          <w:szCs w:val="20"/>
          <w:color w:val="auto"/>
        </w:rPr>
        <w:t>To the extent permitted by law, each Non-Lender Secured Party waives any claim it might have against the Collateral Agent or the Lenders with respect to, or arising out of, any action or failure to act or any error of judgment, negligence, or mistake or oversight whatsoever on the part of the Collateral Agent or the Lenders or their respective directors, officers, employees or agents with respect to any exercise of rights or remedies under the Loan Documents or any transaction relating to the Collateral (including, without limitation, any such exercise described in Clause 8.2 except for any such action or failure to act that constitutes wilful misconduct or gross negligence of such Person. To the extent permitted by applicable law, none of the Collateral Agent or any Lender or any of their respective directors, officers, employees or agents shall be liable for failure to demand, collect or realise upon any of the Collateral or for any delay in doing so or shall be under any obligation to sell or otherwise dispose of any Collateral upon the request of the Parent, any Subsidiary of the Parent, any Non-Lender Secured Party or any other Person or to take any other action or forbear from doing so whatsoever with regard to the Collateral or any part thereof,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294005</wp:posOffset>
            </wp:positionV>
            <wp:extent cx="651510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11</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52" w:name="page453"/>
    <w:bookmarkEnd w:id="452"/>
    <w:p>
      <w:pPr>
        <w:ind w:left="500"/>
        <w:spacing w:after="0"/>
        <w:rPr>
          <w:sz w:val="20"/>
          <w:szCs w:val="20"/>
          <w:color w:val="auto"/>
        </w:rPr>
      </w:pPr>
      <w:r>
        <w:rPr>
          <w:rFonts w:ascii="Arial" w:cs="Arial" w:eastAsia="Arial" w:hAnsi="Arial"/>
          <w:sz w:val="21"/>
          <w:szCs w:val="21"/>
          <w:color w:val="auto"/>
        </w:rPr>
        <w:t>for any such action or failure to act that constitutes wilful misconduct or gross negligence of such Person.</w:t>
      </w:r>
    </w:p>
    <w:p>
      <w:pPr>
        <w:spacing w:after="0" w:line="137" w:lineRule="exact"/>
        <w:rPr>
          <w:sz w:val="20"/>
          <w:szCs w:val="20"/>
          <w:color w:val="auto"/>
        </w:rPr>
      </w:pPr>
    </w:p>
    <w:p>
      <w:pPr>
        <w:ind w:left="500" w:hanging="492"/>
        <w:spacing w:after="0"/>
        <w:tabs>
          <w:tab w:leader="none" w:pos="500" w:val="left"/>
        </w:tabs>
        <w:numPr>
          <w:ilvl w:val="0"/>
          <w:numId w:val="566"/>
        </w:numPr>
        <w:rPr>
          <w:rFonts w:ascii="Arial" w:cs="Arial" w:eastAsia="Arial" w:hAnsi="Arial"/>
          <w:sz w:val="21"/>
          <w:szCs w:val="21"/>
          <w:color w:val="auto"/>
        </w:rPr>
      </w:pPr>
      <w:r>
        <w:rPr>
          <w:rFonts w:ascii="Arial" w:cs="Arial" w:eastAsia="Arial" w:hAnsi="Arial"/>
          <w:sz w:val="21"/>
          <w:szCs w:val="21"/>
          <w:u w:val="single" w:color="auto"/>
          <w:color w:val="auto"/>
        </w:rPr>
        <w:t>Application of Proceeds</w:t>
      </w:r>
    </w:p>
    <w:p>
      <w:pPr>
        <w:spacing w:after="0" w:line="82" w:lineRule="exact"/>
        <w:rPr>
          <w:rFonts w:ascii="Arial" w:cs="Arial" w:eastAsia="Arial" w:hAnsi="Arial"/>
          <w:sz w:val="21"/>
          <w:szCs w:val="21"/>
          <w:color w:val="auto"/>
        </w:rPr>
      </w:pPr>
    </w:p>
    <w:p>
      <w:pPr>
        <w:jc w:val="both"/>
        <w:ind w:left="500"/>
        <w:spacing w:after="0" w:line="252" w:lineRule="auto"/>
        <w:rPr>
          <w:rFonts w:ascii="Arial" w:cs="Arial" w:eastAsia="Arial" w:hAnsi="Arial"/>
          <w:sz w:val="21"/>
          <w:szCs w:val="21"/>
          <w:color w:val="auto"/>
        </w:rPr>
      </w:pPr>
      <w:r>
        <w:rPr>
          <w:rFonts w:ascii="Arial" w:cs="Arial" w:eastAsia="Arial" w:hAnsi="Arial"/>
          <w:sz w:val="21"/>
          <w:szCs w:val="21"/>
          <w:color w:val="auto"/>
        </w:rPr>
        <w:t>Any monies held or received by the Collateral Agent or a Receiver after the occurrence of an Enforcement Event shall, subject to the terms of any Intercreditor Agreement and any Other Intercreditor Agreement, be applied from time to time by the Collateral Agent in accordance with the terms of the Credit Agreement.</w:t>
      </w:r>
    </w:p>
    <w:p>
      <w:pPr>
        <w:spacing w:after="0" w:line="319" w:lineRule="exact"/>
        <w:rPr>
          <w:rFonts w:ascii="Arial" w:cs="Arial" w:eastAsia="Arial" w:hAnsi="Arial"/>
          <w:sz w:val="21"/>
          <w:szCs w:val="21"/>
          <w:color w:val="auto"/>
        </w:rPr>
      </w:pPr>
    </w:p>
    <w:p>
      <w:pPr>
        <w:ind w:left="500" w:hanging="492"/>
        <w:spacing w:after="0"/>
        <w:tabs>
          <w:tab w:leader="none" w:pos="500" w:val="left"/>
        </w:tabs>
        <w:numPr>
          <w:ilvl w:val="0"/>
          <w:numId w:val="566"/>
        </w:numPr>
        <w:rPr>
          <w:rFonts w:ascii="Arial" w:cs="Arial" w:eastAsia="Arial" w:hAnsi="Arial"/>
          <w:sz w:val="21"/>
          <w:szCs w:val="21"/>
          <w:color w:val="auto"/>
        </w:rPr>
      </w:pPr>
      <w:r>
        <w:rPr>
          <w:rFonts w:ascii="Arial" w:cs="Arial" w:eastAsia="Arial" w:hAnsi="Arial"/>
          <w:sz w:val="21"/>
          <w:szCs w:val="21"/>
          <w:u w:val="single" w:color="auto"/>
          <w:color w:val="auto"/>
        </w:rPr>
        <w:t>Delegation</w:t>
      </w:r>
    </w:p>
    <w:p>
      <w:pPr>
        <w:spacing w:after="0" w:line="82" w:lineRule="exact"/>
        <w:rPr>
          <w:rFonts w:ascii="Arial" w:cs="Arial" w:eastAsia="Arial" w:hAnsi="Arial"/>
          <w:sz w:val="21"/>
          <w:szCs w:val="21"/>
          <w:color w:val="auto"/>
        </w:rPr>
      </w:pPr>
    </w:p>
    <w:p>
      <w:pPr>
        <w:jc w:val="both"/>
        <w:ind w:left="500"/>
        <w:spacing w:after="0" w:line="260" w:lineRule="auto"/>
        <w:rPr>
          <w:rFonts w:ascii="Arial" w:cs="Arial" w:eastAsia="Arial" w:hAnsi="Arial"/>
          <w:sz w:val="21"/>
          <w:szCs w:val="21"/>
          <w:color w:val="auto"/>
        </w:rPr>
      </w:pPr>
      <w:r>
        <w:rPr>
          <w:rFonts w:ascii="Arial" w:cs="Arial" w:eastAsia="Arial" w:hAnsi="Arial"/>
          <w:sz w:val="20"/>
          <w:szCs w:val="20"/>
          <w:color w:val="auto"/>
        </w:rPr>
        <w:t>The Collateral Agent or any Receiver may delegate by power of attorney or in any other manner to any person any right, power or discretion exercisable by it under this Debenture in which case such person shall be entitled to all the rights and protection of a Collateral Agent or Receiver as if it were a party to this Debenture. Neither the Collateral Agent nor any Receiver will be in any way liable or responsible to the Chargor for any loss or liability arising from any act, default, omission or misconduct on the part of any such delegate or sub-delegate. Any such delegation may be made upon any terms (including power to sub-delegate) which the Collateral Agent or any Receiver may think fit.</w:t>
      </w:r>
    </w:p>
    <w:p>
      <w:pPr>
        <w:spacing w:after="0" w:line="314" w:lineRule="exact"/>
        <w:rPr>
          <w:rFonts w:ascii="Arial" w:cs="Arial" w:eastAsia="Arial" w:hAnsi="Arial"/>
          <w:sz w:val="21"/>
          <w:szCs w:val="21"/>
          <w:color w:val="auto"/>
        </w:rPr>
      </w:pPr>
    </w:p>
    <w:p>
      <w:pPr>
        <w:ind w:left="500" w:hanging="492"/>
        <w:spacing w:after="0"/>
        <w:tabs>
          <w:tab w:leader="none" w:pos="500" w:val="left"/>
        </w:tabs>
        <w:numPr>
          <w:ilvl w:val="0"/>
          <w:numId w:val="566"/>
        </w:numPr>
        <w:rPr>
          <w:rFonts w:ascii="Arial" w:cs="Arial" w:eastAsia="Arial" w:hAnsi="Arial"/>
          <w:sz w:val="21"/>
          <w:szCs w:val="21"/>
          <w:color w:val="auto"/>
        </w:rPr>
      </w:pPr>
      <w:r>
        <w:rPr>
          <w:rFonts w:ascii="Arial" w:cs="Arial" w:eastAsia="Arial" w:hAnsi="Arial"/>
          <w:sz w:val="21"/>
          <w:szCs w:val="21"/>
          <w:u w:val="single" w:color="auto"/>
          <w:color w:val="auto"/>
        </w:rPr>
        <w:t>Power of Attorney</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Appointment</w:t>
      </w:r>
    </w:p>
    <w:p>
      <w:pPr>
        <w:spacing w:after="0" w:line="83" w:lineRule="exact"/>
        <w:rPr>
          <w:sz w:val="20"/>
          <w:szCs w:val="20"/>
          <w:color w:val="auto"/>
        </w:rPr>
      </w:pPr>
    </w:p>
    <w:p>
      <w:pPr>
        <w:jc w:val="both"/>
        <w:ind w:left="500"/>
        <w:spacing w:after="0" w:line="249" w:lineRule="auto"/>
        <w:rPr>
          <w:sz w:val="20"/>
          <w:szCs w:val="20"/>
          <w:color w:val="auto"/>
        </w:rPr>
      </w:pPr>
      <w:r>
        <w:rPr>
          <w:rFonts w:ascii="Arial" w:cs="Arial" w:eastAsia="Arial" w:hAnsi="Arial"/>
          <w:sz w:val="21"/>
          <w:szCs w:val="21"/>
          <w:color w:val="auto"/>
        </w:rPr>
        <w:t>The Chargor, by way of security, irrevocably and severally appoints the Collateral Agent, each Receiver and each of their respective delegates and sub-delegates to be its attorney (with full power of substitution) to take any action which the Chargor is obliged to take under this Debenture and in accordance with and subject to any Intercreditor Agreement and any Other Intercreditor Agreement.</w:t>
      </w:r>
    </w:p>
    <w:p>
      <w:pPr>
        <w:spacing w:after="0" w:line="10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Ratification</w:t>
      </w:r>
    </w:p>
    <w:p>
      <w:pPr>
        <w:spacing w:after="0" w:line="83" w:lineRule="exact"/>
        <w:rPr>
          <w:sz w:val="20"/>
          <w:szCs w:val="20"/>
          <w:color w:val="auto"/>
        </w:rPr>
      </w:pPr>
    </w:p>
    <w:p>
      <w:pPr>
        <w:jc w:val="both"/>
        <w:ind w:left="500"/>
        <w:spacing w:after="0" w:line="264" w:lineRule="auto"/>
        <w:rPr>
          <w:sz w:val="20"/>
          <w:szCs w:val="20"/>
          <w:color w:val="auto"/>
        </w:rPr>
      </w:pPr>
      <w:r>
        <w:rPr>
          <w:rFonts w:ascii="Arial" w:cs="Arial" w:eastAsia="Arial" w:hAnsi="Arial"/>
          <w:sz w:val="21"/>
          <w:szCs w:val="21"/>
          <w:color w:val="auto"/>
        </w:rPr>
        <w:t xml:space="preserve">The Chargor ratifies and confirms whatever any attorney does or purports to do under its appointment under this Clause 11 ( </w:t>
      </w:r>
      <w:r>
        <w:rPr>
          <w:rFonts w:ascii="Arial" w:cs="Arial" w:eastAsia="Arial" w:hAnsi="Arial"/>
          <w:sz w:val="21"/>
          <w:szCs w:val="21"/>
          <w:i w:val="1"/>
          <w:iCs w:val="1"/>
          <w:color w:val="auto"/>
        </w:rPr>
        <w:t xml:space="preserve">Power of Attorney </w:t>
      </w:r>
      <w:r>
        <w:rPr>
          <w:rFonts w:ascii="Arial" w:cs="Arial" w:eastAsia="Arial" w:hAnsi="Arial"/>
          <w:sz w:val="21"/>
          <w:szCs w:val="21"/>
          <w:color w:val="auto"/>
        </w:rPr>
        <w:t>).</w:t>
      </w:r>
    </w:p>
    <w:p>
      <w:pPr>
        <w:spacing w:after="0" w:line="90" w:lineRule="exact"/>
        <w:rPr>
          <w:sz w:val="20"/>
          <w:szCs w:val="20"/>
          <w:color w:val="auto"/>
        </w:rPr>
      </w:pPr>
    </w:p>
    <w:p>
      <w:pPr>
        <w:ind w:right="8740" w:firstLine="8"/>
        <w:spacing w:after="0" w:line="375" w:lineRule="auto"/>
        <w:tabs>
          <w:tab w:leader="none" w:pos="499" w:val="left"/>
        </w:tabs>
        <w:numPr>
          <w:ilvl w:val="0"/>
          <w:numId w:val="567"/>
        </w:numPr>
        <w:rPr>
          <w:rFonts w:ascii="Arial" w:cs="Arial" w:eastAsia="Arial" w:hAnsi="Arial"/>
          <w:sz w:val="18"/>
          <w:szCs w:val="18"/>
          <w:color w:val="auto"/>
        </w:rPr>
      </w:pPr>
      <w:r>
        <w:rPr>
          <w:rFonts w:ascii="Arial" w:cs="Arial" w:eastAsia="Arial" w:hAnsi="Arial"/>
          <w:sz w:val="18"/>
          <w:szCs w:val="18"/>
          <w:u w:val="single" w:color="auto"/>
          <w:color w:val="auto"/>
        </w:rPr>
        <w:t xml:space="preserve">Preservation of Security </w:t>
      </w:r>
      <w:r>
        <w:rPr>
          <w:rFonts w:ascii="Arial" w:cs="Arial" w:eastAsia="Arial" w:hAnsi="Arial"/>
          <w:sz w:val="18"/>
          <w:szCs w:val="18"/>
          <w:color w:val="auto"/>
        </w:rPr>
        <w:t xml:space="preserve">12.1 </w:t>
      </w:r>
      <w:r>
        <w:rPr>
          <w:rFonts w:ascii="Arial" w:cs="Arial" w:eastAsia="Arial" w:hAnsi="Arial"/>
          <w:sz w:val="18"/>
          <w:szCs w:val="18"/>
          <w:u w:val="single" w:color="auto"/>
          <w:color w:val="auto"/>
        </w:rPr>
        <w:t>Continuing Security</w:t>
      </w:r>
    </w:p>
    <w:p>
      <w:pPr>
        <w:spacing w:after="0" w:line="1" w:lineRule="exact"/>
        <w:rPr>
          <w:sz w:val="20"/>
          <w:szCs w:val="20"/>
          <w:color w:val="auto"/>
        </w:rPr>
      </w:pPr>
    </w:p>
    <w:p>
      <w:pPr>
        <w:jc w:val="both"/>
        <w:ind w:left="500"/>
        <w:spacing w:after="0" w:line="264" w:lineRule="auto"/>
        <w:rPr>
          <w:sz w:val="20"/>
          <w:szCs w:val="20"/>
          <w:color w:val="auto"/>
        </w:rPr>
      </w:pPr>
      <w:r>
        <w:rPr>
          <w:rFonts w:ascii="Arial" w:cs="Arial" w:eastAsia="Arial" w:hAnsi="Arial"/>
          <w:sz w:val="21"/>
          <w:szCs w:val="21"/>
          <w:color w:val="auto"/>
        </w:rPr>
        <w:t>The Security created by this Debenture is continuing security and will extend to the ultimate balance of the Secured Obligations, regardless of any intermediate payment or discharge in whole or in part.</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Immediate Recourse</w:t>
      </w:r>
    </w:p>
    <w:p>
      <w:pPr>
        <w:spacing w:after="0" w:line="83" w:lineRule="exact"/>
        <w:rPr>
          <w:sz w:val="20"/>
          <w:szCs w:val="20"/>
          <w:color w:val="auto"/>
        </w:rPr>
      </w:pPr>
    </w:p>
    <w:p>
      <w:pPr>
        <w:jc w:val="both"/>
        <w:ind w:left="500"/>
        <w:spacing w:after="0" w:line="292" w:lineRule="auto"/>
        <w:rPr>
          <w:sz w:val="20"/>
          <w:szCs w:val="20"/>
          <w:color w:val="auto"/>
        </w:rPr>
      </w:pPr>
      <w:r>
        <w:rPr>
          <w:rFonts w:ascii="Arial" w:cs="Arial" w:eastAsia="Arial" w:hAnsi="Arial"/>
          <w:sz w:val="19"/>
          <w:szCs w:val="19"/>
          <w:color w:val="auto"/>
        </w:rPr>
        <w:t>The Chargor waives any right it may have of first requiring any Secured Party (or any trustee or agent on its behalf) to proceed against or enforce any other right or security or claim payment from any person or file any proof or claim in any insolvency, administration, winding-up or liquidation proceedings relative to any other Grantor or any other person before claiming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273685</wp:posOffset>
            </wp:positionV>
            <wp:extent cx="65151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12</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53" w:name="page454"/>
    <w:bookmarkEnd w:id="453"/>
    <w:p>
      <w:pPr>
        <w:jc w:val="both"/>
        <w:ind w:left="500"/>
        <w:spacing w:after="0" w:line="264" w:lineRule="auto"/>
        <w:rPr>
          <w:sz w:val="20"/>
          <w:szCs w:val="20"/>
          <w:color w:val="auto"/>
        </w:rPr>
      </w:pPr>
      <w:r>
        <w:rPr>
          <w:rFonts w:ascii="Arial" w:cs="Arial" w:eastAsia="Arial" w:hAnsi="Arial"/>
          <w:sz w:val="21"/>
          <w:szCs w:val="21"/>
          <w:color w:val="auto"/>
        </w:rPr>
        <w:t>the Chargor under this Debenture. This waiver applies irrespective of any law or any provision of any Loan Document to the contrary.</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Waiver of Defences</w:t>
      </w:r>
    </w:p>
    <w:p>
      <w:pPr>
        <w:spacing w:after="0" w:line="83" w:lineRule="exact"/>
        <w:rPr>
          <w:sz w:val="20"/>
          <w:szCs w:val="20"/>
          <w:color w:val="auto"/>
        </w:rPr>
      </w:pPr>
    </w:p>
    <w:p>
      <w:pPr>
        <w:jc w:val="both"/>
        <w:ind w:left="500"/>
        <w:spacing w:after="0" w:line="271" w:lineRule="auto"/>
        <w:rPr>
          <w:sz w:val="20"/>
          <w:szCs w:val="20"/>
          <w:color w:val="auto"/>
        </w:rPr>
      </w:pPr>
      <w:r>
        <w:rPr>
          <w:rFonts w:ascii="Arial" w:cs="Arial" w:eastAsia="Arial" w:hAnsi="Arial"/>
          <w:sz w:val="20"/>
          <w:szCs w:val="20"/>
          <w:color w:val="auto"/>
        </w:rPr>
        <w:t>The Chargor shall be deemed to be a principal debtor, and not only a surety. The obligations of the Chargor under this Debenture shall not be affected by any act, omission or thing which, but for this provision, would reduce, release or prejudice any of its obligations under this Debenture (whether or not known to it or any Secured Party). This includes:</w:t>
      </w:r>
    </w:p>
    <w:p>
      <w:pPr>
        <w:spacing w:after="0" w:line="166" w:lineRule="exact"/>
        <w:rPr>
          <w:sz w:val="20"/>
          <w:szCs w:val="20"/>
          <w:color w:val="auto"/>
        </w:rPr>
      </w:pPr>
    </w:p>
    <w:p>
      <w:pPr>
        <w:ind w:left="1000" w:hanging="506"/>
        <w:spacing w:after="0"/>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any time or waiver granted to, or composition with, any person;</w:t>
      </w:r>
    </w:p>
    <w:p>
      <w:pPr>
        <w:spacing w:after="0" w:line="217" w:lineRule="exact"/>
        <w:rPr>
          <w:rFonts w:ascii="Arial" w:cs="Arial" w:eastAsia="Arial" w:hAnsi="Arial"/>
          <w:sz w:val="21"/>
          <w:szCs w:val="21"/>
          <w:color w:val="auto"/>
        </w:rPr>
      </w:pPr>
    </w:p>
    <w:p>
      <w:pPr>
        <w:ind w:left="1000" w:hanging="506"/>
        <w:spacing w:after="0"/>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any release of any person under the terms of any composition or arrangement;</w:t>
      </w:r>
    </w:p>
    <w:p>
      <w:pPr>
        <w:spacing w:after="0" w:line="217" w:lineRule="exact"/>
        <w:rPr>
          <w:rFonts w:ascii="Arial" w:cs="Arial" w:eastAsia="Arial" w:hAnsi="Arial"/>
          <w:sz w:val="21"/>
          <w:szCs w:val="21"/>
          <w:color w:val="auto"/>
        </w:rPr>
      </w:pPr>
    </w:p>
    <w:p>
      <w:pPr>
        <w:ind w:left="1000" w:right="20" w:hanging="506"/>
        <w:spacing w:after="0" w:line="264" w:lineRule="auto"/>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the taking, variation, compromise, exchange, renewal or release of, or refusal or neglect to perfect, take up or enforce, any rights against, or security over assets of, any person;</w:t>
      </w:r>
    </w:p>
    <w:p>
      <w:pPr>
        <w:spacing w:after="0" w:line="170" w:lineRule="exact"/>
        <w:rPr>
          <w:rFonts w:ascii="Arial" w:cs="Arial" w:eastAsia="Arial" w:hAnsi="Arial"/>
          <w:sz w:val="21"/>
          <w:szCs w:val="21"/>
          <w:color w:val="auto"/>
        </w:rPr>
      </w:pPr>
    </w:p>
    <w:p>
      <w:pPr>
        <w:ind w:left="1000" w:hanging="506"/>
        <w:spacing w:after="0" w:line="264" w:lineRule="auto"/>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any non-presentation or non-observance of any formality or other requirement in respect of any instrument or any failure to realise the full value of any security;</w:t>
      </w:r>
    </w:p>
    <w:p>
      <w:pPr>
        <w:spacing w:after="0" w:line="170" w:lineRule="exact"/>
        <w:rPr>
          <w:rFonts w:ascii="Arial" w:cs="Arial" w:eastAsia="Arial" w:hAnsi="Arial"/>
          <w:sz w:val="21"/>
          <w:szCs w:val="21"/>
          <w:color w:val="auto"/>
        </w:rPr>
      </w:pPr>
    </w:p>
    <w:p>
      <w:pPr>
        <w:ind w:left="1000" w:hanging="506"/>
        <w:spacing w:after="0" w:line="264" w:lineRule="auto"/>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any incapacity or lack of power, authority or legal personality of or dissolution or change in the members or status of any person;</w:t>
      </w:r>
    </w:p>
    <w:p>
      <w:pPr>
        <w:spacing w:after="0" w:line="170" w:lineRule="exact"/>
        <w:rPr>
          <w:rFonts w:ascii="Arial" w:cs="Arial" w:eastAsia="Arial" w:hAnsi="Arial"/>
          <w:sz w:val="21"/>
          <w:szCs w:val="21"/>
          <w:color w:val="auto"/>
        </w:rPr>
      </w:pPr>
    </w:p>
    <w:p>
      <w:pPr>
        <w:ind w:left="1000" w:hanging="506"/>
        <w:spacing w:after="0"/>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any amendment of a Loan Document or any other document or security;</w:t>
      </w:r>
    </w:p>
    <w:p>
      <w:pPr>
        <w:spacing w:after="0" w:line="217" w:lineRule="exact"/>
        <w:rPr>
          <w:rFonts w:ascii="Arial" w:cs="Arial" w:eastAsia="Arial" w:hAnsi="Arial"/>
          <w:sz w:val="21"/>
          <w:szCs w:val="21"/>
          <w:color w:val="auto"/>
        </w:rPr>
      </w:pPr>
    </w:p>
    <w:p>
      <w:pPr>
        <w:jc w:val="both"/>
        <w:ind w:left="1000" w:hanging="506"/>
        <w:spacing w:after="0" w:line="252" w:lineRule="auto"/>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any unenforceability, illegality, invalidity or non-provability of any obligation of any person under any Loan Document or any other document or security or the failure by any member of the Group to enter into or be bound by any Loan Document; or</w:t>
      </w:r>
    </w:p>
    <w:p>
      <w:pPr>
        <w:spacing w:after="0" w:line="184" w:lineRule="exact"/>
        <w:rPr>
          <w:rFonts w:ascii="Arial" w:cs="Arial" w:eastAsia="Arial" w:hAnsi="Arial"/>
          <w:sz w:val="21"/>
          <w:szCs w:val="21"/>
          <w:color w:val="auto"/>
        </w:rPr>
      </w:pPr>
    </w:p>
    <w:p>
      <w:pPr>
        <w:ind w:left="1000" w:hanging="506"/>
        <w:spacing w:after="0"/>
        <w:tabs>
          <w:tab w:leader="none" w:pos="1000" w:val="left"/>
        </w:tabs>
        <w:numPr>
          <w:ilvl w:val="0"/>
          <w:numId w:val="568"/>
        </w:numPr>
        <w:rPr>
          <w:rFonts w:ascii="Arial" w:cs="Arial" w:eastAsia="Arial" w:hAnsi="Arial"/>
          <w:sz w:val="21"/>
          <w:szCs w:val="21"/>
          <w:color w:val="auto"/>
        </w:rPr>
      </w:pPr>
      <w:r>
        <w:rPr>
          <w:rFonts w:ascii="Arial" w:cs="Arial" w:eastAsia="Arial" w:hAnsi="Arial"/>
          <w:sz w:val="21"/>
          <w:szCs w:val="21"/>
          <w:color w:val="auto"/>
        </w:rPr>
        <w:t>any insolvency or similar proceedings.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Appropriations</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Until all amounts which may be or become payable by the Chargor under or in connection with the Loan Documents have been irrevocably paid in full, each Secured Party (or any trustee or agent on its behalf) may without affecting the liability of the Chargor under this Debenture:</w:t>
      </w:r>
    </w:p>
    <w:p>
      <w:pPr>
        <w:spacing w:after="0" w:line="184" w:lineRule="exact"/>
        <w:rPr>
          <w:sz w:val="20"/>
          <w:szCs w:val="20"/>
          <w:color w:val="auto"/>
        </w:rPr>
      </w:pPr>
    </w:p>
    <w:p>
      <w:pPr>
        <w:ind w:left="1000" w:hanging="506"/>
        <w:spacing w:after="0" w:line="264" w:lineRule="auto"/>
        <w:tabs>
          <w:tab w:leader="none" w:pos="1000" w:val="left"/>
        </w:tabs>
        <w:numPr>
          <w:ilvl w:val="0"/>
          <w:numId w:val="569"/>
        </w:numPr>
        <w:rPr>
          <w:rFonts w:ascii="Arial" w:cs="Arial" w:eastAsia="Arial" w:hAnsi="Arial"/>
          <w:sz w:val="21"/>
          <w:szCs w:val="21"/>
          <w:color w:val="auto"/>
        </w:rPr>
      </w:pPr>
      <w:r>
        <w:rPr>
          <w:rFonts w:ascii="Arial" w:cs="Arial" w:eastAsia="Arial" w:hAnsi="Arial"/>
          <w:sz w:val="21"/>
          <w:szCs w:val="21"/>
          <w:color w:val="auto"/>
        </w:rPr>
        <w:t>(i) refrain from applying or enforcing any other monies, security or rights held or received by that Secured Party (or any trustee or agent on its behalf) against those amounts; or</w:t>
      </w:r>
    </w:p>
    <w:p>
      <w:pPr>
        <w:spacing w:after="0" w:line="170" w:lineRule="exact"/>
        <w:rPr>
          <w:rFonts w:ascii="Arial" w:cs="Arial" w:eastAsia="Arial" w:hAnsi="Arial"/>
          <w:sz w:val="21"/>
          <w:szCs w:val="21"/>
          <w:color w:val="auto"/>
        </w:rPr>
      </w:pPr>
    </w:p>
    <w:p>
      <w:pPr>
        <w:ind w:left="1000"/>
        <w:spacing w:after="0"/>
        <w:rPr>
          <w:rFonts w:ascii="Arial" w:cs="Arial" w:eastAsia="Arial" w:hAnsi="Arial"/>
          <w:sz w:val="21"/>
          <w:szCs w:val="21"/>
          <w:color w:val="auto"/>
        </w:rPr>
      </w:pPr>
      <w:r>
        <w:rPr>
          <w:rFonts w:ascii="Arial" w:cs="Arial" w:eastAsia="Arial" w:hAnsi="Arial"/>
          <w:sz w:val="19"/>
          <w:szCs w:val="19"/>
          <w:color w:val="auto"/>
        </w:rPr>
        <w:t>(ii) apply and enforce them in such manner and order as it sees fit (whether against those amounts or otherwise); and</w:t>
      </w:r>
    </w:p>
    <w:p>
      <w:pPr>
        <w:spacing w:after="0" w:line="240" w:lineRule="exact"/>
        <w:rPr>
          <w:rFonts w:ascii="Arial" w:cs="Arial" w:eastAsia="Arial" w:hAnsi="Arial"/>
          <w:sz w:val="21"/>
          <w:szCs w:val="21"/>
          <w:color w:val="auto"/>
        </w:rPr>
      </w:pPr>
    </w:p>
    <w:p>
      <w:pPr>
        <w:ind w:left="1000" w:hanging="506"/>
        <w:spacing w:after="0" w:line="264" w:lineRule="auto"/>
        <w:tabs>
          <w:tab w:leader="none" w:pos="1000" w:val="left"/>
        </w:tabs>
        <w:numPr>
          <w:ilvl w:val="0"/>
          <w:numId w:val="569"/>
        </w:numPr>
        <w:rPr>
          <w:rFonts w:ascii="Arial" w:cs="Arial" w:eastAsia="Arial" w:hAnsi="Arial"/>
          <w:sz w:val="21"/>
          <w:szCs w:val="21"/>
          <w:color w:val="auto"/>
        </w:rPr>
      </w:pPr>
      <w:r>
        <w:rPr>
          <w:rFonts w:ascii="Arial" w:cs="Arial" w:eastAsia="Arial" w:hAnsi="Arial"/>
          <w:sz w:val="21"/>
          <w:szCs w:val="21"/>
          <w:color w:val="auto"/>
        </w:rPr>
        <w:t>hold in an interest-bearing suspense account any moneys received from the Chargor or on account of the Chargor’s liability under this Debenture.</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12.5  </w:t>
      </w:r>
      <w:r>
        <w:rPr>
          <w:rFonts w:ascii="Arial" w:cs="Arial" w:eastAsia="Arial" w:hAnsi="Arial"/>
          <w:sz w:val="21"/>
          <w:szCs w:val="21"/>
          <w:u w:val="single" w:color="auto"/>
          <w:color w:val="auto"/>
        </w:rPr>
        <w:t>Non-Competition</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Unless:</w:t>
      </w:r>
    </w:p>
    <w:p>
      <w:pPr>
        <w:spacing w:after="0" w:line="218" w:lineRule="exact"/>
        <w:rPr>
          <w:sz w:val="20"/>
          <w:szCs w:val="20"/>
          <w:color w:val="auto"/>
        </w:rPr>
      </w:pPr>
    </w:p>
    <w:p>
      <w:pPr>
        <w:ind w:left="1000" w:hanging="506"/>
        <w:spacing w:after="0" w:line="264" w:lineRule="auto"/>
        <w:tabs>
          <w:tab w:leader="none" w:pos="1000" w:val="left"/>
        </w:tabs>
        <w:numPr>
          <w:ilvl w:val="0"/>
          <w:numId w:val="570"/>
        </w:numPr>
        <w:rPr>
          <w:rFonts w:ascii="Arial" w:cs="Arial" w:eastAsia="Arial" w:hAnsi="Arial"/>
          <w:sz w:val="21"/>
          <w:szCs w:val="21"/>
          <w:color w:val="auto"/>
        </w:rPr>
      </w:pPr>
      <w:r>
        <w:rPr>
          <w:rFonts w:ascii="Arial" w:cs="Arial" w:eastAsia="Arial" w:hAnsi="Arial"/>
          <w:sz w:val="21"/>
          <w:szCs w:val="21"/>
          <w:color w:val="auto"/>
        </w:rPr>
        <w:t>the Collateral Agent is satisfied that all amounts which may be or become payable by the Grantors under or in connection with the Loan Documents have been irrevocably paid in full; 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83" w:lineRule="exact"/>
        <w:rPr>
          <w:rFonts w:ascii="Arial" w:cs="Arial" w:eastAsia="Arial" w:hAnsi="Arial"/>
          <w:sz w:val="21"/>
          <w:szCs w:val="21"/>
          <w:color w:val="auto"/>
        </w:rPr>
      </w:pPr>
    </w:p>
    <w:p>
      <w:pPr>
        <w:ind w:left="5360"/>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17"/>
          <w:szCs w:val="17"/>
          <w:color w:val="auto"/>
        </w:rPr>
        <w:t>13</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54" w:name="page455"/>
    <w:bookmarkEnd w:id="454"/>
    <w:p>
      <w:pPr>
        <w:ind w:left="1000" w:hanging="506"/>
        <w:spacing w:after="0"/>
        <w:tabs>
          <w:tab w:leader="none" w:pos="1000" w:val="left"/>
        </w:tabs>
        <w:numPr>
          <w:ilvl w:val="0"/>
          <w:numId w:val="571"/>
        </w:numPr>
        <w:rPr>
          <w:rFonts w:ascii="Arial" w:cs="Arial" w:eastAsia="Arial" w:hAnsi="Arial"/>
          <w:sz w:val="21"/>
          <w:szCs w:val="21"/>
          <w:color w:val="auto"/>
        </w:rPr>
      </w:pPr>
      <w:r>
        <w:rPr>
          <w:rFonts w:ascii="Arial" w:cs="Arial" w:eastAsia="Arial" w:hAnsi="Arial"/>
          <w:sz w:val="21"/>
          <w:szCs w:val="21"/>
          <w:color w:val="auto"/>
        </w:rPr>
        <w:t>the Collateral Agent otherwise directs,</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20"/>
          <w:szCs w:val="20"/>
          <w:color w:val="auto"/>
        </w:rPr>
        <w:t>the Chargor will not, after a claim has been made or by virtue of any payment or performance by it under this Debenture:</w:t>
      </w:r>
    </w:p>
    <w:p>
      <w:pPr>
        <w:spacing w:after="0" w:line="229" w:lineRule="exact"/>
        <w:rPr>
          <w:sz w:val="20"/>
          <w:szCs w:val="20"/>
          <w:color w:val="auto"/>
        </w:rPr>
      </w:pPr>
    </w:p>
    <w:p>
      <w:pPr>
        <w:ind w:left="1300" w:hanging="320"/>
        <w:spacing w:after="0" w:line="264" w:lineRule="auto"/>
        <w:tabs>
          <w:tab w:leader="none" w:pos="1300" w:val="left"/>
        </w:tabs>
        <w:numPr>
          <w:ilvl w:val="0"/>
          <w:numId w:val="572"/>
        </w:numPr>
        <w:rPr>
          <w:rFonts w:ascii="Arial" w:cs="Arial" w:eastAsia="Arial" w:hAnsi="Arial"/>
          <w:sz w:val="21"/>
          <w:szCs w:val="21"/>
          <w:color w:val="auto"/>
        </w:rPr>
      </w:pPr>
      <w:r>
        <w:rPr>
          <w:rFonts w:ascii="Arial" w:cs="Arial" w:eastAsia="Arial" w:hAnsi="Arial"/>
          <w:sz w:val="21"/>
          <w:szCs w:val="21"/>
          <w:color w:val="auto"/>
        </w:rPr>
        <w:t>be subrogated to any rights, security or monies held, received or receivable by any Secured Party (or any trustee or agent on its behalf);</w:t>
      </w:r>
    </w:p>
    <w:p>
      <w:pPr>
        <w:spacing w:after="0" w:line="170" w:lineRule="exact"/>
        <w:rPr>
          <w:rFonts w:ascii="Arial" w:cs="Arial" w:eastAsia="Arial" w:hAnsi="Arial"/>
          <w:sz w:val="21"/>
          <w:szCs w:val="21"/>
          <w:color w:val="auto"/>
        </w:rPr>
      </w:pPr>
    </w:p>
    <w:p>
      <w:pPr>
        <w:ind w:left="1300" w:hanging="320"/>
        <w:spacing w:after="0" w:line="264" w:lineRule="auto"/>
        <w:tabs>
          <w:tab w:leader="none" w:pos="1300" w:val="left"/>
        </w:tabs>
        <w:numPr>
          <w:ilvl w:val="0"/>
          <w:numId w:val="572"/>
        </w:numPr>
        <w:rPr>
          <w:rFonts w:ascii="Arial" w:cs="Arial" w:eastAsia="Arial" w:hAnsi="Arial"/>
          <w:sz w:val="21"/>
          <w:szCs w:val="21"/>
          <w:color w:val="auto"/>
        </w:rPr>
      </w:pPr>
      <w:r>
        <w:rPr>
          <w:rFonts w:ascii="Arial" w:cs="Arial" w:eastAsia="Arial" w:hAnsi="Arial"/>
          <w:sz w:val="21"/>
          <w:szCs w:val="21"/>
          <w:color w:val="auto"/>
        </w:rPr>
        <w:t>be entitled to any right of contribution or indemnity in respect of any payment made or monies received on account of the Chargor’s liability under this Debenture;</w:t>
      </w:r>
    </w:p>
    <w:p>
      <w:pPr>
        <w:spacing w:after="0" w:line="171" w:lineRule="exact"/>
        <w:rPr>
          <w:sz w:val="20"/>
          <w:szCs w:val="20"/>
          <w:color w:val="auto"/>
        </w:rPr>
      </w:pPr>
    </w:p>
    <w:p>
      <w:pPr>
        <w:ind w:left="1300" w:hanging="323"/>
        <w:spacing w:after="0" w:line="264" w:lineRule="auto"/>
        <w:rPr>
          <w:sz w:val="20"/>
          <w:szCs w:val="20"/>
          <w:color w:val="auto"/>
        </w:rPr>
      </w:pPr>
      <w:r>
        <w:rPr>
          <w:rFonts w:ascii="Arial" w:cs="Arial" w:eastAsia="Arial" w:hAnsi="Arial"/>
          <w:sz w:val="21"/>
          <w:szCs w:val="21"/>
          <w:color w:val="auto"/>
        </w:rPr>
        <w:t>(iii)claim, rank, prove or vote as a creditor of any Grantor or its estate in competition with any Secured Party (or any trustee or agent on its behalf); or</w:t>
      </w:r>
    </w:p>
    <w:p>
      <w:pPr>
        <w:spacing w:after="0" w:line="171" w:lineRule="exact"/>
        <w:rPr>
          <w:sz w:val="20"/>
          <w:szCs w:val="20"/>
          <w:color w:val="auto"/>
        </w:rPr>
      </w:pPr>
    </w:p>
    <w:p>
      <w:pPr>
        <w:ind w:left="1300" w:hanging="323"/>
        <w:spacing w:after="0" w:line="264" w:lineRule="auto"/>
        <w:rPr>
          <w:sz w:val="20"/>
          <w:szCs w:val="20"/>
          <w:color w:val="auto"/>
        </w:rPr>
      </w:pPr>
      <w:r>
        <w:rPr>
          <w:rFonts w:ascii="Arial" w:cs="Arial" w:eastAsia="Arial" w:hAnsi="Arial"/>
          <w:sz w:val="21"/>
          <w:szCs w:val="21"/>
          <w:color w:val="auto"/>
        </w:rPr>
        <w:t>(iv)receive, claim or have the benefit of any payment, distribution or security from or on account of any Grantor, or exercise any right of set-off as against any Grantor.</w:t>
      </w:r>
    </w:p>
    <w:p>
      <w:pPr>
        <w:spacing w:after="0" w:line="171"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The Chargor shall hold in trust for and shall immediately pay or transfer to the Collateral Agent for the Secured Party any payment or distribution or benefit of security received by it contrary to this Clause or in accordance with any directions given by the Collateral Agent under this Clause.</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u w:val="single" w:color="auto"/>
          <w:color w:val="auto"/>
        </w:rPr>
        <w:t>Additional Security</w:t>
      </w:r>
    </w:p>
    <w:p>
      <w:pPr>
        <w:spacing w:after="0" w:line="83" w:lineRule="exact"/>
        <w:rPr>
          <w:sz w:val="20"/>
          <w:szCs w:val="20"/>
          <w:color w:val="auto"/>
        </w:rPr>
      </w:pPr>
    </w:p>
    <w:p>
      <w:pPr>
        <w:ind w:left="1000" w:right="20" w:hanging="506"/>
        <w:spacing w:after="0" w:line="264" w:lineRule="auto"/>
        <w:tabs>
          <w:tab w:leader="none" w:pos="1000" w:val="left"/>
        </w:tabs>
        <w:numPr>
          <w:ilvl w:val="0"/>
          <w:numId w:val="573"/>
        </w:numPr>
        <w:rPr>
          <w:rFonts w:ascii="Arial" w:cs="Arial" w:eastAsia="Arial" w:hAnsi="Arial"/>
          <w:sz w:val="21"/>
          <w:szCs w:val="21"/>
          <w:color w:val="auto"/>
        </w:rPr>
      </w:pPr>
      <w:r>
        <w:rPr>
          <w:rFonts w:ascii="Arial" w:cs="Arial" w:eastAsia="Arial" w:hAnsi="Arial"/>
          <w:sz w:val="21"/>
          <w:szCs w:val="21"/>
          <w:color w:val="auto"/>
        </w:rPr>
        <w:t>This Debenture is in addition to and is not in any way prejudiced by any other security or guarantees now or subsequently held by any Secured Party.</w:t>
      </w:r>
    </w:p>
    <w:p>
      <w:pPr>
        <w:spacing w:after="0" w:line="170" w:lineRule="exact"/>
        <w:rPr>
          <w:rFonts w:ascii="Arial" w:cs="Arial" w:eastAsia="Arial" w:hAnsi="Arial"/>
          <w:sz w:val="21"/>
          <w:szCs w:val="21"/>
          <w:color w:val="auto"/>
        </w:rPr>
      </w:pPr>
    </w:p>
    <w:p>
      <w:pPr>
        <w:jc w:val="both"/>
        <w:ind w:left="1000" w:hanging="506"/>
        <w:spacing w:after="0" w:line="252" w:lineRule="auto"/>
        <w:tabs>
          <w:tab w:leader="none" w:pos="1000" w:val="left"/>
        </w:tabs>
        <w:numPr>
          <w:ilvl w:val="0"/>
          <w:numId w:val="573"/>
        </w:numPr>
        <w:rPr>
          <w:rFonts w:ascii="Arial" w:cs="Arial" w:eastAsia="Arial" w:hAnsi="Arial"/>
          <w:sz w:val="21"/>
          <w:szCs w:val="21"/>
          <w:color w:val="auto"/>
        </w:rPr>
      </w:pPr>
      <w:r>
        <w:rPr>
          <w:rFonts w:ascii="Arial" w:cs="Arial" w:eastAsia="Arial" w:hAnsi="Arial"/>
          <w:sz w:val="21"/>
          <w:szCs w:val="21"/>
          <w:color w:val="auto"/>
        </w:rPr>
        <w:t>No other security held by any Secured Party (in its capacity as such or otherwise) or right of set-off over the Collateral or any part of it shall merge into or otherwise prejudice the Security created by this Debenture or right of set-off contained herein.</w:t>
      </w:r>
    </w:p>
    <w:p>
      <w:pPr>
        <w:spacing w:after="0" w:line="10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12.7  </w:t>
      </w:r>
      <w:r>
        <w:rPr>
          <w:rFonts w:ascii="Arial" w:cs="Arial" w:eastAsia="Arial" w:hAnsi="Arial"/>
          <w:sz w:val="21"/>
          <w:szCs w:val="21"/>
          <w:u w:val="single" w:color="auto"/>
          <w:color w:val="auto"/>
        </w:rPr>
        <w:t>Security held by the Chargor</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The Chargor may not, without the prior consent of the Collateral Agent, hold any security from any other Chargor in respect of the Chargor’s liability under this Debenture. The Chargor shall hold any security held by it in breach of this provision on trust for the Collateral Agent.</w:t>
      </w:r>
    </w:p>
    <w:p>
      <w:pPr>
        <w:spacing w:after="0" w:line="103" w:lineRule="exact"/>
        <w:rPr>
          <w:sz w:val="20"/>
          <w:szCs w:val="20"/>
          <w:color w:val="auto"/>
        </w:rPr>
      </w:pPr>
    </w:p>
    <w:p>
      <w:pPr>
        <w:ind w:right="9120" w:firstLine="8"/>
        <w:spacing w:after="0" w:line="375" w:lineRule="auto"/>
        <w:tabs>
          <w:tab w:leader="none" w:pos="499" w:val="left"/>
        </w:tabs>
        <w:numPr>
          <w:ilvl w:val="0"/>
          <w:numId w:val="574"/>
        </w:numPr>
        <w:rPr>
          <w:rFonts w:ascii="Arial" w:cs="Arial" w:eastAsia="Arial" w:hAnsi="Arial"/>
          <w:sz w:val="18"/>
          <w:szCs w:val="18"/>
          <w:color w:val="auto"/>
        </w:rPr>
      </w:pPr>
      <w:r>
        <w:rPr>
          <w:rFonts w:ascii="Arial" w:cs="Arial" w:eastAsia="Arial" w:hAnsi="Arial"/>
          <w:sz w:val="18"/>
          <w:szCs w:val="18"/>
          <w:u w:val="single" w:color="auto"/>
          <w:color w:val="auto"/>
        </w:rPr>
        <w:t xml:space="preserve">Release of Security </w:t>
      </w:r>
      <w:r>
        <w:rPr>
          <w:rFonts w:ascii="Arial" w:cs="Arial" w:eastAsia="Arial" w:hAnsi="Arial"/>
          <w:sz w:val="18"/>
          <w:szCs w:val="18"/>
          <w:color w:val="auto"/>
        </w:rPr>
        <w:t xml:space="preserve">13.1 </w:t>
      </w:r>
      <w:r>
        <w:rPr>
          <w:rFonts w:ascii="Arial" w:cs="Arial" w:eastAsia="Arial" w:hAnsi="Arial"/>
          <w:sz w:val="18"/>
          <w:szCs w:val="18"/>
          <w:u w:val="single" w:color="auto"/>
          <w:color w:val="auto"/>
        </w:rPr>
        <w:t>Final Redemption</w:t>
      </w:r>
    </w:p>
    <w:p>
      <w:pPr>
        <w:spacing w:after="0" w:line="1" w:lineRule="exact"/>
        <w:rPr>
          <w:sz w:val="20"/>
          <w:szCs w:val="20"/>
          <w:color w:val="auto"/>
        </w:rPr>
      </w:pPr>
    </w:p>
    <w:p>
      <w:pPr>
        <w:jc w:val="both"/>
        <w:ind w:left="500"/>
        <w:spacing w:after="0" w:line="258" w:lineRule="auto"/>
        <w:rPr>
          <w:sz w:val="20"/>
          <w:szCs w:val="20"/>
          <w:color w:val="auto"/>
        </w:rPr>
      </w:pPr>
      <w:r>
        <w:rPr>
          <w:rFonts w:ascii="Arial" w:cs="Arial" w:eastAsia="Arial" w:hAnsi="Arial"/>
          <w:sz w:val="20"/>
          <w:szCs w:val="20"/>
          <w:color w:val="auto"/>
        </w:rPr>
        <w:t xml:space="preserve">Subject to Clause 13.4 ( </w:t>
      </w:r>
      <w:r>
        <w:rPr>
          <w:rFonts w:ascii="Arial" w:cs="Arial" w:eastAsia="Arial" w:hAnsi="Arial"/>
          <w:sz w:val="20"/>
          <w:szCs w:val="20"/>
          <w:i w:val="1"/>
          <w:iCs w:val="1"/>
          <w:color w:val="auto"/>
        </w:rPr>
        <w:t>Retention of Security</w:t>
      </w:r>
      <w:r>
        <w:rPr>
          <w:rFonts w:ascii="Arial" w:cs="Arial" w:eastAsia="Arial" w:hAnsi="Arial"/>
          <w:sz w:val="20"/>
          <w:szCs w:val="20"/>
          <w:color w:val="auto"/>
        </w:rPr>
        <w:t xml:space="preserve"> ), once the Collateral Agent is satisfied that all the Secured Obligations (other than any Secured Obligations owing to a Non-Lender Secured Party) have been irrevocably paid in full, that the Secured Parties have no actual or contingent obligation under the Credit Agreement and that no Letters of Credit are outstanding (except for Letters of Credit that have been cash collateralised or otherwise provided for in a manner reasonably satisfactory to the Administrative Agent and each Issuing Lender), the Security hereunder shall be automatically discharged and such Collateral shall be released from any trust constituted by this Debenture, and in connection therewith, the Collateral Agent and each other Secured Party shall, at the request and cost of the Chargor, promptly take any action which may be necessary to evidence or give effect to any such discharge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295910</wp:posOffset>
            </wp:positionV>
            <wp:extent cx="651510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14</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55" w:name="page456"/>
    <w:bookmarkEnd w:id="455"/>
    <w:p>
      <w:pPr>
        <w:spacing w:after="0"/>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Other Releases</w:t>
      </w:r>
    </w:p>
    <w:p>
      <w:pPr>
        <w:spacing w:after="0" w:line="83" w:lineRule="exact"/>
        <w:rPr>
          <w:sz w:val="20"/>
          <w:szCs w:val="20"/>
          <w:color w:val="auto"/>
        </w:rPr>
      </w:pPr>
    </w:p>
    <w:p>
      <w:pPr>
        <w:jc w:val="both"/>
        <w:ind w:left="500" w:firstLine="7"/>
        <w:spacing w:after="0" w:line="259" w:lineRule="auto"/>
        <w:tabs>
          <w:tab w:leader="none" w:pos="785" w:val="left"/>
        </w:tabs>
        <w:numPr>
          <w:ilvl w:val="0"/>
          <w:numId w:val="575"/>
        </w:numPr>
        <w:rPr>
          <w:rFonts w:ascii="Arial" w:cs="Arial" w:eastAsia="Arial" w:hAnsi="Arial"/>
          <w:sz w:val="20"/>
          <w:szCs w:val="20"/>
          <w:color w:val="auto"/>
        </w:rPr>
      </w:pPr>
      <w:r>
        <w:rPr>
          <w:rFonts w:ascii="Arial" w:cs="Arial" w:eastAsia="Arial" w:hAnsi="Arial"/>
          <w:sz w:val="20"/>
          <w:szCs w:val="20"/>
          <w:color w:val="auto"/>
        </w:rPr>
        <w:t>Upon any sale, transfer, trade, lease or other disposition of any item of Collateral of the Chargor in connection with a disposition that is not prohibited by the Credit Agreement or is otherwise permitted under the Credit Agreement and that results in the divesting of the Chargor’s title to such Collateral, or (ii) upon any other release of any item of Collateral pursuant to and in accordance with the terms of the Credit Agreement and the SGR Security Agreement, in ease case, the Security over such Collateral shall automatically be released and such Collateral shall be released from any trust constituted by this Debenture, and in connection therewith, the Collateral Agent and each other Secured Party will, at the cost of the Chargor, promptly take any action which may be necessary to evidence or give effect to any such release.</w:t>
      </w:r>
    </w:p>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Avoidance of Payments</w:t>
      </w:r>
    </w:p>
    <w:p>
      <w:pPr>
        <w:spacing w:after="0" w:line="83" w:lineRule="exact"/>
        <w:rPr>
          <w:sz w:val="20"/>
          <w:szCs w:val="20"/>
          <w:color w:val="auto"/>
        </w:rPr>
      </w:pPr>
    </w:p>
    <w:p>
      <w:pPr>
        <w:jc w:val="both"/>
        <w:ind w:left="500"/>
        <w:spacing w:after="0" w:line="292" w:lineRule="auto"/>
        <w:rPr>
          <w:sz w:val="20"/>
          <w:szCs w:val="20"/>
          <w:color w:val="auto"/>
        </w:rPr>
      </w:pPr>
      <w:r>
        <w:rPr>
          <w:rFonts w:ascii="Arial" w:cs="Arial" w:eastAsia="Arial" w:hAnsi="Arial"/>
          <w:sz w:val="19"/>
          <w:szCs w:val="19"/>
          <w:color w:val="auto"/>
        </w:rPr>
        <w:t>If the Collateral Agent considers that any amounts paid or credited to any Secured Party is capable of being avoided, reduced or otherwise set aside as a result of insolvency or any similar event, the liability of the Chargor under this Debenture and the Security constituted by this Debenture shall continue as if the avoidance, reduction or setting-aside had not occurred.</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Retention of Security</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If the Collateral Agent reasonably considers that any amount paid or credited to any Secured Party under any Loan Document is capable of being avoided or otherwise set aside, that amount shall not be considered to have been paid for the purposes of determining whether all the Secured Obligations have been irrevocably paid.</w:t>
      </w:r>
    </w:p>
    <w:p>
      <w:pPr>
        <w:spacing w:after="0" w:line="103" w:lineRule="exact"/>
        <w:rPr>
          <w:sz w:val="20"/>
          <w:szCs w:val="20"/>
          <w:color w:val="auto"/>
        </w:rPr>
      </w:pPr>
    </w:p>
    <w:p>
      <w:pPr>
        <w:ind w:left="500" w:hanging="492"/>
        <w:spacing w:after="0"/>
        <w:tabs>
          <w:tab w:leader="none" w:pos="500" w:val="left"/>
        </w:tabs>
        <w:numPr>
          <w:ilvl w:val="0"/>
          <w:numId w:val="576"/>
        </w:numPr>
        <w:rPr>
          <w:rFonts w:ascii="Arial" w:cs="Arial" w:eastAsia="Arial" w:hAnsi="Arial"/>
          <w:sz w:val="21"/>
          <w:szCs w:val="21"/>
          <w:color w:val="auto"/>
        </w:rPr>
      </w:pPr>
      <w:r>
        <w:rPr>
          <w:rFonts w:ascii="Arial" w:cs="Arial" w:eastAsia="Arial" w:hAnsi="Arial"/>
          <w:sz w:val="21"/>
          <w:szCs w:val="21"/>
          <w:u w:val="single" w:color="auto"/>
          <w:color w:val="auto"/>
        </w:rPr>
        <w:t>Indemnity</w:t>
      </w:r>
    </w:p>
    <w:p>
      <w:pPr>
        <w:spacing w:after="0" w:line="82" w:lineRule="exact"/>
        <w:rPr>
          <w:rFonts w:ascii="Arial" w:cs="Arial" w:eastAsia="Arial" w:hAnsi="Arial"/>
          <w:sz w:val="21"/>
          <w:szCs w:val="21"/>
          <w:color w:val="auto"/>
        </w:rPr>
      </w:pPr>
    </w:p>
    <w:p>
      <w:pPr>
        <w:jc w:val="both"/>
        <w:ind w:left="500"/>
        <w:spacing w:after="0" w:line="249" w:lineRule="auto"/>
        <w:rPr>
          <w:rFonts w:ascii="Arial" w:cs="Arial" w:eastAsia="Arial" w:hAnsi="Arial"/>
          <w:sz w:val="21"/>
          <w:szCs w:val="21"/>
          <w:color w:val="auto"/>
        </w:rPr>
      </w:pPr>
      <w:r>
        <w:rPr>
          <w:rFonts w:ascii="Arial" w:cs="Arial" w:eastAsia="Arial" w:hAnsi="Arial"/>
          <w:sz w:val="21"/>
          <w:szCs w:val="21"/>
          <w:color w:val="auto"/>
        </w:rPr>
        <w:t xml:space="preserve">The Chargor shall indemnify and hold harmless the Collateral Agent and any and every Receiver, attorney, manager, agent or other person appointed by the Collateral Agent under this Debenture (each, an “ </w:t>
      </w:r>
      <w:r>
        <w:rPr>
          <w:rFonts w:ascii="Arial" w:cs="Arial" w:eastAsia="Arial" w:hAnsi="Arial"/>
          <w:sz w:val="21"/>
          <w:szCs w:val="21"/>
          <w:b w:val="1"/>
          <w:bCs w:val="1"/>
          <w:color w:val="auto"/>
        </w:rPr>
        <w:t>Indemnified Person</w:t>
      </w:r>
      <w:r>
        <w:rPr>
          <w:rFonts w:ascii="Arial" w:cs="Arial" w:eastAsia="Arial" w:hAnsi="Arial"/>
          <w:sz w:val="21"/>
          <w:szCs w:val="21"/>
          <w:color w:val="auto"/>
        </w:rPr>
        <w:t xml:space="preserve"> ”) on demand from and against any and all costs, claims, losses, expenses (including legal fees) and liabilities, and any VAT thereon, which the Collateral Agent, each Receiver or such Indemnified Person may incur:</w:t>
      </w:r>
    </w:p>
    <w:p>
      <w:pPr>
        <w:spacing w:after="0" w:line="185" w:lineRule="exact"/>
        <w:rPr>
          <w:rFonts w:ascii="Arial" w:cs="Arial" w:eastAsia="Arial" w:hAnsi="Arial"/>
          <w:sz w:val="21"/>
          <w:szCs w:val="21"/>
          <w:color w:val="auto"/>
        </w:rPr>
      </w:pPr>
    </w:p>
    <w:p>
      <w:pPr>
        <w:ind w:left="1000" w:hanging="506"/>
        <w:spacing w:after="0"/>
        <w:tabs>
          <w:tab w:leader="none" w:pos="1000" w:val="left"/>
        </w:tabs>
        <w:numPr>
          <w:ilvl w:val="1"/>
          <w:numId w:val="576"/>
        </w:numPr>
        <w:rPr>
          <w:rFonts w:ascii="Arial" w:cs="Arial" w:eastAsia="Arial" w:hAnsi="Arial"/>
          <w:sz w:val="21"/>
          <w:szCs w:val="21"/>
          <w:color w:val="auto"/>
        </w:rPr>
      </w:pPr>
      <w:r>
        <w:rPr>
          <w:rFonts w:ascii="Arial" w:cs="Arial" w:eastAsia="Arial" w:hAnsi="Arial"/>
          <w:sz w:val="21"/>
          <w:szCs w:val="21"/>
          <w:color w:val="auto"/>
        </w:rPr>
        <w:t>as a result of:</w:t>
      </w:r>
    </w:p>
    <w:p>
      <w:pPr>
        <w:spacing w:after="0" w:line="217" w:lineRule="exact"/>
        <w:rPr>
          <w:rFonts w:ascii="Arial" w:cs="Arial" w:eastAsia="Arial" w:hAnsi="Arial"/>
          <w:sz w:val="21"/>
          <w:szCs w:val="21"/>
          <w:color w:val="auto"/>
        </w:rPr>
      </w:pPr>
    </w:p>
    <w:p>
      <w:pPr>
        <w:ind w:left="1660" w:hanging="518"/>
        <w:spacing w:after="0"/>
        <w:tabs>
          <w:tab w:leader="none" w:pos="1660" w:val="left"/>
        </w:tabs>
        <w:numPr>
          <w:ilvl w:val="2"/>
          <w:numId w:val="576"/>
        </w:numPr>
        <w:rPr>
          <w:rFonts w:ascii="Arial" w:cs="Arial" w:eastAsia="Arial" w:hAnsi="Arial"/>
          <w:sz w:val="21"/>
          <w:szCs w:val="21"/>
          <w:color w:val="auto"/>
        </w:rPr>
      </w:pPr>
      <w:r>
        <w:rPr>
          <w:rFonts w:ascii="Arial" w:cs="Arial" w:eastAsia="Arial" w:hAnsi="Arial"/>
          <w:sz w:val="21"/>
          <w:szCs w:val="21"/>
          <w:color w:val="auto"/>
        </w:rPr>
        <w:t>the occurrence of any Default;</w:t>
      </w:r>
    </w:p>
    <w:p>
      <w:pPr>
        <w:spacing w:after="0" w:line="217" w:lineRule="exact"/>
        <w:rPr>
          <w:rFonts w:ascii="Arial" w:cs="Arial" w:eastAsia="Arial" w:hAnsi="Arial"/>
          <w:sz w:val="21"/>
          <w:szCs w:val="21"/>
          <w:color w:val="auto"/>
        </w:rPr>
      </w:pPr>
    </w:p>
    <w:p>
      <w:pPr>
        <w:ind w:left="1660" w:hanging="518"/>
        <w:spacing w:after="0"/>
        <w:tabs>
          <w:tab w:leader="none" w:pos="1660" w:val="left"/>
        </w:tabs>
        <w:numPr>
          <w:ilvl w:val="2"/>
          <w:numId w:val="576"/>
        </w:numPr>
        <w:rPr>
          <w:rFonts w:ascii="Arial" w:cs="Arial" w:eastAsia="Arial" w:hAnsi="Arial"/>
          <w:sz w:val="21"/>
          <w:szCs w:val="21"/>
          <w:color w:val="auto"/>
        </w:rPr>
      </w:pPr>
      <w:r>
        <w:rPr>
          <w:rFonts w:ascii="Arial" w:cs="Arial" w:eastAsia="Arial" w:hAnsi="Arial"/>
          <w:sz w:val="21"/>
          <w:szCs w:val="21"/>
          <w:color w:val="auto"/>
        </w:rPr>
        <w:t>the enforcement of the Security;</w:t>
      </w:r>
    </w:p>
    <w:p>
      <w:pPr>
        <w:spacing w:after="0" w:line="217" w:lineRule="exact"/>
        <w:rPr>
          <w:rFonts w:ascii="Arial" w:cs="Arial" w:eastAsia="Arial" w:hAnsi="Arial"/>
          <w:sz w:val="21"/>
          <w:szCs w:val="21"/>
          <w:color w:val="auto"/>
        </w:rPr>
      </w:pPr>
    </w:p>
    <w:p>
      <w:pPr>
        <w:ind w:left="1660" w:hanging="518"/>
        <w:spacing w:after="0" w:line="264" w:lineRule="auto"/>
        <w:tabs>
          <w:tab w:leader="none" w:pos="1660" w:val="left"/>
        </w:tabs>
        <w:numPr>
          <w:ilvl w:val="2"/>
          <w:numId w:val="576"/>
        </w:numPr>
        <w:rPr>
          <w:rFonts w:ascii="Arial" w:cs="Arial" w:eastAsia="Arial" w:hAnsi="Arial"/>
          <w:sz w:val="21"/>
          <w:szCs w:val="21"/>
          <w:color w:val="auto"/>
        </w:rPr>
      </w:pPr>
      <w:r>
        <w:rPr>
          <w:rFonts w:ascii="Arial" w:cs="Arial" w:eastAsia="Arial" w:hAnsi="Arial"/>
          <w:sz w:val="21"/>
          <w:szCs w:val="21"/>
          <w:color w:val="auto"/>
        </w:rPr>
        <w:t>the exercise or enforcement by the Collateral Agent or a Receiver or any Indemnified Person of any of the rights conferred on it or them by this Debenture or by law; or</w:t>
      </w:r>
    </w:p>
    <w:p>
      <w:pPr>
        <w:spacing w:after="0" w:line="170" w:lineRule="exact"/>
        <w:rPr>
          <w:rFonts w:ascii="Arial" w:cs="Arial" w:eastAsia="Arial" w:hAnsi="Arial"/>
          <w:sz w:val="21"/>
          <w:szCs w:val="21"/>
          <w:color w:val="auto"/>
        </w:rPr>
      </w:pPr>
    </w:p>
    <w:p>
      <w:pPr>
        <w:ind w:left="1000" w:hanging="506"/>
        <w:spacing w:after="0" w:line="289" w:lineRule="auto"/>
        <w:tabs>
          <w:tab w:leader="none" w:pos="1000" w:val="left"/>
        </w:tabs>
        <w:numPr>
          <w:ilvl w:val="1"/>
          <w:numId w:val="576"/>
        </w:numPr>
        <w:rPr>
          <w:rFonts w:ascii="Arial" w:cs="Arial" w:eastAsia="Arial" w:hAnsi="Arial"/>
          <w:sz w:val="20"/>
          <w:szCs w:val="20"/>
          <w:color w:val="auto"/>
        </w:rPr>
      </w:pPr>
      <w:r>
        <w:rPr>
          <w:rFonts w:ascii="Arial" w:cs="Arial" w:eastAsia="Arial" w:hAnsi="Arial"/>
          <w:sz w:val="20"/>
          <w:szCs w:val="20"/>
          <w:color w:val="auto"/>
        </w:rPr>
        <w:t>otherwise in connection with this Debenture, including, without limitation to the foregoing as a result of, any actual or alleged breach by any person of any law or regulation whether relating to the environment or otherwise.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1" w:lineRule="exact"/>
        <w:rPr>
          <w:rFonts w:ascii="Arial" w:cs="Arial" w:eastAsia="Arial" w:hAnsi="Arial"/>
          <w:sz w:val="20"/>
          <w:szCs w:val="20"/>
          <w:color w:val="auto"/>
        </w:rPr>
      </w:pPr>
    </w:p>
    <w:p>
      <w:pPr>
        <w:ind w:left="5360"/>
        <w:spacing w:after="0"/>
        <w:rPr>
          <w:rFonts w:ascii="Arial" w:cs="Arial" w:eastAsia="Arial" w:hAnsi="Arial"/>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15</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56" w:name="page457"/>
    <w:bookmarkEnd w:id="456"/>
    <w:p>
      <w:pPr>
        <w:ind w:left="500"/>
        <w:spacing w:after="0"/>
        <w:rPr>
          <w:sz w:val="20"/>
          <w:szCs w:val="20"/>
          <w:color w:val="auto"/>
        </w:rPr>
      </w:pPr>
      <w:r>
        <w:rPr>
          <w:rFonts w:ascii="Arial" w:cs="Arial" w:eastAsia="Arial" w:hAnsi="Arial"/>
          <w:sz w:val="21"/>
          <w:szCs w:val="21"/>
          <w:color w:val="auto"/>
        </w:rPr>
        <w:t>Each Receiver and Indemnified Person may rely on and enforce this indemnity.</w:t>
      </w:r>
    </w:p>
    <w:p>
      <w:pPr>
        <w:spacing w:after="0" w:line="353" w:lineRule="exact"/>
        <w:rPr>
          <w:sz w:val="20"/>
          <w:szCs w:val="20"/>
          <w:color w:val="auto"/>
        </w:rPr>
      </w:pPr>
    </w:p>
    <w:p>
      <w:pPr>
        <w:ind w:left="500" w:hanging="492"/>
        <w:spacing w:after="0"/>
        <w:tabs>
          <w:tab w:leader="none" w:pos="500" w:val="left"/>
        </w:tabs>
        <w:numPr>
          <w:ilvl w:val="0"/>
          <w:numId w:val="577"/>
        </w:numPr>
        <w:rPr>
          <w:rFonts w:ascii="Arial" w:cs="Arial" w:eastAsia="Arial" w:hAnsi="Arial"/>
          <w:sz w:val="21"/>
          <w:szCs w:val="21"/>
          <w:color w:val="auto"/>
        </w:rPr>
      </w:pPr>
      <w:r>
        <w:rPr>
          <w:rFonts w:ascii="Arial" w:cs="Arial" w:eastAsia="Arial" w:hAnsi="Arial"/>
          <w:sz w:val="21"/>
          <w:szCs w:val="21"/>
          <w:u w:val="single" w:color="auto"/>
          <w:color w:val="auto"/>
        </w:rPr>
        <w:t>Notices</w:t>
      </w:r>
    </w:p>
    <w:p>
      <w:pPr>
        <w:spacing w:after="0" w:line="82" w:lineRule="exact"/>
        <w:rPr>
          <w:rFonts w:ascii="Arial" w:cs="Arial" w:eastAsia="Arial" w:hAnsi="Arial"/>
          <w:sz w:val="21"/>
          <w:szCs w:val="21"/>
          <w:color w:val="auto"/>
        </w:rPr>
      </w:pPr>
    </w:p>
    <w:p>
      <w:pPr>
        <w:jc w:val="both"/>
        <w:ind w:left="500"/>
        <w:spacing w:after="0" w:line="252" w:lineRule="auto"/>
        <w:rPr>
          <w:rFonts w:ascii="Arial" w:cs="Arial" w:eastAsia="Arial" w:hAnsi="Arial"/>
          <w:sz w:val="21"/>
          <w:szCs w:val="21"/>
          <w:color w:val="auto"/>
        </w:rPr>
      </w:pPr>
      <w:r>
        <w:rPr>
          <w:rFonts w:ascii="Arial" w:cs="Arial" w:eastAsia="Arial" w:hAnsi="Arial"/>
          <w:sz w:val="21"/>
          <w:szCs w:val="21"/>
          <w:color w:val="auto"/>
        </w:rPr>
        <w:t xml:space="preserve">Any demand, notice or other communication or document to be made on or delivered to the Chargor under this Debenture or in respect of the Secured Obligations shall be made or delivered in accordance with, and shall be deemed made after the applicable time period specified in, section 10.1 ( </w:t>
      </w:r>
      <w:r>
        <w:rPr>
          <w:rFonts w:ascii="Arial" w:cs="Arial" w:eastAsia="Arial" w:hAnsi="Arial"/>
          <w:sz w:val="21"/>
          <w:szCs w:val="21"/>
          <w:i w:val="1"/>
          <w:iCs w:val="1"/>
          <w:color w:val="auto"/>
        </w:rPr>
        <w:t>Notices</w:t>
      </w:r>
      <w:r>
        <w:rPr>
          <w:rFonts w:ascii="Arial" w:cs="Arial" w:eastAsia="Arial" w:hAnsi="Arial"/>
          <w:sz w:val="21"/>
          <w:szCs w:val="21"/>
          <w:color w:val="auto"/>
        </w:rPr>
        <w:t xml:space="preserve"> ) of the Credit Agreement.</w:t>
      </w:r>
    </w:p>
    <w:p>
      <w:pPr>
        <w:spacing w:after="0" w:line="319" w:lineRule="exact"/>
        <w:rPr>
          <w:rFonts w:ascii="Arial" w:cs="Arial" w:eastAsia="Arial" w:hAnsi="Arial"/>
          <w:sz w:val="21"/>
          <w:szCs w:val="21"/>
          <w:color w:val="auto"/>
        </w:rPr>
      </w:pPr>
    </w:p>
    <w:p>
      <w:pPr>
        <w:ind w:left="500" w:hanging="492"/>
        <w:spacing w:after="0"/>
        <w:tabs>
          <w:tab w:leader="none" w:pos="500" w:val="left"/>
        </w:tabs>
        <w:numPr>
          <w:ilvl w:val="0"/>
          <w:numId w:val="577"/>
        </w:numPr>
        <w:rPr>
          <w:rFonts w:ascii="Arial" w:cs="Arial" w:eastAsia="Arial" w:hAnsi="Arial"/>
          <w:sz w:val="21"/>
          <w:szCs w:val="21"/>
          <w:color w:val="auto"/>
        </w:rPr>
      </w:pPr>
      <w:r>
        <w:rPr>
          <w:rFonts w:ascii="Arial" w:cs="Arial" w:eastAsia="Arial" w:hAnsi="Arial"/>
          <w:sz w:val="21"/>
          <w:szCs w:val="21"/>
          <w:u w:val="single" w:color="auto"/>
          <w:color w:val="auto"/>
        </w:rPr>
        <w:t>Assignments and Transfers</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u w:val="single" w:color="auto"/>
          <w:color w:val="auto"/>
        </w:rPr>
        <w:t>No assignment by the Chargor</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The Chargor shall not be entitled to assign or transfer all or any of its rights or obligations under this Debenture.</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16.2  </w:t>
      </w:r>
      <w:r>
        <w:rPr>
          <w:rFonts w:ascii="Arial" w:cs="Arial" w:eastAsia="Arial" w:hAnsi="Arial"/>
          <w:sz w:val="21"/>
          <w:szCs w:val="21"/>
          <w:u w:val="single" w:color="auto"/>
          <w:color w:val="auto"/>
        </w:rPr>
        <w:t>Assignment by Collateral Agent</w:t>
      </w:r>
    </w:p>
    <w:p>
      <w:pPr>
        <w:spacing w:after="0" w:line="83" w:lineRule="exact"/>
        <w:rPr>
          <w:sz w:val="20"/>
          <w:szCs w:val="20"/>
          <w:color w:val="auto"/>
        </w:rPr>
      </w:pPr>
    </w:p>
    <w:p>
      <w:pPr>
        <w:jc w:val="both"/>
        <w:ind w:left="500"/>
        <w:spacing w:after="0" w:line="252" w:lineRule="auto"/>
        <w:rPr>
          <w:sz w:val="20"/>
          <w:szCs w:val="20"/>
          <w:color w:val="auto"/>
        </w:rPr>
      </w:pPr>
      <w:r>
        <w:rPr>
          <w:rFonts w:ascii="Arial" w:cs="Arial" w:eastAsia="Arial" w:hAnsi="Arial"/>
          <w:sz w:val="21"/>
          <w:szCs w:val="21"/>
          <w:color w:val="auto"/>
        </w:rPr>
        <w:t>The Collateral Agent may at any time assign all or any of its rights under this Debenture in accordance with the Loan Documents and the Chargor authorises the Collateral Agent to execute on its behalf any document required to effect the necessary assignment of rights.</w:t>
      </w:r>
    </w:p>
    <w:p>
      <w:pPr>
        <w:spacing w:after="0" w:line="319" w:lineRule="exact"/>
        <w:rPr>
          <w:sz w:val="20"/>
          <w:szCs w:val="20"/>
          <w:color w:val="auto"/>
        </w:rPr>
      </w:pPr>
    </w:p>
    <w:p>
      <w:pPr>
        <w:ind w:left="500" w:hanging="492"/>
        <w:spacing w:after="0"/>
        <w:tabs>
          <w:tab w:leader="none" w:pos="500" w:val="left"/>
        </w:tabs>
        <w:numPr>
          <w:ilvl w:val="0"/>
          <w:numId w:val="578"/>
        </w:numPr>
        <w:rPr>
          <w:rFonts w:ascii="Arial" w:cs="Arial" w:eastAsia="Arial" w:hAnsi="Arial"/>
          <w:sz w:val="21"/>
          <w:szCs w:val="21"/>
          <w:color w:val="auto"/>
        </w:rPr>
      </w:pPr>
      <w:r>
        <w:rPr>
          <w:rFonts w:ascii="Arial" w:cs="Arial" w:eastAsia="Arial" w:hAnsi="Arial"/>
          <w:sz w:val="21"/>
          <w:szCs w:val="21"/>
          <w:u w:val="single" w:color="auto"/>
          <w:color w:val="auto"/>
        </w:rPr>
        <w:t>Amendments</w:t>
      </w:r>
    </w:p>
    <w:p>
      <w:pPr>
        <w:spacing w:after="0" w:line="82" w:lineRule="exact"/>
        <w:rPr>
          <w:rFonts w:ascii="Arial" w:cs="Arial" w:eastAsia="Arial" w:hAnsi="Arial"/>
          <w:sz w:val="21"/>
          <w:szCs w:val="21"/>
          <w:color w:val="auto"/>
        </w:rPr>
      </w:pPr>
    </w:p>
    <w:p>
      <w:pPr>
        <w:ind w:left="500"/>
        <w:spacing w:after="0" w:line="264" w:lineRule="auto"/>
        <w:rPr>
          <w:rFonts w:ascii="Arial" w:cs="Arial" w:eastAsia="Arial" w:hAnsi="Arial"/>
          <w:sz w:val="21"/>
          <w:szCs w:val="21"/>
          <w:color w:val="auto"/>
        </w:rPr>
      </w:pPr>
      <w:r>
        <w:rPr>
          <w:rFonts w:ascii="Arial" w:cs="Arial" w:eastAsia="Arial" w:hAnsi="Arial"/>
          <w:sz w:val="21"/>
          <w:szCs w:val="21"/>
          <w:color w:val="auto"/>
        </w:rPr>
        <w:t xml:space="preserve">This Debenture may not be amended, modified or waived except in accordance with section 10.08 (Amendments </w:t>
      </w:r>
      <w:r>
        <w:rPr>
          <w:rFonts w:ascii="Arial" w:cs="Arial" w:eastAsia="Arial" w:hAnsi="Arial"/>
          <w:sz w:val="21"/>
          <w:szCs w:val="21"/>
          <w:i w:val="1"/>
          <w:iCs w:val="1"/>
          <w:color w:val="auto"/>
        </w:rPr>
        <w:t>, etc.</w:t>
      </w:r>
      <w:r>
        <w:rPr>
          <w:rFonts w:ascii="Arial" w:cs="Arial" w:eastAsia="Arial" w:hAnsi="Arial"/>
          <w:sz w:val="21"/>
          <w:szCs w:val="21"/>
          <w:color w:val="auto"/>
        </w:rPr>
        <w:t xml:space="preserve"> ) of the Credit Agreement.</w:t>
      </w:r>
    </w:p>
    <w:p>
      <w:pPr>
        <w:spacing w:after="0" w:line="305" w:lineRule="exact"/>
        <w:rPr>
          <w:rFonts w:ascii="Arial" w:cs="Arial" w:eastAsia="Arial" w:hAnsi="Arial"/>
          <w:sz w:val="21"/>
          <w:szCs w:val="21"/>
          <w:color w:val="auto"/>
        </w:rPr>
      </w:pPr>
    </w:p>
    <w:p>
      <w:pPr>
        <w:ind w:left="500" w:hanging="492"/>
        <w:spacing w:after="0"/>
        <w:tabs>
          <w:tab w:leader="none" w:pos="500" w:val="left"/>
        </w:tabs>
        <w:numPr>
          <w:ilvl w:val="0"/>
          <w:numId w:val="578"/>
        </w:numPr>
        <w:rPr>
          <w:rFonts w:ascii="Arial" w:cs="Arial" w:eastAsia="Arial" w:hAnsi="Arial"/>
          <w:sz w:val="21"/>
          <w:szCs w:val="21"/>
          <w:color w:val="auto"/>
        </w:rPr>
      </w:pPr>
      <w:r>
        <w:rPr>
          <w:rFonts w:ascii="Arial" w:cs="Arial" w:eastAsia="Arial" w:hAnsi="Arial"/>
          <w:sz w:val="21"/>
          <w:szCs w:val="21"/>
          <w:u w:val="single" w:color="auto"/>
          <w:color w:val="auto"/>
        </w:rPr>
        <w:t>Miscellaneous</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18.1  </w:t>
      </w:r>
      <w:r>
        <w:rPr>
          <w:rFonts w:ascii="Arial" w:cs="Arial" w:eastAsia="Arial" w:hAnsi="Arial"/>
          <w:sz w:val="21"/>
          <w:szCs w:val="21"/>
          <w:u w:val="single" w:color="auto"/>
          <w:color w:val="auto"/>
        </w:rPr>
        <w:t>Tacking</w:t>
      </w:r>
    </w:p>
    <w:p>
      <w:pPr>
        <w:spacing w:after="0" w:line="83" w:lineRule="exact"/>
        <w:rPr>
          <w:sz w:val="20"/>
          <w:szCs w:val="20"/>
          <w:color w:val="auto"/>
        </w:rPr>
      </w:pPr>
    </w:p>
    <w:p>
      <w:pPr>
        <w:ind w:left="500"/>
        <w:spacing w:after="0" w:line="264" w:lineRule="auto"/>
        <w:rPr>
          <w:sz w:val="20"/>
          <w:szCs w:val="20"/>
          <w:color w:val="auto"/>
        </w:rPr>
      </w:pPr>
      <w:r>
        <w:rPr>
          <w:rFonts w:ascii="Arial" w:cs="Arial" w:eastAsia="Arial" w:hAnsi="Arial"/>
          <w:sz w:val="21"/>
          <w:szCs w:val="21"/>
          <w:color w:val="auto"/>
        </w:rPr>
        <w:t>Each Secured Party shall comply with its obligations under the Loan Documents (including the obligation to make further advances).</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18.2  </w:t>
      </w:r>
      <w:r>
        <w:rPr>
          <w:rFonts w:ascii="Arial" w:cs="Arial" w:eastAsia="Arial" w:hAnsi="Arial"/>
          <w:sz w:val="21"/>
          <w:szCs w:val="21"/>
          <w:u w:val="single" w:color="auto"/>
          <w:color w:val="auto"/>
        </w:rPr>
        <w:t>Covenants</w:t>
      </w:r>
    </w:p>
    <w:p>
      <w:pPr>
        <w:spacing w:after="0" w:line="83" w:lineRule="exact"/>
        <w:rPr>
          <w:sz w:val="20"/>
          <w:szCs w:val="20"/>
          <w:color w:val="auto"/>
        </w:rPr>
      </w:pPr>
    </w:p>
    <w:p>
      <w:pPr>
        <w:ind w:left="500"/>
        <w:spacing w:after="0" w:line="264" w:lineRule="auto"/>
        <w:rPr>
          <w:sz w:val="20"/>
          <w:szCs w:val="20"/>
          <w:color w:val="auto"/>
        </w:rPr>
      </w:pPr>
      <w:r>
        <w:rPr>
          <w:rFonts w:ascii="Arial" w:cs="Arial" w:eastAsia="Arial" w:hAnsi="Arial"/>
          <w:sz w:val="21"/>
          <w:szCs w:val="21"/>
          <w:color w:val="auto"/>
        </w:rPr>
        <w:t>Any covenant of the Chargor under this Debenture remains in force during the Security Period and is given for the benefit of each Secured Party.</w:t>
      </w:r>
    </w:p>
    <w:p>
      <w:pPr>
        <w:spacing w:after="0" w:line="9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18.3  </w:t>
      </w:r>
      <w:r>
        <w:rPr>
          <w:rFonts w:ascii="Arial" w:cs="Arial" w:eastAsia="Arial" w:hAnsi="Arial"/>
          <w:sz w:val="21"/>
          <w:szCs w:val="21"/>
          <w:u w:val="single" w:color="auto"/>
          <w:color w:val="auto"/>
        </w:rPr>
        <w:t>Determination</w:t>
      </w:r>
    </w:p>
    <w:p>
      <w:pPr>
        <w:spacing w:after="0" w:line="83" w:lineRule="exact"/>
        <w:rPr>
          <w:sz w:val="20"/>
          <w:szCs w:val="20"/>
          <w:color w:val="auto"/>
        </w:rPr>
      </w:pPr>
    </w:p>
    <w:p>
      <w:pPr>
        <w:ind w:left="500"/>
        <w:spacing w:after="0" w:line="264" w:lineRule="auto"/>
        <w:rPr>
          <w:sz w:val="20"/>
          <w:szCs w:val="20"/>
          <w:color w:val="auto"/>
        </w:rPr>
      </w:pPr>
      <w:r>
        <w:rPr>
          <w:rFonts w:ascii="Arial" w:cs="Arial" w:eastAsia="Arial" w:hAnsi="Arial"/>
          <w:sz w:val="21"/>
          <w:szCs w:val="21"/>
          <w:color w:val="auto"/>
        </w:rPr>
        <w:t>Any certificate or determination as to any amount payable under this Debenture by the Collateral Agent is, in the absence of manifest error, conclusive evidence of such amount.</w:t>
      </w:r>
    </w:p>
    <w:p>
      <w:pPr>
        <w:spacing w:after="0" w:line="90" w:lineRule="exact"/>
        <w:rPr>
          <w:sz w:val="20"/>
          <w:szCs w:val="20"/>
          <w:color w:val="auto"/>
        </w:rPr>
      </w:pPr>
    </w:p>
    <w:p>
      <w:pPr>
        <w:ind w:left="500" w:hanging="492"/>
        <w:spacing w:after="0"/>
        <w:tabs>
          <w:tab w:leader="none" w:pos="500" w:val="left"/>
        </w:tabs>
        <w:numPr>
          <w:ilvl w:val="0"/>
          <w:numId w:val="579"/>
        </w:numPr>
        <w:rPr>
          <w:rFonts w:ascii="Arial" w:cs="Arial" w:eastAsia="Arial" w:hAnsi="Arial"/>
          <w:sz w:val="21"/>
          <w:szCs w:val="21"/>
          <w:color w:val="auto"/>
        </w:rPr>
      </w:pPr>
      <w:r>
        <w:rPr>
          <w:rFonts w:ascii="Arial" w:cs="Arial" w:eastAsia="Arial" w:hAnsi="Arial"/>
          <w:sz w:val="21"/>
          <w:szCs w:val="21"/>
          <w:u w:val="single" w:color="auto"/>
          <w:color w:val="auto"/>
        </w:rPr>
        <w:t>Counterparts</w:t>
      </w:r>
    </w:p>
    <w:p>
      <w:pPr>
        <w:spacing w:after="0" w:line="82" w:lineRule="exact"/>
        <w:rPr>
          <w:rFonts w:ascii="Arial" w:cs="Arial" w:eastAsia="Arial" w:hAnsi="Arial"/>
          <w:sz w:val="21"/>
          <w:szCs w:val="21"/>
          <w:color w:val="auto"/>
        </w:rPr>
      </w:pPr>
    </w:p>
    <w:p>
      <w:pPr>
        <w:ind w:left="500" w:right="20"/>
        <w:spacing w:after="0" w:line="264" w:lineRule="auto"/>
        <w:rPr>
          <w:rFonts w:ascii="Arial" w:cs="Arial" w:eastAsia="Arial" w:hAnsi="Arial"/>
          <w:sz w:val="21"/>
          <w:szCs w:val="21"/>
          <w:color w:val="auto"/>
        </w:rPr>
      </w:pPr>
      <w:r>
        <w:rPr>
          <w:rFonts w:ascii="Arial" w:cs="Arial" w:eastAsia="Arial" w:hAnsi="Arial"/>
          <w:sz w:val="21"/>
          <w:szCs w:val="21"/>
          <w:color w:val="auto"/>
        </w:rPr>
        <w:t>This Debenture may be executed in any number of counterparts and all of those counterparts taken together shall be deemed to constitute one and the same instrument.</w:t>
      </w:r>
    </w:p>
    <w:p>
      <w:pPr>
        <w:spacing w:after="0" w:line="89" w:lineRule="exact"/>
        <w:rPr>
          <w:rFonts w:ascii="Arial" w:cs="Arial" w:eastAsia="Arial" w:hAnsi="Arial"/>
          <w:sz w:val="21"/>
          <w:szCs w:val="21"/>
          <w:color w:val="auto"/>
        </w:rPr>
      </w:pPr>
    </w:p>
    <w:p>
      <w:pPr>
        <w:ind w:left="500" w:hanging="492"/>
        <w:spacing w:after="0"/>
        <w:tabs>
          <w:tab w:leader="none" w:pos="500" w:val="left"/>
        </w:tabs>
        <w:numPr>
          <w:ilvl w:val="0"/>
          <w:numId w:val="579"/>
        </w:numPr>
        <w:rPr>
          <w:rFonts w:ascii="Arial" w:cs="Arial" w:eastAsia="Arial" w:hAnsi="Arial"/>
          <w:sz w:val="21"/>
          <w:szCs w:val="21"/>
          <w:color w:val="auto"/>
        </w:rPr>
      </w:pPr>
      <w:r>
        <w:rPr>
          <w:rFonts w:ascii="Arial" w:cs="Arial" w:eastAsia="Arial" w:hAnsi="Arial"/>
          <w:sz w:val="21"/>
          <w:szCs w:val="21"/>
          <w:u w:val="single" w:color="auto"/>
          <w:color w:val="auto"/>
        </w:rPr>
        <w:t>Governing Law</w:t>
      </w:r>
    </w:p>
    <w:p>
      <w:pPr>
        <w:spacing w:after="0" w:line="82" w:lineRule="exact"/>
        <w:rPr>
          <w:rFonts w:ascii="Arial" w:cs="Arial" w:eastAsia="Arial" w:hAnsi="Arial"/>
          <w:sz w:val="21"/>
          <w:szCs w:val="21"/>
          <w:color w:val="auto"/>
        </w:rPr>
      </w:pPr>
    </w:p>
    <w:p>
      <w:pPr>
        <w:ind w:left="500"/>
        <w:spacing w:after="0"/>
        <w:rPr>
          <w:rFonts w:ascii="Arial" w:cs="Arial" w:eastAsia="Arial" w:hAnsi="Arial"/>
          <w:sz w:val="21"/>
          <w:szCs w:val="21"/>
          <w:color w:val="auto"/>
        </w:rPr>
      </w:pPr>
      <w:r>
        <w:rPr>
          <w:rFonts w:ascii="Arial" w:cs="Arial" w:eastAsia="Arial" w:hAnsi="Arial"/>
          <w:sz w:val="20"/>
          <w:szCs w:val="20"/>
          <w:color w:val="auto"/>
        </w:rPr>
        <w:t>This Debenture and any non-contractual obligations arising out of or in connection with it are governed by English law.</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41" w:lineRule="exact"/>
        <w:rPr>
          <w:rFonts w:ascii="Arial" w:cs="Arial" w:eastAsia="Arial" w:hAnsi="Arial"/>
          <w:sz w:val="21"/>
          <w:szCs w:val="21"/>
          <w:color w:val="auto"/>
        </w:rPr>
      </w:pPr>
    </w:p>
    <w:p>
      <w:pPr>
        <w:ind w:left="5360"/>
        <w:spacing w:after="0"/>
        <w:rPr>
          <w:rFonts w:ascii="Arial" w:cs="Arial" w:eastAsia="Arial" w:hAnsi="Arial"/>
          <w:sz w:val="21"/>
          <w:szCs w:val="21"/>
          <w:color w:val="auto"/>
        </w:rPr>
      </w:pPr>
      <w:r>
        <w:rPr>
          <w:rFonts w:ascii="Arial" w:cs="Arial" w:eastAsia="Arial" w:hAnsi="Arial"/>
          <w:sz w:val="22"/>
          <w:szCs w:val="22"/>
          <w:color w:val="auto"/>
        </w:rPr>
        <w:t>–</w:t>
      </w:r>
      <w:r>
        <w:rPr>
          <w:rFonts w:ascii="Arial" w:cs="Arial" w:eastAsia="Arial" w:hAnsi="Arial"/>
          <w:sz w:val="17"/>
          <w:szCs w:val="17"/>
          <w:color w:val="auto"/>
        </w:rPr>
        <w:t>16</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65151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57" w:name="page458"/>
    <w:bookmarkEnd w:id="457"/>
    <w:p>
      <w:pPr>
        <w:ind w:left="500" w:hanging="492"/>
        <w:spacing w:after="0"/>
        <w:tabs>
          <w:tab w:leader="none" w:pos="500" w:val="left"/>
        </w:tabs>
        <w:numPr>
          <w:ilvl w:val="0"/>
          <w:numId w:val="580"/>
        </w:numPr>
        <w:rPr>
          <w:rFonts w:ascii="Arial" w:cs="Arial" w:eastAsia="Arial" w:hAnsi="Arial"/>
          <w:sz w:val="21"/>
          <w:szCs w:val="21"/>
          <w:color w:val="auto"/>
        </w:rPr>
      </w:pPr>
      <w:r>
        <w:rPr>
          <w:rFonts w:ascii="Arial" w:cs="Arial" w:eastAsia="Arial" w:hAnsi="Arial"/>
          <w:sz w:val="21"/>
          <w:szCs w:val="21"/>
          <w:u w:val="single" w:color="auto"/>
          <w:color w:val="auto"/>
        </w:rPr>
        <w:t>Enforcement</w:t>
      </w:r>
    </w:p>
    <w:p>
      <w:pPr>
        <w:spacing w:after="0" w:line="8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u w:val="single" w:color="auto"/>
          <w:color w:val="auto"/>
        </w:rPr>
        <w:t>Jurisdiction of English Courts</w:t>
      </w:r>
    </w:p>
    <w:p>
      <w:pPr>
        <w:spacing w:after="0" w:line="83" w:lineRule="exact"/>
        <w:rPr>
          <w:sz w:val="20"/>
          <w:szCs w:val="20"/>
          <w:color w:val="auto"/>
        </w:rPr>
      </w:pPr>
    </w:p>
    <w:p>
      <w:pPr>
        <w:jc w:val="both"/>
        <w:ind w:left="1000" w:hanging="506"/>
        <w:spacing w:after="0" w:line="292" w:lineRule="auto"/>
        <w:tabs>
          <w:tab w:leader="none" w:pos="1000" w:val="left"/>
        </w:tabs>
        <w:numPr>
          <w:ilvl w:val="0"/>
          <w:numId w:val="581"/>
        </w:numPr>
        <w:rPr>
          <w:rFonts w:ascii="Arial" w:cs="Arial" w:eastAsia="Arial" w:hAnsi="Arial"/>
          <w:sz w:val="19"/>
          <w:szCs w:val="19"/>
          <w:color w:val="auto"/>
        </w:rPr>
      </w:pPr>
      <w:r>
        <w:rPr>
          <w:rFonts w:ascii="Arial" w:cs="Arial" w:eastAsia="Arial" w:hAnsi="Arial"/>
          <w:sz w:val="19"/>
          <w:szCs w:val="19"/>
          <w:color w:val="auto"/>
        </w:rPr>
        <w:t xml:space="preserve">The courts of England have exclusive jurisdiction to settle any dispute arising out of or in connection with this Debenture (including a dispute regarding the existence, validity or termination of this Debenture or any non-contractual obligations arising out of or in connection with this Debenture) (a “ </w:t>
      </w:r>
      <w:r>
        <w:rPr>
          <w:rFonts w:ascii="Arial" w:cs="Arial" w:eastAsia="Arial" w:hAnsi="Arial"/>
          <w:sz w:val="19"/>
          <w:szCs w:val="19"/>
          <w:b w:val="1"/>
          <w:bCs w:val="1"/>
          <w:color w:val="auto"/>
        </w:rPr>
        <w:t>Dispute</w:t>
      </w:r>
      <w:r>
        <w:rPr>
          <w:rFonts w:ascii="Arial" w:cs="Arial" w:eastAsia="Arial" w:hAnsi="Arial"/>
          <w:sz w:val="19"/>
          <w:szCs w:val="19"/>
          <w:color w:val="auto"/>
        </w:rPr>
        <w:t xml:space="preserve"> ”) (whether arising in contract, tort or otherwise).</w:t>
      </w:r>
    </w:p>
    <w:p>
      <w:pPr>
        <w:spacing w:after="0" w:line="147" w:lineRule="exact"/>
        <w:rPr>
          <w:rFonts w:ascii="Arial" w:cs="Arial" w:eastAsia="Arial" w:hAnsi="Arial"/>
          <w:sz w:val="19"/>
          <w:szCs w:val="19"/>
          <w:color w:val="auto"/>
        </w:rPr>
      </w:pPr>
    </w:p>
    <w:p>
      <w:pPr>
        <w:ind w:left="1000" w:hanging="506"/>
        <w:spacing w:after="0" w:line="264" w:lineRule="auto"/>
        <w:tabs>
          <w:tab w:leader="none" w:pos="1000" w:val="left"/>
        </w:tabs>
        <w:numPr>
          <w:ilvl w:val="0"/>
          <w:numId w:val="581"/>
        </w:numPr>
        <w:rPr>
          <w:rFonts w:ascii="Arial" w:cs="Arial" w:eastAsia="Arial" w:hAnsi="Arial"/>
          <w:sz w:val="21"/>
          <w:szCs w:val="21"/>
          <w:color w:val="auto"/>
        </w:rPr>
      </w:pPr>
      <w:r>
        <w:rPr>
          <w:rFonts w:ascii="Arial" w:cs="Arial" w:eastAsia="Arial" w:hAnsi="Arial"/>
          <w:sz w:val="21"/>
          <w:szCs w:val="21"/>
          <w:color w:val="auto"/>
        </w:rPr>
        <w:t>The Parties agree that the courts of England are the most appropriate and convenient courts to settle Disputes and accordingly no Party will argue to the contrary.</w:t>
      </w:r>
    </w:p>
    <w:p>
      <w:pPr>
        <w:spacing w:after="0" w:line="170" w:lineRule="exact"/>
        <w:rPr>
          <w:rFonts w:ascii="Arial" w:cs="Arial" w:eastAsia="Arial" w:hAnsi="Arial"/>
          <w:sz w:val="21"/>
          <w:szCs w:val="21"/>
          <w:color w:val="auto"/>
        </w:rPr>
      </w:pPr>
    </w:p>
    <w:p>
      <w:pPr>
        <w:jc w:val="both"/>
        <w:ind w:left="1000" w:hanging="506"/>
        <w:spacing w:after="0" w:line="271" w:lineRule="auto"/>
        <w:tabs>
          <w:tab w:leader="none" w:pos="1000" w:val="left"/>
        </w:tabs>
        <w:numPr>
          <w:ilvl w:val="0"/>
          <w:numId w:val="581"/>
        </w:numPr>
        <w:rPr>
          <w:rFonts w:ascii="Arial" w:cs="Arial" w:eastAsia="Arial" w:hAnsi="Arial"/>
          <w:sz w:val="20"/>
          <w:szCs w:val="20"/>
          <w:color w:val="auto"/>
        </w:rPr>
      </w:pPr>
      <w:r>
        <w:rPr>
          <w:rFonts w:ascii="Arial" w:cs="Arial" w:eastAsia="Arial" w:hAnsi="Arial"/>
          <w:sz w:val="20"/>
          <w:szCs w:val="20"/>
          <w:color w:val="auto"/>
        </w:rPr>
        <w:t xml:space="preserve">This Clause 21.1 ( </w:t>
      </w:r>
      <w:r>
        <w:rPr>
          <w:rFonts w:ascii="Arial" w:cs="Arial" w:eastAsia="Arial" w:hAnsi="Arial"/>
          <w:sz w:val="20"/>
          <w:szCs w:val="20"/>
          <w:i w:val="1"/>
          <w:iCs w:val="1"/>
          <w:color w:val="auto"/>
        </w:rPr>
        <w:t>Jurisdiction of English Courts</w:t>
      </w:r>
      <w:r>
        <w:rPr>
          <w:rFonts w:ascii="Arial" w:cs="Arial" w:eastAsia="Arial" w:hAnsi="Arial"/>
          <w:sz w:val="20"/>
          <w:szCs w:val="20"/>
          <w:color w:val="auto"/>
        </w:rPr>
        <w:t xml:space="preserve"> )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Service of Process</w:t>
      </w:r>
    </w:p>
    <w:p>
      <w:pPr>
        <w:spacing w:after="0" w:line="83" w:lineRule="exact"/>
        <w:rPr>
          <w:sz w:val="20"/>
          <w:szCs w:val="20"/>
          <w:color w:val="auto"/>
        </w:rPr>
      </w:pPr>
    </w:p>
    <w:p>
      <w:pPr>
        <w:ind w:left="1000" w:hanging="506"/>
        <w:spacing w:after="0"/>
        <w:tabs>
          <w:tab w:leader="none" w:pos="1000" w:val="left"/>
        </w:tabs>
        <w:numPr>
          <w:ilvl w:val="0"/>
          <w:numId w:val="582"/>
        </w:numPr>
        <w:rPr>
          <w:rFonts w:ascii="Arial" w:cs="Arial" w:eastAsia="Arial" w:hAnsi="Arial"/>
          <w:sz w:val="21"/>
          <w:szCs w:val="21"/>
          <w:color w:val="auto"/>
        </w:rPr>
      </w:pPr>
      <w:r>
        <w:rPr>
          <w:rFonts w:ascii="Arial" w:cs="Arial" w:eastAsia="Arial" w:hAnsi="Arial"/>
          <w:sz w:val="21"/>
          <w:szCs w:val="21"/>
          <w:color w:val="auto"/>
        </w:rPr>
        <w:t>Without prejudice to any other mode of service allowed under any relevant law, the Chargor:</w:t>
      </w:r>
    </w:p>
    <w:p>
      <w:pPr>
        <w:spacing w:after="0" w:line="218" w:lineRule="exact"/>
        <w:rPr>
          <w:sz w:val="20"/>
          <w:szCs w:val="20"/>
          <w:color w:val="auto"/>
        </w:rPr>
      </w:pPr>
    </w:p>
    <w:p>
      <w:pPr>
        <w:jc w:val="both"/>
        <w:ind w:left="1540" w:hanging="277"/>
        <w:spacing w:after="0" w:line="252" w:lineRule="auto"/>
        <w:tabs>
          <w:tab w:leader="none" w:pos="1540" w:val="left"/>
        </w:tabs>
        <w:numPr>
          <w:ilvl w:val="0"/>
          <w:numId w:val="583"/>
        </w:numPr>
        <w:rPr>
          <w:rFonts w:ascii="Arial" w:cs="Arial" w:eastAsia="Arial" w:hAnsi="Arial"/>
          <w:sz w:val="21"/>
          <w:szCs w:val="21"/>
          <w:color w:val="auto"/>
        </w:rPr>
      </w:pPr>
      <w:r>
        <w:rPr>
          <w:rFonts w:ascii="Arial" w:cs="Arial" w:eastAsia="Arial" w:hAnsi="Arial"/>
          <w:sz w:val="21"/>
          <w:szCs w:val="21"/>
          <w:color w:val="auto"/>
        </w:rPr>
        <w:t>irrevocably appoints American Airlines, Inc., Orient House (HAA3), PO Box 365, Waterside, Harmondsworth, UB7 0GB, United Kingdom, as its agent for service of process in relation to any proceedings before the English courts in connection with any Loan Document; and</w:t>
      </w:r>
    </w:p>
    <w:p>
      <w:pPr>
        <w:spacing w:after="0" w:line="184" w:lineRule="exact"/>
        <w:rPr>
          <w:sz w:val="20"/>
          <w:szCs w:val="20"/>
          <w:color w:val="auto"/>
        </w:rPr>
      </w:pPr>
    </w:p>
    <w:p>
      <w:pPr>
        <w:ind w:left="1540" w:right="20" w:hanging="269"/>
        <w:spacing w:after="0" w:line="264" w:lineRule="auto"/>
        <w:rPr>
          <w:sz w:val="20"/>
          <w:szCs w:val="20"/>
          <w:color w:val="auto"/>
        </w:rPr>
      </w:pPr>
      <w:r>
        <w:rPr>
          <w:rFonts w:ascii="Arial" w:cs="Arial" w:eastAsia="Arial" w:hAnsi="Arial"/>
          <w:sz w:val="21"/>
          <w:szCs w:val="21"/>
          <w:color w:val="auto"/>
        </w:rPr>
        <w:t>(ii)agrees that failure by an agent for service of process to notify the Chargor of the process will not invalidate the proceedings concerned.</w:t>
      </w:r>
    </w:p>
    <w:p>
      <w:pPr>
        <w:spacing w:after="0" w:line="171" w:lineRule="exact"/>
        <w:rPr>
          <w:sz w:val="20"/>
          <w:szCs w:val="20"/>
          <w:color w:val="auto"/>
        </w:rPr>
      </w:pPr>
    </w:p>
    <w:p>
      <w:pPr>
        <w:jc w:val="both"/>
        <w:ind w:left="1000" w:hanging="506"/>
        <w:spacing w:after="0" w:line="315" w:lineRule="auto"/>
        <w:tabs>
          <w:tab w:leader="none" w:pos="1000" w:val="left"/>
        </w:tabs>
        <w:numPr>
          <w:ilvl w:val="0"/>
          <w:numId w:val="584"/>
        </w:numPr>
        <w:rPr>
          <w:rFonts w:ascii="Arial" w:cs="Arial" w:eastAsia="Arial" w:hAnsi="Arial"/>
          <w:sz w:val="18"/>
          <w:szCs w:val="18"/>
          <w:color w:val="auto"/>
        </w:rPr>
      </w:pPr>
      <w:r>
        <w:rPr>
          <w:rFonts w:ascii="Arial" w:cs="Arial" w:eastAsia="Arial" w:hAnsi="Arial"/>
          <w:sz w:val="18"/>
          <w:szCs w:val="18"/>
          <w:color w:val="auto"/>
        </w:rPr>
        <w:t>If any person appointed as an agent for service of process is unable for any reason to act as agent for service of process, the Chargor must immediately (and in any event within 10 Business Days of such event taking place) appoint another agent on terms acceptable to the Collateral Agent. Failing this, the Collateral Agent may appoint another agent for this purpose.</w:t>
      </w:r>
    </w:p>
    <w:p>
      <w:pPr>
        <w:spacing w:after="0" w:line="130" w:lineRule="exact"/>
        <w:rPr>
          <w:rFonts w:ascii="Arial" w:cs="Arial" w:eastAsia="Arial" w:hAnsi="Arial"/>
          <w:sz w:val="18"/>
          <w:szCs w:val="18"/>
          <w:color w:val="auto"/>
        </w:rPr>
      </w:pPr>
    </w:p>
    <w:p>
      <w:pPr>
        <w:ind w:left="1000" w:hanging="506"/>
        <w:spacing w:after="0" w:line="264" w:lineRule="auto"/>
        <w:tabs>
          <w:tab w:leader="none" w:pos="1000" w:val="left"/>
        </w:tabs>
        <w:numPr>
          <w:ilvl w:val="0"/>
          <w:numId w:val="584"/>
        </w:numPr>
        <w:rPr>
          <w:rFonts w:ascii="Arial" w:cs="Arial" w:eastAsia="Arial" w:hAnsi="Arial"/>
          <w:sz w:val="21"/>
          <w:szCs w:val="21"/>
          <w:color w:val="auto"/>
        </w:rPr>
      </w:pPr>
      <w:r>
        <w:rPr>
          <w:rFonts w:ascii="Arial" w:cs="Arial" w:eastAsia="Arial" w:hAnsi="Arial"/>
          <w:sz w:val="21"/>
          <w:szCs w:val="21"/>
          <w:color w:val="auto"/>
        </w:rPr>
        <w:t xml:space="preserve">The Chargor expressly agrees and consents to the provisions of this Clause 21 ( </w:t>
      </w:r>
      <w:r>
        <w:rPr>
          <w:rFonts w:ascii="Arial" w:cs="Arial" w:eastAsia="Arial" w:hAnsi="Arial"/>
          <w:sz w:val="21"/>
          <w:szCs w:val="21"/>
          <w:i w:val="1"/>
          <w:iCs w:val="1"/>
          <w:color w:val="auto"/>
        </w:rPr>
        <w:t>Enforcement</w:t>
      </w:r>
      <w:r>
        <w:rPr>
          <w:rFonts w:ascii="Arial" w:cs="Arial" w:eastAsia="Arial" w:hAnsi="Arial"/>
          <w:sz w:val="21"/>
          <w:szCs w:val="21"/>
          <w:color w:val="auto"/>
        </w:rPr>
        <w:t xml:space="preserve"> ) and Clause 20 ( </w:t>
      </w:r>
      <w:r>
        <w:rPr>
          <w:rFonts w:ascii="Arial" w:cs="Arial" w:eastAsia="Arial" w:hAnsi="Arial"/>
          <w:sz w:val="21"/>
          <w:szCs w:val="21"/>
          <w:i w:val="1"/>
          <w:iCs w:val="1"/>
          <w:color w:val="auto"/>
        </w:rPr>
        <w:t>Governing</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Law </w:t>
      </w:r>
      <w:r>
        <w:rPr>
          <w:rFonts w:ascii="Arial" w:cs="Arial" w:eastAsia="Arial" w:hAnsi="Arial"/>
          <w:sz w:val="21"/>
          <w:szCs w:val="2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This Debenture </w:t>
      </w:r>
      <w:r>
        <w:rPr>
          <w:rFonts w:ascii="Arial" w:cs="Arial" w:eastAsia="Arial" w:hAnsi="Arial"/>
          <w:sz w:val="21"/>
          <w:szCs w:val="21"/>
          <w:color w:val="auto"/>
        </w:rPr>
        <w:t>has been executed and delivered as a deed on the date stated at the beginning of this Debenture.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476250</wp:posOffset>
            </wp:positionV>
            <wp:extent cx="65151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6515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17</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458" w:name="page459"/>
    <w:bookmarkEnd w:id="458"/>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2265680</wp:posOffset>
            </wp:positionH>
            <wp:positionV relativeFrom="page">
              <wp:posOffset>500380</wp:posOffset>
            </wp:positionV>
            <wp:extent cx="68580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685800" cy="8255"/>
                    </a:xfrm>
                    <a:prstGeom prst="rect">
                      <a:avLst/>
                    </a:prstGeom>
                    <a:noFill/>
                  </pic:spPr>
                </pic:pic>
              </a:graphicData>
            </a:graphic>
          </wp:anchor>
        </w:drawing>
        <w:t>Schedule 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Rights of Receiver</w:t>
      </w:r>
    </w:p>
    <w:p>
      <w:pPr>
        <w:spacing w:after="0" w:line="200" w:lineRule="exact"/>
        <w:rPr>
          <w:sz w:val="20"/>
          <w:szCs w:val="20"/>
          <w:color w:val="auto"/>
        </w:rPr>
      </w:pP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Any Receiver appointed pursuant to Clause 6.2 ( </w:t>
      </w:r>
      <w:r>
        <w:rPr>
          <w:rFonts w:ascii="Arial" w:cs="Arial" w:eastAsia="Arial" w:hAnsi="Arial"/>
          <w:sz w:val="22"/>
          <w:szCs w:val="22"/>
          <w:i w:val="1"/>
          <w:iCs w:val="1"/>
          <w:color w:val="auto"/>
        </w:rPr>
        <w:t>Appointment of Receiver</w:t>
      </w:r>
      <w:r>
        <w:rPr>
          <w:rFonts w:ascii="Arial" w:cs="Arial" w:eastAsia="Arial" w:hAnsi="Arial"/>
          <w:sz w:val="22"/>
          <w:szCs w:val="22"/>
          <w:color w:val="auto"/>
        </w:rPr>
        <w:t xml:space="preserve"> ) shall have the right, either in his own name or in the name of the Chargor or otherwise and in such manner and upon such terms and conditions as the Receiver thinks fit, and either alone or jointly with any other person:</w:t>
      </w:r>
    </w:p>
    <w:p>
      <w:pPr>
        <w:spacing w:after="0" w:line="98" w:lineRule="exact"/>
        <w:rPr>
          <w:sz w:val="20"/>
          <w:szCs w:val="20"/>
          <w:color w:val="auto"/>
        </w:rPr>
      </w:pPr>
    </w:p>
    <w:p>
      <w:pPr>
        <w:ind w:left="500" w:hanging="492"/>
        <w:spacing w:after="0"/>
        <w:tabs>
          <w:tab w:leader="none" w:pos="500"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Enter into Possession</w:t>
      </w:r>
    </w:p>
    <w:p>
      <w:pPr>
        <w:spacing w:after="0" w:line="90"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to take possession of, get in and collect the Collateral;</w:t>
      </w:r>
    </w:p>
    <w:p>
      <w:pPr>
        <w:spacing w:after="0" w:line="132" w:lineRule="exact"/>
        <w:rPr>
          <w:rFonts w:ascii="Arial" w:cs="Arial" w:eastAsia="Arial" w:hAnsi="Arial"/>
          <w:sz w:val="22"/>
          <w:szCs w:val="22"/>
          <w:color w:val="auto"/>
        </w:rPr>
      </w:pPr>
    </w:p>
    <w:p>
      <w:pPr>
        <w:ind w:left="500" w:hanging="492"/>
        <w:spacing w:after="0"/>
        <w:tabs>
          <w:tab w:leader="none" w:pos="500"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Deal with Collateral</w:t>
      </w:r>
    </w:p>
    <w:p>
      <w:pPr>
        <w:spacing w:after="0" w:line="90" w:lineRule="exact"/>
        <w:rPr>
          <w:rFonts w:ascii="Arial" w:cs="Arial" w:eastAsia="Arial" w:hAnsi="Arial"/>
          <w:sz w:val="22"/>
          <w:szCs w:val="22"/>
          <w:color w:val="auto"/>
        </w:rPr>
      </w:pPr>
    </w:p>
    <w:p>
      <w:pPr>
        <w:jc w:val="both"/>
        <w:ind w:left="500"/>
        <w:spacing w:after="0" w:line="253" w:lineRule="auto"/>
        <w:rPr>
          <w:rFonts w:ascii="Arial" w:cs="Arial" w:eastAsia="Arial" w:hAnsi="Arial"/>
          <w:sz w:val="22"/>
          <w:szCs w:val="22"/>
          <w:color w:val="auto"/>
        </w:rPr>
      </w:pPr>
      <w:r>
        <w:rPr>
          <w:rFonts w:ascii="Arial" w:cs="Arial" w:eastAsia="Arial" w:hAnsi="Arial"/>
          <w:sz w:val="22"/>
          <w:szCs w:val="22"/>
          <w:color w:val="auto"/>
        </w:rPr>
        <w:t>to sell, transfer, assign, exchange, hire out, lend or otherwise dispose of or realise the Collateral to any person either by public offer or auction, tender or private contract and for a consideration of any kind (which may be payable or delivered in one amount or by instalments spread over a period or deferred);</w:t>
      </w:r>
    </w:p>
    <w:p>
      <w:pPr>
        <w:spacing w:after="0" w:line="98" w:lineRule="exact"/>
        <w:rPr>
          <w:rFonts w:ascii="Arial" w:cs="Arial" w:eastAsia="Arial" w:hAnsi="Arial"/>
          <w:sz w:val="22"/>
          <w:szCs w:val="22"/>
          <w:color w:val="auto"/>
        </w:rPr>
      </w:pPr>
    </w:p>
    <w:p>
      <w:pPr>
        <w:ind w:left="500" w:hanging="492"/>
        <w:spacing w:after="0"/>
        <w:tabs>
          <w:tab w:leader="none" w:pos="500"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Rights of Ownership</w:t>
      </w:r>
    </w:p>
    <w:p>
      <w:pPr>
        <w:spacing w:after="0" w:line="90" w:lineRule="exact"/>
        <w:rPr>
          <w:rFonts w:ascii="Arial" w:cs="Arial" w:eastAsia="Arial" w:hAnsi="Arial"/>
          <w:sz w:val="22"/>
          <w:szCs w:val="22"/>
          <w:color w:val="auto"/>
        </w:rPr>
      </w:pPr>
    </w:p>
    <w:p>
      <w:pPr>
        <w:ind w:left="500"/>
        <w:spacing w:after="0" w:line="343" w:lineRule="auto"/>
        <w:rPr>
          <w:rFonts w:ascii="Arial" w:cs="Arial" w:eastAsia="Arial" w:hAnsi="Arial"/>
          <w:sz w:val="22"/>
          <w:szCs w:val="22"/>
          <w:color w:val="auto"/>
        </w:rPr>
      </w:pPr>
      <w:r>
        <w:rPr>
          <w:rFonts w:ascii="Arial" w:cs="Arial" w:eastAsia="Arial" w:hAnsi="Arial"/>
          <w:sz w:val="19"/>
          <w:szCs w:val="19"/>
          <w:color w:val="auto"/>
        </w:rPr>
        <w:t>to manage and use the Collateral and to exercise and do (or permit the Chargor or any nominee of it to exercise and do) all such rights and things as the Receiver would be capable of exercising or doing if he were the holder of the Collateral;</w:t>
      </w:r>
    </w:p>
    <w:p>
      <w:pPr>
        <w:spacing w:after="0" w:line="17" w:lineRule="exact"/>
        <w:rPr>
          <w:rFonts w:ascii="Arial" w:cs="Arial" w:eastAsia="Arial" w:hAnsi="Arial"/>
          <w:sz w:val="22"/>
          <w:szCs w:val="22"/>
          <w:color w:val="auto"/>
        </w:rPr>
      </w:pPr>
    </w:p>
    <w:p>
      <w:pPr>
        <w:ind w:left="500" w:hanging="492"/>
        <w:spacing w:after="0"/>
        <w:tabs>
          <w:tab w:leader="none" w:pos="500"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Insurance</w:t>
      </w:r>
    </w:p>
    <w:p>
      <w:pPr>
        <w:spacing w:after="0" w:line="90" w:lineRule="exact"/>
        <w:rPr>
          <w:rFonts w:ascii="Arial" w:cs="Arial" w:eastAsia="Arial" w:hAnsi="Arial"/>
          <w:sz w:val="22"/>
          <w:szCs w:val="22"/>
          <w:color w:val="auto"/>
        </w:rPr>
      </w:pPr>
    </w:p>
    <w:p>
      <w:pPr>
        <w:ind w:left="500"/>
        <w:spacing w:after="0"/>
        <w:rPr>
          <w:rFonts w:ascii="Arial" w:cs="Arial" w:eastAsia="Arial" w:hAnsi="Arial"/>
          <w:sz w:val="22"/>
          <w:szCs w:val="22"/>
          <w:color w:val="auto"/>
        </w:rPr>
      </w:pPr>
      <w:r>
        <w:rPr>
          <w:rFonts w:ascii="Arial" w:cs="Arial" w:eastAsia="Arial" w:hAnsi="Arial"/>
          <w:sz w:val="22"/>
          <w:szCs w:val="22"/>
          <w:color w:val="auto"/>
        </w:rPr>
        <w:t>to insure the Collateral on such terms as he thinks fit;</w:t>
      </w:r>
    </w:p>
    <w:p>
      <w:pPr>
        <w:spacing w:after="0" w:line="132" w:lineRule="exact"/>
        <w:rPr>
          <w:rFonts w:ascii="Arial" w:cs="Arial" w:eastAsia="Arial" w:hAnsi="Arial"/>
          <w:sz w:val="22"/>
          <w:szCs w:val="22"/>
          <w:color w:val="auto"/>
        </w:rPr>
      </w:pPr>
    </w:p>
    <w:p>
      <w:pPr>
        <w:ind w:left="500" w:hanging="492"/>
        <w:spacing w:after="0"/>
        <w:tabs>
          <w:tab w:leader="none" w:pos="500"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Claims</w:t>
      </w:r>
    </w:p>
    <w:p>
      <w:pPr>
        <w:spacing w:after="0" w:line="90" w:lineRule="exact"/>
        <w:rPr>
          <w:rFonts w:ascii="Arial" w:cs="Arial" w:eastAsia="Arial" w:hAnsi="Arial"/>
          <w:sz w:val="22"/>
          <w:szCs w:val="22"/>
          <w:color w:val="auto"/>
        </w:rPr>
      </w:pPr>
    </w:p>
    <w:p>
      <w:pPr>
        <w:ind w:left="500"/>
        <w:spacing w:after="0" w:line="263" w:lineRule="auto"/>
        <w:rPr>
          <w:rFonts w:ascii="Arial" w:cs="Arial" w:eastAsia="Arial" w:hAnsi="Arial"/>
          <w:sz w:val="22"/>
          <w:szCs w:val="22"/>
          <w:color w:val="auto"/>
        </w:rPr>
      </w:pPr>
      <w:r>
        <w:rPr>
          <w:rFonts w:ascii="Arial" w:cs="Arial" w:eastAsia="Arial" w:hAnsi="Arial"/>
          <w:sz w:val="22"/>
          <w:szCs w:val="22"/>
          <w:color w:val="auto"/>
        </w:rPr>
        <w:t>to settle, adjust, refer to arbitration, compromise and arrange any claims, accounts, disputes, questions and demands with or by any person who is or claims to be a creditor of the Chargor or relating to the Collateral;</w:t>
      </w:r>
    </w:p>
    <w:p>
      <w:pPr>
        <w:spacing w:after="0" w:line="87" w:lineRule="exact"/>
        <w:rPr>
          <w:rFonts w:ascii="Arial" w:cs="Arial" w:eastAsia="Arial" w:hAnsi="Arial"/>
          <w:sz w:val="22"/>
          <w:szCs w:val="22"/>
          <w:color w:val="auto"/>
        </w:rPr>
      </w:pPr>
    </w:p>
    <w:p>
      <w:pPr>
        <w:ind w:left="500" w:hanging="492"/>
        <w:spacing w:after="0"/>
        <w:tabs>
          <w:tab w:leader="none" w:pos="500"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Legal Actions</w:t>
      </w:r>
    </w:p>
    <w:p>
      <w:pPr>
        <w:spacing w:after="0" w:line="90" w:lineRule="exact"/>
        <w:rPr>
          <w:rFonts w:ascii="Arial" w:cs="Arial" w:eastAsia="Arial" w:hAnsi="Arial"/>
          <w:sz w:val="22"/>
          <w:szCs w:val="22"/>
          <w:color w:val="auto"/>
        </w:rPr>
      </w:pPr>
    </w:p>
    <w:p>
      <w:pPr>
        <w:ind w:left="500"/>
        <w:spacing w:after="0" w:line="263" w:lineRule="auto"/>
        <w:rPr>
          <w:rFonts w:ascii="Arial" w:cs="Arial" w:eastAsia="Arial" w:hAnsi="Arial"/>
          <w:sz w:val="22"/>
          <w:szCs w:val="22"/>
          <w:color w:val="auto"/>
        </w:rPr>
      </w:pPr>
      <w:r>
        <w:rPr>
          <w:rFonts w:ascii="Arial" w:cs="Arial" w:eastAsia="Arial" w:hAnsi="Arial"/>
          <w:sz w:val="22"/>
          <w:szCs w:val="22"/>
          <w:color w:val="auto"/>
        </w:rPr>
        <w:t>to bring, prosecute, enforce, defend and abandon actions, suits and proceedings in relation to the Collateral or any business of the Chargor;</w:t>
      </w:r>
    </w:p>
    <w:p>
      <w:pPr>
        <w:spacing w:after="0" w:line="87" w:lineRule="exact"/>
        <w:rPr>
          <w:rFonts w:ascii="Arial" w:cs="Arial" w:eastAsia="Arial" w:hAnsi="Arial"/>
          <w:sz w:val="22"/>
          <w:szCs w:val="22"/>
          <w:color w:val="auto"/>
        </w:rPr>
      </w:pPr>
    </w:p>
    <w:p>
      <w:pPr>
        <w:ind w:left="500" w:hanging="492"/>
        <w:spacing w:after="0"/>
        <w:tabs>
          <w:tab w:leader="none" w:pos="500" w:val="left"/>
        </w:tabs>
        <w:numPr>
          <w:ilvl w:val="0"/>
          <w:numId w:val="585"/>
        </w:numPr>
        <w:rPr>
          <w:rFonts w:ascii="Arial" w:cs="Arial" w:eastAsia="Arial" w:hAnsi="Arial"/>
          <w:sz w:val="22"/>
          <w:szCs w:val="22"/>
          <w:color w:val="auto"/>
        </w:rPr>
      </w:pPr>
      <w:r>
        <w:rPr>
          <w:rFonts w:ascii="Arial" w:cs="Arial" w:eastAsia="Arial" w:hAnsi="Arial"/>
          <w:sz w:val="22"/>
          <w:szCs w:val="22"/>
          <w:b w:val="1"/>
          <w:bCs w:val="1"/>
          <w:color w:val="auto"/>
        </w:rPr>
        <w:t>Redemption of Security</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to redeem any Security (whether or not having priority to the Security) over the Collateral and to settle the accounts of any person with an interest in the Collateral;</w:t>
      </w:r>
    </w:p>
    <w:p>
      <w:pPr>
        <w:spacing w:after="0" w:line="61" w:lineRule="exact"/>
        <w:rPr>
          <w:sz w:val="20"/>
          <w:szCs w:val="20"/>
          <w:color w:val="auto"/>
        </w:rPr>
      </w:pPr>
    </w:p>
    <w:p>
      <w:pPr>
        <w:ind w:left="500" w:hanging="492"/>
        <w:spacing w:after="0"/>
        <w:tabs>
          <w:tab w:leader="none" w:pos="500" w:val="left"/>
        </w:tabs>
        <w:numPr>
          <w:ilvl w:val="0"/>
          <w:numId w:val="586"/>
        </w:numPr>
        <w:rPr>
          <w:rFonts w:ascii="Arial" w:cs="Arial" w:eastAsia="Arial" w:hAnsi="Arial"/>
          <w:sz w:val="22"/>
          <w:szCs w:val="22"/>
          <w:color w:val="auto"/>
        </w:rPr>
      </w:pPr>
      <w:r>
        <w:rPr>
          <w:rFonts w:ascii="Arial" w:cs="Arial" w:eastAsia="Arial" w:hAnsi="Arial"/>
          <w:sz w:val="22"/>
          <w:szCs w:val="22"/>
          <w:b w:val="1"/>
          <w:bCs w:val="1"/>
          <w:color w:val="auto"/>
        </w:rPr>
        <w:t>Insolvency Act 1986</w:t>
      </w:r>
    </w:p>
    <w:p>
      <w:pPr>
        <w:spacing w:after="0" w:line="90" w:lineRule="exact"/>
        <w:rPr>
          <w:rFonts w:ascii="Arial" w:cs="Arial" w:eastAsia="Arial" w:hAnsi="Arial"/>
          <w:sz w:val="22"/>
          <w:szCs w:val="22"/>
          <w:color w:val="auto"/>
        </w:rPr>
      </w:pPr>
    </w:p>
    <w:p>
      <w:pPr>
        <w:ind w:left="500" w:right="480"/>
        <w:spacing w:after="0" w:line="287" w:lineRule="auto"/>
        <w:rPr>
          <w:rFonts w:ascii="Arial" w:cs="Arial" w:eastAsia="Arial" w:hAnsi="Arial"/>
          <w:sz w:val="22"/>
          <w:szCs w:val="22"/>
          <w:color w:val="auto"/>
        </w:rPr>
      </w:pPr>
      <w:r>
        <w:rPr>
          <w:rFonts w:ascii="Arial" w:cs="Arial" w:eastAsia="Arial" w:hAnsi="Arial"/>
          <w:sz w:val="21"/>
          <w:szCs w:val="21"/>
          <w:color w:val="auto"/>
        </w:rPr>
        <w:t xml:space="preserve">to exercise all powers set out in Schedule 1 ( </w:t>
      </w:r>
      <w:r>
        <w:rPr>
          <w:rFonts w:ascii="Arial" w:cs="Arial" w:eastAsia="Arial" w:hAnsi="Arial"/>
          <w:sz w:val="21"/>
          <w:szCs w:val="21"/>
          <w:i w:val="1"/>
          <w:iCs w:val="1"/>
          <w:color w:val="auto"/>
        </w:rPr>
        <w:t>Additional Rights of Receiver</w:t>
      </w:r>
      <w:r>
        <w:rPr>
          <w:rFonts w:ascii="Arial" w:cs="Arial" w:eastAsia="Arial" w:hAnsi="Arial"/>
          <w:sz w:val="21"/>
          <w:szCs w:val="21"/>
          <w:color w:val="auto"/>
        </w:rPr>
        <w:t xml:space="preserve"> ) , Schedule B1 or (in the case of a Scottish Receiver) Schedule 2 to the Insolvency Act 1986 as now in force (whether or not in force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8" w:lineRule="exact"/>
        <w:rPr>
          <w:rFonts w:ascii="Arial" w:cs="Arial" w:eastAsia="Arial" w:hAnsi="Arial"/>
          <w:sz w:val="22"/>
          <w:szCs w:val="22"/>
          <w:color w:val="auto"/>
        </w:rPr>
      </w:pPr>
    </w:p>
    <w:p>
      <w:pPr>
        <w:ind w:left="536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7"/>
          <w:szCs w:val="17"/>
          <w:color w:val="auto"/>
        </w:rPr>
        <w:t>18</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-369570</wp:posOffset>
            </wp:positionV>
            <wp:extent cx="651510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59" w:name="page460"/>
    <w:bookmarkEnd w:id="459"/>
    <w:p>
      <w:pPr>
        <w:ind w:left="492" w:right="120"/>
        <w:spacing w:after="0" w:line="287" w:lineRule="auto"/>
        <w:rPr>
          <w:sz w:val="20"/>
          <w:szCs w:val="20"/>
          <w:color w:val="auto"/>
        </w:rPr>
      </w:pPr>
      <w:r>
        <w:rPr>
          <w:rFonts w:ascii="Arial" w:cs="Arial" w:eastAsia="Arial" w:hAnsi="Arial"/>
          <w:sz w:val="21"/>
          <w:szCs w:val="21"/>
          <w:color w:val="auto"/>
        </w:rPr>
        <w:t xml:space="preserve">at the date of exercise and whether or not the Receiver is an administrative receiver) and any powers added to Schedule 1 ( </w:t>
      </w:r>
      <w:r>
        <w:rPr>
          <w:rFonts w:ascii="Arial" w:cs="Arial" w:eastAsia="Arial" w:hAnsi="Arial"/>
          <w:sz w:val="21"/>
          <w:szCs w:val="21"/>
          <w:i w:val="1"/>
          <w:iCs w:val="1"/>
          <w:color w:val="auto"/>
        </w:rPr>
        <w:t xml:space="preserve">Additional Rights of Receiver </w:t>
      </w:r>
      <w:r>
        <w:rPr>
          <w:rFonts w:ascii="Arial" w:cs="Arial" w:eastAsia="Arial" w:hAnsi="Arial"/>
          <w:sz w:val="21"/>
          <w:szCs w:val="21"/>
          <w:color w:val="auto"/>
        </w:rPr>
        <w:t>) or Schedule 2, as the case may be, after the date of this Debenture;</w:t>
      </w:r>
    </w:p>
    <w:p>
      <w:pPr>
        <w:spacing w:after="0" w:line="64" w:lineRule="exact"/>
        <w:rPr>
          <w:sz w:val="20"/>
          <w:szCs w:val="20"/>
          <w:color w:val="auto"/>
        </w:rPr>
      </w:pPr>
    </w:p>
    <w:p>
      <w:pPr>
        <w:ind w:left="492" w:hanging="492"/>
        <w:spacing w:after="0"/>
        <w:tabs>
          <w:tab w:leader="none" w:pos="492" w:val="left"/>
        </w:tabs>
        <w:numPr>
          <w:ilvl w:val="0"/>
          <w:numId w:val="587"/>
        </w:numPr>
        <w:rPr>
          <w:rFonts w:ascii="Arial" w:cs="Arial" w:eastAsia="Arial" w:hAnsi="Arial"/>
          <w:sz w:val="22"/>
          <w:szCs w:val="22"/>
          <w:color w:val="auto"/>
        </w:rPr>
      </w:pPr>
      <w:r>
        <w:rPr>
          <w:rFonts w:ascii="Arial" w:cs="Arial" w:eastAsia="Arial" w:hAnsi="Arial"/>
          <w:sz w:val="22"/>
          <w:szCs w:val="22"/>
          <w:b w:val="1"/>
          <w:bCs w:val="1"/>
          <w:color w:val="auto"/>
        </w:rPr>
        <w:t>Other Powers</w:t>
      </w:r>
    </w:p>
    <w:p>
      <w:pPr>
        <w:spacing w:after="0" w:line="90" w:lineRule="exact"/>
        <w:rPr>
          <w:rFonts w:ascii="Arial" w:cs="Arial" w:eastAsia="Arial" w:hAnsi="Arial"/>
          <w:sz w:val="22"/>
          <w:szCs w:val="22"/>
          <w:color w:val="auto"/>
        </w:rPr>
      </w:pPr>
    </w:p>
    <w:p>
      <w:pPr>
        <w:jc w:val="both"/>
        <w:ind w:left="492"/>
        <w:spacing w:after="0" w:line="253" w:lineRule="auto"/>
        <w:rPr>
          <w:rFonts w:ascii="Arial" w:cs="Arial" w:eastAsia="Arial" w:hAnsi="Arial"/>
          <w:sz w:val="22"/>
          <w:szCs w:val="22"/>
          <w:color w:val="auto"/>
        </w:rPr>
      </w:pPr>
      <w:r>
        <w:rPr>
          <w:rFonts w:ascii="Arial" w:cs="Arial" w:eastAsia="Arial" w:hAnsi="Arial"/>
          <w:sz w:val="22"/>
          <w:szCs w:val="22"/>
          <w:color w:val="auto"/>
        </w:rPr>
        <w:t>to do anything else he may think fit for the realisation of the Collateral or incidental to the exercise of any of the rights conferred on the Receiver under or by virtue of any Loan Document to which the Chargor is party, or the Insolvency Act 1986; and</w:t>
      </w:r>
    </w:p>
    <w:p>
      <w:pPr>
        <w:spacing w:after="0" w:line="98" w:lineRule="exact"/>
        <w:rPr>
          <w:rFonts w:ascii="Arial" w:cs="Arial" w:eastAsia="Arial" w:hAnsi="Arial"/>
          <w:sz w:val="22"/>
          <w:szCs w:val="22"/>
          <w:color w:val="auto"/>
        </w:rPr>
      </w:pPr>
    </w:p>
    <w:p>
      <w:pPr>
        <w:ind w:left="492" w:hanging="492"/>
        <w:spacing w:after="0"/>
        <w:tabs>
          <w:tab w:leader="none" w:pos="492" w:val="left"/>
        </w:tabs>
        <w:numPr>
          <w:ilvl w:val="0"/>
          <w:numId w:val="587"/>
        </w:numPr>
        <w:rPr>
          <w:rFonts w:ascii="Arial" w:cs="Arial" w:eastAsia="Arial" w:hAnsi="Arial"/>
          <w:sz w:val="22"/>
          <w:szCs w:val="22"/>
          <w:color w:val="auto"/>
        </w:rPr>
      </w:pPr>
      <w:r>
        <w:rPr>
          <w:rFonts w:ascii="Arial" w:cs="Arial" w:eastAsia="Arial" w:hAnsi="Arial"/>
          <w:sz w:val="22"/>
          <w:szCs w:val="22"/>
          <w:b w:val="1"/>
          <w:bCs w:val="1"/>
          <w:color w:val="auto"/>
        </w:rPr>
        <w:t>Delegation</w:t>
      </w:r>
    </w:p>
    <w:p>
      <w:pPr>
        <w:spacing w:after="0" w:line="90" w:lineRule="exact"/>
        <w:rPr>
          <w:rFonts w:ascii="Arial" w:cs="Arial" w:eastAsia="Arial" w:hAnsi="Arial"/>
          <w:sz w:val="22"/>
          <w:szCs w:val="22"/>
          <w:color w:val="auto"/>
        </w:rPr>
      </w:pPr>
    </w:p>
    <w:p>
      <w:pPr>
        <w:ind w:left="492"/>
        <w:spacing w:after="0"/>
        <w:rPr>
          <w:rFonts w:ascii="Arial" w:cs="Arial" w:eastAsia="Arial" w:hAnsi="Arial"/>
          <w:sz w:val="22"/>
          <w:szCs w:val="22"/>
          <w:color w:val="auto"/>
        </w:rPr>
      </w:pPr>
      <w:r>
        <w:rPr>
          <w:rFonts w:ascii="Arial" w:cs="Arial" w:eastAsia="Arial" w:hAnsi="Arial"/>
          <w:sz w:val="22"/>
          <w:szCs w:val="22"/>
          <w:color w:val="auto"/>
        </w:rPr>
        <w:t>to delegate his powers in accordance with this Debenture.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3" w:lineRule="exact"/>
        <w:rPr>
          <w:rFonts w:ascii="Arial" w:cs="Arial" w:eastAsia="Arial" w:hAnsi="Arial"/>
          <w:sz w:val="22"/>
          <w:szCs w:val="22"/>
          <w:color w:val="auto"/>
        </w:rPr>
      </w:pPr>
    </w:p>
    <w:p>
      <w:pPr>
        <w:ind w:left="5352"/>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7"/>
          <w:szCs w:val="17"/>
          <w:color w:val="auto"/>
        </w:rPr>
        <w:t>19</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-369570</wp:posOffset>
            </wp:positionV>
            <wp:extent cx="651510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6515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44" w:right="339" w:bottom="1440" w:gutter="0" w:footer="0" w:header="0"/>
        </w:sectPr>
      </w:pPr>
    </w:p>
    <w:bookmarkStart w:id="460" w:name="page461"/>
    <w:bookmarkEnd w:id="460"/>
    <w:p>
      <w:pPr>
        <w:jc w:val="right"/>
        <w:spacing w:after="0"/>
        <w:rPr>
          <w:sz w:val="20"/>
          <w:szCs w:val="20"/>
          <w:color w:val="auto"/>
        </w:rPr>
      </w:pPr>
      <w:r>
        <w:rPr>
          <w:rFonts w:ascii="Arial" w:cs="Arial" w:eastAsia="Arial" w:hAnsi="Arial"/>
          <w:sz w:val="22"/>
          <w:szCs w:val="22"/>
          <w:color w:val="auto"/>
        </w:rPr>
        <w:t>EXHIBIT B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INSTRUMENT OF ASSUMPTION AND JOINDER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INSTRUMENT OF ASSUMPTION AND JOINDER (this “Agreement”), dated as of [_____________] [______],</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20[__] is by and among [_____________________], a [______________________] (the “ </w:t>
      </w:r>
      <w:r>
        <w:rPr>
          <w:rFonts w:ascii="Arial" w:cs="Arial" w:eastAsia="Arial" w:hAnsi="Arial"/>
          <w:sz w:val="21"/>
          <w:szCs w:val="21"/>
          <w:u w:val="single" w:color="auto"/>
          <w:color w:val="auto"/>
        </w:rPr>
        <w:t>New Subsidiary Loan Party</w:t>
      </w:r>
      <w:r>
        <w:rPr>
          <w:rFonts w:ascii="Arial" w:cs="Arial" w:eastAsia="Arial" w:hAnsi="Arial"/>
          <w:sz w:val="21"/>
          <w:szCs w:val="21"/>
          <w:color w:val="auto"/>
        </w:rPr>
        <w:t xml:space="preserve"> ”),</w:t>
      </w:r>
    </w:p>
    <w:p>
      <w:pPr>
        <w:spacing w:after="0" w:line="1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AMERICAN AIRLINES, INC., a Delaware corporation (the “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 AMERICAN AIRLINES GROUP INC., a Delaware corporation (“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 the other Subsidiaries of Parent from time to time party hereto other than the Borrower (together with the Parent, the “ </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 Citibank N.A., as administrative agent for the Lenders (together with its permitted successors in such capacity, the “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 and as collateral agent for the Secured Parties (together with its permitted successors in such capacity, the “ </w:t>
      </w:r>
      <w:r>
        <w:rPr>
          <w:rFonts w:ascii="Arial" w:cs="Arial" w:eastAsia="Arial" w:hAnsi="Arial"/>
          <w:sz w:val="19"/>
          <w:szCs w:val="19"/>
          <w:u w:val="single" w:color="auto"/>
          <w:color w:val="auto"/>
        </w:rPr>
        <w:t>Collateral Agent</w:t>
      </w:r>
      <w:r>
        <w:rPr>
          <w:rFonts w:ascii="Arial" w:cs="Arial" w:eastAsia="Arial" w:hAnsi="Arial"/>
          <w:sz w:val="19"/>
          <w:szCs w:val="19"/>
          <w:color w:val="auto"/>
        </w:rPr>
        <w:t xml:space="preserve"> ”) under that certain Credit and Guaranty Agreement, dated as of March 18, 2020 (as may be amended, restated, amended and restated, supplemented or otherwise modified from time to time, the “ </w:t>
      </w:r>
      <w:r>
        <w:rPr>
          <w:rFonts w:ascii="Arial" w:cs="Arial" w:eastAsia="Arial" w:hAnsi="Arial"/>
          <w:sz w:val="19"/>
          <w:szCs w:val="19"/>
          <w:u w:val="single" w:color="auto"/>
          <w:color w:val="auto"/>
        </w:rPr>
        <w:t>Credit Agreement</w:t>
      </w:r>
      <w:r>
        <w:rPr>
          <w:rFonts w:ascii="Arial" w:cs="Arial" w:eastAsia="Arial" w:hAnsi="Arial"/>
          <w:sz w:val="19"/>
          <w:szCs w:val="19"/>
          <w:color w:val="auto"/>
        </w:rPr>
        <w:t xml:space="preserve"> ”), among the Borrower, Parent, the Guarantors party thereto from time to time, the Administrative Agent, the Collateral Agent and the Lenders party thereto from time to time. Capitalized terms used herein but not otherwise defined herein shall have the meanings assigned to such terms in the Credit Agreement.</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New Subsidiary Loan Party hereby agrees as follows:</w:t>
      </w:r>
    </w:p>
    <w:p>
      <w:pPr>
        <w:spacing w:after="0" w:line="220" w:lineRule="exact"/>
        <w:rPr>
          <w:sz w:val="20"/>
          <w:szCs w:val="20"/>
          <w:color w:val="auto"/>
        </w:rPr>
      </w:pPr>
    </w:p>
    <w:p>
      <w:pPr>
        <w:jc w:val="both"/>
        <w:ind w:firstLine="656"/>
        <w:spacing w:after="0" w:line="302" w:lineRule="auto"/>
        <w:tabs>
          <w:tab w:leader="none" w:pos="1049" w:val="left"/>
        </w:tabs>
        <w:numPr>
          <w:ilvl w:val="0"/>
          <w:numId w:val="588"/>
        </w:numPr>
        <w:rPr>
          <w:rFonts w:ascii="Arial" w:cs="Arial" w:eastAsia="Arial" w:hAnsi="Arial"/>
          <w:sz w:val="19"/>
          <w:szCs w:val="19"/>
          <w:color w:val="auto"/>
        </w:rPr>
      </w:pPr>
      <w:r>
        <w:rPr>
          <w:rFonts w:ascii="Arial" w:cs="Arial" w:eastAsia="Arial" w:hAnsi="Arial"/>
          <w:sz w:val="19"/>
          <w:szCs w:val="19"/>
          <w:color w:val="auto"/>
        </w:rPr>
        <w:t>The New Subsidiary Loan Party hereby acknowledges, agrees and confirms that, by its execution of this Agreement, as provided in Sections 5.09(a) and (b) of the Credit Agreement, the New Subsidiary Loan Party will be deemed to be a party to the Credit Agreement and a “Guarantor” for all purposes of the Credit Agreement and the Guaranty, and agrees that it is bound by the terms, conditions and obligations set forth therein as if it had been an original signatory thereto.</w:t>
      </w:r>
    </w:p>
    <w:p>
      <w:pPr>
        <w:spacing w:after="0" w:line="142" w:lineRule="exact"/>
        <w:rPr>
          <w:rFonts w:ascii="Arial" w:cs="Arial" w:eastAsia="Arial" w:hAnsi="Arial"/>
          <w:sz w:val="19"/>
          <w:szCs w:val="19"/>
          <w:color w:val="auto"/>
        </w:rPr>
      </w:pPr>
    </w:p>
    <w:p>
      <w:pPr>
        <w:ind w:right="20" w:firstLine="656"/>
        <w:spacing w:after="0" w:line="263" w:lineRule="auto"/>
        <w:tabs>
          <w:tab w:leader="none" w:pos="1044" w:val="left"/>
        </w:tabs>
        <w:numPr>
          <w:ilvl w:val="0"/>
          <w:numId w:val="588"/>
        </w:numPr>
        <w:rPr>
          <w:rFonts w:ascii="Arial" w:cs="Arial" w:eastAsia="Arial" w:hAnsi="Arial"/>
          <w:sz w:val="22"/>
          <w:szCs w:val="22"/>
          <w:color w:val="auto"/>
        </w:rPr>
      </w:pPr>
      <w:r>
        <w:rPr>
          <w:rFonts w:ascii="Arial" w:cs="Arial" w:eastAsia="Arial" w:hAnsi="Arial"/>
          <w:sz w:val="22"/>
          <w:szCs w:val="22"/>
          <w:color w:val="auto"/>
        </w:rPr>
        <w:t>The New Subsidiary Loan Party acknowledges and confirms that it has received a copy of the Credit Agreement and the schedule and exhibits thereto.</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037" w:val="left"/>
        </w:tabs>
        <w:numPr>
          <w:ilvl w:val="0"/>
          <w:numId w:val="588"/>
        </w:numPr>
        <w:rPr>
          <w:rFonts w:ascii="Arial" w:cs="Arial" w:eastAsia="Arial" w:hAnsi="Arial"/>
          <w:sz w:val="22"/>
          <w:szCs w:val="22"/>
          <w:color w:val="auto"/>
        </w:rPr>
      </w:pPr>
      <w:r>
        <w:rPr>
          <w:rFonts w:ascii="Arial" w:cs="Arial" w:eastAsia="Arial" w:hAnsi="Arial"/>
          <w:sz w:val="22"/>
          <w:szCs w:val="22"/>
          <w:color w:val="auto"/>
        </w:rPr>
        <w:t>The New Subsidiary Loan Party hereby agrees that at any time and from time to time, upon the written request of the Administrative Agent, it will execute and deliver any further documents and perform any further acts as the Administrative Agent may reasonably request in order to effect the purposes of this Agreement.</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20" w:val="left"/>
        </w:tabs>
        <w:numPr>
          <w:ilvl w:val="0"/>
          <w:numId w:val="588"/>
        </w:numPr>
        <w:rPr>
          <w:rFonts w:ascii="Arial" w:cs="Arial" w:eastAsia="Arial" w:hAnsi="Arial"/>
          <w:sz w:val="22"/>
          <w:szCs w:val="22"/>
          <w:color w:val="auto"/>
        </w:rPr>
      </w:pPr>
      <w:r>
        <w:rPr>
          <w:rFonts w:ascii="Arial" w:cs="Arial" w:eastAsia="Arial" w:hAnsi="Arial"/>
          <w:sz w:val="22"/>
          <w:szCs w:val="22"/>
          <w:color w:val="auto"/>
        </w:rPr>
        <w:t>THIS AGREEMENT AND THE RIGHTS AND OBLIGATIONS OF THE PARTIES HEREUNDER AND ANY CLAIM OR CONTROVERSY RELATING HERETO SHALL BE GOVERNED BY, AND CONSTRUED AND INTERPRETED IN ACCORDANCE WITH, THE LAWS OF THE STATE OF NEW YORK.</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031" w:val="left"/>
        </w:tabs>
        <w:numPr>
          <w:ilvl w:val="0"/>
          <w:numId w:val="588"/>
        </w:numPr>
        <w:rPr>
          <w:rFonts w:ascii="Arial" w:cs="Arial" w:eastAsia="Arial" w:hAnsi="Arial"/>
          <w:sz w:val="22"/>
          <w:szCs w:val="22"/>
          <w:color w:val="auto"/>
        </w:rPr>
      </w:pPr>
      <w:r>
        <w:rPr>
          <w:rFonts w:ascii="Arial" w:cs="Arial" w:eastAsia="Arial" w:hAnsi="Arial"/>
          <w:sz w:val="22"/>
          <w:szCs w:val="22"/>
          <w:color w:val="auto"/>
        </w:rPr>
        <w:t>This Agreement (a) may be executed in two or more counterparts, each of which shall constitute an original but all of which when taken together shall constitute one contract and (b) may, upon execution, be delivered by facsimile or electronic mail, which shall be deemed for all purposes to be an original signature.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61" w:name="page462"/>
    <w:bookmarkEnd w:id="461"/>
    <w:p>
      <w:pPr>
        <w:jc w:val="center"/>
        <w:spacing w:after="0"/>
        <w:rPr>
          <w:sz w:val="20"/>
          <w:szCs w:val="20"/>
          <w:color w:val="auto"/>
        </w:rPr>
      </w:pPr>
      <w:r>
        <w:rPr>
          <w:rFonts w:ascii="Arial" w:cs="Arial" w:eastAsia="Arial" w:hAnsi="Arial"/>
          <w:sz w:val="21"/>
          <w:szCs w:val="21"/>
          <w:color w:val="auto"/>
        </w:rPr>
        <w:t>[REMAINDER OF PAGE INTENTIONALLY LEFT BLANK]</w:t>
      </w:r>
    </w:p>
    <w:p>
      <w:pPr>
        <w:sectPr>
          <w:pgSz w:w="11900" w:h="16838" w:orient="portrait"/>
          <w:cols w:equalWidth="0" w:num="1">
            <w:col w:w="9019"/>
          </w:cols>
          <w:pgMar w:left="1440" w:top="5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88900</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type w:val="continuous"/>
        </w:sectPr>
      </w:pPr>
    </w:p>
    <w:bookmarkStart w:id="462" w:name="page463"/>
    <w:bookmarkEnd w:id="462"/>
    <w:p>
      <w:pPr>
        <w:jc w:val="right"/>
        <w:spacing w:after="0"/>
        <w:rPr>
          <w:sz w:val="20"/>
          <w:szCs w:val="20"/>
          <w:color w:val="auto"/>
        </w:rPr>
      </w:pPr>
      <w:r>
        <w:rPr>
          <w:rFonts w:ascii="Arial" w:cs="Arial" w:eastAsia="Arial" w:hAnsi="Arial"/>
          <w:sz w:val="22"/>
          <w:szCs w:val="22"/>
          <w:color w:val="auto"/>
        </w:rPr>
        <w:t>IN WITNESS WHEREOF, the undersigned have caused this Agreement to be duly executed by their respective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officers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281305</wp:posOffset>
            </wp:positionV>
            <wp:extent cx="96012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281305</wp:posOffset>
            </wp:positionV>
            <wp:extent cx="9601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[OTHER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281305</wp:posOffset>
            </wp:positionV>
            <wp:extent cx="9601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 NEW SUBSIDIARY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281305</wp:posOffset>
            </wp:positionV>
            <wp:extent cx="9601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63" w:name="page464"/>
    <w:bookmarkEnd w:id="463"/>
    <w:p>
      <w:pPr>
        <w:spacing w:after="0"/>
        <w:rPr>
          <w:sz w:val="20"/>
          <w:szCs w:val="20"/>
          <w:color w:val="auto"/>
        </w:rPr>
      </w:pPr>
      <w:r>
        <w:rPr>
          <w:rFonts w:ascii="Arial" w:cs="Arial" w:eastAsia="Arial" w:hAnsi="Arial"/>
          <w:sz w:val="22"/>
          <w:szCs w:val="22"/>
          <w:color w:val="auto"/>
        </w:rPr>
        <w:t>ACKNOWLEDGED AND ACCEPTED: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Citibank N.A.,</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as Administrative Agent and Collateral Agent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By:__________________________</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63" w:right="1440" w:bottom="1440" w:gutter="0" w:footer="0" w:header="0"/>
        </w:sectPr>
      </w:pPr>
    </w:p>
    <w:bookmarkStart w:id="464" w:name="page465"/>
    <w:bookmarkEnd w:id="464"/>
    <w:p>
      <w:pPr>
        <w:ind w:left="4000"/>
        <w:spacing w:after="0"/>
        <w:rPr>
          <w:sz w:val="20"/>
          <w:szCs w:val="20"/>
          <w:color w:val="auto"/>
        </w:rPr>
      </w:pPr>
      <w:r>
        <w:rPr>
          <w:rFonts w:ascii="Arial" w:cs="Arial" w:eastAsia="Arial" w:hAnsi="Arial"/>
          <w:sz w:val="19"/>
          <w:szCs w:val="19"/>
          <w:u w:val="single" w:color="auto"/>
          <w:color w:val="auto"/>
        </w:rPr>
        <w:t>Schedule A</w:t>
      </w:r>
    </w:p>
    <w:p>
      <w:pPr>
        <w:spacing w:after="0" w:line="254"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500380</wp:posOffset>
            </wp:positionV>
            <wp:extent cx="7132320"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65" w:name="page466"/>
    <w:bookmarkEnd w:id="465"/>
    <w:p>
      <w:pPr>
        <w:jc w:val="right"/>
        <w:spacing w:after="0"/>
        <w:rPr>
          <w:sz w:val="20"/>
          <w:szCs w:val="20"/>
          <w:color w:val="auto"/>
        </w:rPr>
      </w:pPr>
      <w:r>
        <w:rPr>
          <w:rFonts w:ascii="Arial" w:cs="Arial" w:eastAsia="Arial" w:hAnsi="Arial"/>
          <w:sz w:val="22"/>
          <w:szCs w:val="22"/>
          <w:color w:val="auto"/>
        </w:rPr>
        <w:t>EXHIBIT C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AND ACCEPTANCE</w:t>
      </w:r>
    </w:p>
    <w:p>
      <w:pPr>
        <w:spacing w:after="0" w:line="220"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2"/>
          <w:szCs w:val="22"/>
          <w:color w:val="auto"/>
        </w:rPr>
        <w:t xml:space="preserve">This Assignment and Acceptance (this “ </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 is dated as of the Effective Date set forth below and is entered into by and between [the][each]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Assignor identified in item 1 below ([the][each, an] “Assignor”) and [the][each] </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Assignee identified in item 2 below ([the][each, an] “ </w:t>
      </w:r>
      <w:r>
        <w:rPr>
          <w:rFonts w:ascii="Arial" w:cs="Arial" w:eastAsia="Arial" w:hAnsi="Arial"/>
          <w:sz w:val="22"/>
          <w:szCs w:val="22"/>
          <w:u w:val="single" w:color="auto"/>
          <w:color w:val="auto"/>
        </w:rPr>
        <w:t>Assignee</w:t>
      </w:r>
      <w:r>
        <w:rPr>
          <w:rFonts w:ascii="Arial" w:cs="Arial" w:eastAsia="Arial" w:hAnsi="Arial"/>
          <w:sz w:val="22"/>
          <w:szCs w:val="22"/>
          <w:color w:val="auto"/>
        </w:rPr>
        <w:t xml:space="preserve"> ”). [It is understood and agreed that the rights and obligations of [the Assignors][the Assignees] </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hereunder are several and not joint.] </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Capitalized terms used but not defined herein shall have the meanings assigned to such terms in the Credit Agreement identified below (the “ </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 receipt of a copy of which is hereby acknowledged by the Assignee. The Standard Terms and Conditions set forth in Annex 1 attached hereto are hereby agreed to and incorporated herein by reference and made a part of this Assignment and Acceptance as if set forth herein in full.</w:t>
      </w: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(the “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 (i) all of [the Assignor’s][the respective Assignors’] rights and obligations in [its capacity as a Lender][their respective capacities as Lenders] under the Credit Agreement and the other Loan Documents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Loan Documents or the loan transactions governed thereby or in any way based on or related to any of the foregoing, including, but not limited to, contract claims, tort claims, malpractice claims, statutory claims and all other claims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106045</wp:posOffset>
            </wp:positionV>
            <wp:extent cx="6858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104" w:lineRule="exact"/>
        <w:rPr>
          <w:sz w:val="20"/>
          <w:szCs w:val="20"/>
          <w:color w:val="auto"/>
        </w:rPr>
      </w:pPr>
    </w:p>
    <w:p>
      <w:pPr>
        <w:ind w:right="340"/>
        <w:spacing w:after="0" w:line="253" w:lineRule="auto"/>
        <w:rPr>
          <w:sz w:val="20"/>
          <w:szCs w:val="20"/>
          <w:color w:val="auto"/>
        </w:rPr>
      </w:pPr>
      <w:r>
        <w:rPr>
          <w:rFonts w:ascii="Arial" w:cs="Arial" w:eastAsia="Arial" w:hAnsi="Arial"/>
          <w:sz w:val="22"/>
          <w:szCs w:val="22"/>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Select as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Include bracketed language if there are either multiple Assignors or multiple Assignees.</w:t>
      </w:r>
    </w:p>
    <w:p>
      <w:pPr>
        <w:spacing w:after="0" w:line="220" w:lineRule="exact"/>
        <w:rPr>
          <w:sz w:val="20"/>
          <w:szCs w:val="20"/>
          <w:color w:val="auto"/>
        </w:rPr>
      </w:pPr>
    </w:p>
    <w:p>
      <w:pPr>
        <w:jc w:val="center"/>
        <w:ind w:right="640"/>
        <w:spacing w:after="0"/>
        <w:rPr>
          <w:sz w:val="20"/>
          <w:szCs w:val="20"/>
          <w:color w:val="auto"/>
        </w:rPr>
      </w:pPr>
      <w:r>
        <w:rPr>
          <w:rFonts w:ascii="Arial" w:cs="Arial" w:eastAsia="Arial" w:hAnsi="Arial"/>
          <w:sz w:val="22"/>
          <w:szCs w:val="22"/>
          <w:color w:val="auto"/>
        </w:rPr>
        <w:t>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563" w:right="339" w:bottom="1440" w:gutter="0" w:footer="0" w:header="0"/>
          <w:type w:val="continuous"/>
        </w:sectPr>
      </w:pPr>
    </w:p>
    <w:bookmarkStart w:id="466" w:name="page467"/>
    <w:bookmarkEnd w:id="466"/>
    <w:p>
      <w:pPr>
        <w:jc w:val="both"/>
        <w:ind w:right="20"/>
        <w:spacing w:after="0" w:line="302" w:lineRule="auto"/>
        <w:rPr>
          <w:sz w:val="20"/>
          <w:szCs w:val="20"/>
          <w:color w:val="auto"/>
        </w:rPr>
      </w:pPr>
      <w:r>
        <w:rPr>
          <w:rFonts w:ascii="Arial" w:cs="Arial" w:eastAsia="Arial" w:hAnsi="Arial"/>
          <w:sz w:val="19"/>
          <w:szCs w:val="19"/>
          <w:color w:val="auto"/>
        </w:rPr>
        <w:t>law or in equity related to the rights and obligations sold and assigned pursuant to clause (i) above (the rights and obligations sold and assigned by [the][any] Assignor to [the][any] Assignee pursuant to clauses (i) and (ii) above being referred to herein collectively as [the][an] “Assigned Interest”). Each such sale and assignment is without recourse to [the][any] Assignor and, except as expressly provided in this Assignment and Acceptance, without representation or warranty by [the][any] Assignor.</w:t>
      </w:r>
    </w:p>
    <w:p>
      <w:pPr>
        <w:spacing w:after="0" w:line="183" w:lineRule="exact"/>
        <w:rPr>
          <w:sz w:val="20"/>
          <w:szCs w:val="20"/>
          <w:color w:val="auto"/>
        </w:rPr>
      </w:pPr>
    </w:p>
    <w:p>
      <w:pPr>
        <w:ind w:left="660" w:hanging="652"/>
        <w:spacing w:after="0"/>
        <w:tabs>
          <w:tab w:leader="none" w:pos="660" w:val="left"/>
        </w:tabs>
        <w:numPr>
          <w:ilvl w:val="0"/>
          <w:numId w:val="589"/>
        </w:numPr>
        <w:rPr>
          <w:rFonts w:ascii="Arial" w:cs="Arial" w:eastAsia="Arial" w:hAnsi="Arial"/>
          <w:sz w:val="22"/>
          <w:szCs w:val="22"/>
          <w:color w:val="auto"/>
        </w:rPr>
      </w:pPr>
      <w:r>
        <w:rPr>
          <w:rFonts w:ascii="Arial" w:cs="Arial" w:eastAsia="Arial" w:hAnsi="Arial"/>
          <w:sz w:val="22"/>
          <w:szCs w:val="22"/>
          <w:u w:val="single" w:color="auto"/>
          <w:color w:val="auto"/>
        </w:rPr>
        <w:t>Assignor[s]</w:t>
      </w:r>
      <w:r>
        <w:rPr>
          <w:rFonts w:ascii="Arial" w:cs="Arial" w:eastAsia="Arial" w:hAnsi="Arial"/>
          <w:sz w:val="22"/>
          <w:szCs w:val="22"/>
          <w:color w:val="auto"/>
        </w:rPr>
        <w:t xml:space="preserve"> :  ______________________________</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______________________________</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[Assignor [is] [is not] a Defaulting Lender]</w:t>
      </w:r>
    </w:p>
    <w:p>
      <w:pPr>
        <w:spacing w:after="0" w:line="202" w:lineRule="exact"/>
        <w:rPr>
          <w:sz w:val="20"/>
          <w:szCs w:val="20"/>
          <w:color w:val="auto"/>
        </w:rPr>
      </w:pPr>
    </w:p>
    <w:p>
      <w:pPr>
        <w:ind w:left="660" w:hanging="652"/>
        <w:spacing w:after="0"/>
        <w:tabs>
          <w:tab w:leader="none" w:pos="660" w:val="left"/>
        </w:tabs>
        <w:numPr>
          <w:ilvl w:val="0"/>
          <w:numId w:val="590"/>
        </w:numPr>
        <w:rPr>
          <w:rFonts w:ascii="Arial" w:cs="Arial" w:eastAsia="Arial" w:hAnsi="Arial"/>
          <w:sz w:val="22"/>
          <w:szCs w:val="22"/>
          <w:color w:val="auto"/>
        </w:rPr>
      </w:pPr>
      <w:r>
        <w:rPr>
          <w:rFonts w:ascii="Arial" w:cs="Arial" w:eastAsia="Arial" w:hAnsi="Arial"/>
          <w:sz w:val="22"/>
          <w:szCs w:val="22"/>
          <w:u w:val="single" w:color="auto"/>
          <w:color w:val="auto"/>
        </w:rPr>
        <w:t>Assignee[s]</w:t>
      </w:r>
      <w:r>
        <w:rPr>
          <w:rFonts w:ascii="Arial" w:cs="Arial" w:eastAsia="Arial" w:hAnsi="Arial"/>
          <w:sz w:val="22"/>
          <w:szCs w:val="22"/>
          <w:color w:val="auto"/>
        </w:rPr>
        <w:t xml:space="preserve"> :  ______________________________</w:t>
      </w:r>
    </w:p>
    <w:p>
      <w:pPr>
        <w:spacing w:after="0" w:line="21"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______________________________</w:t>
      </w:r>
    </w:p>
    <w:p>
      <w:pPr>
        <w:spacing w:after="0" w:line="201" w:lineRule="exact"/>
        <w:rPr>
          <w:rFonts w:ascii="Arial" w:cs="Arial" w:eastAsia="Arial" w:hAnsi="Arial"/>
          <w:sz w:val="22"/>
          <w:szCs w:val="22"/>
          <w:color w:val="auto"/>
        </w:rPr>
      </w:pPr>
    </w:p>
    <w:p>
      <w:pPr>
        <w:ind w:left="660" w:hanging="652"/>
        <w:spacing w:after="0"/>
        <w:tabs>
          <w:tab w:leader="none" w:pos="660" w:val="left"/>
        </w:tabs>
        <w:numPr>
          <w:ilvl w:val="0"/>
          <w:numId w:val="590"/>
        </w:numPr>
        <w:rPr>
          <w:rFonts w:ascii="Arial" w:cs="Arial" w:eastAsia="Arial" w:hAnsi="Arial"/>
          <w:sz w:val="22"/>
          <w:szCs w:val="22"/>
          <w:color w:val="auto"/>
        </w:rPr>
      </w:pP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  AMERICAN AIRLINES, INC., a Delaware corporation (the “ </w:t>
      </w:r>
      <w:r>
        <w:rPr>
          <w:rFonts w:ascii="Arial" w:cs="Arial" w:eastAsia="Arial" w:hAnsi="Arial"/>
          <w:sz w:val="22"/>
          <w:szCs w:val="22"/>
          <w:u w:val="single" w:color="auto"/>
          <w:color w:val="auto"/>
        </w:rPr>
        <w:t>Borrower</w:t>
      </w:r>
      <w:r>
        <w:rPr>
          <w:rFonts w:ascii="Arial" w:cs="Arial" w:eastAsia="Arial" w:hAnsi="Arial"/>
          <w:sz w:val="22"/>
          <w:szCs w:val="22"/>
          <w:color w:val="auto"/>
        </w:rPr>
        <w:t xml:space="preserve"> ”)</w:t>
      </w:r>
    </w:p>
    <w:p>
      <w:pPr>
        <w:spacing w:after="0" w:line="219" w:lineRule="exact"/>
        <w:rPr>
          <w:rFonts w:ascii="Arial" w:cs="Arial" w:eastAsia="Arial" w:hAnsi="Arial"/>
          <w:sz w:val="22"/>
          <w:szCs w:val="22"/>
          <w:color w:val="auto"/>
        </w:rPr>
      </w:pPr>
    </w:p>
    <w:p>
      <w:pPr>
        <w:ind w:left="660" w:right="100" w:hanging="652"/>
        <w:spacing w:after="0" w:line="253" w:lineRule="auto"/>
        <w:tabs>
          <w:tab w:leader="none" w:pos="660" w:val="left"/>
        </w:tabs>
        <w:numPr>
          <w:ilvl w:val="0"/>
          <w:numId w:val="590"/>
        </w:numPr>
        <w:rPr>
          <w:rFonts w:ascii="Arial" w:cs="Arial" w:eastAsia="Arial" w:hAnsi="Arial"/>
          <w:sz w:val="22"/>
          <w:szCs w:val="22"/>
          <w:color w:val="auto"/>
        </w:rPr>
      </w:pP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 Citibank N.A., as administrative agent (together with its permitted successors, in such capacity, the “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xml:space="preserve"> ”) and as collateral agent (together with its permitted successors in such capacity, the “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 under the Credit Agreement</w:t>
      </w:r>
    </w:p>
    <w:p>
      <w:pPr>
        <w:spacing w:after="0" w:line="185" w:lineRule="exact"/>
        <w:rPr>
          <w:rFonts w:ascii="Arial" w:cs="Arial" w:eastAsia="Arial" w:hAnsi="Arial"/>
          <w:sz w:val="22"/>
          <w:szCs w:val="22"/>
          <w:color w:val="auto"/>
        </w:rPr>
      </w:pPr>
    </w:p>
    <w:p>
      <w:pPr>
        <w:ind w:left="660" w:right="60" w:hanging="652"/>
        <w:spacing w:after="0" w:line="248" w:lineRule="auto"/>
        <w:tabs>
          <w:tab w:leader="none" w:pos="660" w:val="left"/>
        </w:tabs>
        <w:numPr>
          <w:ilvl w:val="0"/>
          <w:numId w:val="590"/>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 Credit and Guaranty Agreement, dated as of March 18, 2020, by and among the Borrower, American Airlines Group Inc., a Delaware corporation (“ </w:t>
      </w:r>
      <w:r>
        <w:rPr>
          <w:rFonts w:ascii="Arial" w:cs="Arial" w:eastAsia="Arial" w:hAnsi="Arial"/>
          <w:sz w:val="22"/>
          <w:szCs w:val="22"/>
          <w:u w:val="single" w:color="auto"/>
          <w:color w:val="auto"/>
        </w:rPr>
        <w:t>Parent</w:t>
      </w:r>
      <w:r>
        <w:rPr>
          <w:rFonts w:ascii="Arial" w:cs="Arial" w:eastAsia="Arial" w:hAnsi="Arial"/>
          <w:sz w:val="22"/>
          <w:szCs w:val="22"/>
          <w:color w:val="auto"/>
        </w:rPr>
        <w:t xml:space="preserve"> ”), the other Subsidiaries of Parent from time to time party thereto other than the Borrower (together with the Parent, the “ </w:t>
      </w:r>
      <w:r>
        <w:rPr>
          <w:rFonts w:ascii="Arial" w:cs="Arial" w:eastAsia="Arial" w:hAnsi="Arial"/>
          <w:sz w:val="22"/>
          <w:szCs w:val="22"/>
          <w:u w:val="single" w:color="auto"/>
          <w:color w:val="auto"/>
        </w:rPr>
        <w:t>Guarantors</w:t>
      </w:r>
      <w:r>
        <w:rPr>
          <w:rFonts w:ascii="Arial" w:cs="Arial" w:eastAsia="Arial" w:hAnsi="Arial"/>
          <w:sz w:val="22"/>
          <w:szCs w:val="22"/>
          <w:color w:val="auto"/>
        </w:rPr>
        <w:t xml:space="preserve"> ”), the Administrative Agent, the Collateral Agent and the Lenders party thereto from time to time, as amended, restated, supplemented or otherwise modified and in effect from time to time.</w:t>
      </w:r>
    </w:p>
    <w:p>
      <w:pPr>
        <w:spacing w:after="0" w:line="191" w:lineRule="exact"/>
        <w:rPr>
          <w:rFonts w:ascii="Arial" w:cs="Arial" w:eastAsia="Arial" w:hAnsi="Arial"/>
          <w:sz w:val="22"/>
          <w:szCs w:val="22"/>
          <w:color w:val="auto"/>
        </w:rPr>
      </w:pPr>
    </w:p>
    <w:p>
      <w:pPr>
        <w:ind w:left="380" w:hanging="372"/>
        <w:spacing w:after="0"/>
        <w:tabs>
          <w:tab w:leader="none" w:pos="380" w:val="left"/>
        </w:tabs>
        <w:numPr>
          <w:ilvl w:val="0"/>
          <w:numId w:val="590"/>
        </w:numPr>
        <w:rPr>
          <w:rFonts w:ascii="Arial" w:cs="Arial" w:eastAsia="Arial" w:hAnsi="Arial"/>
          <w:sz w:val="22"/>
          <w:szCs w:val="22"/>
          <w:color w:val="auto"/>
        </w:rPr>
      </w:pPr>
      <w:r>
        <w:rPr>
          <w:rFonts w:ascii="Arial" w:cs="Arial" w:eastAsia="Arial" w:hAnsi="Arial"/>
          <w:sz w:val="22"/>
          <w:szCs w:val="22"/>
          <w:color w:val="auto"/>
        </w:rPr>
        <w:t>Assigned Interest[s]:</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0" w:type="dxa"/>
            <w:vAlign w:val="bottom"/>
            <w:tcBorders>
              <w:top w:val="single" w:sz="8" w:color="auto"/>
              <w:left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00" w:type="dxa"/>
            <w:vAlign w:val="bottom"/>
            <w:tcBorders>
              <w:top w:val="single" w:sz="8" w:color="auto"/>
              <w:right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80" w:type="dxa"/>
            <w:vAlign w:val="bottom"/>
            <w:tcBorders>
              <w:top w:val="single" w:sz="8" w:color="auto"/>
              <w:right w:val="single" w:sz="8" w:color="auto"/>
            </w:tcBorders>
          </w:tcPr>
          <w:p>
            <w:pPr>
              <w:spacing w:after="0"/>
              <w:rPr>
                <w:sz w:val="21"/>
                <w:szCs w:val="21"/>
                <w:color w:val="auto"/>
              </w:rPr>
            </w:pPr>
          </w:p>
        </w:tc>
        <w:tc>
          <w:tcPr>
            <w:tcW w:w="1760" w:type="dxa"/>
            <w:vAlign w:val="bottom"/>
            <w:tcBorders>
              <w:top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4"/>
              </w:rPr>
              <w:t>Amount of Assignor’s</w:t>
            </w:r>
          </w:p>
        </w:tc>
        <w:tc>
          <w:tcPr>
            <w:tcW w:w="1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178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Percentage of</w:t>
            </w:r>
          </w:p>
        </w:tc>
        <w:tc>
          <w:tcPr>
            <w:tcW w:w="7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0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8"/>
                <w:szCs w:val="18"/>
                <w:color w:val="auto"/>
                <w:w w:val="93"/>
              </w:rPr>
              <w:t>Amount of [Term</w:t>
            </w:r>
          </w:p>
        </w:tc>
        <w:tc>
          <w:tcPr>
            <w:tcW w:w="178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8"/>
                <w:szCs w:val="18"/>
                <w:color w:val="auto"/>
                <w:w w:val="93"/>
              </w:rPr>
              <w:t>Assignor’s [Term</w:t>
            </w:r>
          </w:p>
        </w:tc>
        <w:tc>
          <w:tcPr>
            <w:tcW w:w="178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8"/>
                <w:szCs w:val="18"/>
                <w:color w:val="auto"/>
                <w:w w:val="92"/>
              </w:rPr>
              <w:t>Resulting [Term</w:t>
            </w:r>
          </w:p>
        </w:tc>
        <w:tc>
          <w:tcPr>
            <w:tcW w:w="178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color w:val="auto"/>
                <w:w w:val="91"/>
              </w:rPr>
              <w:t>Resulting [Term</w:t>
            </w:r>
          </w:p>
        </w:tc>
        <w:tc>
          <w:tcPr>
            <w:tcW w:w="0" w:type="dxa"/>
            <w:vAlign w:val="bottom"/>
          </w:tcPr>
          <w:p>
            <w:pPr>
              <w:spacing w:after="0"/>
              <w:rPr>
                <w:sz w:val="1"/>
                <w:szCs w:val="1"/>
                <w:color w:val="auto"/>
              </w:rPr>
            </w:pPr>
          </w:p>
        </w:tc>
      </w:tr>
      <w:tr>
        <w:trPr>
          <w:trHeight w:val="148"/>
        </w:trPr>
        <w:tc>
          <w:tcPr>
            <w:tcW w:w="140" w:type="dxa"/>
            <w:vAlign w:val="bottom"/>
            <w:tcBorders>
              <w:lef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w w:val="93"/>
              </w:rPr>
              <w:t>[Term</w:t>
            </w:r>
          </w:p>
        </w:tc>
        <w:tc>
          <w:tcPr>
            <w:tcW w:w="160" w:type="dxa"/>
            <w:vAlign w:val="bottom"/>
          </w:tcPr>
          <w:p>
            <w:pPr>
              <w:spacing w:after="0"/>
              <w:rPr>
                <w:sz w:val="12"/>
                <w:szCs w:val="12"/>
                <w:color w:val="auto"/>
              </w:rPr>
            </w:pPr>
          </w:p>
        </w:tc>
        <w:tc>
          <w:tcPr>
            <w:tcW w:w="1600" w:type="dxa"/>
            <w:vAlign w:val="bottom"/>
            <w:tcBorders>
              <w:right w:val="single" w:sz="8" w:color="auto"/>
            </w:tcBorders>
            <w:gridSpan w:val="3"/>
            <w:vMerge w:val="continue"/>
          </w:tcPr>
          <w:p>
            <w:pPr>
              <w:spacing w:after="0"/>
              <w:rPr>
                <w:sz w:val="12"/>
                <w:szCs w:val="12"/>
                <w:color w:val="auto"/>
              </w:rPr>
            </w:pPr>
          </w:p>
        </w:tc>
        <w:tc>
          <w:tcPr>
            <w:tcW w:w="1780" w:type="dxa"/>
            <w:vAlign w:val="bottom"/>
            <w:tcBorders>
              <w:right w:val="single" w:sz="8" w:color="auto"/>
            </w:tcBorders>
            <w:gridSpan w:val="3"/>
            <w:vMerge w:val="continue"/>
          </w:tcPr>
          <w:p>
            <w:pPr>
              <w:spacing w:after="0"/>
              <w:rPr>
                <w:sz w:val="12"/>
                <w:szCs w:val="12"/>
                <w:color w:val="auto"/>
              </w:rPr>
            </w:pPr>
          </w:p>
        </w:tc>
        <w:tc>
          <w:tcPr>
            <w:tcW w:w="1780" w:type="dxa"/>
            <w:vAlign w:val="bottom"/>
            <w:tcBorders>
              <w:right w:val="single" w:sz="8" w:color="auto"/>
            </w:tcBorders>
            <w:gridSpan w:val="3"/>
            <w:vMerge w:val="continue"/>
          </w:tcPr>
          <w:p>
            <w:pPr>
              <w:spacing w:after="0"/>
              <w:rPr>
                <w:sz w:val="12"/>
                <w:szCs w:val="12"/>
                <w:color w:val="auto"/>
              </w:rPr>
            </w:pPr>
          </w:p>
        </w:tc>
        <w:tc>
          <w:tcPr>
            <w:tcW w:w="178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0" w:type="dxa"/>
            <w:vAlign w:val="bottom"/>
            <w:tcBorders>
              <w:left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760" w:type="dxa"/>
            <w:vAlign w:val="bottom"/>
            <w:tcBorders>
              <w:right w:val="single" w:sz="8" w:color="auto"/>
            </w:tcBorders>
            <w:gridSpan w:val="2"/>
            <w:vMerge w:val="continue"/>
          </w:tcPr>
          <w:p>
            <w:pPr>
              <w:spacing w:after="0"/>
              <w:rPr>
                <w:sz w:val="5"/>
                <w:szCs w:val="5"/>
                <w:color w:val="auto"/>
              </w:rPr>
            </w:pPr>
          </w:p>
        </w:tc>
        <w:tc>
          <w:tcPr>
            <w:tcW w:w="1760" w:type="dxa"/>
            <w:vAlign w:val="bottom"/>
            <w:tcBorders>
              <w:right w:val="single" w:sz="8" w:color="auto"/>
            </w:tcBorders>
            <w:gridSpan w:val="4"/>
            <w:vMerge w:val="restart"/>
          </w:tcPr>
          <w:p>
            <w:pPr>
              <w:jc w:val="center"/>
              <w:ind w:right="20"/>
              <w:spacing w:after="0"/>
              <w:rPr>
                <w:sz w:val="20"/>
                <w:szCs w:val="20"/>
                <w:color w:val="auto"/>
              </w:rPr>
            </w:pPr>
            <w:r>
              <w:rPr>
                <w:rFonts w:ascii="Arial" w:cs="Arial" w:eastAsia="Arial" w:hAnsi="Arial"/>
                <w:sz w:val="18"/>
                <w:szCs w:val="18"/>
                <w:color w:val="auto"/>
                <w:w w:val="94"/>
              </w:rPr>
              <w:t>Loans]/[Commitments]</w:t>
            </w:r>
          </w:p>
        </w:tc>
        <w:tc>
          <w:tcPr>
            <w:tcW w:w="178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color w:val="auto"/>
                <w:w w:val="93"/>
              </w:rPr>
              <w:t>Loans]/[Commitments]</w:t>
            </w:r>
          </w:p>
        </w:tc>
        <w:tc>
          <w:tcPr>
            <w:tcW w:w="178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18"/>
                <w:szCs w:val="18"/>
                <w:color w:val="auto"/>
                <w:w w:val="94"/>
              </w:rPr>
              <w:t>Loans]/[Commitments]</w:t>
            </w:r>
          </w:p>
        </w:tc>
        <w:tc>
          <w:tcPr>
            <w:tcW w:w="1780" w:type="dxa"/>
            <w:vAlign w:val="bottom"/>
            <w:tcBorders>
              <w:right w:val="single" w:sz="8" w:color="auto"/>
            </w:tcBorders>
            <w:gridSpan w:val="3"/>
            <w:vMerge w:val="restart"/>
          </w:tcPr>
          <w:p>
            <w:pPr>
              <w:jc w:val="center"/>
              <w:ind w:right="20"/>
              <w:spacing w:after="0"/>
              <w:rPr>
                <w:sz w:val="20"/>
                <w:szCs w:val="20"/>
                <w:color w:val="auto"/>
              </w:rPr>
            </w:pPr>
            <w:r>
              <w:rPr>
                <w:rFonts w:ascii="Arial" w:cs="Arial" w:eastAsia="Arial" w:hAnsi="Arial"/>
                <w:sz w:val="18"/>
                <w:szCs w:val="18"/>
                <w:color w:val="auto"/>
                <w:w w:val="93"/>
              </w:rPr>
              <w:t>Loans]/[Commitments]</w:t>
            </w:r>
          </w:p>
        </w:tc>
        <w:tc>
          <w:tcPr>
            <w:tcW w:w="0" w:type="dxa"/>
            <w:vAlign w:val="bottom"/>
          </w:tcPr>
          <w:p>
            <w:pPr>
              <w:spacing w:after="0"/>
              <w:rPr>
                <w:sz w:val="1"/>
                <w:szCs w:val="1"/>
                <w:color w:val="auto"/>
              </w:rPr>
            </w:pPr>
          </w:p>
        </w:tc>
      </w:tr>
      <w:tr>
        <w:trPr>
          <w:trHeight w:val="159"/>
        </w:trPr>
        <w:tc>
          <w:tcPr>
            <w:tcW w:w="1240" w:type="dxa"/>
            <w:vAlign w:val="bottom"/>
            <w:tcBorders>
              <w:left w:val="single" w:sz="8" w:color="auto"/>
              <w:right w:val="single" w:sz="8" w:color="auto"/>
            </w:tcBorders>
            <w:gridSpan w:val="3"/>
            <w:vMerge w:val="restart"/>
          </w:tcPr>
          <w:p>
            <w:pPr>
              <w:ind w:left="140"/>
              <w:spacing w:after="0"/>
              <w:rPr>
                <w:sz w:val="20"/>
                <w:szCs w:val="20"/>
                <w:color w:val="auto"/>
              </w:rPr>
            </w:pPr>
            <w:r>
              <w:rPr>
                <w:rFonts w:ascii="Arial" w:cs="Arial" w:eastAsia="Arial" w:hAnsi="Arial"/>
                <w:sz w:val="18"/>
                <w:szCs w:val="18"/>
                <w:color w:val="auto"/>
              </w:rPr>
              <w:t xml:space="preserve">Assignor[s] </w:t>
            </w:r>
            <w:r>
              <w:rPr>
                <w:rFonts w:ascii="Arial" w:cs="Arial" w:eastAsia="Arial" w:hAnsi="Arial"/>
                <w:sz w:val="25"/>
                <w:szCs w:val="25"/>
                <w:u w:val="single" w:color="auto"/>
                <w:color w:val="auto"/>
                <w:vertAlign w:val="superscript"/>
              </w:rPr>
              <w:t>5</w:t>
            </w:r>
          </w:p>
        </w:tc>
        <w:tc>
          <w:tcPr>
            <w:tcW w:w="116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6"/>
              </w:rPr>
              <w:t xml:space="preserve">Assignee[s] </w:t>
            </w:r>
            <w:r>
              <w:rPr>
                <w:rFonts w:ascii="Arial" w:cs="Arial" w:eastAsia="Arial" w:hAnsi="Arial"/>
                <w:sz w:val="25"/>
                <w:szCs w:val="25"/>
                <w:u w:val="single" w:color="auto"/>
                <w:color w:val="auto"/>
                <w:w w:val="96"/>
                <w:vertAlign w:val="superscript"/>
              </w:rPr>
              <w:t>6</w:t>
            </w:r>
          </w:p>
        </w:tc>
        <w:tc>
          <w:tcPr>
            <w:tcW w:w="1760" w:type="dxa"/>
            <w:vAlign w:val="bottom"/>
            <w:tcBorders>
              <w:right w:val="single" w:sz="8" w:color="auto"/>
            </w:tcBorders>
            <w:gridSpan w:val="2"/>
          </w:tcPr>
          <w:p>
            <w:pPr>
              <w:jc w:val="center"/>
              <w:ind w:right="40"/>
              <w:spacing w:after="0" w:line="158" w:lineRule="exact"/>
              <w:rPr>
                <w:sz w:val="20"/>
                <w:szCs w:val="20"/>
                <w:color w:val="auto"/>
              </w:rPr>
            </w:pPr>
            <w:r>
              <w:rPr>
                <w:rFonts w:ascii="Arial" w:cs="Arial" w:eastAsia="Arial" w:hAnsi="Arial"/>
                <w:sz w:val="18"/>
                <w:szCs w:val="18"/>
                <w:color w:val="auto"/>
                <w:w w:val="93"/>
              </w:rPr>
              <w:t>Loans]/[Commitments]</w:t>
            </w:r>
          </w:p>
        </w:tc>
        <w:tc>
          <w:tcPr>
            <w:tcW w:w="1760" w:type="dxa"/>
            <w:vAlign w:val="bottom"/>
            <w:tcBorders>
              <w:right w:val="single" w:sz="8" w:color="auto"/>
            </w:tcBorders>
            <w:gridSpan w:val="4"/>
            <w:vMerge w:val="continue"/>
          </w:tcPr>
          <w:p>
            <w:pPr>
              <w:spacing w:after="0"/>
              <w:rPr>
                <w:sz w:val="13"/>
                <w:szCs w:val="13"/>
                <w:color w:val="auto"/>
              </w:rPr>
            </w:pPr>
          </w:p>
        </w:tc>
        <w:tc>
          <w:tcPr>
            <w:tcW w:w="1780" w:type="dxa"/>
            <w:vAlign w:val="bottom"/>
            <w:tcBorders>
              <w:right w:val="single" w:sz="8" w:color="auto"/>
            </w:tcBorders>
            <w:gridSpan w:val="3"/>
            <w:vMerge w:val="continue"/>
          </w:tcPr>
          <w:p>
            <w:pPr>
              <w:spacing w:after="0"/>
              <w:rPr>
                <w:sz w:val="13"/>
                <w:szCs w:val="13"/>
                <w:color w:val="auto"/>
              </w:rPr>
            </w:pPr>
          </w:p>
        </w:tc>
        <w:tc>
          <w:tcPr>
            <w:tcW w:w="1780" w:type="dxa"/>
            <w:vAlign w:val="bottom"/>
            <w:tcBorders>
              <w:right w:val="single" w:sz="8" w:color="auto"/>
            </w:tcBorders>
            <w:gridSpan w:val="3"/>
            <w:vMerge w:val="continue"/>
          </w:tcPr>
          <w:p>
            <w:pPr>
              <w:spacing w:after="0"/>
              <w:rPr>
                <w:sz w:val="13"/>
                <w:szCs w:val="13"/>
                <w:color w:val="auto"/>
              </w:rPr>
            </w:pPr>
          </w:p>
        </w:tc>
        <w:tc>
          <w:tcPr>
            <w:tcW w:w="178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40" w:type="dxa"/>
            <w:vAlign w:val="bottom"/>
            <w:tcBorders>
              <w:left w:val="single" w:sz="8" w:color="auto"/>
              <w:right w:val="single" w:sz="8" w:color="auto"/>
            </w:tcBorders>
            <w:gridSpan w:val="3"/>
            <w:vMerge w:val="continue"/>
          </w:tcPr>
          <w:p>
            <w:pPr>
              <w:spacing w:after="0"/>
              <w:rPr>
                <w:sz w:val="15"/>
                <w:szCs w:val="15"/>
                <w:color w:val="auto"/>
              </w:rPr>
            </w:pPr>
          </w:p>
        </w:tc>
        <w:tc>
          <w:tcPr>
            <w:tcW w:w="1160" w:type="dxa"/>
            <w:vAlign w:val="bottom"/>
            <w:tcBorders>
              <w:right w:val="single" w:sz="8" w:color="auto"/>
            </w:tcBorders>
            <w:gridSpan w:val="3"/>
            <w:vMerge w:val="continue"/>
          </w:tcPr>
          <w:p>
            <w:pPr>
              <w:spacing w:after="0"/>
              <w:rPr>
                <w:sz w:val="15"/>
                <w:szCs w:val="15"/>
                <w:color w:val="auto"/>
              </w:rPr>
            </w:pPr>
          </w:p>
        </w:tc>
        <w:tc>
          <w:tcPr>
            <w:tcW w:w="17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3"/>
                <w:szCs w:val="13"/>
                <w:color w:val="auto"/>
                <w:w w:val="82"/>
              </w:rPr>
              <w:t>7</w:t>
            </w:r>
          </w:p>
        </w:tc>
        <w:tc>
          <w:tcPr>
            <w:tcW w:w="160" w:type="dxa"/>
            <w:vAlign w:val="bottom"/>
          </w:tcPr>
          <w:p>
            <w:pPr>
              <w:spacing w:after="0"/>
              <w:rPr>
                <w:sz w:val="15"/>
                <w:szCs w:val="15"/>
                <w:color w:val="auto"/>
              </w:rPr>
            </w:pPr>
          </w:p>
        </w:tc>
        <w:tc>
          <w:tcPr>
            <w:tcW w:w="1600" w:type="dxa"/>
            <w:vAlign w:val="bottom"/>
            <w:tcBorders>
              <w:right w:val="single" w:sz="8" w:color="auto"/>
            </w:tcBorders>
            <w:gridSpan w:val="3"/>
          </w:tcPr>
          <w:p>
            <w:pPr>
              <w:jc w:val="center"/>
              <w:ind w:right="180"/>
              <w:spacing w:after="0" w:line="160" w:lineRule="exact"/>
              <w:rPr>
                <w:sz w:val="20"/>
                <w:szCs w:val="20"/>
                <w:color w:val="auto"/>
              </w:rPr>
            </w:pPr>
            <w:r>
              <w:rPr>
                <w:rFonts w:ascii="Arial" w:cs="Arial" w:eastAsia="Arial" w:hAnsi="Arial"/>
                <w:sz w:val="18"/>
                <w:szCs w:val="18"/>
                <w:color w:val="auto"/>
                <w:w w:val="89"/>
              </w:rPr>
              <w:t>Assigned</w:t>
            </w:r>
          </w:p>
        </w:tc>
        <w:tc>
          <w:tcPr>
            <w:tcW w:w="480" w:type="dxa"/>
            <w:vAlign w:val="bottom"/>
          </w:tcPr>
          <w:p>
            <w:pPr>
              <w:spacing w:after="0"/>
              <w:rPr>
                <w:sz w:val="15"/>
                <w:szCs w:val="15"/>
                <w:color w:val="auto"/>
              </w:rPr>
            </w:pPr>
          </w:p>
        </w:tc>
        <w:tc>
          <w:tcPr>
            <w:tcW w:w="1300" w:type="dxa"/>
            <w:vAlign w:val="bottom"/>
            <w:tcBorders>
              <w:right w:val="single" w:sz="8" w:color="auto"/>
            </w:tcBorders>
            <w:gridSpan w:val="2"/>
          </w:tcPr>
          <w:p>
            <w:pPr>
              <w:jc w:val="center"/>
              <w:ind w:right="520"/>
              <w:spacing w:after="0" w:line="160" w:lineRule="exact"/>
              <w:rPr>
                <w:sz w:val="20"/>
                <w:szCs w:val="20"/>
                <w:color w:val="auto"/>
              </w:rPr>
            </w:pPr>
            <w:r>
              <w:rPr>
                <w:rFonts w:ascii="Arial" w:cs="Arial" w:eastAsia="Arial" w:hAnsi="Arial"/>
                <w:sz w:val="13"/>
                <w:szCs w:val="13"/>
                <w:color w:val="auto"/>
              </w:rPr>
              <w:t xml:space="preserve">Assigned </w:t>
            </w:r>
            <w:r>
              <w:rPr>
                <w:rFonts w:ascii="Arial" w:cs="Arial" w:eastAsia="Arial" w:hAnsi="Arial"/>
                <w:sz w:val="18"/>
                <w:szCs w:val="18"/>
                <w:u w:val="single" w:color="auto"/>
                <w:color w:val="auto"/>
                <w:vertAlign w:val="superscript"/>
              </w:rPr>
              <w:t>8</w:t>
            </w:r>
          </w:p>
        </w:tc>
        <w:tc>
          <w:tcPr>
            <w:tcW w:w="1780" w:type="dxa"/>
            <w:vAlign w:val="bottom"/>
            <w:tcBorders>
              <w:right w:val="single" w:sz="8" w:color="auto"/>
            </w:tcBorders>
            <w:gridSpan w:val="3"/>
          </w:tcPr>
          <w:p>
            <w:pPr>
              <w:jc w:val="center"/>
              <w:ind w:right="40"/>
              <w:spacing w:after="0" w:line="160" w:lineRule="exact"/>
              <w:rPr>
                <w:sz w:val="20"/>
                <w:szCs w:val="20"/>
                <w:color w:val="auto"/>
              </w:rPr>
            </w:pPr>
            <w:r>
              <w:rPr>
                <w:rFonts w:ascii="Arial" w:cs="Arial" w:eastAsia="Arial" w:hAnsi="Arial"/>
                <w:sz w:val="18"/>
                <w:szCs w:val="18"/>
                <w:color w:val="auto"/>
                <w:w w:val="94"/>
              </w:rPr>
              <w:t>Amount for Assignor</w:t>
            </w:r>
          </w:p>
        </w:tc>
        <w:tc>
          <w:tcPr>
            <w:tcW w:w="1780" w:type="dxa"/>
            <w:vAlign w:val="bottom"/>
            <w:tcBorders>
              <w:right w:val="single" w:sz="8" w:color="auto"/>
            </w:tcBorders>
            <w:gridSpan w:val="3"/>
          </w:tcPr>
          <w:p>
            <w:pPr>
              <w:jc w:val="center"/>
              <w:ind w:right="20"/>
              <w:spacing w:after="0" w:line="160" w:lineRule="exact"/>
              <w:rPr>
                <w:sz w:val="20"/>
                <w:szCs w:val="20"/>
                <w:color w:val="auto"/>
              </w:rPr>
            </w:pPr>
            <w:r>
              <w:rPr>
                <w:rFonts w:ascii="Arial" w:cs="Arial" w:eastAsia="Arial" w:hAnsi="Arial"/>
                <w:sz w:val="18"/>
                <w:szCs w:val="18"/>
                <w:color w:val="auto"/>
                <w:w w:val="93"/>
              </w:rPr>
              <w:t>Amount for Assignee</w:t>
            </w:r>
          </w:p>
        </w:tc>
        <w:tc>
          <w:tcPr>
            <w:tcW w:w="0" w:type="dxa"/>
            <w:vAlign w:val="bottom"/>
          </w:tcPr>
          <w:p>
            <w:pPr>
              <w:spacing w:after="0"/>
              <w:rPr>
                <w:sz w:val="1"/>
                <w:szCs w:val="1"/>
                <w:color w:val="auto"/>
              </w:rPr>
            </w:pPr>
          </w:p>
        </w:tc>
      </w:tr>
      <w:tr>
        <w:trPr>
          <w:trHeight w:val="263"/>
        </w:trPr>
        <w:tc>
          <w:tcPr>
            <w:tcW w:w="140" w:type="dxa"/>
            <w:vAlign w:val="bottom"/>
            <w:tcBorders>
              <w:left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40" w:type="dxa"/>
            <w:vAlign w:val="bottom"/>
            <w:tcBorders>
              <w:bottom w:val="single" w:sz="8" w:color="auto"/>
              <w:right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88"/>
              </w:rPr>
              <w:t>$______</w:t>
            </w:r>
          </w:p>
        </w:tc>
        <w:tc>
          <w:tcPr>
            <w:tcW w:w="1760" w:type="dxa"/>
            <w:vAlign w:val="bottom"/>
            <w:tcBorders>
              <w:bottom w:val="single" w:sz="8" w:color="auto"/>
              <w:right w:val="single" w:sz="8" w:color="auto"/>
            </w:tcBorders>
            <w:gridSpan w:val="4"/>
          </w:tcPr>
          <w:p>
            <w:pPr>
              <w:jc w:val="center"/>
              <w:ind w:right="20"/>
              <w:spacing w:after="0"/>
              <w:rPr>
                <w:sz w:val="20"/>
                <w:szCs w:val="20"/>
                <w:color w:val="auto"/>
              </w:rPr>
            </w:pPr>
            <w:r>
              <w:rPr>
                <w:rFonts w:ascii="Arial" w:cs="Arial" w:eastAsia="Arial" w:hAnsi="Arial"/>
                <w:sz w:val="22"/>
                <w:szCs w:val="22"/>
                <w:color w:val="auto"/>
                <w:w w:val="86"/>
              </w:rPr>
              <w:t>$______</w:t>
            </w:r>
          </w:p>
        </w:tc>
        <w:tc>
          <w:tcPr>
            <w:tcW w:w="17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$______</w:t>
            </w:r>
          </w:p>
        </w:tc>
        <w:tc>
          <w:tcPr>
            <w:tcW w:w="164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22"/>
                <w:szCs w:val="22"/>
                <w:color w:val="auto"/>
                <w:w w:val="88"/>
              </w:rPr>
              <w:t>$______</w:t>
            </w: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22"/>
                <w:szCs w:val="22"/>
                <w:color w:val="auto"/>
                <w:w w:val="88"/>
              </w:rPr>
              <w:t>$______</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88"/>
              </w:rPr>
              <w:t>$______</w:t>
            </w:r>
          </w:p>
        </w:tc>
        <w:tc>
          <w:tcPr>
            <w:tcW w:w="1760" w:type="dxa"/>
            <w:vAlign w:val="bottom"/>
            <w:tcBorders>
              <w:bottom w:val="single" w:sz="8" w:color="auto"/>
              <w:right w:val="single" w:sz="8" w:color="auto"/>
            </w:tcBorders>
            <w:gridSpan w:val="4"/>
          </w:tcPr>
          <w:p>
            <w:pPr>
              <w:jc w:val="center"/>
              <w:ind w:right="20"/>
              <w:spacing w:after="0"/>
              <w:rPr>
                <w:sz w:val="20"/>
                <w:szCs w:val="20"/>
                <w:color w:val="auto"/>
              </w:rPr>
            </w:pPr>
            <w:r>
              <w:rPr>
                <w:rFonts w:ascii="Arial" w:cs="Arial" w:eastAsia="Arial" w:hAnsi="Arial"/>
                <w:sz w:val="22"/>
                <w:szCs w:val="22"/>
                <w:color w:val="auto"/>
                <w:w w:val="86"/>
              </w:rPr>
              <w:t>$______</w:t>
            </w:r>
          </w:p>
        </w:tc>
        <w:tc>
          <w:tcPr>
            <w:tcW w:w="17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$______</w:t>
            </w:r>
          </w:p>
        </w:tc>
        <w:tc>
          <w:tcPr>
            <w:tcW w:w="164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22"/>
                <w:szCs w:val="22"/>
                <w:color w:val="auto"/>
                <w:w w:val="88"/>
              </w:rPr>
              <w:t>$______</w:t>
            </w: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22"/>
                <w:szCs w:val="22"/>
                <w:color w:val="auto"/>
                <w:w w:val="88"/>
              </w:rPr>
              <w:t>$______</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0" w:type="dxa"/>
            <w:vAlign w:val="bottom"/>
            <w:tcBorders>
              <w:left w:val="single" w:sz="8" w:color="auto"/>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2"/>
                <w:szCs w:val="22"/>
                <w:color w:val="auto"/>
                <w:w w:val="88"/>
              </w:rPr>
              <w:t>$______</w:t>
            </w:r>
          </w:p>
        </w:tc>
        <w:tc>
          <w:tcPr>
            <w:tcW w:w="1760" w:type="dxa"/>
            <w:vAlign w:val="bottom"/>
            <w:tcBorders>
              <w:bottom w:val="single" w:sz="8" w:color="auto"/>
              <w:right w:val="single" w:sz="8" w:color="auto"/>
            </w:tcBorders>
            <w:gridSpan w:val="4"/>
          </w:tcPr>
          <w:p>
            <w:pPr>
              <w:jc w:val="center"/>
              <w:ind w:right="20"/>
              <w:spacing w:after="0"/>
              <w:rPr>
                <w:sz w:val="20"/>
                <w:szCs w:val="20"/>
                <w:color w:val="auto"/>
              </w:rPr>
            </w:pPr>
            <w:r>
              <w:rPr>
                <w:rFonts w:ascii="Arial" w:cs="Arial" w:eastAsia="Arial" w:hAnsi="Arial"/>
                <w:sz w:val="22"/>
                <w:szCs w:val="22"/>
                <w:color w:val="auto"/>
                <w:w w:val="86"/>
              </w:rPr>
              <w:t>$______</w:t>
            </w:r>
          </w:p>
        </w:tc>
        <w:tc>
          <w:tcPr>
            <w:tcW w:w="178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color w:val="auto"/>
                <w:w w:val="88"/>
              </w:rPr>
              <w:t>$______</w:t>
            </w:r>
          </w:p>
        </w:tc>
        <w:tc>
          <w:tcPr>
            <w:tcW w:w="164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22"/>
                <w:szCs w:val="22"/>
                <w:color w:val="auto"/>
                <w:w w:val="88"/>
              </w:rPr>
              <w:t>$______</w:t>
            </w: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left="1"/>
              <w:spacing w:after="0"/>
              <w:rPr>
                <w:sz w:val="20"/>
                <w:szCs w:val="20"/>
                <w:color w:val="auto"/>
              </w:rPr>
            </w:pPr>
            <w:r>
              <w:rPr>
                <w:rFonts w:ascii="Arial" w:cs="Arial" w:eastAsia="Arial" w:hAnsi="Arial"/>
                <w:sz w:val="22"/>
                <w:szCs w:val="22"/>
                <w:color w:val="auto"/>
                <w:w w:val="88"/>
              </w:rPr>
              <w:t>$______</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ectPr>
          <w:pgSz w:w="11900" w:h="16838" w:orient="portrait"/>
          <w:cols w:equalWidth="0" w:num="1">
            <w:col w:w="11260"/>
          </w:cols>
          <w:pgMar w:left="320" w:top="563" w:right="319" w:bottom="1440" w:gutter="0" w:footer="0" w:header="0"/>
        </w:sectPr>
      </w:pPr>
    </w:p>
    <w:p>
      <w:pPr>
        <w:spacing w:after="0"/>
        <w:rPr>
          <w:sz w:val="20"/>
          <w:szCs w:val="20"/>
          <w:color w:val="auto"/>
        </w:rPr>
      </w:pPr>
      <w:r>
        <w:rPr>
          <w:rFonts w:ascii="Arial" w:cs="Arial" w:eastAsia="Arial" w:hAnsi="Arial"/>
          <w:sz w:val="14"/>
          <w:szCs w:val="14"/>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List each Assignor, as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List each Assignee, as appropriate.</w:t>
      </w:r>
    </w:p>
    <w:p>
      <w:pPr>
        <w:spacing w:after="0" w:line="139" w:lineRule="exact"/>
        <w:rPr>
          <w:sz w:val="20"/>
          <w:szCs w:val="20"/>
          <w:color w:val="auto"/>
        </w:rPr>
      </w:pPr>
    </w:p>
    <w:p>
      <w:pPr>
        <w:ind w:right="640"/>
        <w:spacing w:after="0" w:line="287" w:lineRule="auto"/>
        <w:rPr>
          <w:sz w:val="20"/>
          <w:szCs w:val="20"/>
          <w:color w:val="auto"/>
        </w:rPr>
      </w:pPr>
      <w:r>
        <w:rPr>
          <w:rFonts w:ascii="Arial" w:cs="Arial" w:eastAsia="Arial" w:hAnsi="Arial"/>
          <w:sz w:val="21"/>
          <w:szCs w:val="21"/>
          <w:color w:val="auto"/>
        </w:rPr>
        <w:t>Amounts in this column and in the column immediately to the right to be adjusted by the counterparties to take into account any payments or prepayments made between the Trade Date and the Effective Date.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color w:val="auto"/>
        </w:rPr>
        <w:t>Set forth, to at least 9 decimals, as a percentage of the Loans of all Lenders thereunder.</w:t>
      </w:r>
    </w:p>
    <w:p>
      <w:pPr>
        <w:spacing w:after="0" w:line="220"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C- 2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600"/>
          </w:cols>
          <w:pgMar w:left="320" w:top="563" w:right="319" w:bottom="1440" w:gutter="0" w:footer="0" w:header="0"/>
          <w:type w:val="continuous"/>
        </w:sectPr>
      </w:pPr>
    </w:p>
    <w:bookmarkStart w:id="467" w:name="page468"/>
    <w:bookmarkEnd w:id="467"/>
    <w:p>
      <w:pPr>
        <w:spacing w:after="0"/>
        <w:rPr>
          <w:sz w:val="20"/>
          <w:szCs w:val="20"/>
          <w:color w:val="auto"/>
        </w:rPr>
      </w:pPr>
      <w:r>
        <w:rPr>
          <w:rFonts w:ascii="Arial" w:cs="Arial" w:eastAsia="Arial" w:hAnsi="Arial"/>
          <w:sz w:val="22"/>
          <w:szCs w:val="22"/>
          <w:color w:val="auto"/>
        </w:rPr>
        <w:t xml:space="preserve">[7. Trade Date: __________________] </w:t>
      </w:r>
      <w:r>
        <w:rPr>
          <w:rFonts w:ascii="Arial" w:cs="Arial" w:eastAsia="Arial" w:hAnsi="Arial"/>
          <w:sz w:val="28"/>
          <w:szCs w:val="28"/>
          <w:color w:val="auto"/>
          <w:vertAlign w:val="superscript"/>
        </w:rPr>
        <w:t>9</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__________________, 20__ [TO BE INSERTED BY ADMINISTRATIVE AGENT AND WHICH SHALL BE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6134100</wp:posOffset>
            </wp:positionV>
            <wp:extent cx="6858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right="200" w:hanging="652"/>
        <w:spacing w:after="0" w:line="217" w:lineRule="auto"/>
        <w:tabs>
          <w:tab w:leader="none" w:pos="660" w:val="left"/>
        </w:tabs>
        <w:numPr>
          <w:ilvl w:val="0"/>
          <w:numId w:val="591"/>
        </w:numPr>
        <w:rPr>
          <w:rFonts w:ascii="Arial" w:cs="Arial" w:eastAsia="Arial" w:hAnsi="Arial"/>
          <w:sz w:val="29"/>
          <w:szCs w:val="29"/>
          <w:color w:val="auto"/>
          <w:vertAlign w:val="superscript"/>
        </w:rPr>
      </w:pPr>
      <w:r>
        <w:rPr>
          <w:rFonts w:ascii="Arial" w:cs="Arial" w:eastAsia="Arial" w:hAnsi="Arial"/>
          <w:sz w:val="22"/>
          <w:szCs w:val="22"/>
          <w:color w:val="auto"/>
        </w:rPr>
        <w:t>To be completed if the Assignor and the Assignee intend that the minimum assignment amount is to be determined as of the Trade Date.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8" w:name="page469"/>
    <w:bookmarkEnd w:id="468"/>
    <w:p>
      <w:pPr>
        <w:spacing w:after="0"/>
        <w:rPr>
          <w:sz w:val="20"/>
          <w:szCs w:val="20"/>
          <w:color w:val="auto"/>
        </w:rPr>
      </w:pPr>
      <w:r>
        <w:rPr>
          <w:rFonts w:ascii="Arial" w:cs="Arial" w:eastAsia="Arial" w:hAnsi="Arial"/>
          <w:sz w:val="19"/>
          <w:szCs w:val="19"/>
          <w:color w:val="auto"/>
        </w:rPr>
        <w:t>The terms set forth in this Assignment and Acceptance are hereby agreed to:</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ASSIGNOR</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OF ASSIGNOR]</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 _____________________________</w:t>
      </w:r>
    </w:p>
    <w:p>
      <w:pPr>
        <w:spacing w:after="0" w:line="5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22"/>
          <w:szCs w:val="22"/>
          <w:u w:val="single" w:color="auto"/>
          <w:color w:val="auto"/>
        </w:rPr>
        <w:t>ASSIGNEE</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OF ASSIGNEE]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 _____________________________</w:t>
      </w:r>
    </w:p>
    <w:p>
      <w:pPr>
        <w:spacing w:after="0" w:line="3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C- 4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63" w:right="1440" w:bottom="1440" w:gutter="0" w:footer="0" w:header="0"/>
        </w:sectPr>
      </w:pPr>
    </w:p>
    <w:bookmarkStart w:id="469" w:name="page470"/>
    <w:bookmarkEnd w:id="469"/>
    <w:p>
      <w:pPr>
        <w:spacing w:after="0"/>
        <w:rPr>
          <w:sz w:val="20"/>
          <w:szCs w:val="20"/>
          <w:color w:val="auto"/>
        </w:rPr>
      </w:pPr>
      <w:r>
        <w:rPr>
          <w:rFonts w:ascii="Arial" w:cs="Arial" w:eastAsia="Arial" w:hAnsi="Arial"/>
          <w:sz w:val="22"/>
          <w:szCs w:val="22"/>
          <w:color w:val="auto"/>
        </w:rPr>
        <w:t xml:space="preserve">[Consented to and] </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Accepted:</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Citibank, n.A., 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[Consented to: </w:t>
      </w:r>
      <w:r>
        <w:rPr>
          <w:rFonts w:ascii="Arial" w:cs="Arial" w:eastAsia="Arial" w:hAnsi="Arial"/>
          <w:sz w:val="28"/>
          <w:szCs w:val="28"/>
          <w:color w:val="auto"/>
          <w:vertAlign w:val="superscript"/>
        </w:rPr>
        <w:t>11</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color w:val="auto"/>
        </w:rPr>
        <w:t>AMERICAN AIRLINES, INC.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3836670</wp:posOffset>
            </wp:positionV>
            <wp:extent cx="6858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652"/>
        <w:spacing w:after="0"/>
        <w:tabs>
          <w:tab w:leader="none" w:pos="660" w:val="left"/>
        </w:tabs>
        <w:numPr>
          <w:ilvl w:val="0"/>
          <w:numId w:val="592"/>
        </w:numPr>
        <w:rPr>
          <w:rFonts w:ascii="Arial" w:cs="Arial" w:eastAsia="Arial" w:hAnsi="Arial"/>
          <w:sz w:val="26"/>
          <w:szCs w:val="26"/>
          <w:color w:val="auto"/>
          <w:vertAlign w:val="superscript"/>
        </w:rPr>
      </w:pPr>
      <w:r>
        <w:rPr>
          <w:rFonts w:ascii="Arial" w:cs="Arial" w:eastAsia="Arial" w:hAnsi="Arial"/>
          <w:sz w:val="19"/>
          <w:szCs w:val="19"/>
          <w:color w:val="auto"/>
        </w:rPr>
        <w:t>To the extent required under Section 10.02(b)(i)(A) of the Credit Agreement.</w:t>
      </w:r>
    </w:p>
    <w:p>
      <w:pPr>
        <w:spacing w:after="0" w:line="92" w:lineRule="exact"/>
        <w:rPr>
          <w:rFonts w:ascii="Arial" w:cs="Arial" w:eastAsia="Arial" w:hAnsi="Arial"/>
          <w:sz w:val="26"/>
          <w:szCs w:val="26"/>
          <w:color w:val="auto"/>
          <w:vertAlign w:val="superscript"/>
        </w:rPr>
      </w:pPr>
    </w:p>
    <w:p>
      <w:pPr>
        <w:ind w:left="660" w:hanging="652"/>
        <w:spacing w:after="0"/>
        <w:tabs>
          <w:tab w:leader="none" w:pos="660" w:val="left"/>
        </w:tabs>
        <w:numPr>
          <w:ilvl w:val="0"/>
          <w:numId w:val="592"/>
        </w:numPr>
        <w:rPr>
          <w:rFonts w:ascii="Arial" w:cs="Arial" w:eastAsia="Arial" w:hAnsi="Arial"/>
          <w:sz w:val="26"/>
          <w:szCs w:val="26"/>
          <w:color w:val="auto"/>
          <w:vertAlign w:val="superscript"/>
        </w:rPr>
      </w:pPr>
      <w:r>
        <w:rPr>
          <w:rFonts w:ascii="Arial" w:cs="Arial" w:eastAsia="Arial" w:hAnsi="Arial"/>
          <w:sz w:val="19"/>
          <w:szCs w:val="19"/>
          <w:color w:val="auto"/>
        </w:rPr>
        <w:t>To the extent required under Section 10.02(b)(i)(B) of the Credit Agreement.</w:t>
      </w:r>
    </w:p>
    <w:p>
      <w:pPr>
        <w:spacing w:after="0" w:line="198" w:lineRule="exact"/>
        <w:rPr>
          <w:sz w:val="20"/>
          <w:szCs w:val="20"/>
          <w:color w:val="auto"/>
        </w:rPr>
      </w:pPr>
    </w:p>
    <w:p>
      <w:pPr>
        <w:ind w:left="5440"/>
        <w:spacing w:after="0"/>
        <w:rPr>
          <w:sz w:val="20"/>
          <w:szCs w:val="20"/>
          <w:color w:val="auto"/>
        </w:rPr>
      </w:pPr>
      <w:r>
        <w:rPr>
          <w:rFonts w:ascii="Arial" w:cs="Arial" w:eastAsia="Arial" w:hAnsi="Arial"/>
          <w:sz w:val="22"/>
          <w:szCs w:val="22"/>
          <w:color w:val="auto"/>
        </w:rPr>
        <w:t>C- 5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470" w:name="page471"/>
    <w:bookmarkEnd w:id="470"/>
    <w:p>
      <w:pPr>
        <w:jc w:val="center"/>
        <w:spacing w:after="0"/>
        <w:rPr>
          <w:sz w:val="20"/>
          <w:szCs w:val="20"/>
          <w:color w:val="auto"/>
        </w:rPr>
      </w:pPr>
      <w:r>
        <w:rPr>
          <w:rFonts w:ascii="Arial" w:cs="Arial" w:eastAsia="Arial" w:hAnsi="Arial"/>
          <w:sz w:val="22"/>
          <w:szCs w:val="22"/>
          <w:color w:val="auto"/>
        </w:rPr>
        <w:t>ANNEX 1 TO ASSIGNMENT AND ACCEPTANCE</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Reference is made to the Credit and Guaranty Agreement, dated as of March 18, 2020 (as may be amended, restated, amended and restated, supplemented or otherwise modified from time to time, the “ </w:t>
      </w:r>
      <w:r>
        <w:rPr>
          <w:rFonts w:ascii="Arial" w:cs="Arial" w:eastAsia="Arial" w:hAnsi="Arial"/>
          <w:sz w:val="21"/>
          <w:szCs w:val="21"/>
          <w:u w:val="single" w:color="auto"/>
          <w:color w:val="auto"/>
        </w:rPr>
        <w:t>Credit Agreement</w:t>
      </w:r>
      <w:r>
        <w:rPr>
          <w:rFonts w:ascii="Arial" w:cs="Arial" w:eastAsia="Arial" w:hAnsi="Arial"/>
          <w:sz w:val="21"/>
          <w:szCs w:val="21"/>
          <w:color w:val="auto"/>
        </w:rPr>
        <w:t xml:space="preserve"> ”), among American Airlines, Inc., a Delaware corporation (the “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 American Airlines Group Inc., a Delaware corporation (“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 the other Subsidiaries of Parent from time to time party thereto other than the Borrower (together with the Parent, the “ </w:t>
      </w:r>
      <w:r>
        <w:rPr>
          <w:rFonts w:ascii="Arial" w:cs="Arial" w:eastAsia="Arial" w:hAnsi="Arial"/>
          <w:sz w:val="21"/>
          <w:szCs w:val="21"/>
          <w:u w:val="single" w:color="auto"/>
          <w:color w:val="auto"/>
        </w:rPr>
        <w:t>Guarantors</w:t>
      </w:r>
      <w:r>
        <w:rPr>
          <w:rFonts w:ascii="Arial" w:cs="Arial" w:eastAsia="Arial" w:hAnsi="Arial"/>
          <w:sz w:val="21"/>
          <w:szCs w:val="21"/>
          <w:color w:val="auto"/>
        </w:rPr>
        <w:t xml:space="preserve"> ”), Citibank N.A., as administrative agent (the “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 as collateral agent (the “ </w:t>
      </w:r>
      <w:r>
        <w:rPr>
          <w:rFonts w:ascii="Arial" w:cs="Arial" w:eastAsia="Arial" w:hAnsi="Arial"/>
          <w:sz w:val="21"/>
          <w:szCs w:val="21"/>
          <w:u w:val="single" w:color="auto"/>
          <w:color w:val="auto"/>
        </w:rPr>
        <w:t>Collateral Agent</w:t>
      </w:r>
      <w:r>
        <w:rPr>
          <w:rFonts w:ascii="Arial" w:cs="Arial" w:eastAsia="Arial" w:hAnsi="Arial"/>
          <w:sz w:val="21"/>
          <w:szCs w:val="21"/>
          <w:color w:val="auto"/>
        </w:rPr>
        <w:t xml:space="preserve"> ”), and the Lenders party thereto from time to time.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STANDARD TERMS AND CONDITIONS FOR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ASSIGNMENT AND ACCEPTANCE</w:t>
      </w:r>
    </w:p>
    <w:p>
      <w:pPr>
        <w:spacing w:after="0" w:line="220" w:lineRule="exact"/>
        <w:rPr>
          <w:sz w:val="20"/>
          <w:szCs w:val="20"/>
          <w:color w:val="auto"/>
        </w:rPr>
      </w:pPr>
    </w:p>
    <w:p>
      <w:pPr>
        <w:ind w:left="1080" w:hanging="424"/>
        <w:spacing w:after="0"/>
        <w:tabs>
          <w:tab w:leader="none" w:pos="1080" w:val="left"/>
        </w:tabs>
        <w:numPr>
          <w:ilvl w:val="0"/>
          <w:numId w:val="59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Assignor</w:t>
      </w:r>
      <w:r>
        <w:rPr>
          <w:rFonts w:ascii="Arial" w:cs="Arial" w:eastAsia="Arial" w:hAnsi="Arial"/>
          <w:sz w:val="19"/>
          <w:szCs w:val="19"/>
          <w:color w:val="auto"/>
        </w:rPr>
        <w:t xml:space="preserve"> . [The][Each] Assignor (a) represents and warrants that (i) it is the legal and beneficial owner of [the][the relevant] Assigned Interest, (ii) [the][such] Assigned Interest is free and clear of any lien, encumbrance or other adverse claim,</w:t>
      </w:r>
    </w:p>
    <w:p>
      <w:pPr>
        <w:spacing w:after="0" w:line="1" w:lineRule="exact"/>
        <w:rPr>
          <w:sz w:val="20"/>
          <w:szCs w:val="20"/>
          <w:color w:val="auto"/>
        </w:rPr>
      </w:pPr>
    </w:p>
    <w:p>
      <w:pPr>
        <w:jc w:val="both"/>
        <w:ind w:firstLine="8"/>
        <w:spacing w:after="0" w:line="257" w:lineRule="auto"/>
        <w:tabs>
          <w:tab w:leader="none" w:pos="395" w:val="left"/>
        </w:tabs>
        <w:numPr>
          <w:ilvl w:val="0"/>
          <w:numId w:val="594"/>
        </w:numPr>
        <w:rPr>
          <w:rFonts w:ascii="Arial" w:cs="Arial" w:eastAsia="Arial" w:hAnsi="Arial"/>
          <w:sz w:val="21"/>
          <w:szCs w:val="21"/>
          <w:color w:val="auto"/>
        </w:rPr>
      </w:pPr>
      <w:r>
        <w:rPr>
          <w:rFonts w:ascii="Arial" w:cs="Arial" w:eastAsia="Arial" w:hAnsi="Arial"/>
          <w:sz w:val="21"/>
          <w:szCs w:val="21"/>
          <w:color w:val="auto"/>
        </w:rPr>
        <w:t>it has full power and authority, and has taken all action necessary, to execute and deliver this Assignment and Acceptance and to consummate the transactions contemplated hereby and (iv) it is [not]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Loan Parties or any other person obligated in respect of any Loan Document or (iv) the performance or observance by the Loan Parties or any other person of any of their respective obligations under any Loan Document.</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Assignee</w:t>
      </w:r>
      <w:r>
        <w:rPr>
          <w:rFonts w:ascii="Arial" w:cs="Arial" w:eastAsia="Arial" w:hAnsi="Arial"/>
          <w:sz w:val="19"/>
          <w:szCs w:val="19"/>
          <w:color w:val="auto"/>
        </w:rPr>
        <w:t xml:space="preserve"> . [The][Each] Assignee (a) represents and warrants that (i) it is not a Defaulting Lender, Disqualified Institution or natural person, (ii) it has full power and authority, and has taken all action necessary, to execute and deliver this Assignment and Acceptance and to consummate the transactions contemplated hereby and to become a Lender under the Credit Agreement, (iii) it meets all the requirements to be an Assignee under the Credit Agreement (subject to such consents, if any, as may be required under Section 10.02(b) of the Credit Agreement), (iv) from and after the Effective Date, it shall be bound by the provisions of the Credit Agreement and the other Loan Documents as a Lender thereunder and, to the extent of [the][the relevant] Assigned Interest, shall have the obligations of a Lender thereunder, (v) it is sophisticated with respect to decisions to acquire assets of the type represented by [the][such] Assigned Interest and either it, or the person exercising discretion in making its decision to acquire [the][such] Assigned Interest, is experienced in acquiring assets of such type, (vi) it has received a copy of the Credit Agreement, and has received or has been accorded the opportunity to receive copies of the most recent financial statements delivered pursuant to Section 5.01 thereof, as applicable, and such other documents and information as it deems appropriate to make its own credit analysis and decision to enter into this Assignment and Acceptance and to purchase [the] [such] Assigned Interest, (vii) it has, independently and without reliance upon any Agent or any other Lender and based on such documents and information as it has deemed appropriate, made its own credit analysis and decision to enter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1" w:name="page472"/>
    <w:bookmarkEnd w:id="471"/>
    <w:p>
      <w:pPr>
        <w:jc w:val="both"/>
        <w:spacing w:after="0" w:line="292" w:lineRule="auto"/>
        <w:rPr>
          <w:sz w:val="20"/>
          <w:szCs w:val="20"/>
          <w:color w:val="auto"/>
        </w:rPr>
      </w:pPr>
      <w:r>
        <w:rPr>
          <w:rFonts w:ascii="Arial" w:cs="Arial" w:eastAsia="Arial" w:hAnsi="Arial"/>
          <w:sz w:val="19"/>
          <w:szCs w:val="19"/>
          <w:color w:val="auto"/>
        </w:rPr>
        <w:t>this Assignment and Acceptance and to purchase [the][such] Assigned Interest and (viii) attached hereto is any documentation required to be delivered by it pursuant to the terms of the Credit Agreement (including, without limitation, any such documentation required to be delivered pursuant to Sections 2.16(f) and (g)), duly completed and executed by [the][such] Assignee; and (b) agrees that (i) it will, independently and without reliance upon any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51" w:lineRule="exact"/>
        <w:rPr>
          <w:sz w:val="20"/>
          <w:szCs w:val="20"/>
          <w:color w:val="auto"/>
        </w:rPr>
      </w:pPr>
    </w:p>
    <w:p>
      <w:pPr>
        <w:jc w:val="both"/>
        <w:ind w:firstLine="656"/>
        <w:spacing w:after="0" w:line="250" w:lineRule="auto"/>
        <w:tabs>
          <w:tab w:leader="none" w:pos="1120" w:val="left"/>
        </w:tabs>
        <w:numPr>
          <w:ilvl w:val="0"/>
          <w:numId w:val="595"/>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 From and after the Effective Date, the Administrative Agent shall make all payments in respect of [the] [each] Assigned Interest (including payments of principal, interest, fees and other amounts) to [the][the relevant] Assignor for amounts which have accrued up to but excluding the Effective Date and to [the][the relevant] Assignee for amounts which have accrued from and after the Effective Date.</w:t>
      </w:r>
    </w:p>
    <w:p>
      <w:pPr>
        <w:spacing w:after="0" w:line="187" w:lineRule="exact"/>
        <w:rPr>
          <w:rFonts w:ascii="Arial" w:cs="Arial" w:eastAsia="Arial" w:hAnsi="Arial"/>
          <w:sz w:val="22"/>
          <w:szCs w:val="22"/>
          <w:color w:val="auto"/>
        </w:rPr>
      </w:pPr>
    </w:p>
    <w:p>
      <w:pPr>
        <w:jc w:val="both"/>
        <w:ind w:firstLine="656"/>
        <w:spacing w:after="0" w:line="247" w:lineRule="auto"/>
        <w:tabs>
          <w:tab w:leader="none" w:pos="1107" w:val="left"/>
        </w:tabs>
        <w:numPr>
          <w:ilvl w:val="0"/>
          <w:numId w:val="595"/>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 xml:space="preserve"> . This Assignment and Acceptance shall be binding upon, and inure to the benefit of, the parties hereto and their respective successors and assigns. This Assignment and Acceptance may be executed in any number of counterparts, which together shall constitute one instrument. Delivery of an executed counterpart of a signature page of this Assignment and Acceptance by telecopy shall be effective as delivery of a manually executed counterpart of this Assignment and Acceptance. This Assignment and Acceptance shall be construed in accordance with and governed by the laws of the State of New York.</w:t>
      </w:r>
    </w:p>
    <w:p>
      <w:pPr>
        <w:spacing w:after="0" w:line="192" w:lineRule="exact"/>
        <w:rPr>
          <w:rFonts w:ascii="Arial" w:cs="Arial" w:eastAsia="Arial" w:hAnsi="Arial"/>
          <w:sz w:val="22"/>
          <w:szCs w:val="22"/>
          <w:color w:val="auto"/>
        </w:rPr>
      </w:pPr>
    </w:p>
    <w:p>
      <w:pPr>
        <w:ind w:firstLine="656"/>
        <w:spacing w:after="0" w:line="273" w:lineRule="auto"/>
        <w:tabs>
          <w:tab w:leader="none" w:pos="1242" w:val="left"/>
        </w:tabs>
        <w:numPr>
          <w:ilvl w:val="0"/>
          <w:numId w:val="595"/>
        </w:numPr>
        <w:rPr>
          <w:rFonts w:ascii="Arial" w:cs="Arial" w:eastAsia="Arial" w:hAnsi="Arial"/>
          <w:sz w:val="22"/>
          <w:szCs w:val="22"/>
          <w:color w:val="auto"/>
        </w:rPr>
      </w:pPr>
      <w:r>
        <w:rPr>
          <w:rFonts w:ascii="Arial" w:cs="Arial" w:eastAsia="Arial" w:hAnsi="Arial"/>
          <w:sz w:val="22"/>
          <w:szCs w:val="22"/>
          <w:u w:val="single" w:color="auto"/>
          <w:color w:val="auto"/>
        </w:rPr>
        <w:t>Fees</w:t>
      </w:r>
      <w:r>
        <w:rPr>
          <w:rFonts w:ascii="Arial" w:cs="Arial" w:eastAsia="Arial" w:hAnsi="Arial"/>
          <w:sz w:val="22"/>
          <w:szCs w:val="22"/>
          <w:color w:val="auto"/>
        </w:rPr>
        <w:t xml:space="preserve"> . This Assignment and Acceptance shall be delivered to the Administrative Agent with a processing and recordation fee of $3,500.00, if applicable. </w:t>
      </w:r>
      <w:r>
        <w:rPr>
          <w:rFonts w:ascii="Arial" w:cs="Arial" w:eastAsia="Arial" w:hAnsi="Arial"/>
          <w:sz w:val="28"/>
          <w:szCs w:val="28"/>
          <w:color w:val="auto"/>
          <w:vertAlign w:val="superscript"/>
        </w:rPr>
        <w:t>12</w:t>
      </w:r>
    </w:p>
    <w:p>
      <w:pPr>
        <w:spacing w:after="0" w:line="74" w:lineRule="exact"/>
        <w:rPr>
          <w:rFonts w:ascii="Arial" w:cs="Arial" w:eastAsia="Arial" w:hAnsi="Arial"/>
          <w:sz w:val="22"/>
          <w:szCs w:val="22"/>
          <w:color w:val="auto"/>
        </w:rPr>
      </w:pPr>
    </w:p>
    <w:p>
      <w:pPr>
        <w:ind w:right="100" w:firstLine="656"/>
        <w:spacing w:after="0" w:line="250" w:lineRule="auto"/>
        <w:tabs>
          <w:tab w:leader="none" w:pos="1080" w:val="left"/>
        </w:tabs>
        <w:numPr>
          <w:ilvl w:val="0"/>
          <w:numId w:val="595"/>
        </w:numPr>
        <w:rPr>
          <w:rFonts w:ascii="Arial" w:cs="Arial" w:eastAsia="Arial" w:hAnsi="Arial"/>
          <w:sz w:val="22"/>
          <w:szCs w:val="22"/>
          <w:color w:val="auto"/>
        </w:rPr>
      </w:pP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xml:space="preserve"> . If the Assignee is not a Lender, annexed hereto as Exhibit A is a completed administrative questionnaire, in form and substance satisfactory to the Administrative Agent, which requests such information (including, without limitation, credit contact information and wiring instructions) from the Assignee as the Administrative Agent may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1915795</wp:posOffset>
            </wp:positionV>
            <wp:extent cx="68580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652"/>
        <w:spacing w:after="0"/>
        <w:tabs>
          <w:tab w:leader="none" w:pos="660" w:val="left"/>
        </w:tabs>
        <w:numPr>
          <w:ilvl w:val="0"/>
          <w:numId w:val="596"/>
        </w:numPr>
        <w:rPr>
          <w:rFonts w:ascii="Arial" w:cs="Arial" w:eastAsia="Arial" w:hAnsi="Arial"/>
          <w:sz w:val="29"/>
          <w:szCs w:val="29"/>
          <w:color w:val="auto"/>
          <w:vertAlign w:val="superscript"/>
        </w:rPr>
      </w:pPr>
      <w:r>
        <w:rPr>
          <w:rFonts w:ascii="Arial" w:cs="Arial" w:eastAsia="Arial" w:hAnsi="Arial"/>
          <w:sz w:val="22"/>
          <w:szCs w:val="22"/>
          <w:color w:val="auto"/>
        </w:rPr>
        <w:t>To be paid by the Assignor or the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2" w:name="page473"/>
    <w:bookmarkEnd w:id="472"/>
    <w:p>
      <w:pPr>
        <w:ind w:left="4080"/>
        <w:spacing w:after="0"/>
        <w:rPr>
          <w:sz w:val="20"/>
          <w:szCs w:val="20"/>
          <w:color w:val="auto"/>
        </w:rPr>
      </w:pPr>
      <w:r>
        <w:rPr>
          <w:rFonts w:ascii="Arial" w:cs="Arial" w:eastAsia="Arial" w:hAnsi="Arial"/>
          <w:sz w:val="22"/>
          <w:szCs w:val="22"/>
          <w:color w:val="auto"/>
        </w:rPr>
        <w:t>Exhibit A</w:t>
      </w:r>
    </w:p>
    <w:p>
      <w:pPr>
        <w:spacing w:after="0" w:line="85" w:lineRule="exact"/>
        <w:rPr>
          <w:sz w:val="20"/>
          <w:szCs w:val="20"/>
          <w:color w:val="auto"/>
        </w:rPr>
      </w:pPr>
    </w:p>
    <w:p>
      <w:pPr>
        <w:ind w:left="3220"/>
        <w:spacing w:after="0"/>
        <w:rPr>
          <w:sz w:val="20"/>
          <w:szCs w:val="20"/>
          <w:color w:val="auto"/>
        </w:rPr>
      </w:pPr>
      <w:r>
        <w:rPr>
          <w:rFonts w:ascii="Arial" w:cs="Arial" w:eastAsia="Arial" w:hAnsi="Arial"/>
          <w:sz w:val="22"/>
          <w:szCs w:val="22"/>
          <w:u w:val="single" w:color="auto"/>
          <w:color w:val="auto"/>
        </w:rPr>
        <w:t>Administrative Questionnaire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[provided by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489585</wp:posOffset>
            </wp:positionV>
            <wp:extent cx="713232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473" w:name="page474"/>
    <w:bookmarkEnd w:id="473"/>
    <w:p>
      <w:pPr>
        <w:jc w:val="right"/>
        <w:spacing w:after="0"/>
        <w:rPr>
          <w:sz w:val="20"/>
          <w:szCs w:val="20"/>
          <w:color w:val="auto"/>
        </w:rPr>
      </w:pPr>
      <w:r>
        <w:rPr>
          <w:rFonts w:ascii="Arial" w:cs="Arial" w:eastAsia="Arial" w:hAnsi="Arial"/>
          <w:sz w:val="22"/>
          <w:szCs w:val="22"/>
          <w:color w:val="auto"/>
        </w:rPr>
        <w:t>EXHIBIT D-1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LOAN REQUEST</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Reference is made to the Credit and Guaranty Agreement, dated as of March 18, 2020 (as may be amended, restated, amended and restated, supplemented or otherwise modified from time to time, the “ </w:t>
      </w:r>
      <w:r>
        <w:rPr>
          <w:rFonts w:ascii="Arial" w:cs="Arial" w:eastAsia="Arial" w:hAnsi="Arial"/>
          <w:sz w:val="21"/>
          <w:szCs w:val="21"/>
          <w:u w:val="single" w:color="auto"/>
          <w:color w:val="auto"/>
        </w:rPr>
        <w:t>Credit Agreement</w:t>
      </w:r>
      <w:r>
        <w:rPr>
          <w:rFonts w:ascii="Arial" w:cs="Arial" w:eastAsia="Arial" w:hAnsi="Arial"/>
          <w:sz w:val="21"/>
          <w:szCs w:val="21"/>
          <w:color w:val="auto"/>
        </w:rPr>
        <w:t xml:space="preserve"> ”), among American Airlines, Inc., a Delaware corporation (the “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 American Airlines Group Inc., a Delaware corporation (“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 the other Subsidiaries of Parent from time to time party thereto other than the Borrower (together with the Parent, the “ </w:t>
      </w:r>
      <w:r>
        <w:rPr>
          <w:rFonts w:ascii="Arial" w:cs="Arial" w:eastAsia="Arial" w:hAnsi="Arial"/>
          <w:sz w:val="21"/>
          <w:szCs w:val="21"/>
          <w:u w:val="single" w:color="auto"/>
          <w:color w:val="auto"/>
        </w:rPr>
        <w:t>Guarantors</w:t>
      </w:r>
      <w:r>
        <w:rPr>
          <w:rFonts w:ascii="Arial" w:cs="Arial" w:eastAsia="Arial" w:hAnsi="Arial"/>
          <w:sz w:val="21"/>
          <w:szCs w:val="21"/>
          <w:color w:val="auto"/>
        </w:rPr>
        <w:t xml:space="preserve"> ”), Citibank N.A., as administrative agent (the “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 as collateral agent (the “ </w:t>
      </w:r>
      <w:r>
        <w:rPr>
          <w:rFonts w:ascii="Arial" w:cs="Arial" w:eastAsia="Arial" w:hAnsi="Arial"/>
          <w:sz w:val="21"/>
          <w:szCs w:val="21"/>
          <w:u w:val="single" w:color="auto"/>
          <w:color w:val="auto"/>
        </w:rPr>
        <w:t>Collateral Agent</w:t>
      </w:r>
      <w:r>
        <w:rPr>
          <w:rFonts w:ascii="Arial" w:cs="Arial" w:eastAsia="Arial" w:hAnsi="Arial"/>
          <w:sz w:val="21"/>
          <w:szCs w:val="21"/>
          <w:color w:val="auto"/>
        </w:rPr>
        <w:t xml:space="preserve"> ”), and the Lenders party thereto from time to time. Capitalized terms used but not otherwise defined herein have the meanings assigned to such terms in the Credit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Pursuant to Section 2.03 of the Credit Agreement, the Borrower desires that the Lenders make the following Loans to the Borrower in accordance with the applicable terms and conditions of the Credit Agreement on [ </w:t>
      </w:r>
      <w:r>
        <w:rPr>
          <w:rFonts w:ascii="Arial" w:cs="Arial" w:eastAsia="Arial" w:hAnsi="Arial"/>
          <w:sz w:val="22"/>
          <w:szCs w:val="22"/>
          <w:b w:val="1"/>
          <w:bCs w:val="1"/>
          <w:color w:val="auto"/>
        </w:rPr>
        <w:t>•</w:t>
      </w:r>
      <w:r>
        <w:rPr>
          <w:rFonts w:ascii="Arial" w:cs="Arial" w:eastAsia="Arial" w:hAnsi="Arial"/>
          <w:sz w:val="22"/>
          <w:szCs w:val="22"/>
          <w:color w:val="auto"/>
        </w:rPr>
        <w:t xml:space="preserve"> ],20[ </w:t>
      </w:r>
      <w:r>
        <w:rPr>
          <w:rFonts w:ascii="Arial" w:cs="Arial" w:eastAsia="Arial" w:hAnsi="Arial"/>
          <w:sz w:val="22"/>
          <w:szCs w:val="22"/>
          <w:b w:val="1"/>
          <w:bCs w:val="1"/>
          <w:color w:val="auto"/>
        </w:rPr>
        <w:t>•</w:t>
      </w:r>
      <w:r>
        <w:rPr>
          <w:rFonts w:ascii="Arial" w:cs="Arial" w:eastAsia="Arial" w:hAnsi="Arial"/>
          <w:sz w:val="22"/>
          <w:szCs w:val="22"/>
          <w:color w:val="auto"/>
        </w:rPr>
        <w:t xml:space="preserve"> ] (which shall be a Business Day) (the “ </w:t>
      </w:r>
      <w:r>
        <w:rPr>
          <w:rFonts w:ascii="Arial" w:cs="Arial" w:eastAsia="Arial" w:hAnsi="Arial"/>
          <w:sz w:val="22"/>
          <w:szCs w:val="22"/>
          <w:u w:val="single" w:color="auto"/>
          <w:color w:val="auto"/>
        </w:rPr>
        <w:t>Borrowing Date</w:t>
      </w:r>
      <w:r>
        <w:rPr>
          <w:rFonts w:ascii="Arial" w:cs="Arial" w:eastAsia="Arial" w:hAnsi="Arial"/>
          <w:sz w:val="22"/>
          <w:szCs w:val="22"/>
          <w:color w:val="auto"/>
        </w:rPr>
        <w:t xml:space="preserve"> ”):</w:t>
      </w:r>
    </w:p>
    <w:p>
      <w:pPr>
        <w:spacing w:after="0" w:line="185" w:lineRule="exact"/>
        <w:rPr>
          <w:sz w:val="20"/>
          <w:szCs w:val="20"/>
          <w:color w:val="auto"/>
        </w:rPr>
      </w:pPr>
    </w:p>
    <w:p>
      <w:pPr>
        <w:ind w:left="1120" w:hanging="464"/>
        <w:spacing w:after="0"/>
        <w:tabs>
          <w:tab w:leader="none" w:pos="1120" w:val="left"/>
        </w:tabs>
        <w:numPr>
          <w:ilvl w:val="0"/>
          <w:numId w:val="597"/>
        </w:numPr>
        <w:rPr>
          <w:rFonts w:ascii="Arial" w:cs="Arial" w:eastAsia="Arial" w:hAnsi="Arial"/>
          <w:sz w:val="22"/>
          <w:szCs w:val="22"/>
          <w:color w:val="auto"/>
        </w:rPr>
      </w:pPr>
      <w:r>
        <w:rPr>
          <w:rFonts w:ascii="Arial" w:cs="Arial" w:eastAsia="Arial" w:hAnsi="Arial"/>
          <w:sz w:val="22"/>
          <w:szCs w:val="22"/>
          <w:color w:val="auto"/>
        </w:rPr>
        <w:t>Term Loans</w:t>
      </w:r>
    </w:p>
    <w:p>
      <w:pPr>
        <w:spacing w:after="0" w:line="233" w:lineRule="exact"/>
        <w:rPr>
          <w:sz w:val="20"/>
          <w:szCs w:val="20"/>
          <w:color w:val="auto"/>
        </w:rPr>
      </w:pPr>
    </w:p>
    <w:p>
      <w:pPr>
        <w:ind w:left="1960" w:hanging="656"/>
        <w:spacing w:after="0"/>
        <w:tabs>
          <w:tab w:leader="none" w:pos="1960" w:val="left"/>
        </w:tabs>
        <w:numPr>
          <w:ilvl w:val="0"/>
          <w:numId w:val="598"/>
        </w:numPr>
        <w:rPr>
          <w:rFonts w:ascii="Arial" w:cs="Arial" w:eastAsia="Arial" w:hAnsi="Arial"/>
          <w:sz w:val="18"/>
          <w:szCs w:val="18"/>
          <w:color w:val="auto"/>
        </w:rPr>
      </w:pPr>
      <w:r>
        <w:rPr>
          <w:rFonts w:ascii="Arial" w:cs="Arial" w:eastAsia="Arial" w:hAnsi="Arial"/>
          <w:sz w:val="22"/>
          <w:szCs w:val="22"/>
          <w:color w:val="auto"/>
        </w:rPr>
        <w:t>ABR Loans:   $[___,___,___]</w:t>
      </w:r>
    </w:p>
    <w:p>
      <w:pPr>
        <w:spacing w:after="0" w:line="233" w:lineRule="exact"/>
        <w:rPr>
          <w:rFonts w:ascii="Arial" w:cs="Arial" w:eastAsia="Arial" w:hAnsi="Arial"/>
          <w:sz w:val="18"/>
          <w:szCs w:val="18"/>
          <w:color w:val="auto"/>
        </w:rPr>
      </w:pPr>
    </w:p>
    <w:p>
      <w:pPr>
        <w:ind w:left="1300" w:right="5780" w:firstLine="4"/>
        <w:spacing w:after="0" w:line="519" w:lineRule="auto"/>
        <w:tabs>
          <w:tab w:leader="none" w:pos="1948" w:val="left"/>
        </w:tabs>
        <w:numPr>
          <w:ilvl w:val="0"/>
          <w:numId w:val="598"/>
        </w:numPr>
        <w:rPr>
          <w:rFonts w:ascii="Arial" w:cs="Arial" w:eastAsia="Arial" w:hAnsi="Arial"/>
          <w:sz w:val="16"/>
          <w:szCs w:val="16"/>
          <w:color w:val="auto"/>
        </w:rPr>
      </w:pPr>
      <w:r>
        <w:rPr>
          <w:rFonts w:ascii="Arial" w:cs="Arial" w:eastAsia="Arial" w:hAnsi="Arial"/>
          <w:sz w:val="19"/>
          <w:szCs w:val="19"/>
          <w:color w:val="auto"/>
        </w:rPr>
        <w:t>Eurodollar Loans, with an initial Interest Period of ____ month(s):$[___,___,___]</w:t>
      </w:r>
    </w:p>
    <w:p>
      <w:pPr>
        <w:ind w:left="660"/>
        <w:spacing w:after="0"/>
        <w:rPr>
          <w:sz w:val="20"/>
          <w:szCs w:val="20"/>
          <w:color w:val="auto"/>
        </w:rPr>
      </w:pPr>
      <w:r>
        <w:rPr>
          <w:rFonts w:ascii="Arial" w:cs="Arial" w:eastAsia="Arial" w:hAnsi="Arial"/>
          <w:sz w:val="22"/>
          <w:szCs w:val="22"/>
          <w:color w:val="auto"/>
        </w:rPr>
        <w:t>The Borrower hereby certifies that:</w:t>
      </w:r>
    </w:p>
    <w:p>
      <w:pPr>
        <w:spacing w:after="0" w:line="220" w:lineRule="exact"/>
        <w:rPr>
          <w:sz w:val="20"/>
          <w:szCs w:val="20"/>
          <w:color w:val="auto"/>
        </w:rPr>
      </w:pPr>
    </w:p>
    <w:p>
      <w:pPr>
        <w:jc w:val="both"/>
        <w:ind w:firstLine="656"/>
        <w:spacing w:after="0" w:line="265" w:lineRule="auto"/>
        <w:tabs>
          <w:tab w:leader="none" w:pos="1156" w:val="left"/>
        </w:tabs>
        <w:numPr>
          <w:ilvl w:val="1"/>
          <w:numId w:val="599"/>
        </w:numPr>
        <w:rPr>
          <w:rFonts w:ascii="Arial" w:cs="Arial" w:eastAsia="Arial" w:hAnsi="Arial"/>
          <w:sz w:val="20"/>
          <w:szCs w:val="20"/>
          <w:color w:val="auto"/>
        </w:rPr>
      </w:pPr>
      <w:r>
        <w:rPr>
          <w:rFonts w:ascii="Arial" w:cs="Arial" w:eastAsia="Arial" w:hAnsi="Arial"/>
          <w:sz w:val="20"/>
          <w:szCs w:val="20"/>
          <w:color w:val="auto"/>
        </w:rPr>
        <w:t xml:space="preserve">As of the Borrowing Date (both before and after giving effect to the Loan hereunder and the application of proceeds therefrom), all representations and warranties contained in the Credit Agreement and the other Loan Documents [(other than the representations and warranties set forth in Sections 3.05(b), 3.09(a), and 3.19)]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shall be true and correct in all material respects on and as of such Borrowing Date with the same effect as if made on and as of such Borrowing Date, except to the extent such representations and warranties expressly relate to an earlier date and in such case as of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such Loan hereunder.</w:t>
      </w:r>
    </w:p>
    <w:p>
      <w:pPr>
        <w:spacing w:after="0" w:line="200" w:lineRule="exact"/>
        <w:rPr>
          <w:rFonts w:ascii="Arial" w:cs="Arial" w:eastAsia="Arial" w:hAnsi="Arial"/>
          <w:sz w:val="20"/>
          <w:szCs w:val="20"/>
          <w:color w:val="auto"/>
        </w:rPr>
      </w:pPr>
    </w:p>
    <w:p>
      <w:pPr>
        <w:spacing w:after="0" w:line="308" w:lineRule="exact"/>
        <w:rPr>
          <w:rFonts w:ascii="Arial" w:cs="Arial" w:eastAsia="Arial" w:hAnsi="Arial"/>
          <w:sz w:val="20"/>
          <w:szCs w:val="20"/>
          <w:color w:val="auto"/>
        </w:rPr>
      </w:pPr>
    </w:p>
    <w:p>
      <w:pPr>
        <w:ind w:left="660" w:hanging="652"/>
        <w:spacing w:after="0"/>
        <w:tabs>
          <w:tab w:leader="none" w:pos="660" w:val="left"/>
        </w:tabs>
        <w:numPr>
          <w:ilvl w:val="0"/>
          <w:numId w:val="600"/>
        </w:numPr>
        <w:rPr>
          <w:rFonts w:ascii="Arial" w:cs="Arial" w:eastAsia="Arial" w:hAnsi="Arial"/>
          <w:sz w:val="29"/>
          <w:szCs w:val="29"/>
          <w:color w:val="auto"/>
          <w:vertAlign w:val="superscript"/>
        </w:rPr>
      </w:pPr>
      <w:r>
        <w:rPr>
          <w:rFonts w:ascii="Arial" w:cs="Arial" w:eastAsia="Arial" w:hAnsi="Arial"/>
          <w:sz w:val="22"/>
          <w:szCs w:val="22"/>
          <w:color w:val="auto"/>
        </w:rPr>
        <w:t>To be inserted in Loan Requests for Loans to be made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-280035</wp:posOffset>
            </wp:positionV>
            <wp:extent cx="68580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74" w:name="page475"/>
    <w:bookmarkEnd w:id="474"/>
    <w:p>
      <w:pPr>
        <w:ind w:left="1320" w:hanging="664"/>
        <w:spacing w:after="0"/>
        <w:tabs>
          <w:tab w:leader="none" w:pos="1320" w:val="left"/>
        </w:tabs>
        <w:numPr>
          <w:ilvl w:val="1"/>
          <w:numId w:val="601"/>
        </w:numPr>
        <w:rPr>
          <w:rFonts w:ascii="Arial" w:cs="Arial" w:eastAsia="Arial" w:hAnsi="Arial"/>
          <w:sz w:val="20"/>
          <w:szCs w:val="20"/>
          <w:color w:val="auto"/>
        </w:rPr>
      </w:pPr>
      <w:r>
        <w:rPr>
          <w:rFonts w:ascii="Arial" w:cs="Arial" w:eastAsia="Arial" w:hAnsi="Arial"/>
          <w:sz w:val="20"/>
          <w:szCs w:val="20"/>
          <w:color w:val="auto"/>
        </w:rPr>
        <w:t xml:space="preserve">On the Borrowing Date, no [Default or Event of Default] </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[(x) Default with respect to Section 7.01(b), (e), (f) or</w:t>
      </w:r>
    </w:p>
    <w:p>
      <w:pPr>
        <w:ind w:right="20" w:firstLine="8"/>
        <w:spacing w:after="0" w:line="223" w:lineRule="auto"/>
        <w:tabs>
          <w:tab w:leader="none" w:pos="310" w:val="left"/>
        </w:tabs>
        <w:numPr>
          <w:ilvl w:val="0"/>
          <w:numId w:val="602"/>
        </w:numPr>
        <w:rPr>
          <w:rFonts w:ascii="Arial" w:cs="Arial" w:eastAsia="Arial" w:hAnsi="Arial"/>
          <w:sz w:val="21"/>
          <w:szCs w:val="21"/>
          <w:color w:val="auto"/>
        </w:rPr>
      </w:pPr>
      <w:r>
        <w:rPr>
          <w:rFonts w:ascii="Arial" w:cs="Arial" w:eastAsia="Arial" w:hAnsi="Arial"/>
          <w:sz w:val="21"/>
          <w:szCs w:val="21"/>
          <w:color w:val="auto"/>
        </w:rPr>
        <w:t xml:space="preserve">or (y) Event of Default] </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shall have occurred and be continuing nor shall any [such] </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Default or any Event of Default, as the case may be, occur by reason of the making of the requested Borrowing and the application of proceeds thereof.</w:t>
      </w:r>
    </w:p>
    <w:p>
      <w:pPr>
        <w:spacing w:after="0" w:line="198" w:lineRule="exact"/>
        <w:rPr>
          <w:sz w:val="20"/>
          <w:szCs w:val="20"/>
          <w:color w:val="auto"/>
        </w:rPr>
      </w:pPr>
    </w:p>
    <w:p>
      <w:pPr>
        <w:jc w:val="both"/>
        <w:ind w:firstLine="656"/>
        <w:spacing w:after="0" w:line="254" w:lineRule="auto"/>
        <w:tabs>
          <w:tab w:leader="none" w:pos="1291" w:val="left"/>
        </w:tabs>
        <w:numPr>
          <w:ilvl w:val="0"/>
          <w:numId w:val="603"/>
        </w:numPr>
        <w:rPr>
          <w:rFonts w:ascii="Arial" w:cs="Arial" w:eastAsia="Arial" w:hAnsi="Arial"/>
          <w:sz w:val="22"/>
          <w:szCs w:val="22"/>
          <w:color w:val="auto"/>
        </w:rPr>
      </w:pPr>
      <w:r>
        <w:rPr>
          <w:rFonts w:ascii="Arial" w:cs="Arial" w:eastAsia="Arial" w:hAnsi="Arial"/>
          <w:sz w:val="22"/>
          <w:szCs w:val="22"/>
          <w:color w:val="auto"/>
        </w:rPr>
        <w:t>On the Borrowing Date (and after giving pro forma effect to such Loan hereunder and the application of proceeds therefrom), the Collateral Coverage Ratio shall not be less than [ ] to 1.0 with respect to Collateral secured pursuant to the First Lien SGR Security Agreement, and [ ] to 1.0 with respect to Collateral secured pursuant to the Second Lien SGR Security Agreement.</w:t>
      </w:r>
    </w:p>
    <w:p>
      <w:pPr>
        <w:spacing w:after="0" w:line="184" w:lineRule="exact"/>
        <w:rPr>
          <w:rFonts w:ascii="Arial" w:cs="Arial" w:eastAsia="Arial" w:hAnsi="Arial"/>
          <w:sz w:val="22"/>
          <w:szCs w:val="22"/>
          <w:color w:val="auto"/>
        </w:rPr>
      </w:pPr>
    </w:p>
    <w:p>
      <w:pPr>
        <w:jc w:val="both"/>
        <w:ind w:firstLine="656"/>
        <w:spacing w:after="0" w:line="278" w:lineRule="auto"/>
        <w:tabs>
          <w:tab w:leader="none" w:pos="1231" w:val="left"/>
        </w:tabs>
        <w:numPr>
          <w:ilvl w:val="0"/>
          <w:numId w:val="603"/>
        </w:numPr>
        <w:rPr>
          <w:rFonts w:ascii="Arial" w:cs="Arial" w:eastAsia="Arial" w:hAnsi="Arial"/>
          <w:sz w:val="21"/>
          <w:szCs w:val="21"/>
          <w:color w:val="auto"/>
        </w:rPr>
      </w:pPr>
      <w:r>
        <w:rPr>
          <w:rFonts w:ascii="Arial" w:cs="Arial" w:eastAsia="Arial" w:hAnsi="Arial"/>
          <w:sz w:val="21"/>
          <w:szCs w:val="21"/>
          <w:color w:val="auto"/>
        </w:rPr>
        <w:t>On the Borrowing Date, the opinion of the independent public accountants (after giving effect to any reissuance or revision of such opinion) on the most recent audited consolidated financial statements delivered by Parent pursuant to Section 5.01(a) do not include a “going concern” qualification under GAAP as in effect on the date hereof.</w:t>
      </w:r>
    </w:p>
    <w:p>
      <w:pPr>
        <w:spacing w:after="0" w:line="160" w:lineRule="exact"/>
        <w:rPr>
          <w:sz w:val="20"/>
          <w:szCs w:val="20"/>
          <w:color w:val="auto"/>
        </w:rPr>
      </w:pPr>
    </w:p>
    <w:p>
      <w:pPr>
        <w:ind w:left="4600" w:hanging="121"/>
        <w:spacing w:after="0"/>
        <w:tabs>
          <w:tab w:leader="none" w:pos="4600" w:val="left"/>
        </w:tabs>
        <w:numPr>
          <w:ilvl w:val="0"/>
          <w:numId w:val="604"/>
        </w:numPr>
        <w:rPr>
          <w:rFonts w:ascii="Arial" w:cs="Arial" w:eastAsia="Arial" w:hAnsi="Arial"/>
          <w:sz w:val="22"/>
          <w:szCs w:val="22"/>
          <w:color w:val="auto"/>
        </w:rPr>
      </w:pPr>
      <w:r>
        <w:rPr>
          <w:rFonts w:ascii="Arial" w:cs="Arial" w:eastAsia="Arial" w:hAnsi="Arial"/>
          <w:sz w:val="22"/>
          <w:szCs w:val="22"/>
          <w:i w:val="1"/>
          <w:iCs w:val="1"/>
          <w:color w:val="auto"/>
        </w:rPr>
        <w:t xml:space="preserve">Signature page follows </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2440" w:val="left"/>
        </w:tabs>
        <w:rPr>
          <w:sz w:val="20"/>
          <w:szCs w:val="20"/>
          <w:color w:val="auto"/>
        </w:rPr>
      </w:pPr>
      <w:r>
        <w:rPr>
          <w:rFonts w:ascii="Arial" w:cs="Arial" w:eastAsia="Arial" w:hAnsi="Arial"/>
          <w:sz w:val="22"/>
          <w:szCs w:val="22"/>
          <w:color w:val="auto"/>
        </w:rPr>
        <w:t>Date: __________, 20__</w:t>
      </w:r>
      <w:r>
        <w:rPr>
          <w:sz w:val="20"/>
          <w:szCs w:val="20"/>
          <w:color w:val="auto"/>
        </w:rPr>
        <w:tab/>
      </w:r>
      <w:r>
        <w:rPr>
          <w:rFonts w:ascii="Arial" w:cs="Arial" w:eastAsia="Arial" w:hAnsi="Arial"/>
          <w:sz w:val="21"/>
          <w:szCs w:val="21"/>
          <w:color w:val="auto"/>
        </w:rPr>
        <w:t>AMERICAN AIRLINES, INC.</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___________________________________</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2739390</wp:posOffset>
            </wp:positionV>
            <wp:extent cx="6858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To be inserted in Loan Requests for Loans to be made on the Closing Date.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To be inserted in Loan Requests for Loans to be made after the Closing Date.</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To be inserted in Loan Requests for Loans to be made after the Closing Date.</w:t>
      </w:r>
    </w:p>
    <w:p>
      <w:pPr>
        <w:spacing w:after="0" w:line="200" w:lineRule="exact"/>
        <w:rPr>
          <w:sz w:val="20"/>
          <w:szCs w:val="20"/>
          <w:color w:val="auto"/>
        </w:rPr>
      </w:pPr>
    </w:p>
    <w:p>
      <w:pPr>
        <w:spacing w:after="0" w:line="270" w:lineRule="exact"/>
        <w:rPr>
          <w:sz w:val="20"/>
          <w:szCs w:val="20"/>
          <w:color w:val="auto"/>
        </w:rPr>
      </w:pPr>
    </w:p>
    <w:p>
      <w:pPr>
        <w:jc w:val="center"/>
        <w:ind w:right="660"/>
        <w:spacing w:after="0"/>
        <w:rPr>
          <w:sz w:val="20"/>
          <w:szCs w:val="20"/>
          <w:color w:val="auto"/>
        </w:rPr>
      </w:pPr>
      <w:r>
        <w:rPr>
          <w:rFonts w:ascii="Arial" w:cs="Arial" w:eastAsia="Arial" w:hAnsi="Arial"/>
          <w:sz w:val="22"/>
          <w:szCs w:val="22"/>
          <w:color w:val="auto"/>
        </w:rPr>
        <w:t>D-1- 2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552" w:right="339" w:bottom="1440" w:gutter="0" w:footer="0" w:header="0"/>
          <w:type w:val="continuous"/>
        </w:sectPr>
      </w:pPr>
    </w:p>
    <w:bookmarkStart w:id="475" w:name="page476"/>
    <w:bookmarkEnd w:id="475"/>
    <w:p>
      <w:pPr>
        <w:jc w:val="right"/>
        <w:spacing w:after="0"/>
        <w:rPr>
          <w:sz w:val="20"/>
          <w:szCs w:val="20"/>
          <w:color w:val="auto"/>
        </w:rPr>
      </w:pPr>
      <w:r>
        <w:rPr>
          <w:rFonts w:ascii="Arial" w:cs="Arial" w:eastAsia="Arial" w:hAnsi="Arial"/>
          <w:sz w:val="22"/>
          <w:szCs w:val="22"/>
          <w:color w:val="auto"/>
        </w:rPr>
        <w:t>EXHIBIT D-2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3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476" w:name="page477"/>
    <w:bookmarkEnd w:id="476"/>
    <w:p>
      <w:pPr>
        <w:jc w:val="right"/>
        <w:spacing w:after="0"/>
        <w:rPr>
          <w:sz w:val="20"/>
          <w:szCs w:val="20"/>
          <w:color w:val="auto"/>
        </w:rPr>
      </w:pPr>
      <w:r>
        <w:rPr>
          <w:rFonts w:ascii="Arial" w:cs="Arial" w:eastAsia="Arial" w:hAnsi="Arial"/>
          <w:sz w:val="22"/>
          <w:szCs w:val="22"/>
          <w:color w:val="auto"/>
        </w:rPr>
        <w:t>EXHIBIT E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433070</wp:posOffset>
            </wp:positionV>
            <wp:extent cx="796925" cy="5486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7969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[FORM OF]</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ACCOUNT CONTROL AGREEMENT</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among</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AMERICAN AIRLINES, INC., as PLEDGOR</w:t>
      </w:r>
    </w:p>
    <w:p>
      <w:pPr>
        <w:spacing w:after="0" w:line="23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CITIBANK N.A., as SECURED PARTY</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CITIBANK, N.A., as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345440</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477" w:name="page478"/>
    <w:bookmarkEnd w:id="477"/>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THIS ACCOUNT CONTROL AGREEMENT </w:t>
      </w:r>
      <w:r>
        <w:rPr>
          <w:rFonts w:ascii="Arial" w:cs="Arial" w:eastAsia="Arial" w:hAnsi="Arial"/>
          <w:sz w:val="22"/>
          <w:szCs w:val="22"/>
          <w:color w:val="auto"/>
        </w:rPr>
        <w:t>(this “</w:t>
      </w:r>
      <w:r>
        <w:rPr>
          <w:rFonts w:ascii="Arial" w:cs="Arial" w:eastAsia="Arial" w:hAnsi="Arial"/>
          <w:sz w:val="22"/>
          <w:szCs w:val="22"/>
          <w:b w:val="1"/>
          <w:bCs w:val="1"/>
          <w:color w:val="auto"/>
        </w:rPr>
        <w:t xml:space="preserve"> Agreement </w:t>
      </w:r>
      <w:r>
        <w:rPr>
          <w:rFonts w:ascii="Arial" w:cs="Arial" w:eastAsia="Arial" w:hAnsi="Arial"/>
          <w:sz w:val="22"/>
          <w:szCs w:val="22"/>
          <w:color w:val="auto"/>
        </w:rPr>
        <w:t>”), dated as of [___], 20[__], by and among</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American Airlines, Inc., a Delaware corporation (the “ </w:t>
      </w:r>
      <w:r>
        <w:rPr>
          <w:rFonts w:ascii="Arial" w:cs="Arial" w:eastAsia="Arial" w:hAnsi="Arial"/>
          <w:sz w:val="22"/>
          <w:szCs w:val="22"/>
          <w:b w:val="1"/>
          <w:bCs w:val="1"/>
          <w:color w:val="auto"/>
        </w:rPr>
        <w:t>Pledgor</w:t>
      </w:r>
      <w:r>
        <w:rPr>
          <w:rFonts w:ascii="Arial" w:cs="Arial" w:eastAsia="Arial" w:hAnsi="Arial"/>
          <w:sz w:val="22"/>
          <w:szCs w:val="22"/>
          <w:color w:val="auto"/>
        </w:rPr>
        <w:t xml:space="preserve"> ”), Citibank N.A., a national banking association organized and existing under the laws of the United States, as secured party, (in such capacity, the “ </w:t>
      </w:r>
      <w:r>
        <w:rPr>
          <w:rFonts w:ascii="Arial" w:cs="Arial" w:eastAsia="Arial" w:hAnsi="Arial"/>
          <w:sz w:val="22"/>
          <w:szCs w:val="22"/>
          <w:b w:val="1"/>
          <w:bCs w:val="1"/>
          <w:color w:val="auto"/>
        </w:rPr>
        <w:t>Secured Party</w:t>
      </w:r>
      <w:r>
        <w:rPr>
          <w:rFonts w:ascii="Arial" w:cs="Arial" w:eastAsia="Arial" w:hAnsi="Arial"/>
          <w:sz w:val="22"/>
          <w:szCs w:val="22"/>
          <w:color w:val="auto"/>
        </w:rPr>
        <w:t xml:space="preserve"> ”) and Citibank, N.A., a national banking association organized and existing under the laws of the United States, as the depositary bank with respect to the account (in such capacity, the “ </w:t>
      </w:r>
      <w:r>
        <w:rPr>
          <w:rFonts w:ascii="Arial" w:cs="Arial" w:eastAsia="Arial" w:hAnsi="Arial"/>
          <w:sz w:val="22"/>
          <w:szCs w:val="22"/>
          <w:b w:val="1"/>
          <w:bCs w:val="1"/>
          <w:color w:val="auto"/>
        </w:rPr>
        <w:t>Bank</w:t>
      </w:r>
      <w:r>
        <w:rPr>
          <w:rFonts w:ascii="Arial" w:cs="Arial" w:eastAsia="Arial" w:hAnsi="Arial"/>
          <w:sz w:val="22"/>
          <w:szCs w:val="22"/>
          <w:color w:val="auto"/>
        </w:rPr>
        <w:t xml:space="preserve"> ”).</w:t>
      </w:r>
    </w:p>
    <w:p>
      <w:pPr>
        <w:spacing w:after="0" w:line="2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Pledgor and the Secured Party have entered into a [First Lien][Second Lien] Security Agreement (Slots,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Foreign Gate Leaseholds and Route Authorities) (the “ </w:t>
      </w:r>
      <w:r>
        <w:rPr>
          <w:rFonts w:ascii="Arial" w:cs="Arial" w:eastAsia="Arial" w:hAnsi="Arial"/>
          <w:sz w:val="22"/>
          <w:szCs w:val="22"/>
          <w:b w:val="1"/>
          <w:bCs w:val="1"/>
          <w:color w:val="auto"/>
        </w:rPr>
        <w:t>Pledge Agreement</w:t>
      </w:r>
      <w:r>
        <w:rPr>
          <w:rFonts w:ascii="Arial" w:cs="Arial" w:eastAsia="Arial" w:hAnsi="Arial"/>
          <w:sz w:val="22"/>
          <w:szCs w:val="22"/>
          <w:color w:val="auto"/>
        </w:rPr>
        <w:t xml:space="preserve"> ”), dated as of March 18, 2020, pursuant to which the Pledgor has granted the Secured Party a security interest in account # [ ], a non-interest bearing account established and maintained by the Bank for the Pledgor (the “ </w:t>
      </w:r>
      <w:r>
        <w:rPr>
          <w:rFonts w:ascii="Arial" w:cs="Arial" w:eastAsia="Arial" w:hAnsi="Arial"/>
          <w:sz w:val="22"/>
          <w:szCs w:val="22"/>
          <w:b w:val="1"/>
          <w:bCs w:val="1"/>
          <w:color w:val="auto"/>
        </w:rPr>
        <w:t>Account”</w:t>
      </w:r>
      <w:r>
        <w:rPr>
          <w:rFonts w:ascii="Arial" w:cs="Arial" w:eastAsia="Arial" w:hAnsi="Arial"/>
          <w:sz w:val="22"/>
          <w:szCs w:val="22"/>
          <w:color w:val="auto"/>
        </w:rPr>
        <w:t xml:space="preserve"> ).</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parties wish that the Bank enter into this Agreement in order to provide for the “control” (as defined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Section 9-104(a) of the Uniform Commercial Code in effect in the State of New York (“ </w:t>
      </w:r>
      <w:r>
        <w:rPr>
          <w:rFonts w:ascii="Arial" w:cs="Arial" w:eastAsia="Arial" w:hAnsi="Arial"/>
          <w:sz w:val="22"/>
          <w:szCs w:val="22"/>
          <w:b w:val="1"/>
          <w:bCs w:val="1"/>
          <w:color w:val="auto"/>
        </w:rPr>
        <w:t>UCC</w:t>
      </w:r>
      <w:r>
        <w:rPr>
          <w:rFonts w:ascii="Arial" w:cs="Arial" w:eastAsia="Arial" w:hAnsi="Arial"/>
          <w:sz w:val="22"/>
          <w:szCs w:val="22"/>
          <w:color w:val="auto"/>
        </w:rPr>
        <w:t xml:space="preserve"> ”), in the case of a deposit account or Section 8-106 of the UCC, in the case of a securities account) of the account as a means to perfect the security interest of the Secured Party.</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 capitalized terms used herein without definition and that are defined in Article 8 or Article 9 of the UCC</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respective meanings set forth therein.</w:t>
      </w:r>
    </w:p>
    <w:p>
      <w:pPr>
        <w:spacing w:after="0" w:line="20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for good and valuable consideration, the receipt and adequacy of which is hereby irrevocably</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the parties hereto agree as follows:</w:t>
      </w:r>
    </w:p>
    <w:p>
      <w:pPr>
        <w:spacing w:after="0" w:line="202" w:lineRule="exact"/>
        <w:rPr>
          <w:sz w:val="20"/>
          <w:szCs w:val="20"/>
          <w:color w:val="auto"/>
        </w:rPr>
      </w:pPr>
    </w:p>
    <w:p>
      <w:pPr>
        <w:ind w:left="1140" w:hanging="484"/>
        <w:spacing w:after="0"/>
        <w:tabs>
          <w:tab w:leader="none" w:pos="1140" w:val="left"/>
        </w:tabs>
        <w:numPr>
          <w:ilvl w:val="0"/>
          <w:numId w:val="6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The Account</w:t>
      </w:r>
      <w:r>
        <w:rPr>
          <w:rFonts w:ascii="Arial" w:cs="Arial" w:eastAsia="Arial" w:hAnsi="Arial"/>
          <w:sz w:val="21"/>
          <w:szCs w:val="21"/>
          <w:b w:val="1"/>
          <w:bCs w:val="1"/>
          <w:color w:val="auto"/>
        </w:rPr>
        <w:t xml:space="preserve"> . </w:t>
      </w:r>
      <w:r>
        <w:rPr>
          <w:rFonts w:ascii="Arial" w:cs="Arial" w:eastAsia="Arial" w:hAnsi="Arial"/>
          <w:sz w:val="21"/>
          <w:szCs w:val="21"/>
          <w:color w:val="auto"/>
        </w:rPr>
        <w:t>The Pledgor and the Bank represent and warrant to, and agree with the Secured Party that:</w:t>
      </w:r>
    </w:p>
    <w:p>
      <w:pPr>
        <w:spacing w:after="0" w:line="237" w:lineRule="exact"/>
        <w:rPr>
          <w:sz w:val="20"/>
          <w:szCs w:val="20"/>
          <w:color w:val="auto"/>
        </w:rPr>
      </w:pPr>
    </w:p>
    <w:p>
      <w:pPr>
        <w:ind w:right="640" w:firstLine="656"/>
        <w:spacing w:after="0" w:line="271" w:lineRule="auto"/>
        <w:tabs>
          <w:tab w:leader="none" w:pos="1100" w:val="left"/>
        </w:tabs>
        <w:numPr>
          <w:ilvl w:val="0"/>
          <w:numId w:val="606"/>
        </w:numPr>
        <w:rPr>
          <w:rFonts w:ascii="Arial" w:cs="Arial" w:eastAsia="Arial" w:hAnsi="Arial"/>
          <w:sz w:val="21"/>
          <w:szCs w:val="21"/>
          <w:color w:val="auto"/>
        </w:rPr>
      </w:pPr>
      <w:r>
        <w:rPr>
          <w:rFonts w:ascii="Arial" w:cs="Arial" w:eastAsia="Arial" w:hAnsi="Arial"/>
          <w:sz w:val="21"/>
          <w:szCs w:val="21"/>
          <w:color w:val="auto"/>
        </w:rPr>
        <w:t>The Bank maintains the Account for the Pledgor, and all property (including, without limitation, all funds and financial assets) held by the Bank for the account of the Pledgor are, and will continue to be, credited to the Account in accordance with instructions given by the Pledgor (unless otherwise provided herein).</w:t>
      </w:r>
    </w:p>
    <w:p>
      <w:pPr>
        <w:spacing w:after="0" w:line="167" w:lineRule="exact"/>
        <w:rPr>
          <w:rFonts w:ascii="Arial" w:cs="Arial" w:eastAsia="Arial" w:hAnsi="Arial"/>
          <w:sz w:val="21"/>
          <w:szCs w:val="21"/>
          <w:color w:val="auto"/>
        </w:rPr>
      </w:pPr>
    </w:p>
    <w:p>
      <w:pPr>
        <w:ind w:right="100" w:firstLine="656"/>
        <w:spacing w:after="0" w:line="248" w:lineRule="auto"/>
        <w:tabs>
          <w:tab w:leader="none" w:pos="1112" w:val="left"/>
        </w:tabs>
        <w:numPr>
          <w:ilvl w:val="0"/>
          <w:numId w:val="606"/>
        </w:numPr>
        <w:rPr>
          <w:rFonts w:ascii="Arial" w:cs="Arial" w:eastAsia="Arial" w:hAnsi="Arial"/>
          <w:sz w:val="22"/>
          <w:szCs w:val="22"/>
          <w:color w:val="auto"/>
        </w:rPr>
      </w:pPr>
      <w:r>
        <w:rPr>
          <w:rFonts w:ascii="Arial" w:cs="Arial" w:eastAsia="Arial" w:hAnsi="Arial"/>
          <w:sz w:val="22"/>
          <w:szCs w:val="22"/>
          <w:color w:val="auto"/>
        </w:rPr>
        <w:t>To the extent that cash is credited to the Account, the Account is a deposit account; and to the extent that financial assets (other than cash) are credited to the Account, the Account is a securities account. The Bank is (i) the bank with which the Account is maintained and (ii) the securities intermediary with respect to financial assets held in the Account. The Pledgor is (A) the Bank’s customer with respect to the Account and (B) the entitlement holder with respect to all financial assets credited from time to time to the Account.</w:t>
      </w:r>
    </w:p>
    <w:p>
      <w:pPr>
        <w:spacing w:after="0" w:line="191" w:lineRule="exact"/>
        <w:rPr>
          <w:rFonts w:ascii="Arial" w:cs="Arial" w:eastAsia="Arial" w:hAnsi="Arial"/>
          <w:sz w:val="22"/>
          <w:szCs w:val="22"/>
          <w:color w:val="auto"/>
        </w:rPr>
      </w:pPr>
    </w:p>
    <w:p>
      <w:pPr>
        <w:ind w:right="180" w:firstLine="656"/>
        <w:spacing w:after="0" w:line="253" w:lineRule="auto"/>
        <w:tabs>
          <w:tab w:leader="none" w:pos="1104" w:val="left"/>
        </w:tabs>
        <w:numPr>
          <w:ilvl w:val="0"/>
          <w:numId w:val="606"/>
        </w:numPr>
        <w:rPr>
          <w:rFonts w:ascii="Arial" w:cs="Arial" w:eastAsia="Arial" w:hAnsi="Arial"/>
          <w:sz w:val="22"/>
          <w:szCs w:val="22"/>
          <w:color w:val="auto"/>
        </w:rPr>
      </w:pPr>
      <w:r>
        <w:rPr>
          <w:rFonts w:ascii="Arial" w:cs="Arial" w:eastAsia="Arial" w:hAnsi="Arial"/>
          <w:sz w:val="22"/>
          <w:szCs w:val="22"/>
          <w:color w:val="auto"/>
        </w:rPr>
        <w:t>Notwithstanding any other agreement to the contrary, the Bank’s jurisdiction for the purposes of UCC 8-110 and 9-304 with respect to the Account for purposes of the UCC is, and will continue to be for so long as the Secured Party’s security interest shall be in effect, the State of New York.</w:t>
      </w:r>
    </w:p>
    <w:p>
      <w:pPr>
        <w:spacing w:after="0" w:line="185" w:lineRule="exact"/>
        <w:rPr>
          <w:rFonts w:ascii="Arial" w:cs="Arial" w:eastAsia="Arial" w:hAnsi="Arial"/>
          <w:sz w:val="22"/>
          <w:szCs w:val="22"/>
          <w:color w:val="auto"/>
        </w:rPr>
      </w:pPr>
    </w:p>
    <w:p>
      <w:pPr>
        <w:ind w:right="20" w:firstLine="656"/>
        <w:spacing w:after="0" w:line="253" w:lineRule="auto"/>
        <w:tabs>
          <w:tab w:leader="none" w:pos="1112" w:val="left"/>
        </w:tabs>
        <w:numPr>
          <w:ilvl w:val="0"/>
          <w:numId w:val="606"/>
        </w:numPr>
        <w:rPr>
          <w:rFonts w:ascii="Arial" w:cs="Arial" w:eastAsia="Arial" w:hAnsi="Arial"/>
          <w:sz w:val="22"/>
          <w:szCs w:val="22"/>
          <w:color w:val="auto"/>
        </w:rPr>
      </w:pPr>
      <w:r>
        <w:rPr>
          <w:rFonts w:ascii="Arial" w:cs="Arial" w:eastAsia="Arial" w:hAnsi="Arial"/>
          <w:sz w:val="22"/>
          <w:szCs w:val="22"/>
          <w:color w:val="auto"/>
        </w:rPr>
        <w:t>The Pledgor and the Bank do not know of any claim to or interest in the Account or any property (including, without limitation, funds and financial assets) credited to the Account, except for claims and interests of the parties referred to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8" w:name="page479"/>
    <w:bookmarkEnd w:id="478"/>
    <w:p>
      <w:pPr>
        <w:jc w:val="both"/>
        <w:ind w:firstLine="656"/>
        <w:spacing w:after="0" w:line="236" w:lineRule="auto"/>
        <w:tabs>
          <w:tab w:leader="none" w:pos="1133" w:val="left"/>
        </w:tabs>
        <w:numPr>
          <w:ilvl w:val="0"/>
          <w:numId w:val="607"/>
        </w:numPr>
        <w:rPr>
          <w:rFonts w:ascii="Arial" w:cs="Arial" w:eastAsia="Arial" w:hAnsi="Arial"/>
          <w:sz w:val="22"/>
          <w:szCs w:val="22"/>
          <w:color w:val="auto"/>
        </w:rPr>
      </w:pPr>
      <w:r>
        <w:rPr>
          <w:rFonts w:ascii="Arial" w:cs="Arial" w:eastAsia="Arial" w:hAnsi="Arial"/>
          <w:sz w:val="22"/>
          <w:szCs w:val="22"/>
          <w:color w:val="auto"/>
        </w:rPr>
        <w:t xml:space="preserve">Initially, unless or until otherwise directed by the Pledgor, funds held in the Account will be deposited in Citibank's Dollars on Deposit in Custody Account ("DDCA") </w:t>
      </w:r>
      <w:r>
        <w:rPr>
          <w:rFonts w:ascii="Arial" w:cs="Arial" w:eastAsia="Arial" w:hAnsi="Arial"/>
          <w:sz w:val="28"/>
          <w:szCs w:val="28"/>
          <w:color w:val="auto"/>
          <w:vertAlign w:val="superscript"/>
        </w:rPr>
        <w:t>25</w:t>
      </w:r>
      <w:r>
        <w:rPr>
          <w:rFonts w:ascii="Arial" w:cs="Arial" w:eastAsia="Arial" w:hAnsi="Arial"/>
          <w:sz w:val="22"/>
          <w:szCs w:val="22"/>
          <w:color w:val="auto"/>
        </w:rPr>
        <w:t xml:space="preserve"> . The Bank will make the balances in the Account available to the Bank’s treasury division on a daily basis. The Account will earn compensation at a rate that will be determined daily based on the compensation rate paid by the Bank’s treasury division to the trust and custody department. Should the calculation method no longer be available, the Bank will endeavor to notify the Pledgor no less than 30 days prior. Compensation will be paid monthly, on the second Business Day of the following month, by a credit to the Account. Monthly compensation will be reported on a Form 1099 INT, if applicable.</w:t>
      </w:r>
    </w:p>
    <w:p>
      <w:pPr>
        <w:spacing w:after="0" w:line="296" w:lineRule="exact"/>
        <w:rPr>
          <w:rFonts w:ascii="Arial" w:cs="Arial" w:eastAsia="Arial" w:hAnsi="Arial"/>
          <w:sz w:val="22"/>
          <w:szCs w:val="22"/>
          <w:color w:val="auto"/>
        </w:rPr>
      </w:pPr>
    </w:p>
    <w:p>
      <w:pPr>
        <w:jc w:val="both"/>
        <w:ind w:firstLine="656"/>
        <w:spacing w:after="0" w:line="253" w:lineRule="auto"/>
        <w:tabs>
          <w:tab w:leader="none" w:pos="1264" w:val="left"/>
        </w:tabs>
        <w:numPr>
          <w:ilvl w:val="0"/>
          <w:numId w:val="607"/>
        </w:numPr>
        <w:rPr>
          <w:rFonts w:ascii="Arial" w:cs="Arial" w:eastAsia="Arial" w:hAnsi="Arial"/>
          <w:sz w:val="22"/>
          <w:szCs w:val="22"/>
          <w:color w:val="auto"/>
        </w:rPr>
      </w:pPr>
      <w:r>
        <w:rPr>
          <w:rFonts w:ascii="Arial" w:cs="Arial" w:eastAsia="Arial" w:hAnsi="Arial"/>
          <w:sz w:val="22"/>
          <w:szCs w:val="22"/>
          <w:color w:val="auto"/>
        </w:rPr>
        <w:t xml:space="preserve">In the event that any securities are deposited into the Account, the Pledgor shall provide the Bank with all information set forth on </w:t>
      </w:r>
      <w:r>
        <w:rPr>
          <w:rFonts w:ascii="Arial" w:cs="Arial" w:eastAsia="Arial" w:hAnsi="Arial"/>
          <w:sz w:val="22"/>
          <w:szCs w:val="22"/>
          <w:u w:val="single" w:color="auto"/>
          <w:color w:val="auto"/>
        </w:rPr>
        <w:t>Schedule D</w:t>
      </w:r>
      <w:r>
        <w:rPr>
          <w:rFonts w:ascii="Arial" w:cs="Arial" w:eastAsia="Arial" w:hAnsi="Arial"/>
          <w:sz w:val="22"/>
          <w:szCs w:val="22"/>
          <w:color w:val="auto"/>
        </w:rPr>
        <w:t xml:space="preserve"> attached hereto, and any other information necessary or requested by the Bank in order to accept delivery of the securities being deposited.</w:t>
      </w:r>
    </w:p>
    <w:p>
      <w:pPr>
        <w:spacing w:after="0" w:line="193" w:lineRule="exact"/>
        <w:rPr>
          <w:sz w:val="20"/>
          <w:szCs w:val="20"/>
          <w:color w:val="auto"/>
        </w:rPr>
      </w:pPr>
    </w:p>
    <w:p>
      <w:pPr>
        <w:ind w:left="1520" w:hanging="864"/>
        <w:spacing w:after="0"/>
        <w:tabs>
          <w:tab w:leader="none" w:pos="1520" w:val="left"/>
        </w:tabs>
        <w:numPr>
          <w:ilvl w:val="0"/>
          <w:numId w:val="6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Control over Account</w:t>
      </w:r>
      <w:r>
        <w:rPr>
          <w:rFonts w:ascii="Arial" w:cs="Arial" w:eastAsia="Arial" w:hAnsi="Arial"/>
          <w:sz w:val="22"/>
          <w:szCs w:val="22"/>
          <w:b w:val="1"/>
          <w:bCs w:val="1"/>
          <w:color w:val="auto"/>
        </w:rPr>
        <w:t xml:space="preserve"> . [CHECK ONE BOX ONLY]</w:t>
      </w:r>
    </w:p>
    <w:p>
      <w:pPr>
        <w:spacing w:after="0" w:line="2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Bank shall comply with (a) all instructions directing disposition of the funds in the Account (b) all notifications and entitlement orders that the Bank receives directing it to transfer or redeem any financial assets in the Account and (c) all other directions concerning the Account, including, without limitation, directions to distribute proceeds of any such transfer or redemption of interest or dividends on financial assets in the Account (any such instruction, notification or direction referred to in clauses (a), (b) and (c) above being an “ </w:t>
      </w:r>
      <w:r>
        <w:rPr>
          <w:rFonts w:ascii="Arial" w:cs="Arial" w:eastAsia="Arial" w:hAnsi="Arial"/>
          <w:sz w:val="19"/>
          <w:szCs w:val="19"/>
          <w:b w:val="1"/>
          <w:bCs w:val="1"/>
          <w:color w:val="auto"/>
        </w:rPr>
        <w:t>Account Direction</w:t>
      </w:r>
      <w:r>
        <w:rPr>
          <w:rFonts w:ascii="Arial" w:cs="Arial" w:eastAsia="Arial" w:hAnsi="Arial"/>
          <w:sz w:val="19"/>
          <w:szCs w:val="19"/>
          <w:color w:val="auto"/>
        </w:rPr>
        <w:t xml:space="preserve"> ”), in each case of clauses (a), (b) and (c) above originated by:</w:t>
      </w:r>
    </w:p>
    <w:p>
      <w:pPr>
        <w:spacing w:after="0" w:line="187" w:lineRule="exact"/>
        <w:rPr>
          <w:sz w:val="20"/>
          <w:szCs w:val="20"/>
          <w:color w:val="auto"/>
        </w:rPr>
      </w:pPr>
    </w:p>
    <w:p>
      <w:pPr>
        <w:jc w:val="both"/>
        <w:ind w:firstLine="656"/>
        <w:spacing w:after="0" w:line="288" w:lineRule="auto"/>
        <w:tabs>
          <w:tab w:leader="none" w:pos="1183" w:val="left"/>
        </w:tabs>
        <w:numPr>
          <w:ilvl w:val="1"/>
          <w:numId w:val="609"/>
        </w:numPr>
        <w:rPr>
          <w:rFonts w:ascii="Arial" w:cs="Arial" w:eastAsia="Arial" w:hAnsi="Arial"/>
          <w:sz w:val="19"/>
          <w:szCs w:val="19"/>
          <w:color w:val="auto"/>
        </w:rPr>
      </w:pPr>
      <w:r>
        <w:rPr>
          <w:rFonts w:ascii="Arial" w:cs="Arial" w:eastAsia="Arial" w:hAnsi="Arial"/>
          <w:sz w:val="19"/>
          <w:szCs w:val="19"/>
          <w:color w:val="auto"/>
        </w:rPr>
        <w:t xml:space="preserve">the Pledgor, until the time that that Bank receives a notice,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 “ </w:t>
      </w:r>
      <w:r>
        <w:rPr>
          <w:rFonts w:ascii="Arial" w:cs="Arial" w:eastAsia="Arial" w:hAnsi="Arial"/>
          <w:sz w:val="19"/>
          <w:szCs w:val="19"/>
          <w:b w:val="1"/>
          <w:bCs w:val="1"/>
          <w:color w:val="auto"/>
        </w:rPr>
        <w:t>Notice of Exclusive Control</w:t>
      </w:r>
      <w:r>
        <w:rPr>
          <w:rFonts w:ascii="Arial" w:cs="Arial" w:eastAsia="Arial" w:hAnsi="Arial"/>
          <w:sz w:val="19"/>
          <w:szCs w:val="19"/>
          <w:color w:val="auto"/>
        </w:rPr>
        <w:t xml:space="preserve"> ”) from the Secured Party that the Secured Party is exercising its right to exclusive control over the Account, and after such time that the Bank receives a Notice of Exclusive Control, the Secured Party, without further consent by the Pledgor. Until the Bank receives a Notice of Exclusive Control from the Secured Party that the Secured Party will exercise exclusive control over the Account, the Bank shall distribute to the Pledgor all interest and cash dividends on property (including, without limitation, funds and financial assets) in the Account on a quarterly basis. If the Bank receives from the Secured Party a Notice of Exclusive Control, the Bank shall cease complying with Account Directions of the Pledgor, and shall cease distributing to the Pledgor any interest and dividends on property (including, without limitation, funds and financial assets) in the Account, until such time as the Bank receives notice from the Secured Party in writing that such Notice of Exclusive Control, or its security interest in the Account, is terminated.</w:t>
      </w:r>
    </w:p>
    <w:p>
      <w:pPr>
        <w:spacing w:after="0" w:line="200" w:lineRule="exact"/>
        <w:rPr>
          <w:sz w:val="20"/>
          <w:szCs w:val="20"/>
          <w:color w:val="auto"/>
        </w:rPr>
      </w:pPr>
    </w:p>
    <w:p>
      <w:pPr>
        <w:jc w:val="both"/>
        <w:ind w:firstLine="656"/>
        <w:spacing w:after="0" w:line="253" w:lineRule="auto"/>
        <w:tabs>
          <w:tab w:leader="none" w:pos="774" w:val="left"/>
        </w:tabs>
        <w:numPr>
          <w:ilvl w:val="0"/>
          <w:numId w:val="610"/>
        </w:numPr>
        <w:rPr>
          <w:rFonts w:ascii="Arial" w:cs="Arial" w:eastAsia="Arial" w:hAnsi="Arial"/>
          <w:sz w:val="22"/>
          <w:szCs w:val="22"/>
          <w:color w:val="auto"/>
        </w:rPr>
      </w:pPr>
      <w:r>
        <w:rPr>
          <w:rFonts w:ascii="Arial" w:cs="Arial" w:eastAsia="Arial" w:hAnsi="Arial"/>
          <w:sz w:val="22"/>
          <w:szCs w:val="22"/>
          <w:color w:val="auto"/>
        </w:rPr>
        <w:t>) the Secured Party. The Bank shall comply with any instruction or entitlement order of the Secured Party. None of the Pledgor, nor any other person or entity, acting through or under the Pledgor, shall have any control over the use of, or any right to withdraw any amount from, the Account.</w:t>
      </w:r>
    </w:p>
    <w:p>
      <w:pPr>
        <w:spacing w:after="0" w:line="152" w:lineRule="exact"/>
        <w:rPr>
          <w:sz w:val="20"/>
          <w:szCs w:val="20"/>
          <w:color w:val="auto"/>
        </w:rPr>
      </w:pPr>
    </w:p>
    <w:p>
      <w:pPr>
        <w:ind w:left="1520" w:hanging="864"/>
        <w:spacing w:after="0"/>
        <w:tabs>
          <w:tab w:leader="none" w:pos="1520" w:val="left"/>
        </w:tabs>
        <w:numPr>
          <w:ilvl w:val="0"/>
          <w:numId w:val="6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Priority of Secured Party’s Security Interest</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The Bank subordinates in favor of the Secured Party any security interest, lien or right of setoff it may have, now or in the future, against the Account or assets in the Account;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 that, subject to the foregoing, the Bank may set off all amounts due to it in respect of its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285750</wp:posOffset>
            </wp:positionV>
            <wp:extent cx="6858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660" w:hanging="652"/>
        <w:spacing w:after="0"/>
        <w:tabs>
          <w:tab w:leader="none" w:pos="660" w:val="left"/>
        </w:tabs>
        <w:numPr>
          <w:ilvl w:val="0"/>
          <w:numId w:val="612"/>
        </w:numPr>
        <w:rPr>
          <w:rFonts w:ascii="Arial" w:cs="Arial" w:eastAsia="Arial" w:hAnsi="Arial"/>
          <w:sz w:val="29"/>
          <w:szCs w:val="29"/>
          <w:color w:val="auto"/>
          <w:vertAlign w:val="superscript"/>
        </w:rPr>
      </w:pPr>
      <w:r>
        <w:rPr>
          <w:rFonts w:ascii="Arial" w:cs="Arial" w:eastAsia="Arial" w:hAnsi="Arial"/>
          <w:sz w:val="22"/>
          <w:szCs w:val="22"/>
          <w:color w:val="auto"/>
        </w:rPr>
        <w:t>Please provide more information on the DDCA.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479" w:name="page480"/>
    <w:bookmarkEnd w:id="479"/>
    <w:p>
      <w:pPr>
        <w:spacing w:after="0"/>
        <w:rPr>
          <w:sz w:val="20"/>
          <w:szCs w:val="20"/>
          <w:color w:val="auto"/>
        </w:rPr>
      </w:pPr>
      <w:r>
        <w:rPr>
          <w:rFonts w:ascii="Arial" w:cs="Arial" w:eastAsia="Arial" w:hAnsi="Arial"/>
          <w:sz w:val="19"/>
          <w:szCs w:val="19"/>
          <w:color w:val="auto"/>
        </w:rPr>
        <w:t>(including without limitation the payment of any legal fees or expenses) or any amounts payable pursuant to Section 4 hereof.</w:t>
      </w:r>
    </w:p>
    <w:p>
      <w:pPr>
        <w:spacing w:after="0" w:line="262" w:lineRule="exact"/>
        <w:rPr>
          <w:sz w:val="20"/>
          <w:szCs w:val="20"/>
          <w:color w:val="auto"/>
        </w:rPr>
      </w:pPr>
    </w:p>
    <w:p>
      <w:pPr>
        <w:ind w:left="1520" w:hanging="864"/>
        <w:spacing w:after="0"/>
        <w:tabs>
          <w:tab w:leader="none" w:pos="1520" w:val="left"/>
        </w:tabs>
        <w:numPr>
          <w:ilvl w:val="0"/>
          <w:numId w:val="6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Investment of Funds; Tax Reporting</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56"/>
        <w:spacing w:after="0" w:line="247" w:lineRule="auto"/>
        <w:tabs>
          <w:tab w:leader="none" w:pos="1122" w:val="left"/>
        </w:tabs>
        <w:numPr>
          <w:ilvl w:val="1"/>
          <w:numId w:val="614"/>
        </w:numPr>
        <w:rPr>
          <w:rFonts w:ascii="Arial" w:cs="Arial" w:eastAsia="Arial" w:hAnsi="Arial"/>
          <w:sz w:val="21"/>
          <w:szCs w:val="21"/>
          <w:color w:val="auto"/>
        </w:rPr>
      </w:pPr>
      <w:r>
        <w:rPr>
          <w:rFonts w:ascii="Arial" w:cs="Arial" w:eastAsia="Arial" w:hAnsi="Arial"/>
          <w:sz w:val="21"/>
          <w:szCs w:val="21"/>
          <w:color w:val="auto"/>
        </w:rPr>
        <w:t xml:space="preserve">Initially, any funds held in the Account shall remain uninvested and shall be deposited in the DDCA. Thereafter, the Pledgor may instruct the Bank in writing to invest any funds held in the Account in a [money market fund] </w:t>
      </w:r>
      <w:r>
        <w:rPr>
          <w:rFonts w:ascii="Arial" w:cs="Arial" w:eastAsia="Arial" w:hAnsi="Arial"/>
          <w:sz w:val="27"/>
          <w:szCs w:val="27"/>
          <w:color w:val="auto"/>
          <w:vertAlign w:val="superscript"/>
        </w:rPr>
        <w:t>26</w:t>
      </w:r>
      <w:r>
        <w:rPr>
          <w:rFonts w:ascii="Arial" w:cs="Arial" w:eastAsia="Arial" w:hAnsi="Arial"/>
          <w:sz w:val="21"/>
          <w:szCs w:val="21"/>
          <w:color w:val="auto"/>
        </w:rPr>
        <w:t xml:space="preserve"> , provided that such investment instructions are received by the Bank at least two (2) Business Days prior to the date of such proposed investment and such investment is available to the Bank. Any assets or written notice to remit payment received after 11:00 a.m. New York City time shall be treated as if received on the following Business Day. For purposes of this Agreement “ </w:t>
      </w:r>
      <w:r>
        <w:rPr>
          <w:rFonts w:ascii="Arial" w:cs="Arial" w:eastAsia="Arial" w:hAnsi="Arial"/>
          <w:sz w:val="21"/>
          <w:szCs w:val="21"/>
          <w:b w:val="1"/>
          <w:bCs w:val="1"/>
          <w:color w:val="auto"/>
        </w:rPr>
        <w:t>Business Day</w:t>
      </w:r>
      <w:r>
        <w:rPr>
          <w:rFonts w:ascii="Arial" w:cs="Arial" w:eastAsia="Arial" w:hAnsi="Arial"/>
          <w:sz w:val="21"/>
          <w:szCs w:val="21"/>
          <w:color w:val="auto"/>
        </w:rPr>
        <w:t xml:space="preserve"> ” shall mean any day that the Bank is open for business.</w:t>
      </w:r>
    </w:p>
    <w:p>
      <w:pPr>
        <w:spacing w:after="0" w:line="233" w:lineRule="exact"/>
        <w:rPr>
          <w:rFonts w:ascii="Arial" w:cs="Arial" w:eastAsia="Arial" w:hAnsi="Arial"/>
          <w:sz w:val="21"/>
          <w:szCs w:val="21"/>
          <w:color w:val="auto"/>
        </w:rPr>
      </w:pPr>
    </w:p>
    <w:p>
      <w:pPr>
        <w:jc w:val="both"/>
        <w:ind w:firstLine="656"/>
        <w:spacing w:after="0" w:line="253" w:lineRule="auto"/>
        <w:tabs>
          <w:tab w:leader="none" w:pos="1125" w:val="left"/>
        </w:tabs>
        <w:numPr>
          <w:ilvl w:val="1"/>
          <w:numId w:val="614"/>
        </w:numPr>
        <w:rPr>
          <w:rFonts w:ascii="Arial" w:cs="Arial" w:eastAsia="Arial" w:hAnsi="Arial"/>
          <w:sz w:val="22"/>
          <w:szCs w:val="22"/>
          <w:color w:val="auto"/>
        </w:rPr>
      </w:pPr>
      <w:r>
        <w:rPr>
          <w:rFonts w:ascii="Arial" w:cs="Arial" w:eastAsia="Arial" w:hAnsi="Arial"/>
          <w:sz w:val="22"/>
          <w:szCs w:val="22"/>
          <w:color w:val="auto"/>
        </w:rPr>
        <w:t>Any investment direction contained herein may be executed through an affiliated broker dealer of the Bank and will be entitled to such usual and customary fee. Neither the Bank nor any of its affiliates assume any duty or liability for monitoring the investment rating of any investment.</w:t>
      </w:r>
    </w:p>
    <w:p>
      <w:pPr>
        <w:spacing w:after="0" w:line="225" w:lineRule="exact"/>
        <w:rPr>
          <w:rFonts w:ascii="Arial" w:cs="Arial" w:eastAsia="Arial" w:hAnsi="Arial"/>
          <w:sz w:val="22"/>
          <w:szCs w:val="22"/>
          <w:color w:val="auto"/>
        </w:rPr>
      </w:pPr>
    </w:p>
    <w:p>
      <w:pPr>
        <w:jc w:val="both"/>
        <w:ind w:firstLine="656"/>
        <w:spacing w:after="0" w:line="248" w:lineRule="auto"/>
        <w:tabs>
          <w:tab w:leader="none" w:pos="1262" w:val="left"/>
        </w:tabs>
        <w:numPr>
          <w:ilvl w:val="1"/>
          <w:numId w:val="614"/>
        </w:numPr>
        <w:rPr>
          <w:rFonts w:ascii="Arial" w:cs="Arial" w:eastAsia="Arial" w:hAnsi="Arial"/>
          <w:sz w:val="22"/>
          <w:szCs w:val="22"/>
          <w:color w:val="auto"/>
        </w:rPr>
      </w:pPr>
      <w:r>
        <w:rPr>
          <w:rFonts w:ascii="Arial" w:cs="Arial" w:eastAsia="Arial" w:hAnsi="Arial"/>
          <w:sz w:val="22"/>
          <w:szCs w:val="22"/>
          <w:color w:val="auto"/>
        </w:rPr>
        <w:t>The Pledgor and the Secured Party agree that, unless otherwise specified in this Agreement, any earnings or proceeds or compensation received on or distributions from the assets in the Account during a calendar year period shall be treated as the income of the Pledgor and shall be reported on an annual basis by the Bank on the appropriate United States Internal Revenue Service (“IRS”) Form 1099 (or IRS Form 1042-S), as required pursuant to the Internal Revenue Code of 1986, as amended (“Code”) and the regulations thereunder.</w:t>
      </w:r>
    </w:p>
    <w:p>
      <w:pPr>
        <w:spacing w:after="0" w:line="232" w:lineRule="exact"/>
        <w:rPr>
          <w:rFonts w:ascii="Arial" w:cs="Arial" w:eastAsia="Arial" w:hAnsi="Arial"/>
          <w:sz w:val="22"/>
          <w:szCs w:val="22"/>
          <w:color w:val="auto"/>
        </w:rPr>
      </w:pPr>
    </w:p>
    <w:p>
      <w:pPr>
        <w:jc w:val="both"/>
        <w:ind w:firstLine="656"/>
        <w:spacing w:after="0" w:line="288" w:lineRule="auto"/>
        <w:tabs>
          <w:tab w:leader="none" w:pos="1137" w:val="left"/>
        </w:tabs>
        <w:numPr>
          <w:ilvl w:val="1"/>
          <w:numId w:val="614"/>
        </w:numPr>
        <w:rPr>
          <w:rFonts w:ascii="Arial" w:cs="Arial" w:eastAsia="Arial" w:hAnsi="Arial"/>
          <w:sz w:val="19"/>
          <w:szCs w:val="19"/>
          <w:color w:val="auto"/>
        </w:rPr>
      </w:pPr>
      <w:r>
        <w:rPr>
          <w:rFonts w:ascii="Arial" w:cs="Arial" w:eastAsia="Arial" w:hAnsi="Arial"/>
          <w:sz w:val="19"/>
          <w:szCs w:val="19"/>
          <w:color w:val="auto"/>
        </w:rPr>
        <w:t>The Pledgor and the Secured Party shall upon execution of this Agreement provide the Bank with a duly completed and properly executed original IRS Form W-9 (or original applicable Form W-8, in the case of a non-U.S. person) along with any supporting documentation certifying each party’s status for U.S. tax information reporting purposes and tax identification number. In the event the payee is not a party to this Agreement, the Pledgor or the Secured Party, as the case may be, shall provide the Bank with the applicable duly completed and properly executed IRS Form along with any required supporting documentation from such payee prior to payment being made. The Pledgor and the Secured Party understand that, in the event valid U.S. tax forms or other required supporting documentation are not provided to the Bank, the tax law may require withholding of tax on any earnings, proceeds, compensation or distributions from the assets in the Account and further, such withholdings will be taken from the assets in the Account and deposited with the IRS in the manner prescribed for the Bank to perform its reporting obligations under the Code, the Foreign Account Tax Compliance Act and the Foreign Investment in Real Property Tax Act and any other applicable law or regulation.</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656"/>
        <w:spacing w:after="0" w:line="302" w:lineRule="auto"/>
        <w:tabs>
          <w:tab w:leader="none" w:pos="1277" w:val="left"/>
        </w:tabs>
        <w:numPr>
          <w:ilvl w:val="1"/>
          <w:numId w:val="614"/>
        </w:numPr>
        <w:rPr>
          <w:rFonts w:ascii="Arial" w:cs="Arial" w:eastAsia="Arial" w:hAnsi="Arial"/>
          <w:sz w:val="19"/>
          <w:szCs w:val="19"/>
          <w:color w:val="auto"/>
        </w:rPr>
      </w:pPr>
      <w:r>
        <w:rPr>
          <w:rFonts w:ascii="Arial" w:cs="Arial" w:eastAsia="Arial" w:hAnsi="Arial"/>
          <w:sz w:val="19"/>
          <w:szCs w:val="19"/>
          <w:color w:val="auto"/>
        </w:rPr>
        <w:t>Should the Bank become liable for the payment of taxes, including withholding taxes relating to any funds, including interest and penalties thereon, held by it pursuant to this Agreement or any payment made hereunder, the Pledgor and Secured Party agree, jointly and severally, to reimburse the Bank for such taxes, interest and penalties upon demand. Without limiting the foregoing, the Bank shall be entitled to deduct such taxes, interest and penalties from the assets in the Account.</w:t>
      </w:r>
    </w:p>
    <w:p>
      <w:pPr>
        <w:spacing w:after="0" w:line="200" w:lineRule="exact"/>
        <w:rPr>
          <w:rFonts w:ascii="Arial" w:cs="Arial" w:eastAsia="Arial" w:hAnsi="Arial"/>
          <w:sz w:val="19"/>
          <w:szCs w:val="19"/>
          <w:color w:val="auto"/>
        </w:rPr>
      </w:pPr>
    </w:p>
    <w:p>
      <w:pPr>
        <w:spacing w:after="0" w:line="315" w:lineRule="exact"/>
        <w:rPr>
          <w:rFonts w:ascii="Arial" w:cs="Arial" w:eastAsia="Arial" w:hAnsi="Arial"/>
          <w:sz w:val="19"/>
          <w:szCs w:val="19"/>
          <w:color w:val="auto"/>
        </w:rPr>
      </w:pPr>
    </w:p>
    <w:p>
      <w:pPr>
        <w:ind w:left="660" w:hanging="652"/>
        <w:spacing w:after="0"/>
        <w:tabs>
          <w:tab w:leader="none" w:pos="660" w:val="left"/>
        </w:tabs>
        <w:numPr>
          <w:ilvl w:val="0"/>
          <w:numId w:val="615"/>
        </w:numPr>
        <w:rPr>
          <w:rFonts w:ascii="Arial" w:cs="Arial" w:eastAsia="Arial" w:hAnsi="Arial"/>
          <w:sz w:val="29"/>
          <w:szCs w:val="29"/>
          <w:color w:val="auto"/>
          <w:vertAlign w:val="superscript"/>
        </w:rPr>
      </w:pPr>
      <w:r>
        <w:rPr>
          <w:rFonts w:ascii="Arial" w:cs="Arial" w:eastAsia="Arial" w:hAnsi="Arial"/>
          <w:sz w:val="22"/>
          <w:szCs w:val="22"/>
          <w:color w:val="auto"/>
        </w:rPr>
        <w:t>What other investments can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-280035</wp:posOffset>
            </wp:positionV>
            <wp:extent cx="68580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0" w:name="page481"/>
    <w:bookmarkEnd w:id="480"/>
    <w:p>
      <w:pPr>
        <w:ind w:left="1100" w:hanging="444"/>
        <w:spacing w:after="0"/>
        <w:tabs>
          <w:tab w:leader="none" w:pos="1100" w:val="left"/>
        </w:tabs>
        <w:numPr>
          <w:ilvl w:val="0"/>
          <w:numId w:val="616"/>
        </w:numPr>
        <w:rPr>
          <w:rFonts w:ascii="Arial" w:cs="Arial" w:eastAsia="Arial" w:hAnsi="Arial"/>
          <w:sz w:val="19"/>
          <w:szCs w:val="19"/>
          <w:color w:val="auto"/>
        </w:rPr>
      </w:pPr>
      <w:r>
        <w:rPr>
          <w:rFonts w:ascii="Arial" w:cs="Arial" w:eastAsia="Arial" w:hAnsi="Arial"/>
          <w:sz w:val="19"/>
          <w:szCs w:val="19"/>
          <w:color w:val="auto"/>
        </w:rPr>
        <w:t>The Bank’s rights under Section 4(e) shall survive the termination of this Agreement or the resignation or removal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Bank.</w:t>
      </w:r>
    </w:p>
    <w:p>
      <w:pPr>
        <w:spacing w:after="0" w:line="209" w:lineRule="exact"/>
        <w:rPr>
          <w:sz w:val="20"/>
          <w:szCs w:val="20"/>
          <w:color w:val="auto"/>
        </w:rPr>
      </w:pPr>
    </w:p>
    <w:p>
      <w:pPr>
        <w:ind w:left="1520" w:hanging="864"/>
        <w:spacing w:after="0"/>
        <w:tabs>
          <w:tab w:leader="none" w:pos="1520" w:val="left"/>
        </w:tabs>
        <w:numPr>
          <w:ilvl w:val="0"/>
          <w:numId w:val="6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Concerning the Bank</w:t>
      </w:r>
      <w:r>
        <w:rPr>
          <w:rFonts w:ascii="Arial" w:cs="Arial" w:eastAsia="Arial" w:hAnsi="Arial"/>
          <w:sz w:val="22"/>
          <w:szCs w:val="22"/>
          <w:b w:val="1"/>
          <w:bCs w:val="1"/>
          <w:color w:val="auto"/>
        </w:rPr>
        <w:t xml:space="preserve"> .</w:t>
      </w:r>
    </w:p>
    <w:p>
      <w:pPr>
        <w:spacing w:after="0" w:line="252" w:lineRule="exact"/>
        <w:rPr>
          <w:rFonts w:ascii="Arial" w:cs="Arial" w:eastAsia="Arial" w:hAnsi="Arial"/>
          <w:sz w:val="22"/>
          <w:szCs w:val="22"/>
          <w:b w:val="1"/>
          <w:bCs w:val="1"/>
          <w:color w:val="auto"/>
        </w:rPr>
      </w:pPr>
    </w:p>
    <w:p>
      <w:pPr>
        <w:jc w:val="both"/>
        <w:ind w:firstLine="1304"/>
        <w:spacing w:after="0" w:line="246" w:lineRule="auto"/>
        <w:tabs>
          <w:tab w:leader="none" w:pos="1954" w:val="left"/>
        </w:tabs>
        <w:numPr>
          <w:ilvl w:val="1"/>
          <w:numId w:val="617"/>
        </w:numPr>
        <w:rPr>
          <w:rFonts w:ascii="Arial" w:cs="Arial" w:eastAsia="Arial" w:hAnsi="Arial"/>
          <w:sz w:val="22"/>
          <w:szCs w:val="22"/>
          <w:color w:val="auto"/>
        </w:rPr>
      </w:pPr>
      <w:r>
        <w:rPr>
          <w:rFonts w:ascii="Arial" w:cs="Arial" w:eastAsia="Arial" w:hAnsi="Arial"/>
          <w:sz w:val="22"/>
          <w:szCs w:val="22"/>
          <w:u w:val="single" w:color="auto"/>
          <w:color w:val="auto"/>
        </w:rPr>
        <w:t>Bank Duties</w:t>
      </w:r>
      <w:r>
        <w:rPr>
          <w:rFonts w:ascii="Arial" w:cs="Arial" w:eastAsia="Arial" w:hAnsi="Arial"/>
          <w:sz w:val="22"/>
          <w:szCs w:val="22"/>
          <w:color w:val="auto"/>
        </w:rPr>
        <w:t xml:space="preserve"> . Each of the Pledgor and the Secured Party acknowledges and agrees that (i) the duties, responsibilities and obligations of the Bank shall be limited to those expressly set forth in this Agreement, each of which is administrative or ministerial (and shall not be construed to be fiduciary in nature), and no duties, responsibilities or obligations shall be inferred or implied, (ii) the Bank shall not be responsible for any of the agreements referred to or described herein (including without limitation the Pledge Agreement), or for determining or compelling compliance therewith, and shall not otherwise be bound thereby, and (iii) the Bank shall not be required to expend or risk any of its own funds to satisfy payments from the Account hereunder.</w:t>
      </w:r>
    </w:p>
    <w:p>
      <w:pPr>
        <w:spacing w:after="0" w:line="236" w:lineRule="exact"/>
        <w:rPr>
          <w:rFonts w:ascii="Arial" w:cs="Arial" w:eastAsia="Arial" w:hAnsi="Arial"/>
          <w:sz w:val="22"/>
          <w:szCs w:val="22"/>
          <w:color w:val="auto"/>
        </w:rPr>
      </w:pPr>
    </w:p>
    <w:p>
      <w:pPr>
        <w:jc w:val="both"/>
        <w:ind w:firstLine="1304"/>
        <w:spacing w:after="0" w:line="285" w:lineRule="auto"/>
        <w:tabs>
          <w:tab w:leader="none" w:pos="1912" w:val="left"/>
        </w:tabs>
        <w:numPr>
          <w:ilvl w:val="1"/>
          <w:numId w:val="617"/>
        </w:numPr>
        <w:rPr>
          <w:rFonts w:ascii="Arial" w:cs="Arial" w:eastAsia="Arial" w:hAnsi="Arial"/>
          <w:sz w:val="19"/>
          <w:szCs w:val="19"/>
          <w:color w:val="auto"/>
        </w:rPr>
      </w:pPr>
      <w:r>
        <w:rPr>
          <w:rFonts w:ascii="Arial" w:cs="Arial" w:eastAsia="Arial" w:hAnsi="Arial"/>
          <w:sz w:val="19"/>
          <w:szCs w:val="19"/>
          <w:u w:val="single" w:color="auto"/>
          <w:color w:val="auto"/>
        </w:rPr>
        <w:t>Liability of Bank</w:t>
      </w:r>
      <w:r>
        <w:rPr>
          <w:rFonts w:ascii="Arial" w:cs="Arial" w:eastAsia="Arial" w:hAnsi="Arial"/>
          <w:sz w:val="19"/>
          <w:szCs w:val="19"/>
          <w:color w:val="auto"/>
        </w:rPr>
        <w:t xml:space="preserve"> . The Bank shall not be liable for any damage, loss or injury resulting from any action taken or omitted in the absence of gross negligence or willful misconduct (as finally adjudicated by a court of competent jurisdiction). In no event shall the Bank be liable for indirect, incidental, consequential, punitive or special losses or damages, regardless of the form of action and whether or not any such losses or damages were foreseeable or contemplated. The Bank shall not be liable or responsible for the investment or reinvestment of any assets in the Account, or any liquidation of such investment or reinvestment, executed in accordance with the terms of this Agreement, including, without limitation, any liability for any delays in the investment or reinvestment of the assets in the Account, any loss of interest incident to any such delays, or any loss or penalty as a result of the liquidation of any investment before its stated maturity date. The Bank shall be entitled to rely upon any instruction, notice, request or other instrument delivered to it without being required to determine the authenticity or validity thereof, or the truth or accuracy of any information stated therein. The Bank may act in reliance upon any signature believed by it to be genuine and may assume that any person purporting to make any statement or execute any document in connection with the provisions hereof has been duly authorized to do so. The Bank may consult with counsel satisfactory to it, and the opinion or advice of such counsel shall be full and complete authorization and protection in respect of any action taken, suffered or omitted by it in good faith and in accordance with the opinion and advice of such counsel. The Bank shall not incur any liability for not performing any act or fulfilling any obligation hereunder by reason of any occurrence beyond its control (including, without limitation, any provision of any present or future law or regulation or any act of any governmental authority, any act of God or war or terrorism, or the unavailability of the Federal Reserve Bank wire services or any electronic communication facility).</w:t>
      </w:r>
    </w:p>
    <w:p>
      <w:pPr>
        <w:spacing w:after="0" w:line="206" w:lineRule="exact"/>
        <w:rPr>
          <w:rFonts w:ascii="Arial" w:cs="Arial" w:eastAsia="Arial" w:hAnsi="Arial"/>
          <w:sz w:val="19"/>
          <w:szCs w:val="19"/>
          <w:color w:val="auto"/>
        </w:rPr>
      </w:pPr>
    </w:p>
    <w:p>
      <w:pPr>
        <w:jc w:val="both"/>
        <w:ind w:firstLine="1304"/>
        <w:spacing w:after="0" w:line="289" w:lineRule="auto"/>
        <w:tabs>
          <w:tab w:leader="none" w:pos="1927" w:val="left"/>
        </w:tabs>
        <w:numPr>
          <w:ilvl w:val="1"/>
          <w:numId w:val="617"/>
        </w:numPr>
        <w:rPr>
          <w:rFonts w:ascii="Arial" w:cs="Arial" w:eastAsia="Arial" w:hAnsi="Arial"/>
          <w:sz w:val="19"/>
          <w:szCs w:val="19"/>
          <w:color w:val="auto"/>
        </w:rPr>
      </w:pPr>
      <w:r>
        <w:rPr>
          <w:rFonts w:ascii="Arial" w:cs="Arial" w:eastAsia="Arial" w:hAnsi="Arial"/>
          <w:sz w:val="19"/>
          <w:szCs w:val="19"/>
          <w:u w:val="single" w:color="auto"/>
          <w:color w:val="auto"/>
        </w:rPr>
        <w:t>Reliance on Orders</w:t>
      </w:r>
      <w:r>
        <w:rPr>
          <w:rFonts w:ascii="Arial" w:cs="Arial" w:eastAsia="Arial" w:hAnsi="Arial"/>
          <w:sz w:val="19"/>
          <w:szCs w:val="19"/>
          <w:color w:val="auto"/>
        </w:rPr>
        <w:t xml:space="preserve"> . The Bank is authorized to comply with final orders issued or process entered by any court with respect to the assets in the Account, without determination by the Bank of such court's jurisdiction in the matter. If any portion of the assets in the Account are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thereof, then and in any such event, the Bank is authorized to rely upon and comply with any such order, writ, judgment or decree which it is advised is binding upon it without the need for appeal or other action; and if the Bank complies with any such order, writ, judgment or decree, it shall not be liable to the Pledgor or the Secured Party or to any other person or entity by reason of such compliance even though such order, writ, judgment or decree may be subsequently reversed, modified, annulled, set aside or vacated.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1" w:name="page482"/>
    <w:bookmarkEnd w:id="481"/>
    <w:p>
      <w:pPr>
        <w:jc w:val="both"/>
        <w:ind w:firstLine="1304"/>
        <w:spacing w:after="0" w:line="247" w:lineRule="auto"/>
        <w:tabs>
          <w:tab w:leader="none" w:pos="1831" w:val="left"/>
        </w:tabs>
        <w:numPr>
          <w:ilvl w:val="1"/>
          <w:numId w:val="618"/>
        </w:numPr>
        <w:rPr>
          <w:rFonts w:ascii="Arial" w:cs="Arial" w:eastAsia="Arial" w:hAnsi="Arial"/>
          <w:sz w:val="22"/>
          <w:szCs w:val="22"/>
          <w:color w:val="auto"/>
        </w:rPr>
      </w:pPr>
      <w:r>
        <w:rPr>
          <w:rFonts w:ascii="Arial" w:cs="Arial" w:eastAsia="Arial" w:hAnsi="Arial"/>
          <w:sz w:val="22"/>
          <w:szCs w:val="22"/>
          <w:u w:val="single" w:color="auto"/>
          <w:color w:val="auto"/>
        </w:rPr>
        <w:t>Unlawful Gambling</w:t>
      </w:r>
      <w:r>
        <w:rPr>
          <w:rFonts w:ascii="Arial" w:cs="Arial" w:eastAsia="Arial" w:hAnsi="Arial"/>
          <w:sz w:val="22"/>
          <w:szCs w:val="22"/>
          <w:color w:val="auto"/>
        </w:rPr>
        <w:t xml:space="preserve"> . In accordance with the Unlawful Internet Gambling Act (the “ </w:t>
      </w:r>
      <w:r>
        <w:rPr>
          <w:rFonts w:ascii="Arial" w:cs="Arial" w:eastAsia="Arial" w:hAnsi="Arial"/>
          <w:sz w:val="22"/>
          <w:szCs w:val="22"/>
          <w:b w:val="1"/>
          <w:bCs w:val="1"/>
          <w:color w:val="auto"/>
        </w:rPr>
        <w:t>Act</w:t>
      </w:r>
      <w:r>
        <w:rPr>
          <w:rFonts w:ascii="Arial" w:cs="Arial" w:eastAsia="Arial" w:hAnsi="Arial"/>
          <w:sz w:val="22"/>
          <w:szCs w:val="22"/>
          <w:color w:val="auto"/>
        </w:rPr>
        <w:t xml:space="preserve"> ”), the Pledgor and the Secured Party may not use the Account or other Bank facilities in the United States to process ‘restricted transactions’ as such term is defined in 31 CFR Section 132.2(y). Therefore, neither the Pledgor, the Secured Party nor any person who has an ownership interest in or control over the Account may use it to process or facilitate payments for prohibited internet gambling transactions. For more information about the Act, including the types of transactions that are prohibited, please refer to the following link:</w:t>
      </w:r>
    </w:p>
    <w:p>
      <w:pPr>
        <w:spacing w:after="0"/>
        <w:rPr>
          <w:rFonts w:ascii="Arial" w:cs="Arial" w:eastAsia="Arial" w:hAnsi="Arial"/>
          <w:sz w:val="22"/>
          <w:szCs w:val="22"/>
          <w:color w:val="auto"/>
        </w:rPr>
      </w:pPr>
      <w:r>
        <w:rPr>
          <w:rFonts w:ascii="Arial" w:cs="Arial" w:eastAsia="Arial" w:hAnsi="Arial"/>
          <w:sz w:val="22"/>
          <w:szCs w:val="22"/>
          <w:color w:val="auto"/>
        </w:rPr>
        <w:t>http://www.federalreserve.gov/NEWSEVENTS/PRESS/BCREG/20081112B.HTM.</w:t>
      </w:r>
    </w:p>
    <w:p>
      <w:pPr>
        <w:spacing w:after="0" w:line="242" w:lineRule="exact"/>
        <w:rPr>
          <w:rFonts w:ascii="Arial" w:cs="Arial" w:eastAsia="Arial" w:hAnsi="Arial"/>
          <w:sz w:val="22"/>
          <w:szCs w:val="22"/>
          <w:color w:val="auto"/>
        </w:rPr>
      </w:pPr>
    </w:p>
    <w:p>
      <w:pPr>
        <w:jc w:val="both"/>
        <w:ind w:firstLine="1304"/>
        <w:spacing w:after="0" w:line="261" w:lineRule="auto"/>
        <w:tabs>
          <w:tab w:leader="none" w:pos="1860" w:val="left"/>
        </w:tabs>
        <w:numPr>
          <w:ilvl w:val="1"/>
          <w:numId w:val="618"/>
        </w:numPr>
        <w:rPr>
          <w:rFonts w:ascii="Arial" w:cs="Arial" w:eastAsia="Arial" w:hAnsi="Arial"/>
          <w:sz w:val="21"/>
          <w:szCs w:val="21"/>
          <w:color w:val="auto"/>
        </w:rPr>
      </w:pPr>
      <w:r>
        <w:rPr>
          <w:rFonts w:ascii="Arial" w:cs="Arial" w:eastAsia="Arial" w:hAnsi="Arial"/>
          <w:sz w:val="21"/>
          <w:szCs w:val="21"/>
          <w:u w:val="single" w:color="auto"/>
          <w:color w:val="auto"/>
        </w:rPr>
        <w:t>Secure E-mail</w:t>
      </w:r>
      <w:r>
        <w:rPr>
          <w:rFonts w:ascii="Arial" w:cs="Arial" w:eastAsia="Arial" w:hAnsi="Arial"/>
          <w:sz w:val="21"/>
          <w:szCs w:val="21"/>
          <w:color w:val="auto"/>
        </w:rPr>
        <w:t xml:space="preserve"> . Notwithstanding anything to the contrary herein, any and all e-mail communications (both text and attachments) by or from the Bank that the Bank deems to contain confidential, proprietary, and/or sensitive information shall be encrypted. The recipient (the “ </w:t>
      </w:r>
      <w:r>
        <w:rPr>
          <w:rFonts w:ascii="Arial" w:cs="Arial" w:eastAsia="Arial" w:hAnsi="Arial"/>
          <w:sz w:val="21"/>
          <w:szCs w:val="21"/>
          <w:b w:val="1"/>
          <w:bCs w:val="1"/>
          <w:color w:val="auto"/>
        </w:rPr>
        <w:t>E-mail Recipient</w:t>
      </w:r>
      <w:r>
        <w:rPr>
          <w:rFonts w:ascii="Arial" w:cs="Arial" w:eastAsia="Arial" w:hAnsi="Arial"/>
          <w:sz w:val="21"/>
          <w:szCs w:val="21"/>
          <w:color w:val="auto"/>
        </w:rPr>
        <w:t xml:space="preserve"> ”) of the encrypted email communication will be required to complete a registration process. Instructions on how to register and/or retrieve an encrypted message will be included in the first secure email sent by the Bank to the E-mail Recipient. For additional information and assistance call ### (in the U.S.), ### (outside the U.S.), or contact the Bank.</w:t>
      </w:r>
    </w:p>
    <w:p>
      <w:pPr>
        <w:spacing w:after="0" w:line="219" w:lineRule="exact"/>
        <w:rPr>
          <w:rFonts w:ascii="Arial" w:cs="Arial" w:eastAsia="Arial" w:hAnsi="Arial"/>
          <w:sz w:val="21"/>
          <w:szCs w:val="21"/>
          <w:color w:val="auto"/>
        </w:rPr>
      </w:pPr>
    </w:p>
    <w:p>
      <w:pPr>
        <w:jc w:val="both"/>
        <w:ind w:firstLine="656"/>
        <w:spacing w:after="0" w:line="302" w:lineRule="auto"/>
        <w:tabs>
          <w:tab w:leader="none" w:pos="1201" w:val="left"/>
        </w:tabs>
        <w:numPr>
          <w:ilvl w:val="0"/>
          <w:numId w:val="619"/>
        </w:numPr>
        <w:rPr>
          <w:rFonts w:ascii="Arial" w:cs="Arial" w:eastAsia="Arial" w:hAnsi="Arial"/>
          <w:sz w:val="19"/>
          <w:szCs w:val="19"/>
          <w:color w:val="auto"/>
        </w:rPr>
      </w:pPr>
      <w:r>
        <w:rPr>
          <w:rFonts w:ascii="Arial" w:cs="Arial" w:eastAsia="Arial" w:hAnsi="Arial"/>
          <w:sz w:val="19"/>
          <w:szCs w:val="19"/>
          <w:u w:val="single" w:color="auto"/>
          <w:color w:val="auto"/>
        </w:rPr>
        <w:t>Tax Advice</w:t>
      </w:r>
      <w:r>
        <w:rPr>
          <w:rFonts w:ascii="Arial" w:cs="Arial" w:eastAsia="Arial" w:hAnsi="Arial"/>
          <w:sz w:val="19"/>
          <w:szCs w:val="19"/>
          <w:color w:val="auto"/>
        </w:rPr>
        <w:t xml:space="preserve"> . The Bank, its affiliates, and its employees are not in the business of providing tax or legal advice to any taxpayer outside of the Bank and its affiliates. This Agreement and any amendments or attachments are not intended or written to be used, and cannot be used or relied upon, by any such taxpayer or for the purpose of avoiding tax penalties. Any such taxpayer should seek advice based on the taxpayer’s particular circumstances from an independent tax advisor.</w:t>
      </w:r>
    </w:p>
    <w:p>
      <w:pPr>
        <w:spacing w:after="0" w:line="150" w:lineRule="exact"/>
        <w:rPr>
          <w:sz w:val="20"/>
          <w:szCs w:val="20"/>
          <w:color w:val="auto"/>
        </w:rPr>
      </w:pPr>
    </w:p>
    <w:p>
      <w:pPr>
        <w:ind w:left="1520" w:hanging="864"/>
        <w:spacing w:after="0"/>
        <w:tabs>
          <w:tab w:leader="none" w:pos="1520" w:val="left"/>
        </w:tabs>
        <w:numPr>
          <w:ilvl w:val="0"/>
          <w:numId w:val="6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Expense Reimbursement and Indemnification</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Each of the Pledgor and Secured Party covenants and agrees, jointly and severally, to pay the Bank’s fees and expenses specified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 Any reasonable and documented outside attorney’s fees incurred in connection with the preparation and negotiation of this Agreement and any Bank acceptance fees specified on Schedule A shall be due and payable upon the execution of this Agreement. Each of the Pledgor and Secured Party covenants and agrees, jointly and severally, to indemnify the Bank and its employees, officers, directors and agents (each, an “ </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 for, hold each Indemnified Party harmless from, and defend each Indemnified Party against, any and all claims, losses, actions, liabilities, costs, damages and expenses (collectively, “ </w:t>
      </w:r>
      <w:r>
        <w:rPr>
          <w:rFonts w:ascii="Arial" w:cs="Arial" w:eastAsia="Arial" w:hAnsi="Arial"/>
          <w:sz w:val="19"/>
          <w:szCs w:val="19"/>
          <w:b w:val="1"/>
          <w:bCs w:val="1"/>
          <w:color w:val="auto"/>
        </w:rPr>
        <w:t>Losses</w:t>
      </w:r>
      <w:r>
        <w:rPr>
          <w:rFonts w:ascii="Arial" w:cs="Arial" w:eastAsia="Arial" w:hAnsi="Arial"/>
          <w:sz w:val="19"/>
          <w:szCs w:val="19"/>
          <w:color w:val="auto"/>
        </w:rPr>
        <w:t xml:space="preserve"> ”) of any nature incurred by any Indemnified Party, whether direct, indirect or consequential, arising out of or in connection with this Agreement or with the administration of its duties hereunder, including but not limited to reasonable and documented outside attorney’s fees, and reasonable and documented out of pocket costs and expenses, tax liabilities (including any taxes, interest and penalties but excluding any income tax liabilities associated with the Bank’s fees), and other reasonable and documented out of pocket costs and expenses of defending or preparing to defend against any claim of liability (whether threatened or initiated), except to the extent such Losses shall have been finally adjudicated by a court of competent jurisdiction to have resulted solely from the Indemnified Party's own gross negligence or willful misconduct. The foregoing indemnification and agreement to hold harmless shall survive the termination of this Agreement and the resignation or removal of the Bank.</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case any proceeding shall be instituted involving any Indemnified Party in respect of which indemnity may be sought, such Indemnified Party shall promptly notify the Pledgor and the Secured Party in writing; provided, however, that such Indemnified Party’s failure to notify the Pledgor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482" w:name="page483"/>
    <w:bookmarkEnd w:id="482"/>
    <w:p>
      <w:pPr>
        <w:jc w:val="both"/>
        <w:spacing w:after="0" w:line="285" w:lineRule="auto"/>
        <w:rPr>
          <w:sz w:val="20"/>
          <w:szCs w:val="20"/>
          <w:color w:val="auto"/>
        </w:rPr>
      </w:pPr>
      <w:r>
        <w:rPr>
          <w:rFonts w:ascii="Arial" w:cs="Arial" w:eastAsia="Arial" w:hAnsi="Arial"/>
          <w:sz w:val="19"/>
          <w:szCs w:val="19"/>
          <w:color w:val="auto"/>
        </w:rPr>
        <w:t>Secured Party shall not relieve the Pledgor and the Secured Party of their indemnification obligations hereunder. The Pledgor and the Secured Party may retain counsel reasonably satisfactory to the Bank to represent the relevant Indemnified Party and shall pay the reasonable and documented fees and out of pocket expenses of such counsel related to such proceeding. In any such proceeding, such Indemnified Party shall have the right to retain its own counsel, but the fees and expenses of such counsel shall be at the expense of such Indemnified Party unless (i) the Pledgor, the Secured Party and such Indemnified Party shall have mutually agreed in writing to the retention of such counsel or (ii) the named parties to any such proceeding include the Pledgor and/or the Secured Party and such Indemnified Person and any representation of such parties by the same counsel would, in the reasonable judgment of such Indemnified Party, be inappropriate due to an actual or potential conflict of interest between them. It is understood that the Pledgor and the Secured Party shall not, in connection with any proceeding or related proceedings in the same jurisdiction, be liable for the reasonable fees and out of pocket expenses of more than one firm (in addition to one firm of local counsel for any one jurisdiction) for all such Indemnified Parties (and, in the case of an actual or potential conflict of interest, where the Indemnified Party affected by such conflict informs the Pledgor and the Secured Party of such conflict in writing and thereafter retains its own counsel, of another firm for all such similarly affected Indemnified Parties), and that all such fees and expenses shall be reimbursed upon demand. Such firm shall be designated in writing by the affected Indemnified Parties. The Pledgor and the Secured Party shall not be liable for any settlement of any proceeding effected without their written consent. Neither the Pledgor nor the Secured Party may settle or compromise any action or proceeding defended by the Pledgor and/or the Secured Party in accordance with the foregoing without the prior written consent of the Bank, unless such settlement or compromise (x) includes an unconditional release of the Bank from all liability arising out of such action or proceeding and (y) does not include a statement or admissions of fault, culpability or a failure to act, by or on behalf of the Bank.</w:t>
      </w:r>
    </w:p>
    <w:p>
      <w:pPr>
        <w:spacing w:after="0" w:line="167" w:lineRule="exact"/>
        <w:rPr>
          <w:sz w:val="20"/>
          <w:szCs w:val="20"/>
          <w:color w:val="auto"/>
        </w:rPr>
      </w:pPr>
    </w:p>
    <w:p>
      <w:pPr>
        <w:ind w:left="1520" w:hanging="864"/>
        <w:spacing w:after="0"/>
        <w:tabs>
          <w:tab w:leader="none" w:pos="1520" w:val="left"/>
        </w:tabs>
        <w:numPr>
          <w:ilvl w:val="0"/>
          <w:numId w:val="6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Statements, Confirmations and Notices of Adverse Claims</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Bank will send copies of all statements and confirmations for the Account to the Pledgor and to the Secured Party upon their written request. The Bank will use reasonable efforts promptly to notify the Secured Party and the Pledgor if any other person claims that it has a property interest in the Account or any financial asset in the Account.</w:t>
      </w:r>
    </w:p>
    <w:p>
      <w:pPr>
        <w:spacing w:after="0" w:line="175" w:lineRule="exact"/>
        <w:rPr>
          <w:sz w:val="20"/>
          <w:szCs w:val="20"/>
          <w:color w:val="auto"/>
        </w:rPr>
      </w:pPr>
    </w:p>
    <w:p>
      <w:pPr>
        <w:ind w:left="1520" w:hanging="864"/>
        <w:spacing w:after="0"/>
        <w:tabs>
          <w:tab w:leader="none" w:pos="1520" w:val="left"/>
        </w:tabs>
        <w:numPr>
          <w:ilvl w:val="0"/>
          <w:numId w:val="6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Exclusive Benefit</w:t>
      </w:r>
      <w:r>
        <w:rPr>
          <w:rFonts w:ascii="Arial" w:cs="Arial" w:eastAsia="Arial" w:hAnsi="Arial"/>
          <w:sz w:val="22"/>
          <w:szCs w:val="22"/>
          <w:b w:val="1"/>
          <w:bCs w:val="1"/>
          <w:color w:val="auto"/>
        </w:rPr>
        <w:t xml:space="preserve"> .</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specifically set forth in this Agreement, this Agreement is for the exclusive benefit of the parties to this Agreement and their respective permitted successors, and shall not be deemed to give, either expressly or implicitly, any legal or equitable right, remedy, or claim to any other entity or person whatsoever. No party may assign any of its rights or obligations under this Agreement without the prior written consent of the other parties.</w:t>
      </w:r>
    </w:p>
    <w:p>
      <w:pPr>
        <w:spacing w:after="0" w:line="195" w:lineRule="exact"/>
        <w:rPr>
          <w:sz w:val="20"/>
          <w:szCs w:val="20"/>
          <w:color w:val="auto"/>
        </w:rPr>
      </w:pPr>
    </w:p>
    <w:p>
      <w:pPr>
        <w:ind w:left="1520" w:hanging="864"/>
        <w:spacing w:after="0"/>
        <w:tabs>
          <w:tab w:leader="none" w:pos="1520" w:val="left"/>
        </w:tabs>
        <w:numPr>
          <w:ilvl w:val="0"/>
          <w:numId w:val="6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Resignation and Removal</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56"/>
        <w:spacing w:after="0" w:line="250" w:lineRule="auto"/>
        <w:tabs>
          <w:tab w:leader="none" w:pos="1183" w:val="left"/>
        </w:tabs>
        <w:numPr>
          <w:ilvl w:val="0"/>
          <w:numId w:val="624"/>
        </w:numPr>
        <w:rPr>
          <w:rFonts w:ascii="Arial" w:cs="Arial" w:eastAsia="Arial" w:hAnsi="Arial"/>
          <w:sz w:val="22"/>
          <w:szCs w:val="22"/>
          <w:color w:val="auto"/>
        </w:rPr>
      </w:pPr>
      <w:r>
        <w:rPr>
          <w:rFonts w:ascii="Arial" w:cs="Arial" w:eastAsia="Arial" w:hAnsi="Arial"/>
          <w:sz w:val="22"/>
          <w:szCs w:val="22"/>
          <w:color w:val="auto"/>
        </w:rPr>
        <w:t>The Pledgor and the Secured Party may remove the Bank at any time by giving to the Bank thirty (30) calendar days’ prior written notice of removal signed by an Authorized Person of each of the Pledgor and the Secured Party. The Bank may resign at any time by giving to each of the Pledgor and the Secured Party thirty (30) calendar days’ prior written notice of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3" w:name="page484"/>
    <w:bookmarkEnd w:id="483"/>
    <w:p>
      <w:pPr>
        <w:jc w:val="both"/>
        <w:ind w:firstLine="1304"/>
        <w:spacing w:after="0" w:line="294" w:lineRule="auto"/>
        <w:tabs>
          <w:tab w:leader="none" w:pos="1765" w:val="left"/>
        </w:tabs>
        <w:numPr>
          <w:ilvl w:val="1"/>
          <w:numId w:val="625"/>
        </w:numPr>
        <w:rPr>
          <w:rFonts w:ascii="Arial" w:cs="Arial" w:eastAsia="Arial" w:hAnsi="Arial"/>
          <w:sz w:val="19"/>
          <w:szCs w:val="19"/>
          <w:color w:val="auto"/>
        </w:rPr>
      </w:pPr>
      <w:r>
        <w:rPr>
          <w:rFonts w:ascii="Arial" w:cs="Arial" w:eastAsia="Arial" w:hAnsi="Arial"/>
          <w:sz w:val="19"/>
          <w:szCs w:val="19"/>
          <w:color w:val="auto"/>
        </w:rPr>
        <w:t>Within thirty (30) calendar days after giving the foregoing notice of removal to the Bank or within thirty (30) calendar days after receiving the foregoing notice of resignation from the Bank, the Pledgor and the Secured Party shall appoint a successor bank and give notice of such successor bank to the Bank. If a successor bank has not accepted such appointment by the end of such (i) 30-day period, in the case of the Bank’s removal, or (ii) 30-day period, in the case of the Bank’s resignation, the Bank may either (i) deliver all assets held by it in the Account to the Secured Party or (ii) apply to a court of competent jurisdiction for the appointment of a successor bank or for other appropriate relief.</w:t>
      </w:r>
    </w:p>
    <w:p>
      <w:pPr>
        <w:spacing w:after="0" w:line="189" w:lineRule="exact"/>
        <w:rPr>
          <w:rFonts w:ascii="Arial" w:cs="Arial" w:eastAsia="Arial" w:hAnsi="Arial"/>
          <w:sz w:val="19"/>
          <w:szCs w:val="19"/>
          <w:color w:val="auto"/>
        </w:rPr>
      </w:pPr>
    </w:p>
    <w:p>
      <w:pPr>
        <w:jc w:val="both"/>
        <w:ind w:firstLine="1304"/>
        <w:spacing w:after="0" w:line="271" w:lineRule="auto"/>
        <w:tabs>
          <w:tab w:leader="none" w:pos="1822" w:val="left"/>
        </w:tabs>
        <w:numPr>
          <w:ilvl w:val="1"/>
          <w:numId w:val="625"/>
        </w:numPr>
        <w:rPr>
          <w:rFonts w:ascii="Arial" w:cs="Arial" w:eastAsia="Arial" w:hAnsi="Arial"/>
          <w:sz w:val="21"/>
          <w:szCs w:val="21"/>
          <w:color w:val="auto"/>
        </w:rPr>
      </w:pPr>
      <w:r>
        <w:rPr>
          <w:rFonts w:ascii="Arial" w:cs="Arial" w:eastAsia="Arial" w:hAnsi="Arial"/>
          <w:sz w:val="21"/>
          <w:szCs w:val="21"/>
          <w:color w:val="auto"/>
        </w:rPr>
        <w:t>Upon receipt of notice of the identity of the successor bank, the Bank shall either deliver the assets in the Account then held hereunder to the successor bank, less the Bank’s fees, costs and expenses, or hold such assets in the Account (or any portion thereof) pending distribution, until all such fees, costs and expenses are paid to it.</w:t>
      </w:r>
    </w:p>
    <w:p>
      <w:pPr>
        <w:spacing w:after="0" w:line="167" w:lineRule="exact"/>
        <w:rPr>
          <w:rFonts w:ascii="Arial" w:cs="Arial" w:eastAsia="Arial" w:hAnsi="Arial"/>
          <w:sz w:val="21"/>
          <w:szCs w:val="21"/>
          <w:color w:val="auto"/>
        </w:rPr>
      </w:pPr>
    </w:p>
    <w:p>
      <w:pPr>
        <w:ind w:firstLine="1304"/>
        <w:spacing w:after="0" w:line="263" w:lineRule="auto"/>
        <w:tabs>
          <w:tab w:leader="none" w:pos="1864" w:val="left"/>
        </w:tabs>
        <w:numPr>
          <w:ilvl w:val="1"/>
          <w:numId w:val="625"/>
        </w:numPr>
        <w:rPr>
          <w:rFonts w:ascii="Arial" w:cs="Arial" w:eastAsia="Arial" w:hAnsi="Arial"/>
          <w:sz w:val="22"/>
          <w:szCs w:val="22"/>
          <w:color w:val="auto"/>
        </w:rPr>
      </w:pPr>
      <w:r>
        <w:rPr>
          <w:rFonts w:ascii="Arial" w:cs="Arial" w:eastAsia="Arial" w:hAnsi="Arial"/>
          <w:sz w:val="22"/>
          <w:szCs w:val="22"/>
          <w:color w:val="auto"/>
        </w:rPr>
        <w:t>Upon delivery of the assets in the Account to the successor bank, the Bank shall have no further duties, responsibilities or obligations hereunder.</w:t>
      </w:r>
    </w:p>
    <w:p>
      <w:pPr>
        <w:spacing w:after="0" w:line="141" w:lineRule="exact"/>
        <w:rPr>
          <w:rFonts w:ascii="Arial" w:cs="Arial" w:eastAsia="Arial" w:hAnsi="Arial"/>
          <w:sz w:val="22"/>
          <w:szCs w:val="22"/>
          <w:color w:val="auto"/>
        </w:rPr>
      </w:pPr>
    </w:p>
    <w:p>
      <w:pPr>
        <w:ind w:left="1620" w:hanging="964"/>
        <w:spacing w:after="0"/>
        <w:tabs>
          <w:tab w:leader="none" w:pos="1620" w:val="left"/>
        </w:tabs>
        <w:numPr>
          <w:ilvl w:val="0"/>
          <w:numId w:val="6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 Jurisdiction; Waivers</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56"/>
        <w:spacing w:after="0" w:line="292" w:lineRule="auto"/>
        <w:tabs>
          <w:tab w:leader="none" w:pos="1268" w:val="left"/>
        </w:tabs>
        <w:numPr>
          <w:ilvl w:val="0"/>
          <w:numId w:val="627"/>
        </w:numPr>
        <w:rPr>
          <w:rFonts w:ascii="Arial" w:cs="Arial" w:eastAsia="Arial" w:hAnsi="Arial"/>
          <w:sz w:val="19"/>
          <w:szCs w:val="19"/>
          <w:color w:val="auto"/>
        </w:rPr>
      </w:pPr>
      <w:r>
        <w:rPr>
          <w:rFonts w:ascii="Arial" w:cs="Arial" w:eastAsia="Arial" w:hAnsi="Arial"/>
          <w:sz w:val="19"/>
          <w:szCs w:val="19"/>
          <w:color w:val="auto"/>
        </w:rPr>
        <w:t>This Agreement and the Account (including all interests, duties and obligations with respect thereto) will be governed by the laws of the State of New York, without giving effect to conflict laws rules or principles. The parties irrevocably and unconditionally submit to the exclusive jurisdiction of the federal and state courts located in the Borough of Manhattan, City, County and State of New York, for any proceedings commenced regarding this Agreement, including, but not limited to, any interpleader proceeding or proceeding for the appointment of a successor bank the Bank may commence pursuant to this Agreement. The parties irrevocably submit to the jurisdiction of such courts for the determination of all issues in such proceedings and irrevocably waive any objection to venue or inconvenient forum for any proceeding brought in any such court.</w:t>
      </w:r>
    </w:p>
    <w:p>
      <w:pPr>
        <w:spacing w:after="0" w:line="191" w:lineRule="exact"/>
        <w:rPr>
          <w:rFonts w:ascii="Arial" w:cs="Arial" w:eastAsia="Arial" w:hAnsi="Arial"/>
          <w:sz w:val="19"/>
          <w:szCs w:val="19"/>
          <w:color w:val="auto"/>
        </w:rPr>
      </w:pPr>
    </w:p>
    <w:p>
      <w:pPr>
        <w:jc w:val="both"/>
        <w:ind w:firstLine="656"/>
        <w:spacing w:after="0" w:line="253" w:lineRule="auto"/>
        <w:tabs>
          <w:tab w:leader="none" w:pos="1118" w:val="left"/>
        </w:tabs>
        <w:numPr>
          <w:ilvl w:val="0"/>
          <w:numId w:val="627"/>
        </w:numPr>
        <w:rPr>
          <w:rFonts w:ascii="Arial" w:cs="Arial" w:eastAsia="Arial" w:hAnsi="Arial"/>
          <w:sz w:val="22"/>
          <w:szCs w:val="22"/>
          <w:color w:val="auto"/>
        </w:rPr>
      </w:pPr>
      <w:r>
        <w:rPr>
          <w:rFonts w:ascii="Arial" w:cs="Arial" w:eastAsia="Arial" w:hAnsi="Arial"/>
          <w:sz w:val="22"/>
          <w:szCs w:val="22"/>
          <w:color w:val="auto"/>
        </w:rPr>
        <w:t>To the extent that in any jurisdiction the Pledgor or the Secured Party may be entitled to claim, for itself or its assets, immunity from suit, execution, attachment (whether before or after judgment) or other legal process, each such party hereby irrevocably agrees not to claim, and hereby waives, such immunity.</w:t>
      </w:r>
    </w:p>
    <w:p>
      <w:pPr>
        <w:spacing w:after="0" w:line="225" w:lineRule="exact"/>
        <w:rPr>
          <w:rFonts w:ascii="Arial" w:cs="Arial" w:eastAsia="Arial" w:hAnsi="Arial"/>
          <w:sz w:val="22"/>
          <w:szCs w:val="22"/>
          <w:color w:val="auto"/>
        </w:rPr>
      </w:pPr>
    </w:p>
    <w:p>
      <w:pPr>
        <w:ind w:firstLine="656"/>
        <w:spacing w:after="0" w:line="263" w:lineRule="auto"/>
        <w:tabs>
          <w:tab w:leader="none" w:pos="1102" w:val="left"/>
        </w:tabs>
        <w:numPr>
          <w:ilvl w:val="0"/>
          <w:numId w:val="627"/>
        </w:numPr>
        <w:rPr>
          <w:rFonts w:ascii="Arial" w:cs="Arial" w:eastAsia="Arial" w:hAnsi="Arial"/>
          <w:sz w:val="22"/>
          <w:szCs w:val="22"/>
          <w:color w:val="auto"/>
        </w:rPr>
      </w:pPr>
      <w:r>
        <w:rPr>
          <w:rFonts w:ascii="Arial" w:cs="Arial" w:eastAsia="Arial" w:hAnsi="Arial"/>
          <w:sz w:val="22"/>
          <w:szCs w:val="22"/>
          <w:color w:val="auto"/>
        </w:rPr>
        <w:t>The parties irrevocably and unconditionally waive any right to trial by jury with respect to any proceeding relating to this Agreement.</w:t>
      </w:r>
    </w:p>
    <w:p>
      <w:pPr>
        <w:spacing w:after="0" w:line="182" w:lineRule="exact"/>
        <w:rPr>
          <w:sz w:val="20"/>
          <w:szCs w:val="20"/>
          <w:color w:val="auto"/>
        </w:rPr>
      </w:pPr>
    </w:p>
    <w:p>
      <w:pPr>
        <w:ind w:left="1620" w:hanging="964"/>
        <w:spacing w:after="0"/>
        <w:tabs>
          <w:tab w:leader="none" w:pos="1620" w:val="left"/>
        </w:tabs>
        <w:numPr>
          <w:ilvl w:val="0"/>
          <w:numId w:val="6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Identifying Information</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To help the U.S. government fight the funding of terrorism and money laundering activities, federal law requires all financial institutions to obtain, verify, and record information that identifies each person who opens an account. When an account is opened, the Bank will ask for information that will allow the Bank to identify relevant parties. The Pledgor and the Secured Party hereby acknowledge such information disclosure requirements and agree to comply with all such information disclosure requests from time to time from the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4" w:name="page485"/>
    <w:bookmarkEnd w:id="484"/>
    <w:p>
      <w:pPr>
        <w:ind w:left="1620" w:hanging="964"/>
        <w:spacing w:after="0"/>
        <w:tabs>
          <w:tab w:leader="none" w:pos="1620" w:val="left"/>
        </w:tabs>
        <w:numPr>
          <w:ilvl w:val="0"/>
          <w:numId w:val="6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Except as specifically set forth in this Agreement, any amendment of this Agreement shall be binding only if evidenced by a writing signed by each of the parties to this Agreement.</w:t>
      </w:r>
    </w:p>
    <w:p>
      <w:pPr>
        <w:spacing w:after="0" w:line="182" w:lineRule="exact"/>
        <w:rPr>
          <w:sz w:val="20"/>
          <w:szCs w:val="20"/>
          <w:color w:val="auto"/>
        </w:rPr>
      </w:pPr>
    </w:p>
    <w:p>
      <w:pPr>
        <w:ind w:left="1620" w:hanging="964"/>
        <w:spacing w:after="0"/>
        <w:tabs>
          <w:tab w:leader="none" w:pos="1620" w:val="left"/>
        </w:tabs>
        <w:numPr>
          <w:ilvl w:val="0"/>
          <w:numId w:val="6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invalidity, illegality or unenforceability of any provision of this Agreement shall in no way affect the validity, legality or enforceability of any other provision. If any provision of this Agreement is held to be unenforceable as a matter of law, the other provisions shall not be affected thereby and shall remain in full force and effect.</w:t>
      </w:r>
    </w:p>
    <w:p>
      <w:pPr>
        <w:spacing w:after="0" w:line="175" w:lineRule="exact"/>
        <w:rPr>
          <w:sz w:val="20"/>
          <w:szCs w:val="20"/>
          <w:color w:val="auto"/>
        </w:rPr>
      </w:pPr>
    </w:p>
    <w:p>
      <w:pPr>
        <w:ind w:left="1620" w:hanging="964"/>
        <w:spacing w:after="0"/>
        <w:tabs>
          <w:tab w:leader="none" w:pos="1620" w:val="left"/>
        </w:tabs>
        <w:numPr>
          <w:ilvl w:val="0"/>
          <w:numId w:val="6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Mergers and Conversions</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Any corporation or entity into which the Bank may be merged or converted or with which it may be consolidated, or any corporation or entity resulting from any merger, conversion or consolidation to which the Bank will be a party, or any corporation or entity succeeding to the business of the Bank will be the successor of the Bank hereunder without the execution or filing of any paper with any party hereto or any further act on the part of any of the parties hereto except where an instrument of transfer or assignment is required by law to effect such succession, anything herein to the contrary notwithstanding.</w:t>
      </w:r>
    </w:p>
    <w:p>
      <w:pPr>
        <w:spacing w:after="0" w:line="154" w:lineRule="exact"/>
        <w:rPr>
          <w:sz w:val="20"/>
          <w:szCs w:val="20"/>
          <w:color w:val="auto"/>
        </w:rPr>
      </w:pPr>
    </w:p>
    <w:p>
      <w:pPr>
        <w:ind w:left="1620" w:hanging="964"/>
        <w:spacing w:after="0"/>
        <w:tabs>
          <w:tab w:leader="none" w:pos="1620" w:val="left"/>
        </w:tabs>
        <w:numPr>
          <w:ilvl w:val="0"/>
          <w:numId w:val="6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 Wiring Instructions</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56"/>
        <w:spacing w:after="0" w:line="285" w:lineRule="auto"/>
        <w:tabs>
          <w:tab w:leader="none" w:pos="1186" w:val="left"/>
        </w:tabs>
        <w:numPr>
          <w:ilvl w:val="0"/>
          <w:numId w:val="633"/>
        </w:numPr>
        <w:rPr>
          <w:rFonts w:ascii="Arial" w:cs="Arial" w:eastAsia="Arial" w:hAnsi="Arial"/>
          <w:sz w:val="19"/>
          <w:szCs w:val="19"/>
          <w:color w:val="auto"/>
        </w:rPr>
      </w:pPr>
      <w:r>
        <w:rPr>
          <w:rFonts w:ascii="Arial" w:cs="Arial" w:eastAsia="Arial" w:hAnsi="Arial"/>
          <w:sz w:val="19"/>
          <w:szCs w:val="19"/>
          <w:color w:val="auto"/>
        </w:rPr>
        <w:t xml:space="preserve">Any notice or instruction permitted or required hereunder shall be in writing in English, and shall be sent (i) by personal delivery, (ii) by a nationally recognized overnight courier or delivery service, (iii) by registered or certified mail, return receipt requested, postage prepaid, (iv) by confirmed facsimile, or (v) by e-mail with a PDF attachment thereto of an executed document, in each case addressed to the address and person(s) designated below their respective signature hereto (or to such other address as any such party may hereafter designate by written notice to the other parties). Notices to the Bank shall only be effective upon actual receipt by the Bank. Any notice or instruction must be executed by an authorized person of the Pledgor or the Secured Party, as applicable (the person(s) so designated from time to time, the “ </w:t>
      </w:r>
      <w:r>
        <w:rPr>
          <w:rFonts w:ascii="Arial" w:cs="Arial" w:eastAsia="Arial" w:hAnsi="Arial"/>
          <w:sz w:val="19"/>
          <w:szCs w:val="19"/>
          <w:u w:val="single" w:color="auto"/>
          <w:color w:val="auto"/>
        </w:rPr>
        <w:t>Authorized Persons</w:t>
      </w:r>
      <w:r>
        <w:rPr>
          <w:rFonts w:ascii="Arial" w:cs="Arial" w:eastAsia="Arial" w:hAnsi="Arial"/>
          <w:sz w:val="19"/>
          <w:szCs w:val="19"/>
          <w:color w:val="auto"/>
        </w:rPr>
        <w:t xml:space="preserve"> ”). The identity of such Authorized Persons, as well as their specimen signature, title, telephone number and e-mail address, shall be delivered to the Bank in the list of authorized signer forms as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and shall remain in effect until the applicable party notifies the Bank of any change thereto. Any instructions regarding funds transfer should contain a selected test word also evidenced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 Test words must contain at least 8 alphanumeric characters, established at document execution. In addition or in lieu of test words, the Bank is authorized to seek confirmation of such notice or instruction by telephone call back to the applicable person(s) set forth on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and the Bank may rely upon the confirmations of anyone purporting to be the person(s) so designated, and further to ensure the accuracy of the notice or instruction it receives, the Bank may record such call backs. If the Bank is unable to verify or is not satisfied in its sole discretion with the verification it receives, it will not execute the instruction until all issues have been resolved to its satisfaction. The persons and telephone numbers for call backs may be changed only in writing, signed by an Authorized Person, actually received and acknowledged by the Bank. The Pledgor and the Secured Party agree that the above security procedures are commercially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85" w:name="page486"/>
    <w:bookmarkEnd w:id="485"/>
    <w:p>
      <w:pPr>
        <w:ind w:left="1280" w:hanging="624"/>
        <w:spacing w:after="0"/>
        <w:tabs>
          <w:tab w:leader="none" w:pos="1280" w:val="left"/>
        </w:tabs>
        <w:numPr>
          <w:ilvl w:val="0"/>
          <w:numId w:val="634"/>
        </w:numPr>
        <w:rPr>
          <w:rFonts w:ascii="Arial" w:cs="Arial" w:eastAsia="Arial" w:hAnsi="Arial"/>
          <w:sz w:val="21"/>
          <w:szCs w:val="21"/>
          <w:color w:val="auto"/>
        </w:rPr>
      </w:pPr>
      <w:r>
        <w:rPr>
          <w:rFonts w:ascii="Arial" w:cs="Arial" w:eastAsia="Arial" w:hAnsi="Arial"/>
          <w:sz w:val="21"/>
          <w:szCs w:val="21"/>
          <w:color w:val="auto"/>
        </w:rPr>
        <w:t>Any funds to be paid to or by the Bank hereunder shall be sent by wire transfer pursuant to the following</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instructions:</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the Pledgor:</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Bank:</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ABA#:</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Account Name:</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A/C#:</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Ref:</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If to the Secured Party:</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Bank:</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ABA#:</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Account Name:</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A/C#:</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Ref:</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Bank:</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 xml:space="preserve">CITIBANK, N.A </w:t>
      </w:r>
      <w:r>
        <w:rPr>
          <w:rFonts w:ascii="Arial" w:cs="Arial" w:eastAsia="Arial" w:hAnsi="Arial"/>
          <w:sz w:val="22"/>
          <w:szCs w:val="22"/>
          <w:color w:val="auto"/>
        </w:rPr>
        <w:t>.</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ABA: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Name: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CREDIT A/C No.: ###</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Ref: ###</w:t>
      </w:r>
    </w:p>
    <w:p>
      <w:pPr>
        <w:spacing w:after="0" w:line="209" w:lineRule="exact"/>
        <w:rPr>
          <w:sz w:val="20"/>
          <w:szCs w:val="20"/>
          <w:color w:val="auto"/>
        </w:rPr>
      </w:pPr>
    </w:p>
    <w:p>
      <w:pPr>
        <w:ind w:left="1620" w:hanging="964"/>
        <w:spacing w:after="0"/>
        <w:tabs>
          <w:tab w:leader="none" w:pos="1620" w:val="left"/>
        </w:tabs>
        <w:numPr>
          <w:ilvl w:val="0"/>
          <w:numId w:val="6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Agreement may be executed in any number of counterparts, all of which will constitute one and the same instrument, and any party hereto may execute this agreement by signing and delivering one or more counterparts. Facsimile or PDF signatures on counterparts of this Agreement shall be deemed original signatures with all rights accruing thereto except in respect to any Non-US entity, whereby originals are required.</w:t>
      </w:r>
    </w:p>
    <w:p>
      <w:pPr>
        <w:spacing w:after="0" w:line="195" w:lineRule="exact"/>
        <w:rPr>
          <w:sz w:val="20"/>
          <w:szCs w:val="20"/>
          <w:color w:val="auto"/>
        </w:rPr>
      </w:pPr>
    </w:p>
    <w:p>
      <w:pPr>
        <w:ind w:left="1620" w:hanging="964"/>
        <w:spacing w:after="0"/>
        <w:tabs>
          <w:tab w:leader="none" w:pos="1620" w:val="left"/>
        </w:tabs>
        <w:numPr>
          <w:ilvl w:val="0"/>
          <w:numId w:val="6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Use of Name</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No printed or other material in any language, including prospectuses, notices, reports, and promotional material which mentions “ </w:t>
      </w:r>
      <w:r>
        <w:rPr>
          <w:rFonts w:ascii="Arial" w:cs="Arial" w:eastAsia="Arial" w:hAnsi="Arial"/>
          <w:sz w:val="19"/>
          <w:szCs w:val="19"/>
          <w:b w:val="1"/>
          <w:bCs w:val="1"/>
          <w:color w:val="auto"/>
        </w:rPr>
        <w:t>Citibank</w:t>
      </w:r>
      <w:r>
        <w:rPr>
          <w:rFonts w:ascii="Arial" w:cs="Arial" w:eastAsia="Arial" w:hAnsi="Arial"/>
          <w:sz w:val="19"/>
          <w:szCs w:val="19"/>
          <w:color w:val="auto"/>
        </w:rPr>
        <w:t xml:space="preserve"> ”, “ </w:t>
      </w:r>
      <w:r>
        <w:rPr>
          <w:rFonts w:ascii="Arial" w:cs="Arial" w:eastAsia="Arial" w:hAnsi="Arial"/>
          <w:sz w:val="19"/>
          <w:szCs w:val="19"/>
          <w:b w:val="1"/>
          <w:bCs w:val="1"/>
          <w:color w:val="auto"/>
        </w:rPr>
        <w:t>Citigroup</w:t>
      </w:r>
      <w:r>
        <w:rPr>
          <w:rFonts w:ascii="Arial" w:cs="Arial" w:eastAsia="Arial" w:hAnsi="Arial"/>
          <w:sz w:val="19"/>
          <w:szCs w:val="19"/>
          <w:color w:val="auto"/>
        </w:rPr>
        <w:t xml:space="preserve"> ” or “ </w:t>
      </w:r>
      <w:r>
        <w:rPr>
          <w:rFonts w:ascii="Arial" w:cs="Arial" w:eastAsia="Arial" w:hAnsi="Arial"/>
          <w:sz w:val="19"/>
          <w:szCs w:val="19"/>
          <w:b w:val="1"/>
          <w:bCs w:val="1"/>
          <w:color w:val="auto"/>
        </w:rPr>
        <w:t>Citi</w:t>
      </w:r>
      <w:r>
        <w:rPr>
          <w:rFonts w:ascii="Arial" w:cs="Arial" w:eastAsia="Arial" w:hAnsi="Arial"/>
          <w:sz w:val="19"/>
          <w:szCs w:val="19"/>
          <w:color w:val="auto"/>
        </w:rPr>
        <w:t xml:space="preserve"> ” by name or the rights, powers, or duties of the Bank under this Agreement shall be issued by either the Pledgor or Secured Party hereto, or on such party’s behalf, without the prior written consent of the Bank.</w:t>
      </w:r>
    </w:p>
    <w:p>
      <w:pPr>
        <w:spacing w:after="0" w:line="141" w:lineRule="exact"/>
        <w:rPr>
          <w:sz w:val="20"/>
          <w:szCs w:val="20"/>
          <w:color w:val="auto"/>
        </w:rPr>
      </w:pPr>
    </w:p>
    <w:p>
      <w:pPr>
        <w:ind w:left="1620" w:hanging="964"/>
        <w:spacing w:after="0"/>
        <w:tabs>
          <w:tab w:leader="none" w:pos="1620" w:val="left"/>
        </w:tabs>
        <w:numPr>
          <w:ilvl w:val="0"/>
          <w:numId w:val="63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b w:val="1"/>
          <w:bCs w:val="1"/>
          <w:color w:val="auto"/>
        </w:rPr>
        <w:t xml:space="preserve"> .</w:t>
      </w:r>
    </w:p>
    <w:p>
      <w:pPr>
        <w:spacing w:after="0" w:line="25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Agreement shall terminate upon receipt by the Bank of notice from the Secured Party that its security interest in the Account and all assets therein have terminated. Upon receipt of such notice, the Secured Party shall have no further right to originate instructions with respect to the assets in the Account. The Pledgor may terminate this Agreement upon written notice to the Bank with the express written consent of the Secured Party. The Bank shall, upon payment of all outstanding fees and expenses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6" w:name="page487"/>
    <w:bookmarkEnd w:id="486"/>
    <w:p>
      <w:pPr>
        <w:spacing w:after="0" w:line="263" w:lineRule="auto"/>
        <w:rPr>
          <w:sz w:val="20"/>
          <w:szCs w:val="20"/>
          <w:color w:val="auto"/>
        </w:rPr>
      </w:pPr>
      <w:r>
        <w:rPr>
          <w:rFonts w:ascii="Arial" w:cs="Arial" w:eastAsia="Arial" w:hAnsi="Arial"/>
          <w:sz w:val="22"/>
          <w:szCs w:val="22"/>
          <w:color w:val="auto"/>
        </w:rPr>
        <w:t>promptly forward any amounts held by the Bank in the Account to the Pledgor, and the Bank shall be relieved and discharged of any further responsibilities with respect to its duties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87" w:name="page488"/>
    <w:bookmarkEnd w:id="487"/>
    <w:p>
      <w:pPr>
        <w:ind w:right="860" w:firstLine="648"/>
        <w:spacing w:after="0" w:line="263" w:lineRule="auto"/>
        <w:rPr>
          <w:sz w:val="20"/>
          <w:szCs w:val="20"/>
          <w:color w:val="auto"/>
        </w:rPr>
      </w:pPr>
      <w:r>
        <w:rPr>
          <w:rFonts w:ascii="Arial" w:cs="Arial" w:eastAsia="Arial" w:hAnsi="Arial"/>
          <w:sz w:val="22"/>
          <w:szCs w:val="22"/>
          <w:color w:val="auto"/>
        </w:rPr>
        <w:t>IN WITNESS WHEREOF, each of the parties has caused this Agreement to be executed by a duly authorized representative as of the day and year first written above.</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CITIBANK, N.A.,</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Bank</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9601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Notice to:</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Citibank, N.A.</w:t>
      </w:r>
    </w:p>
    <w:p>
      <w:pPr>
        <w:ind w:left="3900"/>
        <w:spacing w:after="0" w:line="230" w:lineRule="auto"/>
        <w:rPr>
          <w:sz w:val="20"/>
          <w:szCs w:val="20"/>
          <w:color w:val="auto"/>
        </w:rPr>
      </w:pPr>
      <w:r>
        <w:rPr>
          <w:rFonts w:ascii="Arial" w:cs="Arial" w:eastAsia="Arial" w:hAnsi="Arial"/>
          <w:sz w:val="22"/>
          <w:szCs w:val="22"/>
          <w:color w:val="auto"/>
        </w:rPr>
        <w:t>Agency &amp; Trust</w:t>
      </w:r>
    </w:p>
    <w:p>
      <w:pPr>
        <w:ind w:left="3900"/>
        <w:spacing w:after="0" w:line="204" w:lineRule="auto"/>
        <w:rPr>
          <w:sz w:val="20"/>
          <w:szCs w:val="20"/>
          <w:color w:val="auto"/>
        </w:rPr>
      </w:pPr>
      <w:r>
        <w:rPr>
          <w:rFonts w:ascii="Arial" w:cs="Arial" w:eastAsia="Arial" w:hAnsi="Arial"/>
          <w:sz w:val="22"/>
          <w:szCs w:val="22"/>
          <w:color w:val="auto"/>
        </w:rPr>
        <w:t xml:space="preserve">388 Greenwich Street, 14 </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900"/>
        <w:spacing w:after="0"/>
        <w:rPr>
          <w:sz w:val="20"/>
          <w:szCs w:val="20"/>
          <w:color w:val="auto"/>
        </w:rPr>
      </w:pPr>
      <w:r>
        <w:rPr>
          <w:rFonts w:ascii="Arial" w:cs="Arial" w:eastAsia="Arial" w:hAnsi="Arial"/>
          <w:sz w:val="22"/>
          <w:szCs w:val="22"/>
          <w:color w:val="auto"/>
        </w:rPr>
        <w:t>New York, NY 10013</w:t>
      </w:r>
    </w:p>
    <w:p>
      <w:pPr>
        <w:spacing w:after="0" w:line="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Phone: ###</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Facsimile: ###</w:t>
      </w:r>
    </w:p>
    <w:p>
      <w:pPr>
        <w:spacing w:after="0" w:line="202" w:lineRule="exact"/>
        <w:rPr>
          <w:sz w:val="20"/>
          <w:szCs w:val="20"/>
          <w:color w:val="auto"/>
        </w:rPr>
      </w:pPr>
    </w:p>
    <w:p>
      <w:pPr>
        <w:ind w:left="3900"/>
        <w:spacing w:after="0" w:line="263" w:lineRule="auto"/>
        <w:rPr>
          <w:sz w:val="20"/>
          <w:szCs w:val="20"/>
          <w:color w:val="auto"/>
        </w:rPr>
      </w:pPr>
      <w:r>
        <w:rPr>
          <w:rFonts w:ascii="Arial" w:cs="Arial" w:eastAsia="Arial" w:hAnsi="Arial"/>
          <w:sz w:val="22"/>
          <w:szCs w:val="22"/>
          <w:color w:val="auto"/>
        </w:rPr>
        <w:t>With a copy to (if by personal delivery, overnight courier or registered or certified mail):</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Citibank, N.A., as Escrow Agent</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Agency &amp; Trust</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480 Washington Blvd. 18th Floor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Jersey City, NJ 07310</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w:t>
      </w:r>
    </w:p>
    <w:p>
      <w:pPr>
        <w:spacing w:after="0" w:line="200" w:lineRule="exact"/>
        <w:rPr>
          <w:sz w:val="20"/>
          <w:szCs w:val="20"/>
          <w:color w:val="auto"/>
        </w:rPr>
      </w:pPr>
    </w:p>
    <w:p>
      <w:pPr>
        <w:spacing w:after="0" w:line="293"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AMERICAN AIRLINES, INC.</w:t>
      </w:r>
    </w:p>
    <w:p>
      <w:pPr>
        <w:spacing w:after="0" w:line="26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9601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Notice to:</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American Airlines,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1 Skyview Drive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Fort Worth, TX 76155</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 ###</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63" w:right="599" w:bottom="1440" w:gutter="0" w:footer="0" w:header="0"/>
        </w:sectPr>
      </w:pPr>
    </w:p>
    <w:bookmarkStart w:id="488" w:name="page489"/>
    <w:bookmarkEnd w:id="488"/>
    <w:p>
      <w:pPr>
        <w:ind w:left="3900"/>
        <w:spacing w:after="0"/>
        <w:rPr>
          <w:sz w:val="20"/>
          <w:szCs w:val="20"/>
          <w:color w:val="auto"/>
        </w:rPr>
      </w:pPr>
      <w:r>
        <w:rPr>
          <w:rFonts w:ascii="Arial" w:cs="Arial" w:eastAsia="Arial" w:hAnsi="Arial"/>
          <w:sz w:val="21"/>
          <w:szCs w:val="21"/>
          <w:b w:val="1"/>
          <w:bCs w:val="1"/>
          <w:color w:val="auto"/>
        </w:rPr>
        <w:t>[SECURED PARTY]</w:t>
      </w:r>
    </w:p>
    <w:p>
      <w:pPr>
        <w:spacing w:after="0" w:line="23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9601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Notice to:</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[Address]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[Address]</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Attn.: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Phone: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Facsimile: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List of Exhibits and Schedules</w:t>
      </w:r>
    </w:p>
    <w:p>
      <w:pPr>
        <w:spacing w:after="0" w:line="220"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Notice of Exclusive Control</w:t>
      </w:r>
    </w:p>
    <w:p>
      <w:pPr>
        <w:spacing w:after="0" w:line="2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Schedule A:</w:t>
      </w:r>
      <w:r>
        <w:rPr>
          <w:sz w:val="20"/>
          <w:szCs w:val="20"/>
          <w:color w:val="auto"/>
        </w:rPr>
        <w:tab/>
      </w:r>
      <w:r>
        <w:rPr>
          <w:rFonts w:ascii="Arial" w:cs="Arial" w:eastAsia="Arial" w:hAnsi="Arial"/>
          <w:sz w:val="19"/>
          <w:szCs w:val="19"/>
          <w:color w:val="auto"/>
        </w:rPr>
        <w:t>Bank Fee Schedule</w:t>
      </w:r>
    </w:p>
    <w:p>
      <w:pPr>
        <w:spacing w:after="0" w:line="1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Schedule B:</w:t>
      </w:r>
      <w:r>
        <w:rPr>
          <w:sz w:val="20"/>
          <w:szCs w:val="20"/>
          <w:color w:val="auto"/>
        </w:rPr>
        <w:tab/>
      </w:r>
      <w:r>
        <w:rPr>
          <w:rFonts w:ascii="Arial" w:cs="Arial" w:eastAsia="Arial" w:hAnsi="Arial"/>
          <w:sz w:val="19"/>
          <w:szCs w:val="19"/>
          <w:color w:val="auto"/>
        </w:rPr>
        <w:t>Authorized List of Signers</w:t>
      </w:r>
    </w:p>
    <w:p>
      <w:pPr>
        <w:spacing w:after="0" w:line="17"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Schedule C:</w:t>
      </w:r>
      <w:r>
        <w:rPr>
          <w:sz w:val="20"/>
          <w:szCs w:val="20"/>
          <w:color w:val="auto"/>
        </w:rPr>
        <w:tab/>
      </w:r>
      <w:r>
        <w:rPr>
          <w:rFonts w:ascii="Arial" w:cs="Arial" w:eastAsia="Arial" w:hAnsi="Arial"/>
          <w:sz w:val="19"/>
          <w:szCs w:val="19"/>
          <w:color w:val="auto"/>
        </w:rPr>
        <w:t>Authorized List of Signers</w:t>
      </w:r>
    </w:p>
    <w:p>
      <w:pPr>
        <w:spacing w:after="0" w:line="1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Schedule D:</w:t>
      </w:r>
      <w:r>
        <w:rPr>
          <w:sz w:val="20"/>
          <w:szCs w:val="20"/>
          <w:color w:val="auto"/>
        </w:rPr>
        <w:tab/>
      </w:r>
      <w:r>
        <w:rPr>
          <w:rFonts w:ascii="Arial" w:cs="Arial" w:eastAsia="Arial" w:hAnsi="Arial"/>
          <w:sz w:val="19"/>
          <w:szCs w:val="19"/>
          <w:color w:val="auto"/>
        </w:rPr>
        <w:t>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489" w:name="page490"/>
    <w:bookmarkEnd w:id="489"/>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NOTICE OF EXCLUSIVE CONTROL</w:t>
      </w: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VIA FACSIMILE: ### or ###</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 Officer Name/Title]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Citibank, N.A. Agency &amp; Trust</w:t>
      </w:r>
    </w:p>
    <w:p>
      <w:pPr>
        <w:ind w:left="660"/>
        <w:spacing w:after="0" w:line="193" w:lineRule="auto"/>
        <w:rPr>
          <w:sz w:val="20"/>
          <w:szCs w:val="20"/>
          <w:color w:val="auto"/>
        </w:rPr>
      </w:pPr>
      <w:r>
        <w:rPr>
          <w:rFonts w:ascii="Arial" w:cs="Arial" w:eastAsia="Arial" w:hAnsi="Arial"/>
          <w:sz w:val="22"/>
          <w:szCs w:val="22"/>
          <w:color w:val="auto"/>
        </w:rPr>
        <w:t xml:space="preserve">388 Greenwich Street, 14 </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New York 10013</w:t>
      </w: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Pursuant to the Account Control Agreement dated [ ], among American Airlines, Inc. (the “ </w:t>
      </w:r>
      <w:r>
        <w:rPr>
          <w:rFonts w:ascii="Arial" w:cs="Arial" w:eastAsia="Arial" w:hAnsi="Arial"/>
          <w:sz w:val="19"/>
          <w:szCs w:val="19"/>
          <w:b w:val="1"/>
          <w:bCs w:val="1"/>
          <w:color w:val="auto"/>
        </w:rPr>
        <w:t>Pledgor</w:t>
      </w:r>
      <w:r>
        <w:rPr>
          <w:rFonts w:ascii="Arial" w:cs="Arial" w:eastAsia="Arial" w:hAnsi="Arial"/>
          <w:sz w:val="19"/>
          <w:szCs w:val="19"/>
          <w:color w:val="auto"/>
        </w:rPr>
        <w:t xml:space="preserve"> ”), Citibank, N.A.</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 </w:t>
      </w:r>
      <w:r>
        <w:rPr>
          <w:rFonts w:ascii="Arial" w:cs="Arial" w:eastAsia="Arial" w:hAnsi="Arial"/>
          <w:sz w:val="22"/>
          <w:szCs w:val="22"/>
          <w:b w:val="1"/>
          <w:bCs w:val="1"/>
          <w:color w:val="auto"/>
        </w:rPr>
        <w:t>Secured Party</w:t>
      </w:r>
      <w:r>
        <w:rPr>
          <w:rFonts w:ascii="Arial" w:cs="Arial" w:eastAsia="Arial" w:hAnsi="Arial"/>
          <w:sz w:val="22"/>
          <w:szCs w:val="22"/>
          <w:color w:val="auto"/>
        </w:rPr>
        <w:t xml:space="preserve"> ”), and Citibank, N.A. (the “ </w:t>
      </w:r>
      <w:r>
        <w:rPr>
          <w:rFonts w:ascii="Arial" w:cs="Arial" w:eastAsia="Arial" w:hAnsi="Arial"/>
          <w:sz w:val="22"/>
          <w:szCs w:val="22"/>
          <w:b w:val="1"/>
          <w:bCs w:val="1"/>
          <w:color w:val="auto"/>
        </w:rPr>
        <w:t>Bank</w:t>
      </w:r>
      <w:r>
        <w:rPr>
          <w:rFonts w:ascii="Arial" w:cs="Arial" w:eastAsia="Arial" w:hAnsi="Arial"/>
          <w:sz w:val="22"/>
          <w:szCs w:val="22"/>
          <w:color w:val="auto"/>
        </w:rPr>
        <w:t xml:space="preserve"> ”), we hereby instruct you of the following: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Secured Party hereby notifies you that (i) a default has occurred and is continuing under the [Pledge Agreement] and</w:t>
      </w:r>
    </w:p>
    <w:p>
      <w:pPr>
        <w:spacing w:after="0" w:line="56" w:lineRule="exact"/>
        <w:rPr>
          <w:sz w:val="20"/>
          <w:szCs w:val="20"/>
          <w:color w:val="auto"/>
        </w:rPr>
      </w:pPr>
    </w:p>
    <w:p>
      <w:pPr>
        <w:jc w:val="both"/>
        <w:ind w:firstLine="8"/>
        <w:spacing w:after="0" w:line="245" w:lineRule="auto"/>
        <w:tabs>
          <w:tab w:leader="none" w:pos="333" w:val="left"/>
        </w:tabs>
        <w:numPr>
          <w:ilvl w:val="0"/>
          <w:numId w:val="638"/>
        </w:numPr>
        <w:rPr>
          <w:rFonts w:ascii="Arial" w:cs="Arial" w:eastAsia="Arial" w:hAnsi="Arial"/>
          <w:sz w:val="22"/>
          <w:szCs w:val="22"/>
          <w:color w:val="auto"/>
        </w:rPr>
      </w:pPr>
      <w:r>
        <w:rPr>
          <w:rFonts w:ascii="Arial" w:cs="Arial" w:eastAsia="Arial" w:hAnsi="Arial"/>
          <w:sz w:val="22"/>
          <w:szCs w:val="22"/>
          <w:color w:val="auto"/>
        </w:rPr>
        <w:t>from and after the receipt of this notice until you receive further instruction from Secured Party, you are hereby directed to retain and hold all funds in the Account and not to [invest or] disburse the same to any party whatsoever, other than as instructed by the Secured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 ]</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 Secured Party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8229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cc: Pledgor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0" w:name="page491"/>
    <w:bookmarkEnd w:id="490"/>
    <w:p>
      <w:pPr>
        <w:jc w:val="center"/>
        <w:spacing w:after="0"/>
        <w:rPr>
          <w:sz w:val="20"/>
          <w:szCs w:val="20"/>
          <w:color w:val="auto"/>
        </w:rPr>
      </w:pPr>
      <w:r>
        <w:rPr>
          <w:rFonts w:ascii="Arial" w:cs="Arial" w:eastAsia="Arial" w:hAnsi="Arial"/>
          <w:sz w:val="22"/>
          <w:szCs w:val="22"/>
          <w:b w:val="1"/>
          <w:bCs w:val="1"/>
          <w:color w:val="auto"/>
        </w:rPr>
        <w:t>SCHEDULE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BANK FEE SCHEDULE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 xml:space="preserve">Acceptance Fee </w:t>
      </w:r>
      <w:r>
        <w:rPr>
          <w:rFonts w:ascii="Arial" w:cs="Arial" w:eastAsia="Arial" w:hAnsi="Arial"/>
          <w:sz w:val="22"/>
          <w:szCs w:val="22"/>
          <w:u w:val="single" w:color="auto"/>
          <w:color w:val="auto"/>
        </w:rPr>
        <w:t>:</w:t>
      </w:r>
    </w:p>
    <w:p>
      <w:pPr>
        <w:spacing w:after="0" w:line="27" w:lineRule="exact"/>
        <w:rPr>
          <w:sz w:val="20"/>
          <w:szCs w:val="20"/>
          <w:color w:val="auto"/>
        </w:rPr>
      </w:pPr>
    </w:p>
    <w:p>
      <w:pPr>
        <w:jc w:val="both"/>
        <w:ind w:right="260"/>
        <w:spacing w:after="0" w:line="245" w:lineRule="auto"/>
        <w:rPr>
          <w:sz w:val="20"/>
          <w:szCs w:val="20"/>
          <w:color w:val="auto"/>
        </w:rPr>
      </w:pPr>
      <w:r>
        <w:rPr>
          <w:rFonts w:ascii="Arial" w:cs="Arial" w:eastAsia="Arial" w:hAnsi="Arial"/>
          <w:sz w:val="22"/>
          <w:szCs w:val="22"/>
          <w:color w:val="auto"/>
        </w:rPr>
        <w:t>To cover the acceptance of the Account Bank appointment, the study and consideration of the Account Control Agreement and supporting documents submitted in connection with the execution and delivery thereof, communication with other members of the working group.</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 xml:space="preserve">Annual Administration Fee </w:t>
      </w:r>
      <w:r>
        <w:rPr>
          <w:rFonts w:ascii="Arial" w:cs="Arial" w:eastAsia="Arial" w:hAnsi="Arial"/>
          <w:sz w:val="22"/>
          <w:szCs w:val="22"/>
          <w:u w:val="single" w:color="auto"/>
          <w:color w:val="auto"/>
        </w:rPr>
        <w:t>:</w:t>
      </w:r>
    </w:p>
    <w:p>
      <w:pPr>
        <w:spacing w:after="0" w:line="27" w:lineRule="exact"/>
        <w:rPr>
          <w:sz w:val="20"/>
          <w:szCs w:val="20"/>
          <w:color w:val="auto"/>
        </w:rPr>
      </w:pPr>
    </w:p>
    <w:p>
      <w:pPr>
        <w:ind w:right="140"/>
        <w:spacing w:after="0" w:line="295" w:lineRule="auto"/>
        <w:rPr>
          <w:sz w:val="20"/>
          <w:szCs w:val="20"/>
          <w:color w:val="auto"/>
        </w:rPr>
      </w:pPr>
      <w:r>
        <w:rPr>
          <w:rFonts w:ascii="Arial" w:cs="Arial" w:eastAsia="Arial" w:hAnsi="Arial"/>
          <w:sz w:val="19"/>
          <w:szCs w:val="19"/>
          <w:color w:val="auto"/>
        </w:rPr>
        <w:t>To cover maintenance of the account including safekeeping of assets, normal administrative functions of the Account Bank, including maintenance of the Account Bank’s records, follow-up of the Agreement’s provisions, disbursements, and any other duties required by the agent under the terms of the Account Control Agreement. In the event that the provisions of this Schedule of Fees are inconsistent with the terms of the agreement, the terns of the Agreement shall prevail.</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 xml:space="preserve">Legal Fee </w:t>
      </w:r>
      <w:r>
        <w:rPr>
          <w:rFonts w:ascii="Arial" w:cs="Arial" w:eastAsia="Arial" w:hAnsi="Arial"/>
          <w:sz w:val="22"/>
          <w:szCs w:val="22"/>
          <w:u w:val="single" w:color="auto"/>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cover review of legal documents by Citibank's outside counsel on behalf of Citibank, N.A.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At cost (if necessary)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 xml:space="preserve">Schedule Assumptions </w:t>
      </w:r>
      <w:r>
        <w:rPr>
          <w:rFonts w:ascii="Arial" w:cs="Arial" w:eastAsia="Arial" w:hAnsi="Arial"/>
          <w:sz w:val="22"/>
          <w:szCs w:val="22"/>
          <w:u w:val="single" w:color="auto"/>
          <w:color w:val="auto"/>
        </w:rPr>
        <w:t>:</w:t>
      </w:r>
    </w:p>
    <w:p>
      <w:pPr>
        <w:spacing w:after="0" w:line="16" w:lineRule="exact"/>
        <w:rPr>
          <w:sz w:val="20"/>
          <w:szCs w:val="20"/>
          <w:color w:val="auto"/>
        </w:rPr>
      </w:pPr>
    </w:p>
    <w:p>
      <w:pPr>
        <w:ind w:left="660" w:hanging="328"/>
        <w:spacing w:after="0"/>
        <w:tabs>
          <w:tab w:leader="none" w:pos="660" w:val="left"/>
        </w:tabs>
        <w:numPr>
          <w:ilvl w:val="0"/>
          <w:numId w:val="639"/>
        </w:numPr>
        <w:rPr>
          <w:rFonts w:ascii="Arial" w:cs="Arial" w:eastAsia="Arial" w:hAnsi="Arial"/>
          <w:sz w:val="18"/>
          <w:szCs w:val="18"/>
          <w:color w:val="auto"/>
        </w:rPr>
      </w:pPr>
      <w:r>
        <w:rPr>
          <w:rFonts w:ascii="Arial" w:cs="Arial" w:eastAsia="Arial" w:hAnsi="Arial"/>
          <w:sz w:val="20"/>
          <w:szCs w:val="20"/>
          <w:color w:val="auto"/>
        </w:rPr>
        <w:t>Subject to internal approval and satisfactory review of the documentation.</w:t>
      </w:r>
    </w:p>
    <w:p>
      <w:pPr>
        <w:ind w:left="660" w:hanging="328"/>
        <w:spacing w:after="0"/>
        <w:tabs>
          <w:tab w:leader="none" w:pos="660" w:val="left"/>
        </w:tabs>
        <w:numPr>
          <w:ilvl w:val="0"/>
          <w:numId w:val="639"/>
        </w:numPr>
        <w:rPr>
          <w:rFonts w:ascii="Arial" w:cs="Arial" w:eastAsia="Arial" w:hAnsi="Arial"/>
          <w:sz w:val="18"/>
          <w:szCs w:val="18"/>
          <w:color w:val="auto"/>
        </w:rPr>
      </w:pPr>
      <w:r>
        <w:rPr>
          <w:rFonts w:ascii="Arial" w:cs="Arial" w:eastAsia="Arial" w:hAnsi="Arial"/>
          <w:sz w:val="20"/>
          <w:szCs w:val="20"/>
          <w:color w:val="auto"/>
        </w:rPr>
        <w:t>Governed by New York Law.</w:t>
      </w:r>
    </w:p>
    <w:p>
      <w:pPr>
        <w:ind w:left="660" w:hanging="328"/>
        <w:spacing w:after="0"/>
        <w:tabs>
          <w:tab w:leader="none" w:pos="660" w:val="left"/>
        </w:tabs>
        <w:numPr>
          <w:ilvl w:val="0"/>
          <w:numId w:val="639"/>
        </w:numPr>
        <w:rPr>
          <w:rFonts w:ascii="Arial" w:cs="Arial" w:eastAsia="Arial" w:hAnsi="Arial"/>
          <w:sz w:val="18"/>
          <w:szCs w:val="18"/>
          <w:color w:val="auto"/>
        </w:rPr>
      </w:pPr>
      <w:r>
        <w:rPr>
          <w:rFonts w:ascii="Arial" w:cs="Arial" w:eastAsia="Arial" w:hAnsi="Arial"/>
          <w:sz w:val="20"/>
          <w:szCs w:val="20"/>
          <w:color w:val="auto"/>
        </w:rPr>
        <w:t>Transaction will be conducted in US dollars.</w:t>
      </w:r>
    </w:p>
    <w:p>
      <w:pPr>
        <w:ind w:left="660" w:hanging="328"/>
        <w:spacing w:after="0"/>
        <w:tabs>
          <w:tab w:leader="none" w:pos="660" w:val="left"/>
        </w:tabs>
        <w:numPr>
          <w:ilvl w:val="0"/>
          <w:numId w:val="639"/>
        </w:numPr>
        <w:rPr>
          <w:rFonts w:ascii="Arial" w:cs="Arial" w:eastAsia="Arial" w:hAnsi="Arial"/>
          <w:sz w:val="18"/>
          <w:szCs w:val="18"/>
          <w:color w:val="auto"/>
        </w:rPr>
      </w:pPr>
      <w:r>
        <w:rPr>
          <w:rFonts w:ascii="Arial" w:cs="Arial" w:eastAsia="Arial" w:hAnsi="Arial"/>
          <w:sz w:val="20"/>
          <w:szCs w:val="20"/>
          <w:color w:val="auto"/>
        </w:rPr>
        <w:t>All securities held by account bank are DTC eligible</w:t>
      </w:r>
    </w:p>
    <w:p>
      <w:pPr>
        <w:jc w:val="both"/>
        <w:ind w:left="660" w:hanging="328"/>
        <w:spacing w:after="0" w:line="241" w:lineRule="auto"/>
        <w:tabs>
          <w:tab w:leader="none" w:pos="660" w:val="left"/>
        </w:tabs>
        <w:numPr>
          <w:ilvl w:val="0"/>
          <w:numId w:val="639"/>
        </w:numPr>
        <w:rPr>
          <w:rFonts w:ascii="Arial" w:cs="Arial" w:eastAsia="Arial" w:hAnsi="Arial"/>
          <w:sz w:val="18"/>
          <w:szCs w:val="18"/>
          <w:color w:val="auto"/>
        </w:rPr>
      </w:pPr>
      <w:r>
        <w:rPr>
          <w:rFonts w:ascii="Arial" w:cs="Arial" w:eastAsia="Arial" w:hAnsi="Arial"/>
          <w:sz w:val="20"/>
          <w:szCs w:val="20"/>
          <w:color w:val="auto"/>
        </w:rPr>
        <w:t>Funds will be held on deposit with Citibank NA earning a rate of return of 2 bps, or invested in an Institutional Money Market fund from a list of providers we will supply/have supplied to you. These fund distributors may provide Citibank with Shareholder Servicing fees in addition to the fees being directly billed to you by Citibank. These fees are discussed in the fund’s prospectus, which has been or will be delivered to you prior to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1291590</wp:posOffset>
            </wp:positionV>
            <wp:extent cx="71323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1" w:name="page492"/>
    <w:bookmarkEnd w:id="491"/>
    <w:p>
      <w:pPr>
        <w:jc w:val="both"/>
        <w:spacing w:after="0" w:line="286" w:lineRule="auto"/>
        <w:rPr>
          <w:sz w:val="20"/>
          <w:szCs w:val="20"/>
          <w:color w:val="auto"/>
        </w:rPr>
      </w:pPr>
      <w:r>
        <w:rPr>
          <w:rFonts w:ascii="Arial" w:cs="Arial" w:eastAsia="Arial" w:hAnsi="Arial"/>
          <w:sz w:val="16"/>
          <w:szCs w:val="16"/>
          <w:color w:val="auto"/>
        </w:rPr>
        <w:t>This fee schedule is offered for the program cited within and discloses all fees or charges earned by Citibank Agency and Trust. The above schedule of fees does not include charges for out-of-pocket expenses or for any services of an extraordinary nature that we may be called upon from time to time to perform in either an agency or fiduciary capacity, nor does it include the fees of our legal counsel. Fees are also subject to satisfactory review of the documentation, and we reserve the right to modify them should the characteristics of the transaction change. Our participation in this program is subject to internal approval of the third party depositing monies into the depository account. The acceptance fee is payable upon execution of this document. Should this schedule of fees be accepted and agreed upon and work commenced on this program but subsequently halted and the program is not brought to market, the Acceptance Fee and legal fees incurred, if any, will still be payable in full. This Fee Schedule is offered for, and applicable to the program cited on page one only, and is guaranteed for sixty days from the date on this proposal. After sixty days, this offer can be extended in writing only. To help the US government fight terrorism and money laundering, Federal law requires us to obtain, verify and record information that identifies each business or entity that opens an account or establishes a relationship. What this means for you: when you open an account or establish a relationship, we will ask for your business name, a street address and a tax identification number, that Federal law requires us to obtain. In accordance with the Unlawful Internet Gambling Act (the "Act"), Citibank, N.A. accounts or other Citibank, N.A. facilities in the United States may not be used to process "restricted transactions" as such term is defined in U.S. 31 CFR Section 132.2(y). We appreciate your cooperation.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2" w:name="page493"/>
    <w:bookmarkEnd w:id="492"/>
    <w:p>
      <w:pPr>
        <w:jc w:val="center"/>
        <w:spacing w:after="0"/>
        <w:rPr>
          <w:sz w:val="20"/>
          <w:szCs w:val="20"/>
          <w:color w:val="auto"/>
        </w:rPr>
      </w:pPr>
      <w:r>
        <w:rPr>
          <w:rFonts w:ascii="Arial" w:cs="Arial" w:eastAsia="Arial" w:hAnsi="Arial"/>
          <w:sz w:val="22"/>
          <w:szCs w:val="22"/>
          <w:b w:val="1"/>
          <w:bCs w:val="1"/>
          <w:color w:val="auto"/>
        </w:rPr>
        <w:t>SCHEDULE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AUTHORIZED LIST OF SIGNERS</w:t>
      </w:r>
    </w:p>
    <w:p>
      <w:pPr>
        <w:spacing w:after="0" w:line="22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This form supplements the Agreement and related documents and applies to instructions given by facsimile (or e-mail with .pdf attachment) for securities or funds transfers and for other purposes under the Agreement. In giving any facsimile (or e-mail with .pdf attachment) instruction as specified in the Agreement the Pledgor acknowledges that facsimile (or e-mail with .pdf attachment) present a high degree of risk or error, security and privacy. Nevertheless the Pledgor wishes to use facsimile (or e-mail with</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.pdf attachment) as a means of instruction. The Pledgor designates below the individuals who are authorized to initiate transfers or other instructions by facsimile (or e-mail with .pdf attachment) on behalf of the Pledgor and selects the security procedures specified herein. The Pledgor accepts the associated risks of unauthorized or erroneous instructions and agrees to be bound by such instructions whether or not actually authorized by the Pledgor, provided the Bank has complied with the stated security procedure. The Pledgor is responsible for keeping confidential the contents of this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 The Pledgor should be careful in completing this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as it may be rejected if it contains erasures or white outs.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80" w:type="dxa"/>
            <w:vAlign w:val="bottom"/>
          </w:tcPr>
          <w:p>
            <w:pPr>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6"/>
                <w:szCs w:val="16"/>
                <w:color w:val="auto"/>
              </w:rPr>
              <w:t>New</w:t>
            </w:r>
          </w:p>
        </w:tc>
        <w:tc>
          <w:tcPr>
            <w:tcW w:w="1280" w:type="dxa"/>
            <w:vAlign w:val="bottom"/>
            <w:gridSpan w:val="2"/>
          </w:tcPr>
          <w:p>
            <w:pPr>
              <w:ind w:left="240"/>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6"/>
                <w:szCs w:val="16"/>
                <w:color w:val="auto"/>
              </w:rPr>
              <w:t>Addition</w:t>
            </w:r>
          </w:p>
        </w:tc>
        <w:tc>
          <w:tcPr>
            <w:tcW w:w="1640" w:type="dxa"/>
            <w:vAlign w:val="bottom"/>
          </w:tcPr>
          <w:p>
            <w:pPr>
              <w:jc w:val="right"/>
              <w:ind w:right="394"/>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6"/>
                <w:szCs w:val="16"/>
                <w:color w:val="auto"/>
              </w:rPr>
              <w:t>Supersede</w:t>
            </w:r>
          </w:p>
        </w:tc>
      </w:tr>
      <w:tr>
        <w:trPr>
          <w:trHeight w:val="436"/>
        </w:trPr>
        <w:tc>
          <w:tcPr>
            <w:tcW w:w="3700" w:type="dxa"/>
            <w:vAlign w:val="bottom"/>
            <w:gridSpan w:val="4"/>
          </w:tcPr>
          <w:p>
            <w:pPr>
              <w:spacing w:after="0"/>
              <w:rPr>
                <w:sz w:val="20"/>
                <w:szCs w:val="20"/>
                <w:color w:val="auto"/>
              </w:rPr>
            </w:pPr>
            <w:r>
              <w:rPr>
                <w:rFonts w:ascii="Arial" w:cs="Arial" w:eastAsia="Arial" w:hAnsi="Arial"/>
                <w:sz w:val="18"/>
                <w:szCs w:val="18"/>
                <w:b w:val="1"/>
                <w:bCs w:val="1"/>
                <w:color w:val="auto"/>
              </w:rPr>
              <w:t>AMERICAN AIRLINES, INC.</w:t>
            </w: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Specimen Signature</w:t>
            </w:r>
          </w:p>
        </w:tc>
        <w:tc>
          <w:tcPr>
            <w:tcW w:w="16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8"/>
                <w:szCs w:val="18"/>
                <w:color w:val="auto"/>
              </w:rPr>
            </w:pPr>
          </w:p>
        </w:tc>
        <w:tc>
          <w:tcPr>
            <w:tcW w:w="2560" w:type="dxa"/>
            <w:vAlign w:val="bottom"/>
            <w:gridSpan w:val="2"/>
          </w:tcPr>
          <w:p>
            <w:pPr>
              <w:jc w:val="right"/>
              <w:ind w:right="374"/>
              <w:spacing w:after="0"/>
              <w:rPr>
                <w:sz w:val="20"/>
                <w:szCs w:val="20"/>
                <w:color w:val="auto"/>
              </w:rPr>
            </w:pPr>
            <w:r>
              <w:rPr>
                <w:rFonts w:ascii="Arial" w:cs="Arial" w:eastAsia="Arial" w:hAnsi="Arial"/>
                <w:sz w:val="18"/>
                <w:szCs w:val="18"/>
                <w:color w:val="auto"/>
                <w:w w:val="88"/>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jc w:val="right"/>
              <w:ind w:right="474"/>
              <w:spacing w:after="0"/>
              <w:rPr>
                <w:sz w:val="20"/>
                <w:szCs w:val="20"/>
                <w:color w:val="auto"/>
              </w:rPr>
            </w:pPr>
            <w:r>
              <w:rPr>
                <w:rFonts w:ascii="Arial" w:cs="Arial" w:eastAsia="Arial" w:hAnsi="Arial"/>
                <w:sz w:val="18"/>
                <w:szCs w:val="18"/>
                <w:color w:val="auto"/>
                <w:w w:val="99"/>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Phone</w:t>
            </w:r>
          </w:p>
        </w:tc>
        <w:tc>
          <w:tcPr>
            <w:tcW w:w="360" w:type="dxa"/>
            <w:vAlign w:val="bottom"/>
          </w:tcPr>
          <w:p>
            <w:pPr>
              <w:spacing w:after="0"/>
              <w:rPr>
                <w:sz w:val="18"/>
                <w:szCs w:val="18"/>
                <w:color w:val="auto"/>
              </w:rPr>
            </w:pPr>
          </w:p>
        </w:tc>
        <w:tc>
          <w:tcPr>
            <w:tcW w:w="2560" w:type="dxa"/>
            <w:vAlign w:val="bottom"/>
            <w:gridSpan w:val="2"/>
          </w:tcPr>
          <w:p>
            <w:pPr>
              <w:jc w:val="right"/>
              <w:ind w:right="354"/>
              <w:spacing w:after="0"/>
              <w:rPr>
                <w:sz w:val="20"/>
                <w:szCs w:val="20"/>
                <w:color w:val="auto"/>
              </w:rPr>
            </w:pPr>
            <w:r>
              <w:rPr>
                <w:rFonts w:ascii="Arial" w:cs="Arial" w:eastAsia="Arial" w:hAnsi="Arial"/>
                <w:sz w:val="18"/>
                <w:szCs w:val="18"/>
                <w:color w:val="auto"/>
                <w:w w:val="89"/>
              </w:rPr>
              <w:t>_______________________</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w w:val="91"/>
              </w:rPr>
              <w:t>E-mail Address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560" w:type="dxa"/>
            <w:vAlign w:val="bottom"/>
            <w:gridSpan w:val="2"/>
          </w:tcPr>
          <w:p>
            <w:pPr>
              <w:jc w:val="right"/>
              <w:ind w:right="374"/>
              <w:spacing w:after="0"/>
              <w:rPr>
                <w:sz w:val="20"/>
                <w:szCs w:val="20"/>
                <w:color w:val="auto"/>
              </w:rPr>
            </w:pPr>
            <w:r>
              <w:rPr>
                <w:rFonts w:ascii="Arial" w:cs="Arial" w:eastAsia="Arial" w:hAnsi="Arial"/>
                <w:sz w:val="18"/>
                <w:szCs w:val="18"/>
                <w:color w:val="auto"/>
                <w:w w:val="88"/>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jc w:val="right"/>
              <w:ind w:right="474"/>
              <w:spacing w:after="0"/>
              <w:rPr>
                <w:sz w:val="20"/>
                <w:szCs w:val="20"/>
                <w:color w:val="auto"/>
              </w:rPr>
            </w:pPr>
            <w:r>
              <w:rPr>
                <w:rFonts w:ascii="Arial" w:cs="Arial" w:eastAsia="Arial" w:hAnsi="Arial"/>
                <w:sz w:val="18"/>
                <w:szCs w:val="18"/>
                <w:color w:val="auto"/>
                <w:w w:val="99"/>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Phone</w:t>
            </w:r>
          </w:p>
        </w:tc>
        <w:tc>
          <w:tcPr>
            <w:tcW w:w="360" w:type="dxa"/>
            <w:vAlign w:val="bottom"/>
          </w:tcPr>
          <w:p>
            <w:pPr>
              <w:spacing w:after="0"/>
              <w:rPr>
                <w:sz w:val="18"/>
                <w:szCs w:val="18"/>
                <w:color w:val="auto"/>
              </w:rPr>
            </w:pPr>
          </w:p>
        </w:tc>
        <w:tc>
          <w:tcPr>
            <w:tcW w:w="2560" w:type="dxa"/>
            <w:vAlign w:val="bottom"/>
            <w:gridSpan w:val="2"/>
          </w:tcPr>
          <w:p>
            <w:pPr>
              <w:jc w:val="right"/>
              <w:ind w:right="354"/>
              <w:spacing w:after="0"/>
              <w:rPr>
                <w:sz w:val="20"/>
                <w:szCs w:val="20"/>
                <w:color w:val="auto"/>
              </w:rPr>
            </w:pPr>
            <w:r>
              <w:rPr>
                <w:rFonts w:ascii="Arial" w:cs="Arial" w:eastAsia="Arial" w:hAnsi="Arial"/>
                <w:sz w:val="18"/>
                <w:szCs w:val="18"/>
                <w:color w:val="auto"/>
                <w:w w:val="89"/>
              </w:rPr>
              <w:t>_______________________</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w w:val="91"/>
              </w:rPr>
              <w:t>E-mail Address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560" w:type="dxa"/>
            <w:vAlign w:val="bottom"/>
            <w:gridSpan w:val="2"/>
          </w:tcPr>
          <w:p>
            <w:pPr>
              <w:jc w:val="right"/>
              <w:ind w:right="374"/>
              <w:spacing w:after="0"/>
              <w:rPr>
                <w:sz w:val="20"/>
                <w:szCs w:val="20"/>
                <w:color w:val="auto"/>
              </w:rPr>
            </w:pPr>
            <w:r>
              <w:rPr>
                <w:rFonts w:ascii="Arial" w:cs="Arial" w:eastAsia="Arial" w:hAnsi="Arial"/>
                <w:sz w:val="18"/>
                <w:szCs w:val="18"/>
                <w:color w:val="auto"/>
                <w:w w:val="88"/>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jc w:val="right"/>
              <w:ind w:right="474"/>
              <w:spacing w:after="0"/>
              <w:rPr>
                <w:sz w:val="20"/>
                <w:szCs w:val="20"/>
                <w:color w:val="auto"/>
              </w:rPr>
            </w:pPr>
            <w:r>
              <w:rPr>
                <w:rFonts w:ascii="Arial" w:cs="Arial" w:eastAsia="Arial" w:hAnsi="Arial"/>
                <w:sz w:val="18"/>
                <w:szCs w:val="18"/>
                <w:color w:val="auto"/>
                <w:w w:val="99"/>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Phone</w:t>
            </w:r>
          </w:p>
        </w:tc>
        <w:tc>
          <w:tcPr>
            <w:tcW w:w="360" w:type="dxa"/>
            <w:vAlign w:val="bottom"/>
          </w:tcPr>
          <w:p>
            <w:pPr>
              <w:spacing w:after="0"/>
              <w:rPr>
                <w:sz w:val="18"/>
                <w:szCs w:val="18"/>
                <w:color w:val="auto"/>
              </w:rPr>
            </w:pPr>
          </w:p>
        </w:tc>
        <w:tc>
          <w:tcPr>
            <w:tcW w:w="2560" w:type="dxa"/>
            <w:vAlign w:val="bottom"/>
            <w:gridSpan w:val="2"/>
          </w:tcPr>
          <w:p>
            <w:pPr>
              <w:jc w:val="right"/>
              <w:ind w:right="354"/>
              <w:spacing w:after="0"/>
              <w:rPr>
                <w:sz w:val="20"/>
                <w:szCs w:val="20"/>
                <w:color w:val="auto"/>
              </w:rPr>
            </w:pPr>
            <w:r>
              <w:rPr>
                <w:rFonts w:ascii="Arial" w:cs="Arial" w:eastAsia="Arial" w:hAnsi="Arial"/>
                <w:sz w:val="18"/>
                <w:szCs w:val="18"/>
                <w:color w:val="auto"/>
                <w:w w:val="89"/>
              </w:rPr>
              <w:t>_______________________</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w w:val="91"/>
              </w:rPr>
              <w:t>E-mail Address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Where applicable, the Bank will confirm the instructions received by return call to one of the telephone numbers listed below.</w:t>
      </w:r>
    </w:p>
    <w:p>
      <w:pPr>
        <w:spacing w:after="0" w:line="217"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i w:val="1"/>
          <w:iCs w:val="1"/>
          <w:color w:val="auto"/>
        </w:rPr>
        <w:t>Telephone Number (including Country code)</w:t>
      </w:r>
      <w:r>
        <w:rPr>
          <w:sz w:val="20"/>
          <w:szCs w:val="20"/>
          <w:color w:val="auto"/>
        </w:rPr>
        <w:tab/>
      </w:r>
      <w:r>
        <w:rPr>
          <w:rFonts w:ascii="Arial" w:cs="Arial" w:eastAsia="Arial" w:hAnsi="Arial"/>
          <w:sz w:val="15"/>
          <w:szCs w:val="15"/>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6866255" cy="79692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686625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Test Word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96520</wp:posOffset>
            </wp:positionV>
            <wp:extent cx="1851660" cy="1885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185166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3" w:name="page494"/>
    <w:bookmarkEnd w:id="493"/>
    <w:p>
      <w:pPr>
        <w:jc w:val="center"/>
        <w:ind w:right="-19"/>
        <w:spacing w:after="0"/>
        <w:rPr>
          <w:sz w:val="20"/>
          <w:szCs w:val="20"/>
          <w:color w:val="auto"/>
        </w:rPr>
      </w:pPr>
      <w:r>
        <w:rPr>
          <w:rFonts w:ascii="Arial" w:cs="Arial" w:eastAsia="Arial" w:hAnsi="Arial"/>
          <w:sz w:val="22"/>
          <w:szCs w:val="22"/>
          <w:b w:val="1"/>
          <w:bCs w:val="1"/>
          <w:color w:val="auto"/>
        </w:rPr>
        <w:t>SCHEDULE 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AUTHORIZED LIST OF SIGNERS</w:t>
      </w:r>
    </w:p>
    <w:p>
      <w:pPr>
        <w:spacing w:after="0" w:line="22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 xml:space="preserve">This form supplements the Agreement and related documents and applies to instructions given by facsimile (or e-mail with .pdf attachment) for securities or funds transfers and for other purposes under the Agreement. In giving any facsimile (or e-mail with .pdf attachment) instruction as specified in the Agreement the Secured Party acknowledges that facsimile (or e-mail with .pdf attachment) present a high degree of risk or error, security and privacy. Nevertheless the Secured Party wishes to use facsimile (or e-mail with .pdf attachment) as a means of instruction. The Secured Party designates below the individuals who are authorized to initiate transfers or other instructions by facsimile (or e-mail with .pdf attachment) on behalf of the Secured Party and selects the security procedures specified herein. The Secured Party accepts the associated risks of unauthorized or erroneous instructions and agrees to be bound by such instructions whether or not actually authorized by the Secured Party, provided the Bank has complied with the stated security procedure. The Secured Party is responsible for keeping confidential the contents of this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 The Secured Party should be careful in completing this </w:t>
      </w:r>
      <w:r>
        <w:rPr>
          <w:rFonts w:ascii="Arial" w:cs="Arial" w:eastAsia="Arial" w:hAnsi="Arial"/>
          <w:sz w:val="15"/>
          <w:szCs w:val="15"/>
          <w:u w:val="single" w:color="auto"/>
          <w:color w:val="auto"/>
        </w:rPr>
        <w:t>Schedule C</w:t>
      </w:r>
      <w:r>
        <w:rPr>
          <w:rFonts w:ascii="Arial" w:cs="Arial" w:eastAsia="Arial" w:hAnsi="Arial"/>
          <w:sz w:val="15"/>
          <w:szCs w:val="15"/>
          <w:color w:val="auto"/>
        </w:rPr>
        <w:t xml:space="preserve"> as it may be rejected if it contains erasures or white outs.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80" w:type="dxa"/>
            <w:vAlign w:val="bottom"/>
          </w:tcPr>
          <w:p>
            <w:pPr>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6"/>
                <w:szCs w:val="16"/>
                <w:color w:val="auto"/>
              </w:rPr>
              <w:t>New</w:t>
            </w:r>
          </w:p>
        </w:tc>
        <w:tc>
          <w:tcPr>
            <w:tcW w:w="1280" w:type="dxa"/>
            <w:vAlign w:val="bottom"/>
            <w:gridSpan w:val="2"/>
          </w:tcPr>
          <w:p>
            <w:pPr>
              <w:ind w:left="240"/>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6"/>
                <w:szCs w:val="16"/>
                <w:color w:val="auto"/>
              </w:rPr>
              <w:t>Addition</w:t>
            </w:r>
          </w:p>
        </w:tc>
        <w:tc>
          <w:tcPr>
            <w:tcW w:w="1640" w:type="dxa"/>
            <w:vAlign w:val="bottom"/>
          </w:tcPr>
          <w:p>
            <w:pPr>
              <w:jc w:val="right"/>
              <w:ind w:right="394"/>
              <w:spacing w:after="0"/>
              <w:rPr>
                <w:sz w:val="20"/>
                <w:szCs w:val="20"/>
                <w:color w:val="auto"/>
              </w:rPr>
            </w:pPr>
            <w:r>
              <w:rPr>
                <w:rFonts w:ascii="Arial" w:cs="Arial" w:eastAsia="Arial" w:hAnsi="Arial"/>
                <w:sz w:val="25"/>
                <w:szCs w:val="25"/>
                <w:color w:val="auto"/>
              </w:rPr>
              <w:t xml:space="preserve">□ </w:t>
            </w:r>
            <w:r>
              <w:rPr>
                <w:rFonts w:ascii="Arial" w:cs="Arial" w:eastAsia="Arial" w:hAnsi="Arial"/>
                <w:sz w:val="16"/>
                <w:szCs w:val="16"/>
                <w:color w:val="auto"/>
              </w:rPr>
              <w:t>Supersede</w:t>
            </w:r>
          </w:p>
        </w:tc>
      </w:tr>
      <w:tr>
        <w:trPr>
          <w:trHeight w:val="436"/>
        </w:trPr>
        <w:tc>
          <w:tcPr>
            <w:tcW w:w="2060" w:type="dxa"/>
            <w:vAlign w:val="bottom"/>
            <w:gridSpan w:val="3"/>
          </w:tcPr>
          <w:p>
            <w:pPr>
              <w:spacing w:after="0"/>
              <w:rPr>
                <w:sz w:val="20"/>
                <w:szCs w:val="20"/>
                <w:color w:val="auto"/>
              </w:rPr>
            </w:pPr>
            <w:r>
              <w:rPr>
                <w:rFonts w:ascii="Arial" w:cs="Arial" w:eastAsia="Arial" w:hAnsi="Arial"/>
                <w:sz w:val="18"/>
                <w:szCs w:val="18"/>
                <w:b w:val="1"/>
                <w:bCs w:val="1"/>
                <w:color w:val="auto"/>
              </w:rPr>
              <w:t>CITIBANK, N.A.</w:t>
            </w:r>
          </w:p>
        </w:tc>
        <w:tc>
          <w:tcPr>
            <w:tcW w:w="1640" w:type="dxa"/>
            <w:vAlign w:val="bottom"/>
          </w:tcPr>
          <w:p>
            <w:pPr>
              <w:spacing w:after="0"/>
              <w:rPr>
                <w:sz w:val="24"/>
                <w:szCs w:val="24"/>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8"/>
                <w:szCs w:val="18"/>
                <w:color w:val="auto"/>
              </w:rPr>
              <w:t>Specimen Signature</w:t>
            </w:r>
          </w:p>
        </w:tc>
        <w:tc>
          <w:tcPr>
            <w:tcW w:w="164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18"/>
                <w:szCs w:val="18"/>
                <w:color w:val="auto"/>
              </w:rPr>
            </w:pPr>
          </w:p>
        </w:tc>
        <w:tc>
          <w:tcPr>
            <w:tcW w:w="2560" w:type="dxa"/>
            <w:vAlign w:val="bottom"/>
            <w:gridSpan w:val="2"/>
          </w:tcPr>
          <w:p>
            <w:pPr>
              <w:jc w:val="right"/>
              <w:ind w:right="374"/>
              <w:spacing w:after="0"/>
              <w:rPr>
                <w:sz w:val="20"/>
                <w:szCs w:val="20"/>
                <w:color w:val="auto"/>
              </w:rPr>
            </w:pPr>
            <w:r>
              <w:rPr>
                <w:rFonts w:ascii="Arial" w:cs="Arial" w:eastAsia="Arial" w:hAnsi="Arial"/>
                <w:sz w:val="18"/>
                <w:szCs w:val="18"/>
                <w:color w:val="auto"/>
                <w:w w:val="88"/>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jc w:val="right"/>
              <w:ind w:right="474"/>
              <w:spacing w:after="0"/>
              <w:rPr>
                <w:sz w:val="20"/>
                <w:szCs w:val="20"/>
                <w:color w:val="auto"/>
              </w:rPr>
            </w:pPr>
            <w:r>
              <w:rPr>
                <w:rFonts w:ascii="Arial" w:cs="Arial" w:eastAsia="Arial" w:hAnsi="Arial"/>
                <w:sz w:val="18"/>
                <w:szCs w:val="18"/>
                <w:color w:val="auto"/>
                <w:w w:val="99"/>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Phone</w:t>
            </w:r>
          </w:p>
        </w:tc>
        <w:tc>
          <w:tcPr>
            <w:tcW w:w="360" w:type="dxa"/>
            <w:vAlign w:val="bottom"/>
          </w:tcPr>
          <w:p>
            <w:pPr>
              <w:spacing w:after="0"/>
              <w:rPr>
                <w:sz w:val="18"/>
                <w:szCs w:val="18"/>
                <w:color w:val="auto"/>
              </w:rPr>
            </w:pPr>
          </w:p>
        </w:tc>
        <w:tc>
          <w:tcPr>
            <w:tcW w:w="2560" w:type="dxa"/>
            <w:vAlign w:val="bottom"/>
            <w:gridSpan w:val="2"/>
          </w:tcPr>
          <w:p>
            <w:pPr>
              <w:jc w:val="right"/>
              <w:ind w:right="354"/>
              <w:spacing w:after="0"/>
              <w:rPr>
                <w:sz w:val="20"/>
                <w:szCs w:val="20"/>
                <w:color w:val="auto"/>
              </w:rPr>
            </w:pPr>
            <w:r>
              <w:rPr>
                <w:rFonts w:ascii="Arial" w:cs="Arial" w:eastAsia="Arial" w:hAnsi="Arial"/>
                <w:sz w:val="18"/>
                <w:szCs w:val="18"/>
                <w:color w:val="auto"/>
                <w:w w:val="89"/>
              </w:rPr>
              <w:t>_______________________</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w w:val="91"/>
              </w:rPr>
              <w:t>E-mail Address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560" w:type="dxa"/>
            <w:vAlign w:val="bottom"/>
            <w:gridSpan w:val="2"/>
          </w:tcPr>
          <w:p>
            <w:pPr>
              <w:jc w:val="right"/>
              <w:ind w:right="374"/>
              <w:spacing w:after="0"/>
              <w:rPr>
                <w:sz w:val="20"/>
                <w:szCs w:val="20"/>
                <w:color w:val="auto"/>
              </w:rPr>
            </w:pPr>
            <w:r>
              <w:rPr>
                <w:rFonts w:ascii="Arial" w:cs="Arial" w:eastAsia="Arial" w:hAnsi="Arial"/>
                <w:sz w:val="18"/>
                <w:szCs w:val="18"/>
                <w:color w:val="auto"/>
                <w:w w:val="88"/>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jc w:val="right"/>
              <w:ind w:right="474"/>
              <w:spacing w:after="0"/>
              <w:rPr>
                <w:sz w:val="20"/>
                <w:szCs w:val="20"/>
                <w:color w:val="auto"/>
              </w:rPr>
            </w:pPr>
            <w:r>
              <w:rPr>
                <w:rFonts w:ascii="Arial" w:cs="Arial" w:eastAsia="Arial" w:hAnsi="Arial"/>
                <w:sz w:val="18"/>
                <w:szCs w:val="18"/>
                <w:color w:val="auto"/>
                <w:w w:val="99"/>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Phone</w:t>
            </w:r>
          </w:p>
        </w:tc>
        <w:tc>
          <w:tcPr>
            <w:tcW w:w="360" w:type="dxa"/>
            <w:vAlign w:val="bottom"/>
          </w:tcPr>
          <w:p>
            <w:pPr>
              <w:spacing w:after="0"/>
              <w:rPr>
                <w:sz w:val="18"/>
                <w:szCs w:val="18"/>
                <w:color w:val="auto"/>
              </w:rPr>
            </w:pPr>
          </w:p>
        </w:tc>
        <w:tc>
          <w:tcPr>
            <w:tcW w:w="2560" w:type="dxa"/>
            <w:vAlign w:val="bottom"/>
            <w:gridSpan w:val="2"/>
          </w:tcPr>
          <w:p>
            <w:pPr>
              <w:jc w:val="right"/>
              <w:ind w:right="354"/>
              <w:spacing w:after="0"/>
              <w:rPr>
                <w:sz w:val="20"/>
                <w:szCs w:val="20"/>
                <w:color w:val="auto"/>
              </w:rPr>
            </w:pPr>
            <w:r>
              <w:rPr>
                <w:rFonts w:ascii="Arial" w:cs="Arial" w:eastAsia="Arial" w:hAnsi="Arial"/>
                <w:sz w:val="18"/>
                <w:szCs w:val="18"/>
                <w:color w:val="auto"/>
                <w:w w:val="89"/>
              </w:rPr>
              <w:t>_______________________</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w w:val="91"/>
              </w:rPr>
              <w:t>E-mail Address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4"/>
                <w:szCs w:val="24"/>
                <w:color w:val="auto"/>
              </w:rPr>
            </w:pPr>
          </w:p>
        </w:tc>
        <w:tc>
          <w:tcPr>
            <w:tcW w:w="2560" w:type="dxa"/>
            <w:vAlign w:val="bottom"/>
            <w:gridSpan w:val="2"/>
          </w:tcPr>
          <w:p>
            <w:pPr>
              <w:jc w:val="right"/>
              <w:ind w:right="374"/>
              <w:spacing w:after="0"/>
              <w:rPr>
                <w:sz w:val="20"/>
                <w:szCs w:val="20"/>
                <w:color w:val="auto"/>
              </w:rPr>
            </w:pPr>
            <w:r>
              <w:rPr>
                <w:rFonts w:ascii="Arial" w:cs="Arial" w:eastAsia="Arial" w:hAnsi="Arial"/>
                <w:sz w:val="18"/>
                <w:szCs w:val="18"/>
                <w:color w:val="auto"/>
                <w:w w:val="88"/>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2920" w:type="dxa"/>
            <w:vAlign w:val="bottom"/>
            <w:gridSpan w:val="3"/>
          </w:tcPr>
          <w:p>
            <w:pPr>
              <w:jc w:val="right"/>
              <w:ind w:right="474"/>
              <w:spacing w:after="0"/>
              <w:rPr>
                <w:sz w:val="20"/>
                <w:szCs w:val="20"/>
                <w:color w:val="auto"/>
              </w:rPr>
            </w:pPr>
            <w:r>
              <w:rPr>
                <w:rFonts w:ascii="Arial" w:cs="Arial" w:eastAsia="Arial" w:hAnsi="Arial"/>
                <w:sz w:val="18"/>
                <w:szCs w:val="18"/>
                <w:color w:val="auto"/>
                <w:w w:val="99"/>
              </w:rPr>
              <w:t>_______________________</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Phone</w:t>
            </w:r>
          </w:p>
        </w:tc>
        <w:tc>
          <w:tcPr>
            <w:tcW w:w="360" w:type="dxa"/>
            <w:vAlign w:val="bottom"/>
          </w:tcPr>
          <w:p>
            <w:pPr>
              <w:spacing w:after="0"/>
              <w:rPr>
                <w:sz w:val="18"/>
                <w:szCs w:val="18"/>
                <w:color w:val="auto"/>
              </w:rPr>
            </w:pPr>
          </w:p>
        </w:tc>
        <w:tc>
          <w:tcPr>
            <w:tcW w:w="2560" w:type="dxa"/>
            <w:vAlign w:val="bottom"/>
            <w:gridSpan w:val="2"/>
          </w:tcPr>
          <w:p>
            <w:pPr>
              <w:jc w:val="right"/>
              <w:ind w:right="354"/>
              <w:spacing w:after="0"/>
              <w:rPr>
                <w:sz w:val="20"/>
                <w:szCs w:val="20"/>
                <w:color w:val="auto"/>
              </w:rPr>
            </w:pPr>
            <w:r>
              <w:rPr>
                <w:rFonts w:ascii="Arial" w:cs="Arial" w:eastAsia="Arial" w:hAnsi="Arial"/>
                <w:sz w:val="18"/>
                <w:szCs w:val="18"/>
                <w:color w:val="auto"/>
                <w:w w:val="89"/>
              </w:rPr>
              <w:t>_______________________</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w w:val="91"/>
              </w:rPr>
              <w:t>E-mail Address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_______________________</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Where applicable, the Bank will confirm the instructions received by return call to one of the telephone numbers listed below.</w:t>
      </w:r>
    </w:p>
    <w:p>
      <w:pPr>
        <w:spacing w:after="0" w:line="217"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i w:val="1"/>
          <w:iCs w:val="1"/>
          <w:color w:val="auto"/>
        </w:rPr>
        <w:t>Telephone Number (including Country code)</w:t>
      </w:r>
      <w:r>
        <w:rPr>
          <w:sz w:val="20"/>
          <w:szCs w:val="20"/>
          <w:color w:val="auto"/>
        </w:rPr>
        <w:tab/>
      </w:r>
      <w:r>
        <w:rPr>
          <w:rFonts w:ascii="Arial" w:cs="Arial" w:eastAsia="Arial" w:hAnsi="Arial"/>
          <w:sz w:val="15"/>
          <w:szCs w:val="15"/>
          <w:i w:val="1"/>
          <w:i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100330</wp:posOffset>
            </wp:positionV>
            <wp:extent cx="6866255" cy="79692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686625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Test Word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96520</wp:posOffset>
            </wp:positionV>
            <wp:extent cx="1851660" cy="27432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18516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Authorized Persons of Citigroup entities may send instructions by electronic mail initiated via the Citigroup network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4" w:name="page495"/>
    <w:bookmarkEnd w:id="494"/>
    <w:p>
      <w:pPr>
        <w:ind w:left="4920"/>
        <w:spacing w:after="0"/>
        <w:rPr>
          <w:sz w:val="20"/>
          <w:szCs w:val="20"/>
          <w:color w:val="auto"/>
        </w:rPr>
      </w:pPr>
      <w:r>
        <w:rPr>
          <w:rFonts w:ascii="Arial" w:cs="Arial" w:eastAsia="Arial" w:hAnsi="Arial"/>
          <w:sz w:val="22"/>
          <w:szCs w:val="22"/>
          <w:b w:val="1"/>
          <w:bCs w:val="1"/>
          <w:color w:val="auto"/>
        </w:rPr>
        <w:t>SCHEDULE 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Please be advised of the following details for delivery of Fed and DTC items to Citibank:</w:t>
      </w:r>
    </w:p>
    <w:p>
      <w:pPr>
        <w:spacing w:after="0" w:line="257" w:lineRule="exact"/>
        <w:rPr>
          <w:sz w:val="20"/>
          <w:szCs w:val="20"/>
          <w:color w:val="auto"/>
        </w:rPr>
      </w:pPr>
    </w:p>
    <w:p>
      <w:pPr>
        <w:ind w:left="660" w:hanging="652"/>
        <w:spacing w:after="0"/>
        <w:tabs>
          <w:tab w:leader="none" w:pos="660" w:val="left"/>
        </w:tabs>
        <w:numPr>
          <w:ilvl w:val="0"/>
          <w:numId w:val="640"/>
        </w:numPr>
        <w:rPr>
          <w:rFonts w:ascii="Arial" w:cs="Arial" w:eastAsia="Arial" w:hAnsi="Arial"/>
          <w:sz w:val="18"/>
          <w:szCs w:val="18"/>
          <w:color w:val="auto"/>
        </w:rPr>
      </w:pPr>
      <w:r>
        <w:rPr>
          <w:rFonts w:ascii="Arial" w:cs="Arial" w:eastAsia="Arial" w:hAnsi="Arial"/>
          <w:sz w:val="14"/>
          <w:szCs w:val="14"/>
          <w:b w:val="1"/>
          <w:bCs w:val="1"/>
          <w:u w:val="single" w:color="auto"/>
          <w:color w:val="auto"/>
        </w:rPr>
        <w:t>FED Items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Citibank NYC/Cust + A/C# </w:t>
      </w:r>
      <w:r>
        <w:rPr>
          <w:rFonts w:ascii="Arial" w:cs="Arial" w:eastAsia="Arial" w:hAnsi="Arial"/>
          <w:sz w:val="22"/>
          <w:szCs w:val="22"/>
          <w:b w:val="1"/>
          <w:bCs w:val="1"/>
          <w:color w:val="auto"/>
        </w:rPr>
        <w:t>(XXXXXX)</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Account 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ABA #: 021000089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(Citibank Agency &amp; Trust, Tel #:)</w:t>
      </w:r>
    </w:p>
    <w:p>
      <w:pPr>
        <w:spacing w:after="0" w:line="193" w:lineRule="exact"/>
        <w:rPr>
          <w:sz w:val="20"/>
          <w:szCs w:val="20"/>
          <w:color w:val="auto"/>
        </w:rPr>
      </w:pPr>
    </w:p>
    <w:p>
      <w:pPr>
        <w:ind w:left="660" w:hanging="652"/>
        <w:spacing w:after="0"/>
        <w:tabs>
          <w:tab w:leader="none" w:pos="660" w:val="left"/>
        </w:tabs>
        <w:numPr>
          <w:ilvl w:val="0"/>
          <w:numId w:val="641"/>
        </w:numPr>
        <w:rPr>
          <w:rFonts w:ascii="Arial" w:cs="Arial" w:eastAsia="Arial" w:hAnsi="Arial"/>
          <w:sz w:val="18"/>
          <w:szCs w:val="18"/>
          <w:color w:val="auto"/>
        </w:rPr>
      </w:pPr>
      <w:r>
        <w:rPr>
          <w:rFonts w:ascii="Arial" w:cs="Arial" w:eastAsia="Arial" w:hAnsi="Arial"/>
          <w:sz w:val="14"/>
          <w:szCs w:val="14"/>
          <w:b w:val="1"/>
          <w:bCs w:val="1"/>
          <w:u w:val="single" w:color="auto"/>
          <w:color w:val="auto"/>
        </w:rPr>
        <w:t>DTC Items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Citibank Broker Participant Code: 0908</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Account#: </w:t>
      </w:r>
      <w:r>
        <w:rPr>
          <w:rFonts w:ascii="Arial" w:cs="Arial" w:eastAsia="Arial" w:hAnsi="Arial"/>
          <w:sz w:val="22"/>
          <w:szCs w:val="22"/>
          <w:b w:val="1"/>
          <w:bCs w:val="1"/>
          <w:color w:val="auto"/>
        </w:rPr>
        <w:t>(XXXXXX)</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Account 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(Citibank Agency &amp; Trust, Tel #:)</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request the following information in your instructions to receive in securities: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Trust A/C# : (xxxxxx)</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Cusip#: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Security: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Maturity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Trade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Settlement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(Face) Par Amount: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Broker Payment (Net Amount):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Name of Broker: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Broker Code: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495" w:name="page496"/>
    <w:bookmarkEnd w:id="495"/>
    <w:p>
      <w:pPr>
        <w:jc w:val="right"/>
        <w:spacing w:after="0"/>
        <w:rPr>
          <w:sz w:val="20"/>
          <w:szCs w:val="20"/>
          <w:color w:val="auto"/>
        </w:rPr>
      </w:pPr>
      <w:r>
        <w:rPr>
          <w:rFonts w:ascii="Arial" w:cs="Arial" w:eastAsia="Arial" w:hAnsi="Arial"/>
          <w:sz w:val="22"/>
          <w:szCs w:val="22"/>
          <w:color w:val="auto"/>
        </w:rPr>
        <w:t>EXHIBIT F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478790</wp:posOffset>
            </wp:positionV>
            <wp:extent cx="713232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AIRCRAFT SECURITY AGREEMENT</w:t>
      </w:r>
    </w:p>
    <w:p>
      <w:pPr>
        <w:spacing w:after="0" w:line="200" w:lineRule="exact"/>
        <w:rPr>
          <w:sz w:val="20"/>
          <w:szCs w:val="20"/>
          <w:color w:val="auto"/>
        </w:rPr>
      </w:pPr>
    </w:p>
    <w:p>
      <w:pPr>
        <w:spacing w:after="0" w:line="236"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Dated as of [•], 20[•]</w:t>
      </w:r>
    </w:p>
    <w:p>
      <w:pPr>
        <w:spacing w:after="0" w:line="22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between</w:t>
      </w:r>
    </w:p>
    <w:p>
      <w:pPr>
        <w:spacing w:after="0" w:line="220"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[NAME OF GRANTOR]</w:t>
      </w:r>
    </w:p>
    <w:p>
      <w:pPr>
        <w:spacing w:after="0" w:line="22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OF TRUSTEE],</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not in its individual capacity, except as expressly stated herein, but solely</w:t>
      </w:r>
    </w:p>
    <w:p>
      <w:pPr>
        <w:spacing w:after="0" w:line="3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as Trustee 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2113280</wp:posOffset>
            </wp:positionV>
            <wp:extent cx="7132320"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Aircraft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200660</wp:posOffset>
            </wp:positionV>
            <wp:extent cx="7132320"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496" w:name="page497"/>
    <w:bookmarkEnd w:id="496"/>
    <w:tbl>
      <w:tblPr>
        <w:tblLayout w:type="fixed"/>
        <w:tblInd w:w="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5400" w:type="dxa"/>
            <w:vAlign w:val="bottom"/>
            <w:gridSpan w:val="3"/>
          </w:tcPr>
          <w:p>
            <w:pPr>
              <w:jc w:val="center"/>
              <w:ind w:left="2312"/>
              <w:spacing w:after="0"/>
              <w:rPr>
                <w:sz w:val="20"/>
                <w:szCs w:val="20"/>
                <w:color w:val="auto"/>
              </w:rPr>
            </w:pPr>
            <w:r>
              <w:rPr>
                <w:rFonts w:ascii="Arial" w:cs="Arial" w:eastAsia="Arial" w:hAnsi="Arial"/>
                <w:sz w:val="22"/>
                <w:szCs w:val="22"/>
                <w:color w:val="auto"/>
                <w:w w:val="88"/>
              </w:rPr>
              <w:t>Table of Contents</w:t>
            </w:r>
          </w:p>
        </w:tc>
        <w:tc>
          <w:tcPr>
            <w:tcW w:w="12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22"/>
                <w:szCs w:val="22"/>
                <w:color w:val="auto"/>
                <w:w w:val="96"/>
              </w:rPr>
              <w:t>ARTICLE I</w:t>
            </w:r>
          </w:p>
        </w:tc>
        <w:tc>
          <w:tcPr>
            <w:tcW w:w="720" w:type="dxa"/>
            <w:vAlign w:val="bottom"/>
            <w:vMerge w:val="restart"/>
          </w:tcPr>
          <w:p>
            <w:pPr>
              <w:spacing w:after="0"/>
              <w:rPr>
                <w:sz w:val="24"/>
                <w:szCs w:val="24"/>
                <w:color w:val="auto"/>
              </w:rPr>
            </w:pPr>
          </w:p>
        </w:tc>
        <w:tc>
          <w:tcPr>
            <w:tcW w:w="120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260" w:type="dxa"/>
            <w:vAlign w:val="bottom"/>
            <w:gridSpan w:val="2"/>
          </w:tcPr>
          <w:p>
            <w:pPr>
              <w:jc w:val="center"/>
              <w:ind w:right="720"/>
              <w:spacing w:after="0"/>
              <w:rPr>
                <w:sz w:val="20"/>
                <w:szCs w:val="20"/>
                <w:color w:val="auto"/>
              </w:rPr>
            </w:pPr>
            <w:r>
              <w:rPr>
                <w:rFonts w:ascii="Arial" w:cs="Arial" w:eastAsia="Arial" w:hAnsi="Arial"/>
                <w:sz w:val="22"/>
                <w:szCs w:val="22"/>
                <w:color w:val="auto"/>
                <w:w w:val="96"/>
              </w:rPr>
              <w:t>DEFINITIONS</w:t>
            </w:r>
          </w:p>
        </w:tc>
        <w:tc>
          <w:tcPr>
            <w:tcW w:w="12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1.01.</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2"/>
              </w:rPr>
              <w:t>Definitions.......................................................................................................</w:t>
            </w:r>
          </w:p>
        </w:tc>
        <w:tc>
          <w:tcPr>
            <w:tcW w:w="2920" w:type="dxa"/>
            <w:vAlign w:val="bottom"/>
          </w:tcPr>
          <w:p>
            <w:pPr>
              <w:jc w:val="right"/>
              <w:ind w:right="2192"/>
              <w:spacing w:after="0"/>
              <w:rPr>
                <w:sz w:val="20"/>
                <w:szCs w:val="20"/>
                <w:color w:val="auto"/>
              </w:rPr>
            </w:pPr>
            <w:r>
              <w:rPr>
                <w:rFonts w:ascii="Arial" w:cs="Arial" w:eastAsia="Arial" w:hAnsi="Arial"/>
                <w:sz w:val="22"/>
                <w:szCs w:val="22"/>
                <w:color w:val="auto"/>
              </w:rPr>
              <w:t>6</w:t>
            </w: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1.02.</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1"/>
              </w:rPr>
              <w:t>Other Definitional Provisions...........................................................................</w:t>
            </w:r>
          </w:p>
        </w:tc>
        <w:tc>
          <w:tcPr>
            <w:tcW w:w="2920" w:type="dxa"/>
            <w:vAlign w:val="bottom"/>
          </w:tcPr>
          <w:p>
            <w:pPr>
              <w:jc w:val="right"/>
              <w:ind w:right="2132"/>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82"/>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center"/>
              <w:ind w:right="720"/>
              <w:spacing w:after="0"/>
              <w:rPr>
                <w:sz w:val="20"/>
                <w:szCs w:val="20"/>
                <w:color w:val="auto"/>
              </w:rPr>
            </w:pPr>
            <w:r>
              <w:rPr>
                <w:rFonts w:ascii="Arial" w:cs="Arial" w:eastAsia="Arial" w:hAnsi="Arial"/>
                <w:sz w:val="22"/>
                <w:szCs w:val="22"/>
                <w:color w:val="auto"/>
                <w:w w:val="98"/>
              </w:rPr>
              <w:t>ARTICLE II</w:t>
            </w:r>
          </w:p>
        </w:tc>
        <w:tc>
          <w:tcPr>
            <w:tcW w:w="1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6600" w:type="dxa"/>
            <w:vAlign w:val="bottom"/>
            <w:gridSpan w:val="4"/>
          </w:tcPr>
          <w:p>
            <w:pPr>
              <w:jc w:val="center"/>
              <w:ind w:left="1112"/>
              <w:spacing w:after="0"/>
              <w:rPr>
                <w:sz w:val="20"/>
                <w:szCs w:val="20"/>
                <w:color w:val="auto"/>
              </w:rPr>
            </w:pPr>
            <w:r>
              <w:rPr>
                <w:rFonts w:ascii="Arial" w:cs="Arial" w:eastAsia="Arial" w:hAnsi="Arial"/>
                <w:sz w:val="22"/>
                <w:szCs w:val="22"/>
                <w:color w:val="auto"/>
                <w:w w:val="92"/>
              </w:rPr>
              <w:t>REPRESENTATIONS AND WARRANTIES, ETC.</w:t>
            </w: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2.01.</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0"/>
              </w:rPr>
              <w:t>Representations and Warranties of the Grantor................................................</w:t>
            </w:r>
          </w:p>
        </w:tc>
        <w:tc>
          <w:tcPr>
            <w:tcW w:w="2920" w:type="dxa"/>
            <w:vAlign w:val="bottom"/>
          </w:tcPr>
          <w:p>
            <w:pPr>
              <w:jc w:val="right"/>
              <w:ind w:right="2152"/>
              <w:spacing w:after="0"/>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482"/>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center"/>
              <w:ind w:right="740"/>
              <w:spacing w:after="0"/>
              <w:rPr>
                <w:sz w:val="20"/>
                <w:szCs w:val="20"/>
                <w:color w:val="auto"/>
              </w:rPr>
            </w:pPr>
            <w:r>
              <w:rPr>
                <w:rFonts w:ascii="Arial" w:cs="Arial" w:eastAsia="Arial" w:hAnsi="Arial"/>
                <w:sz w:val="22"/>
                <w:szCs w:val="22"/>
                <w:color w:val="auto"/>
                <w:w w:val="98"/>
              </w:rPr>
              <w:t>ARTICLE III</w:t>
            </w:r>
          </w:p>
        </w:tc>
        <w:tc>
          <w:tcPr>
            <w:tcW w:w="1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5400" w:type="dxa"/>
            <w:vAlign w:val="bottom"/>
            <w:gridSpan w:val="3"/>
          </w:tcPr>
          <w:p>
            <w:pPr>
              <w:jc w:val="center"/>
              <w:ind w:left="2292"/>
              <w:spacing w:after="0"/>
              <w:rPr>
                <w:sz w:val="20"/>
                <w:szCs w:val="20"/>
                <w:color w:val="auto"/>
              </w:rPr>
            </w:pPr>
            <w:r>
              <w:rPr>
                <w:rFonts w:ascii="Arial" w:cs="Arial" w:eastAsia="Arial" w:hAnsi="Arial"/>
                <w:sz w:val="22"/>
                <w:szCs w:val="22"/>
                <w:color w:val="auto"/>
                <w:w w:val="92"/>
              </w:rPr>
              <w:t>CERTAIN PAYMENTS</w:t>
            </w:r>
          </w:p>
        </w:tc>
        <w:tc>
          <w:tcPr>
            <w:tcW w:w="12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3.01.</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1"/>
              </w:rPr>
              <w:t>Payments After Event of Default.....................................................................</w:t>
            </w:r>
          </w:p>
        </w:tc>
        <w:tc>
          <w:tcPr>
            <w:tcW w:w="2920" w:type="dxa"/>
            <w:vAlign w:val="bottom"/>
          </w:tcPr>
          <w:p>
            <w:pPr>
              <w:jc w:val="right"/>
              <w:ind w:right="2172"/>
              <w:spacing w:after="0"/>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482"/>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center"/>
              <w:ind w:right="720"/>
              <w:spacing w:after="0"/>
              <w:rPr>
                <w:sz w:val="20"/>
                <w:szCs w:val="20"/>
                <w:color w:val="auto"/>
              </w:rPr>
            </w:pPr>
            <w:r>
              <w:rPr>
                <w:rFonts w:ascii="Arial" w:cs="Arial" w:eastAsia="Arial" w:hAnsi="Arial"/>
                <w:sz w:val="22"/>
                <w:szCs w:val="22"/>
                <w:color w:val="auto"/>
                <w:w w:val="98"/>
              </w:rPr>
              <w:t>ARTICLE IV</w:t>
            </w:r>
          </w:p>
        </w:tc>
        <w:tc>
          <w:tcPr>
            <w:tcW w:w="1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5400" w:type="dxa"/>
            <w:vAlign w:val="bottom"/>
            <w:gridSpan w:val="3"/>
          </w:tcPr>
          <w:p>
            <w:pPr>
              <w:jc w:val="center"/>
              <w:ind w:left="2312"/>
              <w:spacing w:after="0"/>
              <w:rPr>
                <w:sz w:val="20"/>
                <w:szCs w:val="20"/>
                <w:color w:val="auto"/>
              </w:rPr>
            </w:pPr>
            <w:r>
              <w:rPr>
                <w:rFonts w:ascii="Arial" w:cs="Arial" w:eastAsia="Arial" w:hAnsi="Arial"/>
                <w:sz w:val="22"/>
                <w:szCs w:val="22"/>
                <w:color w:val="auto"/>
                <w:w w:val="92"/>
              </w:rPr>
              <w:t>REMEDIES OF TRUSTEE</w:t>
            </w:r>
          </w:p>
        </w:tc>
        <w:tc>
          <w:tcPr>
            <w:tcW w:w="12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4.01.</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2"/>
              </w:rPr>
              <w:t>Remedies ......................................................................................................</w:t>
            </w:r>
          </w:p>
        </w:tc>
        <w:tc>
          <w:tcPr>
            <w:tcW w:w="2920" w:type="dxa"/>
            <w:vAlign w:val="bottom"/>
          </w:tcPr>
          <w:p>
            <w:pPr>
              <w:jc w:val="right"/>
              <w:ind w:right="2212"/>
              <w:spacing w:after="0"/>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4.02.</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3"/>
              </w:rPr>
              <w:t>Remedies Cumulative...................................................................................</w:t>
            </w:r>
          </w:p>
        </w:tc>
        <w:tc>
          <w:tcPr>
            <w:tcW w:w="2920" w:type="dxa"/>
            <w:vAlign w:val="bottom"/>
          </w:tcPr>
          <w:p>
            <w:pPr>
              <w:jc w:val="right"/>
              <w:ind w:right="2232"/>
              <w:spacing w:after="0"/>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4.03.</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2"/>
              </w:rPr>
              <w:t>Discontinuance of Proceedings......................................................................</w:t>
            </w:r>
          </w:p>
        </w:tc>
        <w:tc>
          <w:tcPr>
            <w:tcW w:w="2920" w:type="dxa"/>
            <w:vAlign w:val="bottom"/>
          </w:tcPr>
          <w:p>
            <w:pPr>
              <w:jc w:val="right"/>
              <w:ind w:right="2152"/>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482"/>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center"/>
              <w:ind w:right="740"/>
              <w:spacing w:after="0"/>
              <w:rPr>
                <w:sz w:val="20"/>
                <w:szCs w:val="20"/>
                <w:color w:val="auto"/>
              </w:rPr>
            </w:pPr>
            <w:r>
              <w:rPr>
                <w:rFonts w:ascii="Arial" w:cs="Arial" w:eastAsia="Arial" w:hAnsi="Arial"/>
                <w:sz w:val="22"/>
                <w:szCs w:val="22"/>
                <w:color w:val="auto"/>
                <w:w w:val="98"/>
              </w:rPr>
              <w:t>ARTICLE V</w:t>
            </w:r>
          </w:p>
        </w:tc>
        <w:tc>
          <w:tcPr>
            <w:tcW w:w="1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260" w:type="dxa"/>
            <w:vAlign w:val="bottom"/>
            <w:gridSpan w:val="2"/>
          </w:tcPr>
          <w:p>
            <w:pPr>
              <w:jc w:val="center"/>
              <w:ind w:right="720"/>
              <w:spacing w:after="0"/>
              <w:rPr>
                <w:sz w:val="20"/>
                <w:szCs w:val="20"/>
                <w:color w:val="auto"/>
              </w:rPr>
            </w:pPr>
            <w:r>
              <w:rPr>
                <w:rFonts w:ascii="Arial" w:cs="Arial" w:eastAsia="Arial" w:hAnsi="Arial"/>
                <w:sz w:val="22"/>
                <w:szCs w:val="22"/>
                <w:color w:val="auto"/>
                <w:w w:val="92"/>
              </w:rPr>
              <w:t>THE TRUSTEE</w:t>
            </w:r>
          </w:p>
        </w:tc>
        <w:tc>
          <w:tcPr>
            <w:tcW w:w="12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5.01.</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2"/>
              </w:rPr>
              <w:t>Trustee May Perform......................................................................................</w:t>
            </w:r>
          </w:p>
        </w:tc>
        <w:tc>
          <w:tcPr>
            <w:tcW w:w="2920" w:type="dxa"/>
            <w:vAlign w:val="bottom"/>
          </w:tcPr>
          <w:p>
            <w:pPr>
              <w:jc w:val="right"/>
              <w:ind w:right="2132"/>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5.02.</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2"/>
              </w:rPr>
              <w:t>The Trustee ...................................................................................................</w:t>
            </w:r>
          </w:p>
        </w:tc>
        <w:tc>
          <w:tcPr>
            <w:tcW w:w="2920" w:type="dxa"/>
            <w:vAlign w:val="bottom"/>
          </w:tcPr>
          <w:p>
            <w:pPr>
              <w:jc w:val="right"/>
              <w:ind w:right="2192"/>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482"/>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center"/>
              <w:ind w:right="720"/>
              <w:spacing w:after="0"/>
              <w:rPr>
                <w:sz w:val="20"/>
                <w:szCs w:val="20"/>
                <w:color w:val="auto"/>
              </w:rPr>
            </w:pPr>
            <w:r>
              <w:rPr>
                <w:rFonts w:ascii="Arial" w:cs="Arial" w:eastAsia="Arial" w:hAnsi="Arial"/>
                <w:sz w:val="22"/>
                <w:szCs w:val="22"/>
                <w:color w:val="auto"/>
                <w:w w:val="98"/>
              </w:rPr>
              <w:t>ARTICLE VI</w:t>
            </w:r>
          </w:p>
        </w:tc>
        <w:tc>
          <w:tcPr>
            <w:tcW w:w="1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6600" w:type="dxa"/>
            <w:vAlign w:val="bottom"/>
            <w:gridSpan w:val="4"/>
          </w:tcPr>
          <w:p>
            <w:pPr>
              <w:jc w:val="center"/>
              <w:ind w:left="1112"/>
              <w:spacing w:after="0"/>
              <w:rPr>
                <w:sz w:val="20"/>
                <w:szCs w:val="20"/>
                <w:color w:val="auto"/>
              </w:rPr>
            </w:pPr>
            <w:r>
              <w:rPr>
                <w:rFonts w:ascii="Arial" w:cs="Arial" w:eastAsia="Arial" w:hAnsi="Arial"/>
                <w:sz w:val="22"/>
                <w:szCs w:val="22"/>
                <w:color w:val="auto"/>
                <w:w w:val="93"/>
              </w:rPr>
              <w:t>OPERATING COVENANTS OF THE GRANTOR</w:t>
            </w: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6.01.</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0"/>
              </w:rPr>
              <w:t>Possession, Operation and Use, Maintenance and Registration......................</w:t>
            </w:r>
          </w:p>
        </w:tc>
        <w:tc>
          <w:tcPr>
            <w:tcW w:w="2920" w:type="dxa"/>
            <w:vAlign w:val="bottom"/>
          </w:tcPr>
          <w:p>
            <w:pPr>
              <w:jc w:val="right"/>
              <w:ind w:right="2072"/>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6.02.</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3"/>
              </w:rPr>
              <w:t>Inspection. ....................................................................................................</w:t>
            </w:r>
          </w:p>
        </w:tc>
        <w:tc>
          <w:tcPr>
            <w:tcW w:w="2920" w:type="dxa"/>
            <w:vAlign w:val="bottom"/>
          </w:tcPr>
          <w:p>
            <w:pPr>
              <w:jc w:val="right"/>
              <w:ind w:right="2212"/>
              <w:spacing w:after="0"/>
              <w:rPr>
                <w:sz w:val="20"/>
                <w:szCs w:val="20"/>
                <w:color w:val="auto"/>
              </w:rPr>
            </w:pPr>
            <w:r>
              <w:rPr>
                <w:rFonts w:ascii="Arial" w:cs="Arial" w:eastAsia="Arial" w:hAnsi="Arial"/>
                <w:sz w:val="22"/>
                <w:szCs w:val="22"/>
                <w:color w:val="auto"/>
              </w:rPr>
              <w:t>20</w:t>
            </w: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Section 6.03.</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95"/>
              </w:rPr>
              <w:t>Replacement  and  Pooling  of  Parts;  Alterations,  Modifications</w:t>
            </w:r>
          </w:p>
        </w:tc>
        <w:tc>
          <w:tcPr>
            <w:tcW w:w="2920" w:type="dxa"/>
            <w:vAlign w:val="bottom"/>
          </w:tcPr>
          <w:p>
            <w:pPr>
              <w:jc w:val="right"/>
              <w:spacing w:after="0"/>
              <w:rPr>
                <w:sz w:val="20"/>
                <w:szCs w:val="20"/>
                <w:color w:val="auto"/>
              </w:rPr>
            </w:pPr>
            <w:r>
              <w:rPr>
                <w:rFonts w:ascii="Arial" w:cs="Arial" w:eastAsia="Arial" w:hAnsi="Arial"/>
                <w:sz w:val="22"/>
                <w:szCs w:val="22"/>
                <w:color w:val="auto"/>
                <w:w w:val="94"/>
              </w:rPr>
              <w:t>and  Additions;  Substitution  of</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5400" w:type="dxa"/>
            <w:vAlign w:val="bottom"/>
            <w:gridSpan w:val="3"/>
          </w:tcPr>
          <w:p>
            <w:pPr>
              <w:ind w:left="560"/>
              <w:spacing w:after="0"/>
              <w:rPr>
                <w:sz w:val="20"/>
                <w:szCs w:val="20"/>
                <w:color w:val="auto"/>
              </w:rPr>
            </w:pPr>
            <w:r>
              <w:rPr>
                <w:rFonts w:ascii="Arial" w:cs="Arial" w:eastAsia="Arial" w:hAnsi="Arial"/>
                <w:sz w:val="22"/>
                <w:szCs w:val="22"/>
                <w:color w:val="auto"/>
                <w:w w:val="82"/>
              </w:rPr>
              <w:t>Engines..................................................................................</w:t>
            </w:r>
          </w:p>
        </w:tc>
        <w:tc>
          <w:tcPr>
            <w:tcW w:w="1200" w:type="dxa"/>
            <w:vAlign w:val="bottom"/>
          </w:tcPr>
          <w:p>
            <w:pPr>
              <w:jc w:val="right"/>
              <w:ind w:right="592"/>
              <w:spacing w:after="0"/>
              <w:rPr>
                <w:sz w:val="20"/>
                <w:szCs w:val="20"/>
                <w:color w:val="auto"/>
              </w:rPr>
            </w:pPr>
            <w:r>
              <w:rPr>
                <w:rFonts w:ascii="Arial" w:cs="Arial" w:eastAsia="Arial" w:hAnsi="Arial"/>
                <w:sz w:val="22"/>
                <w:szCs w:val="22"/>
                <w:color w:val="auto"/>
              </w:rPr>
              <w:t>21</w:t>
            </w: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6.04.</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2"/>
              </w:rPr>
              <w:t>Loss, Destruction or Requisition....................................................................</w:t>
            </w:r>
          </w:p>
        </w:tc>
        <w:tc>
          <w:tcPr>
            <w:tcW w:w="2920" w:type="dxa"/>
            <w:vAlign w:val="bottom"/>
          </w:tcPr>
          <w:p>
            <w:pPr>
              <w:jc w:val="right"/>
              <w:ind w:right="2152"/>
              <w:spacing w:after="0"/>
              <w:rPr>
                <w:sz w:val="20"/>
                <w:szCs w:val="20"/>
                <w:color w:val="auto"/>
              </w:rPr>
            </w:pPr>
            <w:r>
              <w:rPr>
                <w:rFonts w:ascii="Arial" w:cs="Arial" w:eastAsia="Arial" w:hAnsi="Arial"/>
                <w:sz w:val="22"/>
                <w:szCs w:val="22"/>
                <w:color w:val="auto"/>
              </w:rPr>
              <w:t>23</w:t>
            </w: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6.05.</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2"/>
              </w:rPr>
              <w:t>Insurance. .....................................................................................................</w:t>
            </w:r>
          </w:p>
        </w:tc>
        <w:tc>
          <w:tcPr>
            <w:tcW w:w="2920" w:type="dxa"/>
            <w:vAlign w:val="bottom"/>
          </w:tcPr>
          <w:p>
            <w:pPr>
              <w:jc w:val="right"/>
              <w:ind w:right="2232"/>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482"/>
        </w:trPr>
        <w:tc>
          <w:tcPr>
            <w:tcW w:w="16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60" w:type="dxa"/>
            <w:vAlign w:val="bottom"/>
            <w:gridSpan w:val="2"/>
          </w:tcPr>
          <w:p>
            <w:pPr>
              <w:jc w:val="center"/>
              <w:ind w:right="720"/>
              <w:spacing w:after="0"/>
              <w:rPr>
                <w:sz w:val="20"/>
                <w:szCs w:val="20"/>
                <w:color w:val="auto"/>
              </w:rPr>
            </w:pPr>
            <w:r>
              <w:rPr>
                <w:rFonts w:ascii="Arial" w:cs="Arial" w:eastAsia="Arial" w:hAnsi="Arial"/>
                <w:sz w:val="22"/>
                <w:szCs w:val="22"/>
                <w:color w:val="auto"/>
              </w:rPr>
              <w:t>ARTICLE VII</w:t>
            </w:r>
          </w:p>
        </w:tc>
        <w:tc>
          <w:tcPr>
            <w:tcW w:w="1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3"/>
                <w:szCs w:val="23"/>
                <w:color w:val="auto"/>
              </w:rPr>
            </w:pPr>
          </w:p>
        </w:tc>
        <w:tc>
          <w:tcPr>
            <w:tcW w:w="5400" w:type="dxa"/>
            <w:vAlign w:val="bottom"/>
            <w:gridSpan w:val="3"/>
          </w:tcPr>
          <w:p>
            <w:pPr>
              <w:jc w:val="center"/>
              <w:ind w:left="2312"/>
              <w:spacing w:after="0"/>
              <w:rPr>
                <w:sz w:val="20"/>
                <w:szCs w:val="20"/>
                <w:color w:val="auto"/>
              </w:rPr>
            </w:pPr>
            <w:r>
              <w:rPr>
                <w:rFonts w:ascii="Arial" w:cs="Arial" w:eastAsia="Arial" w:hAnsi="Arial"/>
                <w:sz w:val="22"/>
                <w:szCs w:val="22"/>
                <w:color w:val="auto"/>
                <w:w w:val="94"/>
              </w:rPr>
              <w:t>CERTAIN COVENANTS</w:t>
            </w:r>
          </w:p>
        </w:tc>
        <w:tc>
          <w:tcPr>
            <w:tcW w:w="120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7.01.</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1"/>
              </w:rPr>
              <w:t>Certain Covenants of the Grantor....................................................................</w:t>
            </w:r>
          </w:p>
        </w:tc>
        <w:tc>
          <w:tcPr>
            <w:tcW w:w="2920" w:type="dxa"/>
            <w:vAlign w:val="bottom"/>
          </w:tcPr>
          <w:p>
            <w:pPr>
              <w:jc w:val="right"/>
              <w:ind w:right="2092"/>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7.02.</w:t>
            </w:r>
          </w:p>
        </w:tc>
        <w:tc>
          <w:tcPr>
            <w:tcW w:w="6600" w:type="dxa"/>
            <w:vAlign w:val="bottom"/>
            <w:gridSpan w:val="4"/>
          </w:tcPr>
          <w:p>
            <w:pPr>
              <w:ind w:left="560"/>
              <w:spacing w:after="0"/>
              <w:rPr>
                <w:sz w:val="20"/>
                <w:szCs w:val="20"/>
                <w:color w:val="auto"/>
              </w:rPr>
            </w:pPr>
            <w:r>
              <w:rPr>
                <w:rFonts w:ascii="Arial" w:cs="Arial" w:eastAsia="Arial" w:hAnsi="Arial"/>
                <w:sz w:val="22"/>
                <w:szCs w:val="22"/>
                <w:color w:val="auto"/>
                <w:w w:val="81"/>
              </w:rPr>
              <w:t>Certain Covenants of the Trustee....................................................................</w:t>
            </w:r>
          </w:p>
        </w:tc>
        <w:tc>
          <w:tcPr>
            <w:tcW w:w="2920" w:type="dxa"/>
            <w:vAlign w:val="bottom"/>
          </w:tcPr>
          <w:p>
            <w:pPr>
              <w:jc w:val="right"/>
              <w:ind w:right="2112"/>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Aircraft Security Agreement</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32320"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696" w:right="339" w:bottom="1440" w:gutter="0" w:footer="0" w:header="0"/>
        </w:sectPr>
      </w:pPr>
    </w:p>
    <w:bookmarkStart w:id="497" w:name="page498"/>
    <w:bookmarkEnd w:id="497"/>
    <w:tbl>
      <w:tblPr>
        <w:tblLayout w:type="fixed"/>
        <w:tblInd w:w="40" w:type="dxa"/>
        <w:tblCellMar>
          <w:top w:w="0" w:type="dxa"/>
          <w:left w:w="0" w:type="dxa"/>
          <w:bottom w:w="0" w:type="dxa"/>
          <w:right w:w="0" w:type="dxa"/>
        </w:tblCellMar>
      </w:tblP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Section 7.03.</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92"/>
              </w:rPr>
              <w:t>Subjection of Aircraft to Lien of Aircraft Security Agreement</w:t>
            </w:r>
          </w:p>
        </w:tc>
        <w:tc>
          <w:tcPr>
            <w:tcW w:w="3580" w:type="dxa"/>
            <w:vAlign w:val="bottom"/>
          </w:tcPr>
          <w:p>
            <w:pPr>
              <w:jc w:val="right"/>
              <w:ind w:right="2012"/>
              <w:spacing w:after="0"/>
              <w:rPr>
                <w:sz w:val="20"/>
                <w:szCs w:val="20"/>
                <w:color w:val="auto"/>
              </w:rPr>
            </w:pPr>
            <w:r>
              <w:rPr>
                <w:rFonts w:ascii="Arial" w:cs="Arial" w:eastAsia="Arial" w:hAnsi="Arial"/>
                <w:sz w:val="22"/>
                <w:szCs w:val="22"/>
                <w:color w:val="auto"/>
                <w:w w:val="87"/>
              </w:rPr>
              <w:t>.......................28</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7.04.</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Release of Aircraft from Lien of Aircraft Security Agreement.......................</w:t>
            </w:r>
          </w:p>
        </w:tc>
        <w:tc>
          <w:tcPr>
            <w:tcW w:w="3580" w:type="dxa"/>
            <w:vAlign w:val="bottom"/>
          </w:tcPr>
          <w:p>
            <w:pPr>
              <w:jc w:val="right"/>
              <w:ind w:right="2012"/>
              <w:spacing w:after="0"/>
              <w:rPr>
                <w:sz w:val="20"/>
                <w:szCs w:val="20"/>
                <w:color w:val="auto"/>
              </w:rPr>
            </w:pPr>
            <w:r>
              <w:rPr>
                <w:rFonts w:ascii="Arial" w:cs="Arial" w:eastAsia="Arial" w:hAnsi="Arial"/>
                <w:sz w:val="22"/>
                <w:szCs w:val="22"/>
                <w:color w:val="auto"/>
              </w:rPr>
              <w:t>30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7.05.</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2"/>
              </w:rPr>
              <w:t>Non-Lender Secured Parties...........................................................................</w:t>
            </w:r>
          </w:p>
        </w:tc>
        <w:tc>
          <w:tcPr>
            <w:tcW w:w="3580" w:type="dxa"/>
            <w:vAlign w:val="bottom"/>
          </w:tcPr>
          <w:p>
            <w:pPr>
              <w:jc w:val="right"/>
              <w:ind w:right="2092"/>
              <w:spacing w:after="0"/>
              <w:rPr>
                <w:sz w:val="20"/>
                <w:szCs w:val="20"/>
                <w:color w:val="auto"/>
              </w:rPr>
            </w:pPr>
            <w:r>
              <w:rPr>
                <w:rFonts w:ascii="Arial" w:cs="Arial" w:eastAsia="Arial" w:hAnsi="Arial"/>
                <w:sz w:val="22"/>
                <w:szCs w:val="22"/>
                <w:color w:val="auto"/>
              </w:rPr>
              <w:t>30</w:t>
            </w:r>
          </w:p>
        </w:tc>
      </w:tr>
      <w:tr>
        <w:trPr>
          <w:trHeight w:val="482"/>
        </w:trPr>
        <w:tc>
          <w:tcPr>
            <w:tcW w:w="1680" w:type="dxa"/>
            <w:vAlign w:val="bottom"/>
          </w:tcPr>
          <w:p>
            <w:pPr>
              <w:spacing w:after="0"/>
              <w:rPr>
                <w:sz w:val="24"/>
                <w:szCs w:val="24"/>
                <w:color w:val="auto"/>
              </w:rPr>
            </w:pPr>
          </w:p>
        </w:tc>
        <w:tc>
          <w:tcPr>
            <w:tcW w:w="4880" w:type="dxa"/>
            <w:vAlign w:val="bottom"/>
          </w:tcPr>
          <w:p>
            <w:pPr>
              <w:ind w:left="3240"/>
              <w:spacing w:after="0"/>
              <w:rPr>
                <w:sz w:val="20"/>
                <w:szCs w:val="20"/>
                <w:color w:val="auto"/>
              </w:rPr>
            </w:pPr>
            <w:r>
              <w:rPr>
                <w:rFonts w:ascii="Arial" w:cs="Arial" w:eastAsia="Arial" w:hAnsi="Arial"/>
                <w:sz w:val="22"/>
                <w:szCs w:val="22"/>
                <w:color w:val="auto"/>
              </w:rPr>
              <w:t>ARTICLE VIII</w:t>
            </w:r>
          </w:p>
        </w:tc>
        <w:tc>
          <w:tcPr>
            <w:tcW w:w="10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74"/>
        </w:trPr>
        <w:tc>
          <w:tcPr>
            <w:tcW w:w="1680" w:type="dxa"/>
            <w:vAlign w:val="bottom"/>
          </w:tcPr>
          <w:p>
            <w:pPr>
              <w:spacing w:after="0"/>
              <w:rPr>
                <w:sz w:val="23"/>
                <w:szCs w:val="23"/>
                <w:color w:val="auto"/>
              </w:rPr>
            </w:pPr>
          </w:p>
        </w:tc>
        <w:tc>
          <w:tcPr>
            <w:tcW w:w="4880" w:type="dxa"/>
            <w:vAlign w:val="bottom"/>
          </w:tcPr>
          <w:p>
            <w:pPr>
              <w:ind w:left="3000"/>
              <w:spacing w:after="0"/>
              <w:rPr>
                <w:sz w:val="20"/>
                <w:szCs w:val="20"/>
                <w:color w:val="auto"/>
              </w:rPr>
            </w:pPr>
            <w:r>
              <w:rPr>
                <w:rFonts w:ascii="Arial" w:cs="Arial" w:eastAsia="Arial" w:hAnsi="Arial"/>
                <w:sz w:val="22"/>
                <w:szCs w:val="22"/>
                <w:color w:val="auto"/>
                <w:w w:val="99"/>
              </w:rPr>
              <w:t>MISCELLANEOUS</w:t>
            </w:r>
          </w:p>
        </w:tc>
        <w:tc>
          <w:tcPr>
            <w:tcW w:w="1020" w:type="dxa"/>
            <w:vAlign w:val="bottom"/>
          </w:tcPr>
          <w:p>
            <w:pPr>
              <w:spacing w:after="0"/>
              <w:rPr>
                <w:sz w:val="23"/>
                <w:szCs w:val="23"/>
                <w:color w:val="auto"/>
              </w:rPr>
            </w:pPr>
          </w:p>
        </w:tc>
        <w:tc>
          <w:tcPr>
            <w:tcW w:w="3580" w:type="dxa"/>
            <w:vAlign w:val="bottom"/>
          </w:tcPr>
          <w:p>
            <w:pPr>
              <w:spacing w:after="0"/>
              <w:rPr>
                <w:sz w:val="23"/>
                <w:szCs w:val="23"/>
                <w:color w:val="auto"/>
              </w:rPr>
            </w:pPr>
          </w:p>
        </w:tc>
      </w:tr>
      <w:tr>
        <w:trPr>
          <w:trHeight w:val="486"/>
        </w:trPr>
        <w:tc>
          <w:tcPr>
            <w:tcW w:w="1680" w:type="dxa"/>
            <w:vAlign w:val="bottom"/>
          </w:tcPr>
          <w:p>
            <w:pPr>
              <w:spacing w:after="0"/>
              <w:rPr>
                <w:sz w:val="20"/>
                <w:szCs w:val="20"/>
                <w:color w:val="auto"/>
              </w:rPr>
            </w:pPr>
            <w:r>
              <w:rPr>
                <w:rFonts w:ascii="Arial" w:cs="Arial" w:eastAsia="Arial" w:hAnsi="Arial"/>
                <w:sz w:val="22"/>
                <w:szCs w:val="22"/>
                <w:color w:val="auto"/>
              </w:rPr>
              <w:t>Section 8.01.</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4"/>
              </w:rPr>
              <w:t>Termination of this Aircraft Security Agreement..........................................</w:t>
            </w:r>
          </w:p>
        </w:tc>
        <w:tc>
          <w:tcPr>
            <w:tcW w:w="3580" w:type="dxa"/>
            <w:vAlign w:val="bottom"/>
          </w:tcPr>
          <w:p>
            <w:pPr>
              <w:jc w:val="right"/>
              <w:ind w:right="2132"/>
              <w:spacing w:after="0"/>
              <w:rPr>
                <w:sz w:val="20"/>
                <w:szCs w:val="20"/>
                <w:color w:val="auto"/>
              </w:rPr>
            </w:pPr>
            <w:r>
              <w:rPr>
                <w:rFonts w:ascii="Arial" w:cs="Arial" w:eastAsia="Arial" w:hAnsi="Arial"/>
                <w:sz w:val="22"/>
                <w:szCs w:val="22"/>
                <w:color w:val="auto"/>
              </w:rPr>
              <w:t>32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8.02.</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No Legal Title to Aircraft Collateral in the Secured Parties...........................</w:t>
            </w:r>
          </w:p>
        </w:tc>
        <w:tc>
          <w:tcPr>
            <w:tcW w:w="3580" w:type="dxa"/>
            <w:vAlign w:val="bottom"/>
          </w:tcPr>
          <w:p>
            <w:pPr>
              <w:jc w:val="right"/>
              <w:ind w:right="2072"/>
              <w:spacing w:after="0"/>
              <w:rPr>
                <w:sz w:val="20"/>
                <w:szCs w:val="20"/>
                <w:color w:val="auto"/>
              </w:rPr>
            </w:pPr>
            <w:r>
              <w:rPr>
                <w:rFonts w:ascii="Arial" w:cs="Arial" w:eastAsia="Arial" w:hAnsi="Arial"/>
                <w:sz w:val="22"/>
                <w:szCs w:val="22"/>
                <w:color w:val="auto"/>
              </w:rPr>
              <w:t>33</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8.03.</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2"/>
              </w:rPr>
              <w:t>Sale by the Trustee Is Binding........................................................................</w:t>
            </w:r>
          </w:p>
        </w:tc>
        <w:tc>
          <w:tcPr>
            <w:tcW w:w="3580" w:type="dxa"/>
            <w:vAlign w:val="bottom"/>
          </w:tcPr>
          <w:p>
            <w:pPr>
              <w:jc w:val="right"/>
              <w:ind w:right="2092"/>
              <w:spacing w:after="0"/>
              <w:rPr>
                <w:sz w:val="20"/>
                <w:szCs w:val="20"/>
                <w:color w:val="auto"/>
              </w:rPr>
            </w:pPr>
            <w:r>
              <w:rPr>
                <w:rFonts w:ascii="Arial" w:cs="Arial" w:eastAsia="Arial" w:hAnsi="Arial"/>
                <w:sz w:val="22"/>
                <w:szCs w:val="22"/>
                <w:color w:val="auto"/>
              </w:rPr>
              <w:t>33</w:t>
            </w: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Section 8.04.</w:t>
            </w:r>
          </w:p>
        </w:tc>
        <w:tc>
          <w:tcPr>
            <w:tcW w:w="9480" w:type="dxa"/>
            <w:vAlign w:val="bottom"/>
            <w:gridSpan w:val="3"/>
          </w:tcPr>
          <w:p>
            <w:pPr>
              <w:ind w:left="560"/>
              <w:spacing w:after="0"/>
              <w:rPr>
                <w:sz w:val="20"/>
                <w:szCs w:val="20"/>
                <w:color w:val="auto"/>
              </w:rPr>
            </w:pPr>
            <w:r>
              <w:rPr>
                <w:rFonts w:ascii="Arial" w:cs="Arial" w:eastAsia="Arial" w:hAnsi="Arial"/>
                <w:sz w:val="22"/>
                <w:szCs w:val="22"/>
                <w:color w:val="auto"/>
                <w:w w:val="91"/>
              </w:rPr>
              <w:t>This Aircraft Security Agreement for the Benefit of the Grantor, the Trustee, the Collateral Agent and</w:t>
            </w:r>
          </w:p>
        </w:tc>
      </w:tr>
      <w:tr>
        <w:trPr>
          <w:trHeight w:val="274"/>
        </w:trPr>
        <w:tc>
          <w:tcPr>
            <w:tcW w:w="1680" w:type="dxa"/>
            <w:vAlign w:val="bottom"/>
          </w:tcPr>
          <w:p>
            <w:pPr>
              <w:spacing w:after="0"/>
              <w:rPr>
                <w:sz w:val="23"/>
                <w:szCs w:val="23"/>
                <w:color w:val="auto"/>
              </w:rPr>
            </w:pPr>
          </w:p>
        </w:tc>
        <w:tc>
          <w:tcPr>
            <w:tcW w:w="4880" w:type="dxa"/>
            <w:vAlign w:val="bottom"/>
          </w:tcPr>
          <w:p>
            <w:pPr>
              <w:ind w:left="560"/>
              <w:spacing w:after="0"/>
              <w:rPr>
                <w:sz w:val="20"/>
                <w:szCs w:val="20"/>
                <w:color w:val="auto"/>
              </w:rPr>
            </w:pPr>
            <w:r>
              <w:rPr>
                <w:rFonts w:ascii="Arial" w:cs="Arial" w:eastAsia="Arial" w:hAnsi="Arial"/>
                <w:sz w:val="22"/>
                <w:szCs w:val="22"/>
                <w:color w:val="auto"/>
                <w:w w:val="87"/>
              </w:rPr>
              <w:t>the Secured Parties.................................................</w:t>
            </w:r>
          </w:p>
        </w:tc>
        <w:tc>
          <w:tcPr>
            <w:tcW w:w="1020" w:type="dxa"/>
            <w:vAlign w:val="bottom"/>
          </w:tcPr>
          <w:p>
            <w:pPr>
              <w:jc w:val="right"/>
              <w:ind w:right="712"/>
              <w:spacing w:after="0"/>
              <w:rPr>
                <w:sz w:val="20"/>
                <w:szCs w:val="20"/>
                <w:color w:val="auto"/>
              </w:rPr>
            </w:pPr>
            <w:r>
              <w:rPr>
                <w:rFonts w:ascii="Arial" w:cs="Arial" w:eastAsia="Arial" w:hAnsi="Arial"/>
                <w:sz w:val="22"/>
                <w:szCs w:val="22"/>
                <w:color w:val="auto"/>
                <w:w w:val="73"/>
              </w:rPr>
              <w:t>33</w:t>
            </w:r>
          </w:p>
        </w:tc>
        <w:tc>
          <w:tcPr>
            <w:tcW w:w="3580" w:type="dxa"/>
            <w:vAlign w:val="bottom"/>
          </w:tcPr>
          <w:p>
            <w:pPr>
              <w:spacing w:after="0"/>
              <w:rPr>
                <w:sz w:val="23"/>
                <w:szCs w:val="23"/>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8.05.</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Notices. .........................................................................................................</w:t>
            </w:r>
          </w:p>
        </w:tc>
        <w:tc>
          <w:tcPr>
            <w:tcW w:w="3580" w:type="dxa"/>
            <w:vAlign w:val="bottom"/>
          </w:tcPr>
          <w:p>
            <w:pPr>
              <w:jc w:val="right"/>
              <w:ind w:right="2152"/>
              <w:spacing w:after="0"/>
              <w:rPr>
                <w:sz w:val="20"/>
                <w:szCs w:val="20"/>
                <w:color w:val="auto"/>
              </w:rPr>
            </w:pPr>
            <w:r>
              <w:rPr>
                <w:rFonts w:ascii="Arial" w:cs="Arial" w:eastAsia="Arial" w:hAnsi="Arial"/>
                <w:sz w:val="22"/>
                <w:szCs w:val="22"/>
                <w:color w:val="auto"/>
              </w:rPr>
              <w:t>33</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8.06.</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Severability of Provisions..............................................................................</w:t>
            </w:r>
          </w:p>
        </w:tc>
        <w:tc>
          <w:tcPr>
            <w:tcW w:w="3580" w:type="dxa"/>
            <w:vAlign w:val="bottom"/>
          </w:tcPr>
          <w:p>
            <w:pPr>
              <w:jc w:val="right"/>
              <w:ind w:right="2132"/>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8.07.</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4"/>
              </w:rPr>
              <w:t>No Oral Modification or Continuing Waivers................................................</w:t>
            </w:r>
          </w:p>
        </w:tc>
        <w:tc>
          <w:tcPr>
            <w:tcW w:w="3580" w:type="dxa"/>
            <w:vAlign w:val="bottom"/>
          </w:tcPr>
          <w:p>
            <w:pPr>
              <w:jc w:val="right"/>
              <w:ind w:right="2092"/>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8.08.</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1"/>
              </w:rPr>
              <w:t>Successors and Assigns..................................................................................</w:t>
            </w:r>
          </w:p>
        </w:tc>
        <w:tc>
          <w:tcPr>
            <w:tcW w:w="3580" w:type="dxa"/>
            <w:vAlign w:val="bottom"/>
          </w:tcPr>
          <w:p>
            <w:pPr>
              <w:jc w:val="right"/>
              <w:ind w:right="2112"/>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8.09.</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2"/>
              </w:rPr>
              <w:t>Headings. ......................................................................................................</w:t>
            </w:r>
          </w:p>
        </w:tc>
        <w:tc>
          <w:tcPr>
            <w:tcW w:w="3580" w:type="dxa"/>
            <w:vAlign w:val="bottom"/>
          </w:tcPr>
          <w:p>
            <w:pPr>
              <w:jc w:val="right"/>
              <w:ind w:right="2152"/>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8.10.</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Normal Commercial Relations.......................................................................</w:t>
            </w:r>
          </w:p>
        </w:tc>
        <w:tc>
          <w:tcPr>
            <w:tcW w:w="3580" w:type="dxa"/>
            <w:vAlign w:val="bottom"/>
          </w:tcPr>
          <w:p>
            <w:pPr>
              <w:jc w:val="right"/>
              <w:ind w:right="2092"/>
              <w:spacing w:after="0"/>
              <w:rPr>
                <w:sz w:val="20"/>
                <w:szCs w:val="20"/>
                <w:color w:val="auto"/>
              </w:rPr>
            </w:pPr>
            <w:r>
              <w:rPr>
                <w:rFonts w:ascii="Arial" w:cs="Arial" w:eastAsia="Arial" w:hAnsi="Arial"/>
                <w:sz w:val="22"/>
                <w:szCs w:val="22"/>
                <w:color w:val="auto"/>
              </w:rPr>
              <w:t>34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8.11.</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2"/>
              </w:rPr>
              <w:t>The Grantor's Performance and Rights...........................................................</w:t>
            </w:r>
          </w:p>
        </w:tc>
        <w:tc>
          <w:tcPr>
            <w:tcW w:w="3580" w:type="dxa"/>
            <w:vAlign w:val="bottom"/>
          </w:tcPr>
          <w:p>
            <w:pPr>
              <w:jc w:val="right"/>
              <w:ind w:right="2072"/>
              <w:spacing w:after="0"/>
              <w:rPr>
                <w:sz w:val="20"/>
                <w:szCs w:val="20"/>
                <w:color w:val="auto"/>
              </w:rPr>
            </w:pPr>
            <w:r>
              <w:rPr>
                <w:rFonts w:ascii="Arial" w:cs="Arial" w:eastAsia="Arial" w:hAnsi="Arial"/>
                <w:sz w:val="22"/>
                <w:szCs w:val="22"/>
                <w:color w:val="auto"/>
              </w:rPr>
              <w:t>35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8.12.</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2"/>
              </w:rPr>
              <w:t>Execution in Counterparts..............................................................................</w:t>
            </w:r>
          </w:p>
        </w:tc>
        <w:tc>
          <w:tcPr>
            <w:tcW w:w="3580" w:type="dxa"/>
            <w:vAlign w:val="bottom"/>
          </w:tcPr>
          <w:p>
            <w:pPr>
              <w:jc w:val="right"/>
              <w:ind w:right="2112"/>
              <w:spacing w:after="0"/>
              <w:rPr>
                <w:sz w:val="20"/>
                <w:szCs w:val="20"/>
                <w:color w:val="auto"/>
              </w:rPr>
            </w:pPr>
            <w:r>
              <w:rPr>
                <w:rFonts w:ascii="Arial" w:cs="Arial" w:eastAsia="Arial" w:hAnsi="Arial"/>
                <w:sz w:val="22"/>
                <w:szCs w:val="22"/>
                <w:color w:val="auto"/>
              </w:rPr>
              <w:t>35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8.13.</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Governing Law. ............................................................................................</w:t>
            </w:r>
          </w:p>
        </w:tc>
        <w:tc>
          <w:tcPr>
            <w:tcW w:w="3580" w:type="dxa"/>
            <w:vAlign w:val="bottom"/>
          </w:tcPr>
          <w:p>
            <w:pPr>
              <w:jc w:val="right"/>
              <w:ind w:right="2172"/>
              <w:spacing w:after="0"/>
              <w:rPr>
                <w:sz w:val="20"/>
                <w:szCs w:val="20"/>
                <w:color w:val="auto"/>
              </w:rPr>
            </w:pPr>
            <w:r>
              <w:rPr>
                <w:rFonts w:ascii="Arial" w:cs="Arial" w:eastAsia="Arial" w:hAnsi="Arial"/>
                <w:sz w:val="22"/>
                <w:szCs w:val="22"/>
                <w:color w:val="auto"/>
              </w:rPr>
              <w:t>35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8.14.</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Waiver of Jury Trail........................................................................................</w:t>
            </w:r>
          </w:p>
        </w:tc>
        <w:tc>
          <w:tcPr>
            <w:tcW w:w="3580" w:type="dxa"/>
            <w:vAlign w:val="bottom"/>
          </w:tcPr>
          <w:p>
            <w:pPr>
              <w:jc w:val="right"/>
              <w:ind w:right="2092"/>
              <w:spacing w:after="0"/>
              <w:rPr>
                <w:sz w:val="20"/>
                <w:szCs w:val="20"/>
                <w:color w:val="auto"/>
              </w:rPr>
            </w:pPr>
            <w:r>
              <w:rPr>
                <w:rFonts w:ascii="Arial" w:cs="Arial" w:eastAsia="Arial" w:hAnsi="Arial"/>
                <w:sz w:val="22"/>
                <w:szCs w:val="22"/>
                <w:color w:val="auto"/>
              </w:rPr>
              <w:t>35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8.15.</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2"/>
              </w:rPr>
              <w:t>Consent to Jurisdiction and Service of Process..............................................</w:t>
            </w:r>
          </w:p>
        </w:tc>
        <w:tc>
          <w:tcPr>
            <w:tcW w:w="3580" w:type="dxa"/>
            <w:vAlign w:val="bottom"/>
          </w:tcPr>
          <w:p>
            <w:pPr>
              <w:jc w:val="right"/>
              <w:ind w:right="2092"/>
              <w:spacing w:after="0"/>
              <w:rPr>
                <w:sz w:val="20"/>
                <w:szCs w:val="20"/>
                <w:color w:val="auto"/>
              </w:rPr>
            </w:pPr>
            <w:r>
              <w:rPr>
                <w:rFonts w:ascii="Arial" w:cs="Arial" w:eastAsia="Arial" w:hAnsi="Arial"/>
                <w:sz w:val="22"/>
                <w:szCs w:val="22"/>
                <w:color w:val="auto"/>
              </w:rPr>
              <w:t>36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8.16.</w:t>
            </w:r>
          </w:p>
        </w:tc>
        <w:tc>
          <w:tcPr>
            <w:tcW w:w="5900" w:type="dxa"/>
            <w:vAlign w:val="bottom"/>
            <w:gridSpan w:val="2"/>
          </w:tcPr>
          <w:p>
            <w:pPr>
              <w:ind w:left="560"/>
              <w:spacing w:after="0"/>
              <w:rPr>
                <w:sz w:val="20"/>
                <w:szCs w:val="20"/>
                <w:color w:val="auto"/>
              </w:rPr>
            </w:pPr>
            <w:r>
              <w:rPr>
                <w:rFonts w:ascii="Arial" w:cs="Arial" w:eastAsia="Arial" w:hAnsi="Arial"/>
                <w:sz w:val="22"/>
                <w:szCs w:val="22"/>
                <w:color w:val="auto"/>
                <w:w w:val="73"/>
              </w:rPr>
              <w:t>Amendments, Etc..........................................................................................</w:t>
            </w:r>
          </w:p>
        </w:tc>
        <w:tc>
          <w:tcPr>
            <w:tcW w:w="3580" w:type="dxa"/>
            <w:vAlign w:val="bottom"/>
          </w:tcPr>
          <w:p>
            <w:pPr>
              <w:jc w:val="right"/>
              <w:ind w:right="2172"/>
              <w:spacing w:after="0"/>
              <w:rPr>
                <w:sz w:val="20"/>
                <w:szCs w:val="20"/>
                <w:color w:val="auto"/>
              </w:rPr>
            </w:pPr>
            <w:r>
              <w:rPr>
                <w:rFonts w:ascii="Arial" w:cs="Arial" w:eastAsia="Arial" w:hAnsi="Arial"/>
                <w:sz w:val="22"/>
                <w:szCs w:val="22"/>
                <w:color w:val="auto"/>
              </w:rPr>
              <w:t>36</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Exhibit A - Form of Aircraft Security Agreement Supplement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B - List of Permitted Countries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Annex A - Definitions Aircraft Security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Aircraft Security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498" w:name="page499"/>
    <w:bookmarkEnd w:id="498"/>
    <w:p>
      <w:pPr>
        <w:jc w:val="center"/>
        <w:spacing w:after="0"/>
        <w:rPr>
          <w:sz w:val="20"/>
          <w:szCs w:val="20"/>
          <w:color w:val="auto"/>
        </w:rPr>
      </w:pPr>
      <w:r>
        <w:rPr>
          <w:rFonts w:ascii="Arial" w:cs="Arial" w:eastAsia="Arial" w:hAnsi="Arial"/>
          <w:sz w:val="22"/>
          <w:szCs w:val="22"/>
          <w:b w:val="1"/>
          <w:bCs w:val="1"/>
          <w:color w:val="auto"/>
        </w:rPr>
        <w:t>AIRCRAFT SECURITY AGREEMENT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 xml:space="preserve">AIRCRAFT SECURITY AGREEMENT, dated as of [•], 20[•] (as amended, modified or supplemented from time to time, the “ </w:t>
      </w:r>
      <w:r>
        <w:rPr>
          <w:rFonts w:ascii="Arial" w:cs="Arial" w:eastAsia="Arial" w:hAnsi="Arial"/>
          <w:sz w:val="20"/>
          <w:szCs w:val="20"/>
          <w:u w:val="single" w:color="auto"/>
          <w:color w:val="auto"/>
        </w:rPr>
        <w:t>Aircraft Security Agreement</w:t>
      </w:r>
      <w:r>
        <w:rPr>
          <w:rFonts w:ascii="Arial" w:cs="Arial" w:eastAsia="Arial" w:hAnsi="Arial"/>
          <w:sz w:val="20"/>
          <w:szCs w:val="20"/>
          <w:color w:val="auto"/>
        </w:rPr>
        <w:t xml:space="preserve"> ”), between [NAME OF GRANTOR], a [Delaware corporation]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(together with its permitted successors and assigns, the “ </w:t>
      </w:r>
      <w:r>
        <w:rPr>
          <w:rFonts w:ascii="Arial" w:cs="Arial" w:eastAsia="Arial" w:hAnsi="Arial"/>
          <w:sz w:val="20"/>
          <w:szCs w:val="20"/>
          <w:u w:val="single" w:color="auto"/>
          <w:color w:val="auto"/>
        </w:rPr>
        <w:t>Grantor</w:t>
      </w:r>
      <w:r>
        <w:rPr>
          <w:rFonts w:ascii="Arial" w:cs="Arial" w:eastAsia="Arial" w:hAnsi="Arial"/>
          <w:sz w:val="20"/>
          <w:szCs w:val="20"/>
          <w:color w:val="auto"/>
        </w:rPr>
        <w:t xml:space="preserve"> ”) and [NAME OF TRUSTEE], as security trustee (together with its successors and permitted assigns, the “ </w:t>
      </w:r>
      <w:r>
        <w:rPr>
          <w:rFonts w:ascii="Arial" w:cs="Arial" w:eastAsia="Arial" w:hAnsi="Arial"/>
          <w:sz w:val="20"/>
          <w:szCs w:val="20"/>
          <w:u w:val="single" w:color="auto"/>
          <w:color w:val="auto"/>
        </w:rPr>
        <w:t>Trustee</w:t>
      </w:r>
      <w:r>
        <w:rPr>
          <w:rFonts w:ascii="Arial" w:cs="Arial" w:eastAsia="Arial" w:hAnsi="Arial"/>
          <w:sz w:val="20"/>
          <w:szCs w:val="20"/>
          <w:color w:val="auto"/>
        </w:rPr>
        <w:t xml:space="preserve"> ”), for its benefit and the benefit of the other Secured Parties. Except as otherwise defined herein, terms used herein and defined in the Credit Agreement (as defined below) shall be used herein as therein defined.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WITNESSETH</w:t>
      </w:r>
      <w:r>
        <w:rPr>
          <w:rFonts w:ascii="Arial" w:cs="Arial" w:eastAsia="Arial" w:hAnsi="Arial"/>
          <w:sz w:val="22"/>
          <w:szCs w:val="22"/>
          <w:color w:val="auto"/>
        </w:rPr>
        <w:t>:</w:t>
      </w:r>
    </w:p>
    <w:p>
      <w:pPr>
        <w:spacing w:after="0" w:line="209" w:lineRule="exact"/>
        <w:rPr>
          <w:sz w:val="20"/>
          <w:szCs w:val="20"/>
          <w:color w:val="auto"/>
        </w:rPr>
      </w:pPr>
    </w:p>
    <w:p>
      <w:pPr>
        <w:ind w:left="660"/>
        <w:spacing w:after="0"/>
        <w:tabs>
          <w:tab w:leader="none" w:pos="7340" w:val="left"/>
        </w:tabs>
        <w:rPr>
          <w:sz w:val="20"/>
          <w:szCs w:val="20"/>
          <w:color w:val="auto"/>
        </w:rPr>
      </w:pPr>
      <w:r>
        <w:rPr>
          <w:rFonts w:ascii="Arial" w:cs="Arial" w:eastAsia="Arial" w:hAnsi="Arial"/>
          <w:sz w:val="22"/>
          <w:szCs w:val="22"/>
          <w:color w:val="auto"/>
        </w:rPr>
        <w:t xml:space="preserve">WHEREAS, [the Grantor] [American Airlines, Inc. (“ </w:t>
      </w:r>
      <w:r>
        <w:rPr>
          <w:rFonts w:ascii="Arial" w:cs="Arial" w:eastAsia="Arial" w:hAnsi="Arial"/>
          <w:sz w:val="22"/>
          <w:szCs w:val="22"/>
          <w:u w:val="single" w:color="auto"/>
          <w:color w:val="auto"/>
        </w:rPr>
        <w:t>American</w:t>
      </w:r>
      <w:r>
        <w:rPr>
          <w:rFonts w:ascii="Arial" w:cs="Arial" w:eastAsia="Arial" w:hAnsi="Arial"/>
          <w:sz w:val="22"/>
          <w:szCs w:val="22"/>
          <w:color w:val="auto"/>
        </w:rPr>
        <w:t xml:space="preserve"> ”)] </w:t>
      </w:r>
      <w:r>
        <w:rPr>
          <w:rFonts w:ascii="Arial" w:cs="Arial" w:eastAsia="Arial" w:hAnsi="Arial"/>
          <w:sz w:val="14"/>
          <w:szCs w:val="14"/>
          <w:color w:val="auto"/>
        </w:rPr>
        <w:t>2</w:t>
      </w:r>
      <w:r>
        <w:rPr>
          <w:sz w:val="20"/>
          <w:szCs w:val="20"/>
          <w:color w:val="auto"/>
        </w:rPr>
        <w:tab/>
      </w:r>
      <w:r>
        <w:rPr>
          <w:rFonts w:ascii="Arial" w:cs="Arial" w:eastAsia="Arial" w:hAnsi="Arial"/>
          <w:sz w:val="19"/>
          <w:szCs w:val="19"/>
          <w:color w:val="auto"/>
        </w:rPr>
        <w:t>and the Collateral Agent are parties to that</w:t>
      </w:r>
    </w:p>
    <w:p>
      <w:pPr>
        <w:spacing w:after="0" w:line="32"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 xml:space="preserve">certain Credit and Guaranty Agreement, dated as of March 18, 2020 (as may be amended, restated, amended and restated, supplemented or otherwise modified from time to time, the “ </w:t>
      </w:r>
      <w:r>
        <w:rPr>
          <w:rFonts w:ascii="Arial" w:cs="Arial" w:eastAsia="Arial" w:hAnsi="Arial"/>
          <w:sz w:val="20"/>
          <w:szCs w:val="20"/>
          <w:u w:val="single" w:color="auto"/>
          <w:color w:val="auto"/>
        </w:rPr>
        <w:t>Credit Agreement</w:t>
      </w:r>
      <w:r>
        <w:rPr>
          <w:rFonts w:ascii="Arial" w:cs="Arial" w:eastAsia="Arial" w:hAnsi="Arial"/>
          <w:sz w:val="20"/>
          <w:szCs w:val="20"/>
          <w:color w:val="auto"/>
        </w:rPr>
        <w:t xml:space="preserve"> ”), by and among [the Grantor] [American] </w:t>
      </w:r>
      <w:r>
        <w:rPr>
          <w:rFonts w:ascii="Arial" w:cs="Arial" w:eastAsia="Arial" w:hAnsi="Arial"/>
          <w:sz w:val="26"/>
          <w:szCs w:val="26"/>
          <w:color w:val="auto"/>
          <w:vertAlign w:val="superscript"/>
        </w:rPr>
        <w:t>3</w:t>
      </w:r>
      <w:r>
        <w:rPr>
          <w:rFonts w:ascii="Arial" w:cs="Arial" w:eastAsia="Arial" w:hAnsi="Arial"/>
          <w:sz w:val="20"/>
          <w:szCs w:val="20"/>
          <w:color w:val="auto"/>
        </w:rPr>
        <w:t xml:space="preserve"> , American Airlines Group Inc. (“ </w:t>
      </w:r>
      <w:r>
        <w:rPr>
          <w:rFonts w:ascii="Arial" w:cs="Arial" w:eastAsia="Arial" w:hAnsi="Arial"/>
          <w:sz w:val="20"/>
          <w:szCs w:val="20"/>
          <w:u w:val="single" w:color="auto"/>
          <w:color w:val="auto"/>
        </w:rPr>
        <w:t>Parent</w:t>
      </w:r>
      <w:r>
        <w:rPr>
          <w:rFonts w:ascii="Arial" w:cs="Arial" w:eastAsia="Arial" w:hAnsi="Arial"/>
          <w:sz w:val="20"/>
          <w:szCs w:val="20"/>
          <w:color w:val="auto"/>
        </w:rPr>
        <w:t xml:space="preserve"> ”), as guarantor party thereto, the other guarantors from time to time party thereto, the lenders from time to time party thereto (collectively, the “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 the Collateral Agent, and the Administrative Agent;</w:t>
      </w:r>
    </w:p>
    <w:p>
      <w:pPr>
        <w:spacing w:after="0" w:line="1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Grantor has agreed to grant a continuing Lien on the Aircraft Collateral (as defined below) to the Trustee for the benefit of the Secured Parties to secure the Obligations; and WHEREAS, the Collateral Agent and one or more Additional Agents may in the future enter into one or more Intercreditor Agreements and/or Other Intercreditor Agreements;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GRANTING CLAUSE</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NOW, THEREFORE, to secure all of the Obligations, and in consideration of the premises, the mutual agreements set forth herein and other good and valuable consideration, the receipt and sufficiency of which are hereby acknowledged, the Grantor hereby pledges, grants and creates a security interest and mortgage in favor of the Trustee for the benefit of the Collateral Agent and for the benefit of the other Secured Parties in all estate, right, title and interest of the Grantor in, to and under, all and singular, the following described properties, rights, interests and privileges, whether now owned or hereafter acquired and whether real or personal and whether tangible or intangible (the “ </w:t>
      </w:r>
      <w:r>
        <w:rPr>
          <w:rFonts w:ascii="Arial" w:cs="Arial" w:eastAsia="Arial" w:hAnsi="Arial"/>
          <w:sz w:val="19"/>
          <w:szCs w:val="19"/>
          <w:u w:val="single" w:color="auto"/>
          <w:color w:val="auto"/>
        </w:rPr>
        <w:t>Aircraft Collateral</w:t>
      </w:r>
      <w:r>
        <w:rPr>
          <w:rFonts w:ascii="Arial" w:cs="Arial" w:eastAsia="Arial" w:hAnsi="Arial"/>
          <w:sz w:val="19"/>
          <w:szCs w:val="19"/>
          <w:color w:val="auto"/>
        </w:rPr>
        <w:t xml:space="preserve"> ”):</w:t>
      </w:r>
    </w:p>
    <w:p>
      <w:pPr>
        <w:spacing w:after="0" w:line="122" w:lineRule="exact"/>
        <w:rPr>
          <w:sz w:val="20"/>
          <w:szCs w:val="20"/>
          <w:color w:val="auto"/>
        </w:rPr>
      </w:pPr>
    </w:p>
    <w:p>
      <w:pPr>
        <w:jc w:val="both"/>
        <w:ind w:left="660" w:firstLine="644"/>
        <w:spacing w:after="0" w:line="229" w:lineRule="auto"/>
        <w:tabs>
          <w:tab w:leader="none" w:pos="2172" w:val="left"/>
        </w:tabs>
        <w:numPr>
          <w:ilvl w:val="1"/>
          <w:numId w:val="642"/>
        </w:numPr>
        <w:rPr>
          <w:rFonts w:ascii="Arial" w:cs="Arial" w:eastAsia="Arial" w:hAnsi="Arial"/>
          <w:sz w:val="21"/>
          <w:szCs w:val="21"/>
          <w:color w:val="auto"/>
        </w:rPr>
      </w:pPr>
      <w:r>
        <w:rPr>
          <w:rFonts w:ascii="Arial" w:cs="Arial" w:eastAsia="Arial" w:hAnsi="Arial"/>
          <w:sz w:val="21"/>
          <w:szCs w:val="21"/>
          <w:color w:val="auto"/>
        </w:rPr>
        <w:t>each Aircraft, including the Airframe and the Engines relating thereto, whether or not any such Engine may from time to time be installed on the related Airframe, any other Airframe or any other airframe or any other aircraft, and any and all Parts relating thereto, and, to the extent provided herein, all substitutions and replacements of, and additions, improvements, accessions and accumulations to, each such Aircraft, including</w:t>
      </w:r>
    </w:p>
    <w:p>
      <w:pPr>
        <w:spacing w:after="0" w:line="301" w:lineRule="exact"/>
        <w:rPr>
          <w:rFonts w:ascii="Arial" w:cs="Arial" w:eastAsia="Arial" w:hAnsi="Arial"/>
          <w:sz w:val="21"/>
          <w:szCs w:val="21"/>
          <w:color w:val="auto"/>
        </w:rPr>
      </w:pPr>
    </w:p>
    <w:p>
      <w:pPr>
        <w:ind w:left="340" w:hanging="332"/>
        <w:spacing w:after="0"/>
        <w:tabs>
          <w:tab w:leader="none" w:pos="340" w:val="left"/>
        </w:tabs>
        <w:numPr>
          <w:ilvl w:val="0"/>
          <w:numId w:val="643"/>
        </w:numPr>
        <w:rPr>
          <w:rFonts w:ascii="Arial" w:cs="Arial" w:eastAsia="Arial" w:hAnsi="Arial"/>
          <w:sz w:val="29"/>
          <w:szCs w:val="29"/>
          <w:color w:val="auto"/>
          <w:vertAlign w:val="superscript"/>
        </w:rPr>
      </w:pPr>
      <w:r>
        <w:rPr>
          <w:rFonts w:ascii="Arial" w:cs="Arial" w:eastAsia="Arial" w:hAnsi="Arial"/>
          <w:sz w:val="22"/>
          <w:szCs w:val="22"/>
          <w:color w:val="auto"/>
        </w:rPr>
        <w:t>Revise bracketed phrase as necessary for the applicable Grantor.</w:t>
      </w:r>
    </w:p>
    <w:p>
      <w:pPr>
        <w:spacing w:after="0" w:line="89" w:lineRule="exact"/>
        <w:rPr>
          <w:rFonts w:ascii="Arial" w:cs="Arial" w:eastAsia="Arial" w:hAnsi="Arial"/>
          <w:sz w:val="29"/>
          <w:szCs w:val="29"/>
          <w:color w:val="auto"/>
          <w:vertAlign w:val="superscript"/>
        </w:rPr>
      </w:pPr>
    </w:p>
    <w:p>
      <w:pPr>
        <w:ind w:left="340" w:hanging="332"/>
        <w:spacing w:after="0" w:line="217" w:lineRule="auto"/>
        <w:tabs>
          <w:tab w:leader="none" w:pos="340" w:val="left"/>
        </w:tabs>
        <w:numPr>
          <w:ilvl w:val="0"/>
          <w:numId w:val="643"/>
        </w:numPr>
        <w:rPr>
          <w:rFonts w:ascii="Arial" w:cs="Arial" w:eastAsia="Arial" w:hAnsi="Arial"/>
          <w:sz w:val="29"/>
          <w:szCs w:val="29"/>
          <w:color w:val="auto"/>
          <w:vertAlign w:val="superscript"/>
        </w:rPr>
      </w:pPr>
      <w:r>
        <w:rPr>
          <w:rFonts w:ascii="Arial" w:cs="Arial" w:eastAsia="Arial" w:hAnsi="Arial"/>
          <w:sz w:val="22"/>
          <w:szCs w:val="22"/>
          <w:color w:val="auto"/>
        </w:rPr>
        <w:t>Use second alternative if American is not the Grantor</w:t>
      </w:r>
    </w:p>
    <w:p>
      <w:pPr>
        <w:spacing w:after="0" w:line="89" w:lineRule="exact"/>
        <w:rPr>
          <w:rFonts w:ascii="Arial" w:cs="Arial" w:eastAsia="Arial" w:hAnsi="Arial"/>
          <w:sz w:val="29"/>
          <w:szCs w:val="29"/>
          <w:color w:val="auto"/>
          <w:vertAlign w:val="superscript"/>
        </w:rPr>
      </w:pPr>
    </w:p>
    <w:p>
      <w:pPr>
        <w:ind w:left="340" w:hanging="332"/>
        <w:spacing w:after="0" w:line="217" w:lineRule="auto"/>
        <w:tabs>
          <w:tab w:leader="none" w:pos="340" w:val="left"/>
        </w:tabs>
        <w:numPr>
          <w:ilvl w:val="0"/>
          <w:numId w:val="643"/>
        </w:numPr>
        <w:rPr>
          <w:rFonts w:ascii="Arial" w:cs="Arial" w:eastAsia="Arial" w:hAnsi="Arial"/>
          <w:sz w:val="29"/>
          <w:szCs w:val="29"/>
          <w:color w:val="auto"/>
          <w:vertAlign w:val="superscript"/>
        </w:rPr>
      </w:pPr>
      <w:r>
        <w:rPr>
          <w:rFonts w:ascii="Arial" w:cs="Arial" w:eastAsia="Arial" w:hAnsi="Arial"/>
          <w:sz w:val="22"/>
          <w:szCs w:val="22"/>
          <w:color w:val="auto"/>
        </w:rPr>
        <w:t>Use second alternative if American is not the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-776605</wp:posOffset>
            </wp:positionV>
            <wp:extent cx="68580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Aircraft Security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9" w:name="page500"/>
    <w:bookmarkEnd w:id="499"/>
    <w:p>
      <w:pPr>
        <w:jc w:val="both"/>
        <w:ind w:left="660"/>
        <w:spacing w:after="0" w:line="289" w:lineRule="auto"/>
        <w:rPr>
          <w:sz w:val="20"/>
          <w:szCs w:val="20"/>
          <w:color w:val="auto"/>
        </w:rPr>
      </w:pPr>
      <w:r>
        <w:rPr>
          <w:rFonts w:ascii="Arial" w:cs="Arial" w:eastAsia="Arial" w:hAnsi="Arial"/>
          <w:sz w:val="19"/>
          <w:szCs w:val="19"/>
          <w:color w:val="auto"/>
        </w:rPr>
        <w:t>the Airframe, the Engines and any and all Parts (in each case other than any substitutions, replacements, additions, improvements, accessions and accumulations that constitute items excluded from the definition of Parts by clauses (b), (c) and (d) thereof) relating thereto (each such Airframe and Engines as more particularly described in the applicable Aircraft Security Agreement Supplement executed and delivered with respect to the applicable Aircraft on the applicable Aircraft Closing Date for such Aircraft or with respect to any substitutions or replacements therefor), and together with all flight records, logs, manuals, maintenance data and inspection, modification and overhaul records at any time required to be maintained with respect to such Aircraft in accordance with the rules and regulations of the FAA if such Aircraft is registered under the laws of the United States or the rules and regulations of the government of the country of registry if such Aircraft is registered under the laws of a jurisdiction other than the United States;</w:t>
      </w:r>
    </w:p>
    <w:p>
      <w:pPr>
        <w:spacing w:after="0" w:line="170" w:lineRule="exact"/>
        <w:rPr>
          <w:sz w:val="20"/>
          <w:szCs w:val="20"/>
          <w:color w:val="auto"/>
        </w:rPr>
      </w:pPr>
    </w:p>
    <w:p>
      <w:pPr>
        <w:ind w:left="660" w:firstLine="644"/>
        <w:spacing w:after="0" w:line="232" w:lineRule="auto"/>
        <w:tabs>
          <w:tab w:leader="none" w:pos="2185" w:val="left"/>
        </w:tabs>
        <w:numPr>
          <w:ilvl w:val="0"/>
          <w:numId w:val="644"/>
        </w:numPr>
        <w:rPr>
          <w:rFonts w:ascii="Arial" w:cs="Arial" w:eastAsia="Arial" w:hAnsi="Arial"/>
          <w:sz w:val="22"/>
          <w:szCs w:val="22"/>
          <w:color w:val="auto"/>
        </w:rPr>
      </w:pPr>
      <w:r>
        <w:rPr>
          <w:rFonts w:ascii="Arial" w:cs="Arial" w:eastAsia="Arial" w:hAnsi="Arial"/>
          <w:sz w:val="22"/>
          <w:szCs w:val="22"/>
          <w:color w:val="auto"/>
        </w:rPr>
        <w:t>the Warranty Rights relating to each Aircraft, together with all rights, powers, privileges, options and other benefits of the Grantor under the same;</w:t>
      </w:r>
    </w:p>
    <w:p>
      <w:pPr>
        <w:spacing w:after="0" w:line="199" w:lineRule="exact"/>
        <w:rPr>
          <w:rFonts w:ascii="Arial" w:cs="Arial" w:eastAsia="Arial" w:hAnsi="Arial"/>
          <w:sz w:val="22"/>
          <w:szCs w:val="22"/>
          <w:color w:val="auto"/>
        </w:rPr>
      </w:pPr>
    </w:p>
    <w:p>
      <w:pPr>
        <w:jc w:val="both"/>
        <w:ind w:left="660" w:firstLine="644"/>
        <w:spacing w:after="0" w:line="218" w:lineRule="auto"/>
        <w:tabs>
          <w:tab w:leader="none" w:pos="2185" w:val="left"/>
        </w:tabs>
        <w:numPr>
          <w:ilvl w:val="0"/>
          <w:numId w:val="644"/>
        </w:numPr>
        <w:rPr>
          <w:rFonts w:ascii="Arial" w:cs="Arial" w:eastAsia="Arial" w:hAnsi="Arial"/>
          <w:sz w:val="22"/>
          <w:szCs w:val="22"/>
          <w:color w:val="auto"/>
        </w:rPr>
      </w:pPr>
      <w:r>
        <w:rPr>
          <w:rFonts w:ascii="Arial" w:cs="Arial" w:eastAsia="Arial" w:hAnsi="Arial"/>
          <w:sz w:val="22"/>
          <w:szCs w:val="22"/>
          <w:color w:val="auto"/>
        </w:rPr>
        <w:t>all rents, revenues and other proceeds collected by the Trustee pursuant to Section 4.01(a), all moneys and securities from time to time paid or deposited or required to be paid or deposited to or with the Trustee by or for the account of the Grantor pursuant to any term of this Aircraft Security Agreement and held or required to be held by the Trustee hereunder; and</w:t>
      </w:r>
    </w:p>
    <w:p>
      <w:pPr>
        <w:spacing w:after="0" w:line="201" w:lineRule="exact"/>
        <w:rPr>
          <w:rFonts w:ascii="Arial" w:cs="Arial" w:eastAsia="Arial" w:hAnsi="Arial"/>
          <w:sz w:val="22"/>
          <w:szCs w:val="22"/>
          <w:color w:val="auto"/>
        </w:rPr>
      </w:pPr>
    </w:p>
    <w:p>
      <w:pPr>
        <w:ind w:left="2160" w:hanging="856"/>
        <w:spacing w:after="0"/>
        <w:tabs>
          <w:tab w:leader="none" w:pos="2160" w:val="left"/>
        </w:tabs>
        <w:numPr>
          <w:ilvl w:val="0"/>
          <w:numId w:val="644"/>
        </w:numPr>
        <w:rPr>
          <w:rFonts w:ascii="Arial" w:cs="Arial" w:eastAsia="Arial" w:hAnsi="Arial"/>
          <w:sz w:val="22"/>
          <w:szCs w:val="22"/>
          <w:color w:val="auto"/>
        </w:rPr>
      </w:pPr>
      <w:r>
        <w:rPr>
          <w:rFonts w:ascii="Arial" w:cs="Arial" w:eastAsia="Arial" w:hAnsi="Arial"/>
          <w:sz w:val="22"/>
          <w:szCs w:val="22"/>
          <w:color w:val="auto"/>
        </w:rPr>
        <w:t>all proceeds of the foregoing;</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PROVIDED, HOWEVER, that notwithstanding any of the foregoing provisions, so long as no Event of Default shall have occurred and be continuing, the Grantor shall have the right, to the exclusion of the Trustee, (i) to quiet enjoyment of each Aircraft, Airframe, Part and Engine, and to possess, use, retain and control each Aircraft, Airframe, Part and Engine and all revenues, income and profits derived therefrom and (ii) with respect to any Warranty Rights relating to any Aircraft, to exercise in the Grantor’s name all rights and powers of the Grantor with respect to such Warranty Rights and to retain any recovery or benefit resulting from the enforcement of any warranty or indemnity or other obligation under such Warranty Rights; provided, further, that notwithstanding the occurrence and continuation of an Event of Default, the Trustee shall not enter into any amendment or modification of any aircraft purchase or other agreement relating to the Warranty Rights that would alter the rights, benefits or obligations of the Grantor thereunder;</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TO HAVE AND TO HOLD all and singular the aforesaid property unto the Trustee, and its successors and permitted assigns, in trust for its benefit and the benefit of the other Secured Parties, except as otherwise provided in this Aircraft Security Agreement, and for the uses and purposes and in all cases and as to all property specified in </w:t>
      </w:r>
      <w:r>
        <w:rPr>
          <w:rFonts w:ascii="Arial" w:cs="Arial" w:eastAsia="Arial" w:hAnsi="Arial"/>
          <w:sz w:val="19"/>
          <w:szCs w:val="19"/>
          <w:u w:val="single" w:color="auto"/>
          <w:color w:val="auto"/>
        </w:rPr>
        <w:t>paragraphs (1)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(4)</w:t>
      </w:r>
      <w:r>
        <w:rPr>
          <w:rFonts w:ascii="Arial" w:cs="Arial" w:eastAsia="Arial" w:hAnsi="Arial"/>
          <w:sz w:val="19"/>
          <w:szCs w:val="19"/>
          <w:color w:val="auto"/>
        </w:rPr>
        <w:t xml:space="preserve"> inclusive above, subject to the terms and provisions set forth in this Aircraft Security Agreement.</w:t>
      </w:r>
    </w:p>
    <w:p>
      <w:pPr>
        <w:spacing w:after="0" w:line="1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It is expressly agreed that notwithstanding anything herein to the contrary, the Grantor shall remain liable under each aircraft purchase or other agreement in respect of any Warranty Rights to perform all of its obligations thereunder, and, except to the extent expressly provided in this Aircraft Security Agreement, the Trustee shall not be required or obligated in any manner to perform or fulfill any obligations of the Grantor under or pursuant to this Aircraft Security Agreement, or to</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500" w:name="page501"/>
    <w:bookmarkEnd w:id="500"/>
    <w:p>
      <w:pPr>
        <w:jc w:val="both"/>
        <w:spacing w:after="0" w:line="250" w:lineRule="auto"/>
        <w:rPr>
          <w:sz w:val="20"/>
          <w:szCs w:val="20"/>
          <w:color w:val="auto"/>
        </w:rPr>
      </w:pPr>
      <w:r>
        <w:rPr>
          <w:rFonts w:ascii="Arial" w:cs="Arial" w:eastAsia="Arial" w:hAnsi="Arial"/>
          <w:sz w:val="22"/>
          <w:szCs w:val="22"/>
          <w:color w:val="auto"/>
        </w:rPr>
        <w:t>have any obligation or liability under any aircraft purchase or other agreement in respect of any Warranty Rights by reason of or arising out of the assignment hereunder, or to make any inquiry as to the nature or sufficiency of any payment received by it, or present or file any claim or take any action to collect or enforce the payment of any amount that may have been assigned to it or to which it may be entitled at any time or times.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Notwithstanding anything herein to the contrary (but without in any way releasing the Grantor from any of its duties or obligations under any aircraft purchase or other agreement in respect of Warranty Rights), the Trustee confirms for the benefit of each manufacturer of any Aircraft that in exercising any rights under the Warranty Rights relating to such Aircraft, or in making any claim with respect to any such Aircraft or other goods and services delivered or to be delivered pursuant to the related aircraft purchase or other agreement for such Aircraft, the terms and conditions of such aircraft purchase or other agreement relating to such Warranty Rights, including, without limitation, any warranty disclaimer provisions for the benefit of such manufacturer, shall apply to and be binding upon the Trustee to the same extent as the Grantor. Subject to any Intercreditor Agreement and any Other Intercreditor Agreement, the Grantor hereby directs each manufacturer of any Aircraft, so long as an Event of Default shall have occurred and be continuing, to pay all amounts, if any, payable to the Grantor pursuant to the Warranty Rights relating to such Aircraft directly to the Trustee to be held and applied as provided herein. Nothing contained herein shall subject any manufacturer of any Aircraft to any liability to which it would not otherwise be subject under any aircraft purchase or other agreement relating thereto or modify in any respect the contract rights of such manufacturer thereunder.</w:t>
      </w:r>
    </w:p>
    <w:p>
      <w:pPr>
        <w:spacing w:after="0" w:line="15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Notwithstanding anything herein to the contrary, it is the understanding of the parties hereto that the Liens granted pursuant to this Aircraft Security Agreement shall, prior to the Discharge of Additional Obligations that are Senior Priority Obligations, be pari passu and equal in priority to the Liens granted to any Additional Agent for the benefit of the holders of the applicable Additional Obligations that are Senior Priority Obligations to secure such Additional Obligations that are Senior Priority Obligations pursuant to the applicable Additional Collateral Documents (except as may be separately otherwise agreed between the Trustee, on behalf of itself and the Secured Parties, and any Additional Agent, on behalf of itself and the Additional Credit Facility Secured Parties represented thereby). The Trustee acknowledges and agrees that the relative priority of the Liens granted to the Trustee, the Collateral Agent, the Administrative Agent and any Additional Agent shall be determined solely (as between the parties to such Intercreditor Agreement or Other Intercreditor Agreement and except as otherwise provided therein) pursuant to the applicable Intercreditor Agreements and Other Intercreditor Agreements, and not by priority as a matter of law or otherwise. Notwithstanding anything herein to the contrary, the Liens granted to the Trustee pursuant to this Aircraft Security Agreement and the exercise of any right or remedy by the Trustee hereunder are subject to the provisions of the applicable Intercreditor Agreements and Other Intercreditor Agreements. In the event of any conflict between the terms of any Intercreditor Agreement or any Other Intercreditor Agreement and this Aircraft Security Agreement, the terms of such Intercreditor Agreement or Other Intercreditor Agreement, as applicable, shall govern and control as among (i) the Trustee, the Collateral Agent and any Additional Agent, in the case of the Intercreditor Agreement, and (ii) the Trustee, the Collateral Agent and any other secured creditor (or agent therefor) party thereto, in the case of any Other Intercreditor Agreement. In the event of any such conflict, the Grantor may act (or omit to act) in accordance with such Intercreditor Agreement or such Other Intercreditor Agreement, as applicable, and shall not be in breach,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1" w:name="page502"/>
    <w:bookmarkEnd w:id="501"/>
    <w:p>
      <w:pPr>
        <w:jc w:val="both"/>
        <w:spacing w:after="0" w:line="302" w:lineRule="auto"/>
        <w:rPr>
          <w:sz w:val="20"/>
          <w:szCs w:val="20"/>
          <w:color w:val="auto"/>
        </w:rPr>
      </w:pPr>
      <w:r>
        <w:rPr>
          <w:rFonts w:ascii="Arial" w:cs="Arial" w:eastAsia="Arial" w:hAnsi="Arial"/>
          <w:sz w:val="19"/>
          <w:szCs w:val="19"/>
          <w:color w:val="auto"/>
        </w:rPr>
        <w:t>or default of its obligations hereunder by reason of doing so. Notwithstanding any other provision hereof, for so long as any Additional Obligations that are Senior Priority Obligations remain outstanding, any obligation hereunder to deliver, transfer or assign to the Collateral Agent any Collateral shall be satisfied by causing such Collateral to be delivered, transferred or assigned to the applicable Senior Priority Representative to be held in accordance with the Intercreditor Agreement.</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Subject to the terms and conditions hereof, the Grantor does hereby irrevocably constitute the Trustee, on behalf of the Collateral Agent and the other Secured Parties, the true and lawful attorney of the Grantor (which appointment is coupled with an interest) with full power (in the name of the Grantor or otherwise) to ask for, require, demand and receive any and all monies and claims for monies (in each case including insurance and requisition proceeds) due and to become due to the Grantor under or arising out of any aircraft purchase or other agreement (to the extent assigned hereby as part of the Warranty Rights), and all other property which now or hereafter constitutes part of the Aircraft Collateral, to endorse any checks or other instruments or orders in connection therewith and to file any claims or to take any action or to institute any proceedings which the Trustee may deem to be necessary or advisable in the premises; provided that the Trustee shall not exercise any such rights except (i) as permitted by each applicable Intercreditor Agreement and Other Intercreditor Agreement and (ii) during the continuance of an Event of Default.</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Grantor does hereby warrant and represent that it has not sold, assigned or pledged, and hereby covenants and agrees that it will not sell, assign or pledge, so long as this Aircraft Security Agreement shall remain in effect and the Lien hereof shall not have been released pursuant to the provisions hereof, any of its estate, right, title or interest hereby assigned, to any Person other than the Trustee, except as otherwise provided in or permitted by the Credit Agreement, any Intercreditor Agreement and any Other Intercreditor Agreement.</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Grantor agrees that at any time and from time to time, upon the written request of the Trustee, the Grantor shall promptly and duly execute and deliver or cause to be duly executed and delivered any and all such further instruments and documents as the Trustee may reasonably deem necessary to perfect, preserve or protect the mortgage, security interests and assignments created or intended to be created hereby or to obtain for the Trustee the full benefit of the assignment hereunder and of the rights and powers herein granted; provided that any instrument or other document so executed by the Grantor will not expand any obligations or limit any rights of the Grantor in respect of the transactions contemplated by this Aircraft Security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HEREBY COVENANTED AND AGREED by and between the parties hereto as follows: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9" w:lineRule="exact"/>
        <w:rPr>
          <w:sz w:val="20"/>
          <w:szCs w:val="20"/>
          <w:color w:val="auto"/>
        </w:rPr>
      </w:pPr>
    </w:p>
    <w:p>
      <w:pPr>
        <w:ind w:firstLine="656"/>
        <w:spacing w:after="0" w:line="298" w:lineRule="auto"/>
        <w:tabs>
          <w:tab w:leader="none" w:pos="1600" w:val="left"/>
        </w:tabs>
        <w:numPr>
          <w:ilvl w:val="0"/>
          <w:numId w:val="645"/>
        </w:numPr>
        <w:rPr>
          <w:rFonts w:ascii="Arial" w:cs="Arial" w:eastAsia="Arial" w:hAnsi="Arial"/>
          <w:sz w:val="19"/>
          <w:szCs w:val="19"/>
          <w:b w:val="1"/>
          <w:bCs w:val="1"/>
          <w:color w:val="auto"/>
        </w:rPr>
      </w:pPr>
      <w:r>
        <w:rPr>
          <w:rFonts w:ascii="Arial" w:cs="Arial" w:eastAsia="Arial" w:hAnsi="Arial"/>
          <w:sz w:val="19"/>
          <w:szCs w:val="19"/>
          <w:color w:val="auto"/>
        </w:rPr>
        <w:t>Definitions. For all purposes of this Aircraft Security Agreement, unless the context otherwise requires, capitalized terms used but not defined herein have the respective meanings set forth or incorporated by reference in Annex A.</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2" w:name="page503"/>
    <w:bookmarkEnd w:id="502"/>
    <w:p>
      <w:pPr>
        <w:ind w:left="1560" w:hanging="904"/>
        <w:spacing w:after="0"/>
        <w:tabs>
          <w:tab w:leader="none" w:pos="1560" w:val="left"/>
        </w:tabs>
        <w:numPr>
          <w:ilvl w:val="0"/>
          <w:numId w:val="646"/>
        </w:numPr>
        <w:rPr>
          <w:rFonts w:ascii="Arial" w:cs="Arial" w:eastAsia="Arial" w:hAnsi="Arial"/>
          <w:sz w:val="22"/>
          <w:szCs w:val="22"/>
          <w:b w:val="1"/>
          <w:bCs w:val="1"/>
          <w:color w:val="auto"/>
        </w:rPr>
      </w:pPr>
      <w:r>
        <w:rPr>
          <w:rFonts w:ascii="Arial" w:cs="Arial" w:eastAsia="Arial" w:hAnsi="Arial"/>
          <w:sz w:val="22"/>
          <w:szCs w:val="22"/>
          <w:color w:val="auto"/>
        </w:rPr>
        <w:t>Other Definitional Provisions.</w:t>
      </w:r>
    </w:p>
    <w:p>
      <w:pPr>
        <w:spacing w:after="0" w:line="179" w:lineRule="exact"/>
        <w:rPr>
          <w:sz w:val="20"/>
          <w:szCs w:val="20"/>
          <w:color w:val="auto"/>
        </w:rPr>
      </w:pPr>
    </w:p>
    <w:p>
      <w:pPr>
        <w:ind w:right="20" w:firstLine="656"/>
        <w:spacing w:after="0" w:line="232" w:lineRule="auto"/>
        <w:tabs>
          <w:tab w:leader="none" w:pos="1525" w:val="left"/>
        </w:tabs>
        <w:numPr>
          <w:ilvl w:val="0"/>
          <w:numId w:val="647"/>
        </w:numPr>
        <w:rPr>
          <w:rFonts w:ascii="Arial" w:cs="Arial" w:eastAsia="Arial" w:hAnsi="Arial"/>
          <w:sz w:val="22"/>
          <w:szCs w:val="22"/>
          <w:b w:val="1"/>
          <w:bCs w:val="1"/>
          <w:color w:val="auto"/>
        </w:rPr>
      </w:pPr>
      <w:r>
        <w:rPr>
          <w:rFonts w:ascii="Arial" w:cs="Arial" w:eastAsia="Arial" w:hAnsi="Arial"/>
          <w:sz w:val="22"/>
          <w:szCs w:val="22"/>
          <w:u w:val="single" w:color="auto"/>
          <w:color w:val="auto"/>
        </w:rPr>
        <w:t>Singular and Plural</w:t>
      </w:r>
      <w:r>
        <w:rPr>
          <w:rFonts w:ascii="Arial" w:cs="Arial" w:eastAsia="Arial" w:hAnsi="Arial"/>
          <w:sz w:val="22"/>
          <w:szCs w:val="22"/>
          <w:color w:val="auto"/>
        </w:rPr>
        <w:t xml:space="preserve"> . The definitions stated herein and in Annex A apply equally to both the singular and the plural forms of the terms defined.</w:t>
      </w:r>
    </w:p>
    <w:p>
      <w:pPr>
        <w:spacing w:after="0" w:line="158" w:lineRule="exact"/>
        <w:rPr>
          <w:rFonts w:ascii="Arial" w:cs="Arial" w:eastAsia="Arial" w:hAnsi="Arial"/>
          <w:sz w:val="22"/>
          <w:szCs w:val="22"/>
          <w:b w:val="1"/>
          <w:bCs w:val="1"/>
          <w:color w:val="auto"/>
        </w:rPr>
      </w:pPr>
    </w:p>
    <w:p>
      <w:pPr>
        <w:jc w:val="both"/>
        <w:ind w:firstLine="656"/>
        <w:spacing w:after="0" w:line="268" w:lineRule="auto"/>
        <w:tabs>
          <w:tab w:leader="none" w:pos="1525" w:val="left"/>
        </w:tabs>
        <w:numPr>
          <w:ilvl w:val="0"/>
          <w:numId w:val="647"/>
        </w:numPr>
        <w:rPr>
          <w:rFonts w:ascii="Arial" w:cs="Arial" w:eastAsia="Arial" w:hAnsi="Arial"/>
          <w:sz w:val="19"/>
          <w:szCs w:val="19"/>
          <w:b w:val="1"/>
          <w:bCs w:val="1"/>
          <w:color w:val="auto"/>
        </w:rPr>
      </w:pPr>
      <w:r>
        <w:rPr>
          <w:rFonts w:ascii="Arial" w:cs="Arial" w:eastAsia="Arial" w:hAnsi="Arial"/>
          <w:sz w:val="19"/>
          <w:szCs w:val="19"/>
          <w:u w:val="single" w:color="auto"/>
          <w:color w:val="auto"/>
        </w:rPr>
        <w:t>References to Parts</w:t>
      </w:r>
      <w:r>
        <w:rPr>
          <w:rFonts w:ascii="Arial" w:cs="Arial" w:eastAsia="Arial" w:hAnsi="Arial"/>
          <w:sz w:val="19"/>
          <w:szCs w:val="19"/>
          <w:color w:val="auto"/>
        </w:rPr>
        <w:t xml:space="preserve"> . All references in this Aircraft Security Agreement to designated “Articles”, “Sections”, “Subsections”, “Schedules”, “Exhibits”, “Annexes” and other subdivisions are to the designated Article, Section, Subsection, Schedule, Exhibit, Annex or other subdivision of this Aircraft Security Agreement, unless otherwise specifically stated.</w:t>
      </w:r>
    </w:p>
    <w:p>
      <w:pPr>
        <w:spacing w:after="0" w:line="132" w:lineRule="exact"/>
        <w:rPr>
          <w:rFonts w:ascii="Arial" w:cs="Arial" w:eastAsia="Arial" w:hAnsi="Arial"/>
          <w:sz w:val="19"/>
          <w:szCs w:val="19"/>
          <w:b w:val="1"/>
          <w:bCs w:val="1"/>
          <w:color w:val="auto"/>
        </w:rPr>
      </w:pPr>
    </w:p>
    <w:p>
      <w:pPr>
        <w:jc w:val="both"/>
        <w:ind w:firstLine="656"/>
        <w:spacing w:after="0" w:line="223" w:lineRule="auto"/>
        <w:tabs>
          <w:tab w:leader="none" w:pos="1512" w:val="left"/>
        </w:tabs>
        <w:numPr>
          <w:ilvl w:val="0"/>
          <w:numId w:val="647"/>
        </w:numPr>
        <w:rPr>
          <w:rFonts w:ascii="Arial" w:cs="Arial" w:eastAsia="Arial" w:hAnsi="Arial"/>
          <w:sz w:val="22"/>
          <w:szCs w:val="22"/>
          <w:b w:val="1"/>
          <w:bCs w:val="1"/>
          <w:color w:val="auto"/>
        </w:rPr>
      </w:pPr>
      <w:r>
        <w:rPr>
          <w:rFonts w:ascii="Arial" w:cs="Arial" w:eastAsia="Arial" w:hAnsi="Arial"/>
          <w:sz w:val="22"/>
          <w:szCs w:val="22"/>
          <w:u w:val="single" w:color="auto"/>
          <w:color w:val="auto"/>
        </w:rPr>
        <w:t>Reference to the Whole</w:t>
      </w:r>
      <w:r>
        <w:rPr>
          <w:rFonts w:ascii="Arial" w:cs="Arial" w:eastAsia="Arial" w:hAnsi="Arial"/>
          <w:sz w:val="22"/>
          <w:szCs w:val="22"/>
          <w:color w:val="auto"/>
        </w:rPr>
        <w:t xml:space="preserve"> . The words “herein”, “hereof” and “hereunder” and other words of similar import refer to this Aircraft Security Agreement as a whole and not to any particular Article, Section, Subsection, Schedule, Exhibit, Annex or other subdivision.</w:t>
      </w:r>
    </w:p>
    <w:p>
      <w:pPr>
        <w:spacing w:after="0" w:line="158" w:lineRule="exact"/>
        <w:rPr>
          <w:rFonts w:ascii="Arial" w:cs="Arial" w:eastAsia="Arial" w:hAnsi="Arial"/>
          <w:sz w:val="22"/>
          <w:szCs w:val="22"/>
          <w:b w:val="1"/>
          <w:bCs w:val="1"/>
          <w:color w:val="auto"/>
        </w:rPr>
      </w:pPr>
    </w:p>
    <w:p>
      <w:pPr>
        <w:ind w:right="20" w:firstLine="656"/>
        <w:spacing w:after="0" w:line="247" w:lineRule="auto"/>
        <w:tabs>
          <w:tab w:leader="none" w:pos="1566" w:val="left"/>
        </w:tabs>
        <w:numPr>
          <w:ilvl w:val="0"/>
          <w:numId w:val="647"/>
        </w:numPr>
        <w:rPr>
          <w:rFonts w:ascii="Arial" w:cs="Arial" w:eastAsia="Arial" w:hAnsi="Arial"/>
          <w:sz w:val="21"/>
          <w:szCs w:val="21"/>
          <w:b w:val="1"/>
          <w:bCs w:val="1"/>
          <w:color w:val="auto"/>
        </w:rPr>
      </w:pPr>
      <w:r>
        <w:rPr>
          <w:rFonts w:ascii="Arial" w:cs="Arial" w:eastAsia="Arial" w:hAnsi="Arial"/>
          <w:sz w:val="21"/>
          <w:szCs w:val="21"/>
          <w:u w:val="single" w:color="auto"/>
          <w:color w:val="auto"/>
        </w:rPr>
        <w:t>Including Without Limitation</w:t>
      </w:r>
      <w:r>
        <w:rPr>
          <w:rFonts w:ascii="Arial" w:cs="Arial" w:eastAsia="Arial" w:hAnsi="Arial"/>
          <w:sz w:val="21"/>
          <w:szCs w:val="21"/>
          <w:color w:val="auto"/>
        </w:rPr>
        <w:t xml:space="preserve"> . Unless the context otherwise, requires, whenever the words “including”, “include” or “includes” are used herein, they shall be deemed to be followed by the phrase “without limitation”.</w:t>
      </w:r>
    </w:p>
    <w:p>
      <w:pPr>
        <w:spacing w:after="0" w:line="150" w:lineRule="exact"/>
        <w:rPr>
          <w:rFonts w:ascii="Arial" w:cs="Arial" w:eastAsia="Arial" w:hAnsi="Arial"/>
          <w:sz w:val="21"/>
          <w:szCs w:val="21"/>
          <w:b w:val="1"/>
          <w:bCs w:val="1"/>
          <w:color w:val="auto"/>
        </w:rPr>
      </w:pPr>
    </w:p>
    <w:p>
      <w:pPr>
        <w:ind w:firstLine="656"/>
        <w:spacing w:after="0" w:line="232" w:lineRule="auto"/>
        <w:tabs>
          <w:tab w:leader="none" w:pos="1525" w:val="left"/>
        </w:tabs>
        <w:numPr>
          <w:ilvl w:val="0"/>
          <w:numId w:val="647"/>
        </w:numPr>
        <w:rPr>
          <w:rFonts w:ascii="Arial" w:cs="Arial" w:eastAsia="Arial" w:hAnsi="Arial"/>
          <w:sz w:val="22"/>
          <w:szCs w:val="22"/>
          <w:b w:val="1"/>
          <w:bCs w:val="1"/>
          <w:color w:val="auto"/>
        </w:rPr>
      </w:pPr>
      <w:r>
        <w:rPr>
          <w:rFonts w:ascii="Arial" w:cs="Arial" w:eastAsia="Arial" w:hAnsi="Arial"/>
          <w:sz w:val="22"/>
          <w:szCs w:val="22"/>
          <w:u w:val="single" w:color="auto"/>
          <w:color w:val="auto"/>
        </w:rPr>
        <w:t>Reference to Government</w:t>
      </w:r>
      <w:r>
        <w:rPr>
          <w:rFonts w:ascii="Arial" w:cs="Arial" w:eastAsia="Arial" w:hAnsi="Arial"/>
          <w:sz w:val="22"/>
          <w:szCs w:val="22"/>
          <w:color w:val="auto"/>
        </w:rPr>
        <w:t xml:space="preserve"> . All references in this Aircraft Security Agreement to a “government” are to such government and any instrumentality or agency thereof.</w:t>
      </w:r>
    </w:p>
    <w:p>
      <w:pPr>
        <w:spacing w:after="0" w:line="158" w:lineRule="exact"/>
        <w:rPr>
          <w:rFonts w:ascii="Arial" w:cs="Arial" w:eastAsia="Arial" w:hAnsi="Arial"/>
          <w:sz w:val="22"/>
          <w:szCs w:val="22"/>
          <w:b w:val="1"/>
          <w:bCs w:val="1"/>
          <w:color w:val="auto"/>
        </w:rPr>
      </w:pPr>
    </w:p>
    <w:p>
      <w:pPr>
        <w:ind w:firstLine="656"/>
        <w:spacing w:after="0" w:line="232" w:lineRule="auto"/>
        <w:tabs>
          <w:tab w:leader="none" w:pos="1525" w:val="left"/>
        </w:tabs>
        <w:numPr>
          <w:ilvl w:val="0"/>
          <w:numId w:val="647"/>
        </w:numPr>
        <w:rPr>
          <w:rFonts w:ascii="Arial" w:cs="Arial" w:eastAsia="Arial" w:hAnsi="Arial"/>
          <w:sz w:val="22"/>
          <w:szCs w:val="22"/>
          <w:b w:val="1"/>
          <w:bCs w:val="1"/>
          <w:color w:val="auto"/>
        </w:rPr>
      </w:pPr>
      <w:r>
        <w:rPr>
          <w:rFonts w:ascii="Arial" w:cs="Arial" w:eastAsia="Arial" w:hAnsi="Arial"/>
          <w:sz w:val="22"/>
          <w:szCs w:val="22"/>
          <w:u w:val="single" w:color="auto"/>
          <w:color w:val="auto"/>
        </w:rPr>
        <w:t>Reference to Persons</w:t>
      </w:r>
      <w:r>
        <w:rPr>
          <w:rFonts w:ascii="Arial" w:cs="Arial" w:eastAsia="Arial" w:hAnsi="Arial"/>
          <w:sz w:val="22"/>
          <w:szCs w:val="22"/>
          <w:color w:val="auto"/>
        </w:rPr>
        <w:t xml:space="preserve"> . All references in this Aircraft Security Agreement to a Person shall include successors and permitted assigns of such Person.</w:t>
      </w:r>
    </w:p>
    <w:p>
      <w:pPr>
        <w:spacing w:after="0" w:line="158" w:lineRule="exact"/>
        <w:rPr>
          <w:rFonts w:ascii="Arial" w:cs="Arial" w:eastAsia="Arial" w:hAnsi="Arial"/>
          <w:sz w:val="22"/>
          <w:szCs w:val="22"/>
          <w:b w:val="1"/>
          <w:bCs w:val="1"/>
          <w:color w:val="auto"/>
        </w:rPr>
      </w:pPr>
    </w:p>
    <w:p>
      <w:pPr>
        <w:jc w:val="both"/>
        <w:ind w:firstLine="656"/>
        <w:spacing w:after="0" w:line="223" w:lineRule="auto"/>
        <w:tabs>
          <w:tab w:leader="none" w:pos="1539" w:val="left"/>
        </w:tabs>
        <w:numPr>
          <w:ilvl w:val="0"/>
          <w:numId w:val="647"/>
        </w:numPr>
        <w:rPr>
          <w:rFonts w:ascii="Arial" w:cs="Arial" w:eastAsia="Arial" w:hAnsi="Arial"/>
          <w:sz w:val="22"/>
          <w:szCs w:val="22"/>
          <w:b w:val="1"/>
          <w:bCs w:val="1"/>
          <w:color w:val="auto"/>
        </w:rPr>
      </w:pPr>
      <w:r>
        <w:rPr>
          <w:rFonts w:ascii="Arial" w:cs="Arial" w:eastAsia="Arial" w:hAnsi="Arial"/>
          <w:sz w:val="22"/>
          <w:szCs w:val="22"/>
          <w:u w:val="single" w:color="auto"/>
          <w:color w:val="auto"/>
        </w:rPr>
        <w:t>Rules of Interpretation in Credit Agreement</w:t>
      </w:r>
      <w:r>
        <w:rPr>
          <w:rFonts w:ascii="Arial" w:cs="Arial" w:eastAsia="Arial" w:hAnsi="Arial"/>
          <w:sz w:val="22"/>
          <w:szCs w:val="22"/>
          <w:color w:val="auto"/>
        </w:rPr>
        <w:t xml:space="preserve"> . The parties to this Aircraft Security Agreement agree that the Rules of Interpretation set out in Section 1.02 of the Credit Agreement shall apply to this Aircraft Security Agreement mutatis mutandis as if set out in this Aircraft Security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II.</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ETC.</w:t>
      </w:r>
    </w:p>
    <w:p>
      <w:pPr>
        <w:spacing w:after="0" w:line="320" w:lineRule="exact"/>
        <w:rPr>
          <w:sz w:val="20"/>
          <w:szCs w:val="20"/>
          <w:color w:val="auto"/>
        </w:rPr>
      </w:pPr>
    </w:p>
    <w:p>
      <w:pPr>
        <w:ind w:firstLine="656"/>
        <w:spacing w:after="0" w:line="232" w:lineRule="auto"/>
        <w:tabs>
          <w:tab w:leader="none" w:pos="1560" w:val="left"/>
        </w:tabs>
        <w:numPr>
          <w:ilvl w:val="0"/>
          <w:numId w:val="648"/>
        </w:numPr>
        <w:rPr>
          <w:rFonts w:ascii="Arial" w:cs="Arial" w:eastAsia="Arial" w:hAnsi="Arial"/>
          <w:sz w:val="22"/>
          <w:szCs w:val="22"/>
          <w:b w:val="1"/>
          <w:bCs w:val="1"/>
          <w:color w:val="auto"/>
        </w:rPr>
      </w:pPr>
      <w:r>
        <w:rPr>
          <w:rFonts w:ascii="Arial" w:cs="Arial" w:eastAsia="Arial" w:hAnsi="Arial"/>
          <w:sz w:val="22"/>
          <w:szCs w:val="22"/>
          <w:color w:val="auto"/>
        </w:rPr>
        <w:t>Representations and Warranties of the Grantor. As of the date hereof, with respect to each Aircraft subjected to the Lien of this Aircraft Security Agreement on such date, the Grantor represents and warrants that:</w:t>
      </w:r>
    </w:p>
    <w:p>
      <w:pPr>
        <w:spacing w:after="0" w:line="159" w:lineRule="exact"/>
        <w:rPr>
          <w:sz w:val="20"/>
          <w:szCs w:val="20"/>
          <w:color w:val="auto"/>
        </w:rPr>
      </w:pPr>
    </w:p>
    <w:p>
      <w:pPr>
        <w:jc w:val="both"/>
        <w:ind w:firstLine="656"/>
        <w:spacing w:after="0" w:line="212" w:lineRule="auto"/>
        <w:tabs>
          <w:tab w:leader="none" w:pos="1512" w:val="left"/>
        </w:tabs>
        <w:numPr>
          <w:ilvl w:val="1"/>
          <w:numId w:val="649"/>
        </w:numPr>
        <w:rPr>
          <w:rFonts w:ascii="Arial" w:cs="Arial" w:eastAsia="Arial" w:hAnsi="Arial"/>
          <w:sz w:val="22"/>
          <w:szCs w:val="22"/>
          <w:b w:val="1"/>
          <w:bCs w:val="1"/>
          <w:color w:val="auto"/>
        </w:rPr>
      </w:pPr>
      <w:r>
        <w:rPr>
          <w:rFonts w:ascii="Arial" w:cs="Arial" w:eastAsia="Arial" w:hAnsi="Arial"/>
          <w:sz w:val="22"/>
          <w:szCs w:val="22"/>
          <w:u w:val="single" w:color="auto"/>
          <w:color w:val="auto"/>
        </w:rPr>
        <w:t>Organization; Authority; Qualification</w:t>
      </w:r>
      <w:r>
        <w:rPr>
          <w:rFonts w:ascii="Arial" w:cs="Arial" w:eastAsia="Arial" w:hAnsi="Arial"/>
          <w:sz w:val="22"/>
          <w:szCs w:val="22"/>
          <w:color w:val="auto"/>
        </w:rPr>
        <w:t xml:space="preserve"> . The Grantor is a [corporation] duly [incorporated] and validly existing in good standing under the laws of [the State of Delaware] </w:t>
      </w:r>
      <w:r>
        <w:rPr>
          <w:rFonts w:ascii="Arial" w:cs="Arial" w:eastAsia="Arial" w:hAnsi="Arial"/>
          <w:sz w:val="14"/>
          <w:szCs w:val="14"/>
          <w:color w:val="auto"/>
        </w:rPr>
        <w:t>4</w:t>
      </w:r>
      <w:r>
        <w:rPr>
          <w:rFonts w:ascii="Arial" w:cs="Arial" w:eastAsia="Arial" w:hAnsi="Arial"/>
          <w:sz w:val="22"/>
          <w:szCs w:val="22"/>
          <w:color w:val="auto"/>
        </w:rPr>
        <w:t xml:space="preserve"> , is a Certificated Air Carrier, is a Citizen of the United States, has the corporate power and authority to own or hold under lease its properties and to enter into and perform its obligations under this Aircraft Security Agreement and the Aircraft Security Agreement Supplement describing such Aircraft and is duly qualified to do business as a foreign corporation in good standing in each other jurisdiction in which the failure to so qualify would have a material adverse effect on the consolidated financial condition of the Grantor and its subsidiaries, considered as a whole, and its jurisdiction</w:t>
      </w:r>
    </w:p>
    <w:p>
      <w:pPr>
        <w:spacing w:after="0" w:line="307" w:lineRule="exact"/>
        <w:rPr>
          <w:rFonts w:ascii="Arial" w:cs="Arial" w:eastAsia="Arial" w:hAnsi="Arial"/>
          <w:sz w:val="22"/>
          <w:szCs w:val="22"/>
          <w:b w:val="1"/>
          <w:bCs w:val="1"/>
          <w:color w:val="auto"/>
        </w:rPr>
      </w:pPr>
    </w:p>
    <w:p>
      <w:pPr>
        <w:ind w:left="340" w:hanging="332"/>
        <w:spacing w:after="0"/>
        <w:tabs>
          <w:tab w:leader="none" w:pos="340" w:val="left"/>
        </w:tabs>
        <w:numPr>
          <w:ilvl w:val="0"/>
          <w:numId w:val="650"/>
        </w:numPr>
        <w:rPr>
          <w:rFonts w:ascii="Arial" w:cs="Arial" w:eastAsia="Arial" w:hAnsi="Arial"/>
          <w:sz w:val="29"/>
          <w:szCs w:val="29"/>
          <w:color w:val="auto"/>
          <w:vertAlign w:val="superscript"/>
        </w:rPr>
      </w:pPr>
      <w:r>
        <w:rPr>
          <w:rFonts w:ascii="Arial" w:cs="Arial" w:eastAsia="Arial" w:hAnsi="Arial"/>
          <w:sz w:val="22"/>
          <w:szCs w:val="22"/>
          <w:color w:val="auto"/>
        </w:rPr>
        <w:t>Revise bracketed phrases in Section 2.01 as necessary for applicable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-280035</wp:posOffset>
            </wp:positionV>
            <wp:extent cx="68580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03" w:name="page504"/>
    <w:bookmarkEnd w:id="503"/>
    <w:p>
      <w:pPr>
        <w:spacing w:after="0" w:line="263" w:lineRule="auto"/>
        <w:rPr>
          <w:sz w:val="20"/>
          <w:szCs w:val="20"/>
          <w:color w:val="auto"/>
        </w:rPr>
      </w:pPr>
      <w:r>
        <w:rPr>
          <w:rFonts w:ascii="Arial" w:cs="Arial" w:eastAsia="Arial" w:hAnsi="Arial"/>
          <w:sz w:val="22"/>
          <w:szCs w:val="22"/>
          <w:color w:val="auto"/>
        </w:rPr>
        <w:t>of organization (as such term is used in Article 9 of the Uniform Commercial Code as in effect in the state of [Delaware]) is [Delaware].</w:t>
      </w:r>
    </w:p>
    <w:p>
      <w:pPr>
        <w:spacing w:after="0" w:line="148" w:lineRule="exact"/>
        <w:rPr>
          <w:sz w:val="20"/>
          <w:szCs w:val="20"/>
          <w:color w:val="auto"/>
        </w:rPr>
      </w:pPr>
    </w:p>
    <w:p>
      <w:pPr>
        <w:jc w:val="both"/>
        <w:ind w:firstLine="656"/>
        <w:spacing w:after="0" w:line="220" w:lineRule="auto"/>
        <w:tabs>
          <w:tab w:leader="none" w:pos="1512" w:val="left"/>
        </w:tabs>
        <w:numPr>
          <w:ilvl w:val="1"/>
          <w:numId w:val="651"/>
        </w:numPr>
        <w:rPr>
          <w:rFonts w:ascii="Arial" w:cs="Arial" w:eastAsia="Arial" w:hAnsi="Arial"/>
          <w:sz w:val="21"/>
          <w:szCs w:val="21"/>
          <w:b w:val="1"/>
          <w:bCs w:val="1"/>
          <w:color w:val="auto"/>
        </w:rPr>
      </w:pPr>
      <w:r>
        <w:rPr>
          <w:rFonts w:ascii="Arial" w:cs="Arial" w:eastAsia="Arial" w:hAnsi="Arial"/>
          <w:sz w:val="21"/>
          <w:szCs w:val="21"/>
          <w:u w:val="single" w:color="auto"/>
          <w:color w:val="auto"/>
        </w:rPr>
        <w:t>[Corporate] Action and Authorization; No Violations</w:t>
      </w:r>
      <w:r>
        <w:rPr>
          <w:rFonts w:ascii="Arial" w:cs="Arial" w:eastAsia="Arial" w:hAnsi="Arial"/>
          <w:sz w:val="21"/>
          <w:szCs w:val="21"/>
          <w:color w:val="auto"/>
        </w:rPr>
        <w:t xml:space="preserve"> . The execution, delivery and performance by the Grantor of this Aircraft Security Agreement and the Aircraft Security Agreement Supplement describing such Aircraft have been duly authorized by all necessary [corporate] action on the part of the Grantor, do not require any [stockholder] approval or approval or consent of any trustee or holder of any indebtedness or obligations of the Grantor, except such as have been duly obtained and are in full force and effect, and do not contravene any law, governmental rule, regulation, judgment or order binding on the Grantor or the [certificate of incorporation or by-laws] of the Grantor or contravene or result in a breach of, or constitute a default under, or result in the creation of any Lien (other than as permitted under this Aircraft Security Agreement, the Credit Agreement, any Intercreditor Agreement or Other Intercreditor Agreement) upon the property of the Grantor under, any material indenture, mortgage, contract or other agreement to which the Grantor is a party or by which it or any of its properties may be bound or affected.</w:t>
      </w:r>
    </w:p>
    <w:p>
      <w:pPr>
        <w:spacing w:after="0" w:line="162" w:lineRule="exact"/>
        <w:rPr>
          <w:rFonts w:ascii="Arial" w:cs="Arial" w:eastAsia="Arial" w:hAnsi="Arial"/>
          <w:sz w:val="21"/>
          <w:szCs w:val="21"/>
          <w:b w:val="1"/>
          <w:bCs w:val="1"/>
          <w:color w:val="auto"/>
        </w:rPr>
      </w:pPr>
    </w:p>
    <w:p>
      <w:pPr>
        <w:jc w:val="both"/>
        <w:ind w:firstLine="656"/>
        <w:spacing w:after="0" w:line="241" w:lineRule="auto"/>
        <w:tabs>
          <w:tab w:leader="none" w:pos="1566" w:val="left"/>
        </w:tabs>
        <w:numPr>
          <w:ilvl w:val="1"/>
          <w:numId w:val="651"/>
        </w:numPr>
        <w:rPr>
          <w:rFonts w:ascii="Arial" w:cs="Arial" w:eastAsia="Arial" w:hAnsi="Arial"/>
          <w:sz w:val="19"/>
          <w:szCs w:val="19"/>
          <w:b w:val="1"/>
          <w:bCs w:val="1"/>
          <w:color w:val="auto"/>
        </w:rPr>
      </w:pPr>
      <w:r>
        <w:rPr>
          <w:rFonts w:ascii="Arial" w:cs="Arial" w:eastAsia="Arial" w:hAnsi="Arial"/>
          <w:sz w:val="19"/>
          <w:szCs w:val="19"/>
          <w:u w:val="single" w:color="auto"/>
          <w:color w:val="auto"/>
        </w:rPr>
        <w:t>Governmental Approvals</w:t>
      </w:r>
      <w:r>
        <w:rPr>
          <w:rFonts w:ascii="Arial" w:cs="Arial" w:eastAsia="Arial" w:hAnsi="Arial"/>
          <w:sz w:val="19"/>
          <w:szCs w:val="19"/>
          <w:color w:val="auto"/>
        </w:rPr>
        <w:t xml:space="preserve"> . Neither the execution and delivery by the Grantor of this Aircraft Security Agreement or the Aircraft Security Agreement Supplement describing such Aircraft, nor the consummation by the Grantor of any of the transactions contemplated hereby or thereby, requires the authorization, consent, approval, notice, filing or registration of, the giving of notice to, the filing or registration with or the taking of any other action in respect of, the Department of Transportation, the FAA or any other federal or state governmental authority or agency, or the International Registry, except for</w:t>
      </w:r>
    </w:p>
    <w:p>
      <w:pPr>
        <w:spacing w:after="0" w:line="1" w:lineRule="exact"/>
        <w:rPr>
          <w:rFonts w:ascii="Arial" w:cs="Arial" w:eastAsia="Arial" w:hAnsi="Arial"/>
          <w:sz w:val="19"/>
          <w:szCs w:val="19"/>
          <w:b w:val="1"/>
          <w:bCs w:val="1"/>
          <w:color w:val="auto"/>
        </w:rPr>
      </w:pPr>
    </w:p>
    <w:p>
      <w:pPr>
        <w:jc w:val="both"/>
        <w:ind w:firstLine="8"/>
        <w:spacing w:after="0" w:line="210" w:lineRule="auto"/>
        <w:tabs>
          <w:tab w:leader="none" w:pos="278" w:val="left"/>
        </w:tabs>
        <w:numPr>
          <w:ilvl w:val="0"/>
          <w:numId w:val="652"/>
        </w:numPr>
        <w:rPr>
          <w:rFonts w:ascii="Arial" w:cs="Arial" w:eastAsia="Arial" w:hAnsi="Arial"/>
          <w:sz w:val="22"/>
          <w:szCs w:val="22"/>
          <w:color w:val="auto"/>
        </w:rPr>
      </w:pPr>
      <w:r>
        <w:rPr>
          <w:rFonts w:ascii="Arial" w:cs="Arial" w:eastAsia="Arial" w:hAnsi="Arial"/>
          <w:sz w:val="22"/>
          <w:szCs w:val="22"/>
          <w:color w:val="auto"/>
        </w:rPr>
        <w:t>the orders, permits, waivers, exemptions, authorizations and approvals of the regulatory authorities having jurisdiction over the Grantor’s ownership or use of such Aircraft required to be obtained on or prior to such date, which orders, permits, waivers, exemptions, authorizations and approvals have been duly obtained and are, or on such date will be, in full force and effect, (ii) the filings referred to in Section 2.01(e), (iii) authorizations, consents, approvals, notices, filings or registrations required to be obtained, taken, given or made under securities or Blue Sky or similar laws of the various states and foreign jurisdictions, and (iv) authorizations, consents, approvals, notices, registrations and other actions required to be obtained, given, made or taken only after such date.</w:t>
      </w:r>
    </w:p>
    <w:p>
      <w:pPr>
        <w:spacing w:after="0" w:line="160" w:lineRule="exact"/>
        <w:rPr>
          <w:rFonts w:ascii="Arial" w:cs="Arial" w:eastAsia="Arial" w:hAnsi="Arial"/>
          <w:sz w:val="22"/>
          <w:szCs w:val="22"/>
          <w:color w:val="auto"/>
        </w:rPr>
      </w:pPr>
    </w:p>
    <w:p>
      <w:pPr>
        <w:jc w:val="both"/>
        <w:ind w:firstLine="656"/>
        <w:spacing w:after="0" w:line="247" w:lineRule="auto"/>
        <w:tabs>
          <w:tab w:leader="none" w:pos="1566" w:val="left"/>
        </w:tabs>
        <w:numPr>
          <w:ilvl w:val="1"/>
          <w:numId w:val="652"/>
        </w:numPr>
        <w:rPr>
          <w:rFonts w:ascii="Arial" w:cs="Arial" w:eastAsia="Arial" w:hAnsi="Arial"/>
          <w:sz w:val="19"/>
          <w:szCs w:val="19"/>
          <w:b w:val="1"/>
          <w:bCs w:val="1"/>
          <w:color w:val="auto"/>
        </w:rPr>
      </w:pPr>
      <w:r>
        <w:rPr>
          <w:rFonts w:ascii="Arial" w:cs="Arial" w:eastAsia="Arial" w:hAnsi="Arial"/>
          <w:sz w:val="19"/>
          <w:szCs w:val="19"/>
          <w:u w:val="single" w:color="auto"/>
          <w:color w:val="auto"/>
        </w:rPr>
        <w:t>Valid and Binding Agreements</w:t>
      </w:r>
      <w:r>
        <w:rPr>
          <w:rFonts w:ascii="Arial" w:cs="Arial" w:eastAsia="Arial" w:hAnsi="Arial"/>
          <w:sz w:val="19"/>
          <w:szCs w:val="19"/>
          <w:color w:val="auto"/>
        </w:rPr>
        <w:t xml:space="preserve"> . This Aircraft Security Agreement and the Aircraft Security Agreement Supplement describing such Aircraft have been duly executed and delivered by the Grantor and constitute the legal, valid and binding obligations of the Grantor enforceable against the Grantor in accordance with their terms, except as the same may be limited by bankruptcy, insolvency, reorganization, moratorium or other similar laws affecting the rights of creditors generally and by general principles of equity and except as limited by applicable laws that may affect the remedies provided in this Aircraft Security Agreement, which laws, however, do not make the remedies provided in this Aircraft Security Agreement inadequate for the practical realization of the rights and benefits intended to be provided thereby.</w:t>
      </w:r>
    </w:p>
    <w:p>
      <w:pPr>
        <w:spacing w:after="0" w:line="153" w:lineRule="exact"/>
        <w:rPr>
          <w:rFonts w:ascii="Arial" w:cs="Arial" w:eastAsia="Arial" w:hAnsi="Arial"/>
          <w:sz w:val="19"/>
          <w:szCs w:val="19"/>
          <w:b w:val="1"/>
          <w:bCs w:val="1"/>
          <w:color w:val="auto"/>
        </w:rPr>
      </w:pPr>
    </w:p>
    <w:p>
      <w:pPr>
        <w:jc w:val="both"/>
        <w:ind w:firstLine="656"/>
        <w:spacing w:after="0" w:line="257" w:lineRule="auto"/>
        <w:tabs>
          <w:tab w:leader="none" w:pos="1512" w:val="left"/>
        </w:tabs>
        <w:numPr>
          <w:ilvl w:val="1"/>
          <w:numId w:val="652"/>
        </w:numPr>
        <w:rPr>
          <w:rFonts w:ascii="Arial" w:cs="Arial" w:eastAsia="Arial" w:hAnsi="Arial"/>
          <w:sz w:val="19"/>
          <w:szCs w:val="19"/>
          <w:b w:val="1"/>
          <w:bCs w:val="1"/>
          <w:color w:val="auto"/>
        </w:rPr>
      </w:pPr>
      <w:r>
        <w:rPr>
          <w:rFonts w:ascii="Arial" w:cs="Arial" w:eastAsia="Arial" w:hAnsi="Arial"/>
          <w:sz w:val="19"/>
          <w:szCs w:val="19"/>
          <w:u w:val="single" w:color="auto"/>
          <w:color w:val="auto"/>
        </w:rPr>
        <w:t>Filings and Recordation</w:t>
      </w:r>
      <w:r>
        <w:rPr>
          <w:rFonts w:ascii="Arial" w:cs="Arial" w:eastAsia="Arial" w:hAnsi="Arial"/>
          <w:sz w:val="19"/>
          <w:szCs w:val="19"/>
          <w:color w:val="auto"/>
        </w:rPr>
        <w:t xml:space="preserve"> . Except for (i) the registration of the Aircraft in the name of the Grantor (and renewals of such registration at periodic intervals), (ii) the filing for recordation pursuant to the Transportation Code of this Aircraft Security Agreement (with the Aircraft Security Agreement Supplement describing such Aircraft attached), (iii) with respect to the security interests created by this Aircraft Security Agreement, together with the Aircraft Security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04" w:name="page505"/>
    <w:bookmarkEnd w:id="504"/>
    <w:p>
      <w:pPr>
        <w:jc w:val="both"/>
        <w:spacing w:after="0" w:line="222" w:lineRule="auto"/>
        <w:rPr>
          <w:sz w:val="20"/>
          <w:szCs w:val="20"/>
          <w:color w:val="auto"/>
        </w:rPr>
      </w:pPr>
      <w:r>
        <w:rPr>
          <w:rFonts w:ascii="Arial" w:cs="Arial" w:eastAsia="Arial" w:hAnsi="Arial"/>
          <w:sz w:val="21"/>
          <w:szCs w:val="21"/>
          <w:color w:val="auto"/>
        </w:rPr>
        <w:t>Supplement describing such Aircraft, the filing of financing statements (and continuation statements at periodic intervals) under the Uniform Commercial Code of [the State of Delaware], and (iv) the registration on the International Registry of the International Interests (or Prospective International Interests) created under this Aircraft Security Agreement (as supplemented by the Aircraft Security Supplement describing such Aircraft), no further filing or recording of any document is necessary or advisable under the laws of the United States or any state thereof as of such date in order to establish and perfect the security interest in such Aircraft created under this Aircraft Security Agreement in favor of the Trustee as against the Grantor and any third parties in any applicable jurisdiction in the United States.</w:t>
      </w:r>
    </w:p>
    <w:p>
      <w:pPr>
        <w:spacing w:after="0" w:line="164" w:lineRule="exact"/>
        <w:rPr>
          <w:sz w:val="20"/>
          <w:szCs w:val="20"/>
          <w:color w:val="auto"/>
        </w:rPr>
      </w:pPr>
    </w:p>
    <w:p>
      <w:pPr>
        <w:jc w:val="both"/>
        <w:ind w:firstLine="656"/>
        <w:spacing w:after="0" w:line="226" w:lineRule="auto"/>
        <w:tabs>
          <w:tab w:leader="none" w:pos="1525" w:val="left"/>
        </w:tabs>
        <w:numPr>
          <w:ilvl w:val="0"/>
          <w:numId w:val="653"/>
        </w:numPr>
        <w:rPr>
          <w:rFonts w:ascii="Arial" w:cs="Arial" w:eastAsia="Arial" w:hAnsi="Arial"/>
          <w:sz w:val="21"/>
          <w:szCs w:val="21"/>
          <w:b w:val="1"/>
          <w:bCs w:val="1"/>
          <w:color w:val="auto"/>
        </w:rPr>
      </w:pPr>
      <w:r>
        <w:rPr>
          <w:rFonts w:ascii="Arial" w:cs="Arial" w:eastAsia="Arial" w:hAnsi="Arial"/>
          <w:sz w:val="21"/>
          <w:szCs w:val="21"/>
          <w:u w:val="single" w:color="auto"/>
          <w:color w:val="auto"/>
        </w:rPr>
        <w:t>Title</w:t>
      </w:r>
      <w:r>
        <w:rPr>
          <w:rFonts w:ascii="Arial" w:cs="Arial" w:eastAsia="Arial" w:hAnsi="Arial"/>
          <w:sz w:val="21"/>
          <w:szCs w:val="21"/>
          <w:color w:val="auto"/>
        </w:rPr>
        <w:t xml:space="preserve"> . The Grantor has good title to such Aircraft, free and clear of Liens other than Permitted Liens. Such Aircraft has been duly certified by the FAA as to type and airworthiness in accordance with the terms of the Aircraft Security Agreement. This Aircraft Security Agreement (with the Aircraft Security Agreement Supplement describing such Aircraft attached) has been duly filed for recordation (or shall be in the process of being so duly filed for recordation) with the FAA pursuant to the Transportation Code. Such Aircraft is duly registered with the FAA in the name of the Grantor.</w:t>
      </w:r>
    </w:p>
    <w:p>
      <w:pPr>
        <w:spacing w:after="0" w:line="159" w:lineRule="exact"/>
        <w:rPr>
          <w:rFonts w:ascii="Arial" w:cs="Arial" w:eastAsia="Arial" w:hAnsi="Arial"/>
          <w:sz w:val="21"/>
          <w:szCs w:val="21"/>
          <w:b w:val="1"/>
          <w:bCs w:val="1"/>
          <w:color w:val="auto"/>
        </w:rPr>
      </w:pPr>
    </w:p>
    <w:p>
      <w:pPr>
        <w:jc w:val="both"/>
        <w:ind w:firstLine="656"/>
        <w:spacing w:after="0" w:line="246" w:lineRule="auto"/>
        <w:tabs>
          <w:tab w:leader="none" w:pos="1512" w:val="left"/>
        </w:tabs>
        <w:numPr>
          <w:ilvl w:val="0"/>
          <w:numId w:val="653"/>
        </w:numPr>
        <w:rPr>
          <w:rFonts w:ascii="Arial" w:cs="Arial" w:eastAsia="Arial" w:hAnsi="Arial"/>
          <w:sz w:val="19"/>
          <w:szCs w:val="19"/>
          <w:b w:val="1"/>
          <w:bCs w:val="1"/>
          <w:color w:val="auto"/>
        </w:rPr>
      </w:pPr>
      <w:r>
        <w:rPr>
          <w:rFonts w:ascii="Arial" w:cs="Arial" w:eastAsia="Arial" w:hAnsi="Arial"/>
          <w:sz w:val="19"/>
          <w:szCs w:val="19"/>
          <w:u w:val="single" w:color="auto"/>
          <w:color w:val="auto"/>
        </w:rPr>
        <w:t>Security Interest</w:t>
      </w:r>
      <w:r>
        <w:rPr>
          <w:rFonts w:ascii="Arial" w:cs="Arial" w:eastAsia="Arial" w:hAnsi="Arial"/>
          <w:sz w:val="19"/>
          <w:szCs w:val="19"/>
          <w:color w:val="auto"/>
        </w:rPr>
        <w:t xml:space="preserve"> . Subject to any Intercreditor Agreement and any Other Intercreditor Agreement, this Aircraft Security Agreement creates in favor of the Trustee, for its benefit and the benefit of the other Secured Parties, a valid and perfected Lien on such Aircraft, subject to no Lien, except Permitted Liens. There are no Liens of record with the FAA on such Aircraft on the date hereof other than the Lien of this Aircraft Security Agreement and any Permitted Liens. Other than (x) the International Interests (or Prospective International Interests) created under this Aircraft Security Agreement (as supplemented by the Aircraft Security Agreement Supplement describing such Aircraft), (y) any International Interests (or Prospective International Interests) that appear on the International Registry as having been discharged and (z) any Permitted Liens, no International Interests with respect to such Aircraft have been registered on the International Registry as of the date hereof.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PAYMENTS</w:t>
      </w:r>
    </w:p>
    <w:p>
      <w:pPr>
        <w:spacing w:after="0" w:line="199" w:lineRule="exact"/>
        <w:rPr>
          <w:sz w:val="20"/>
          <w:szCs w:val="20"/>
          <w:color w:val="auto"/>
        </w:rPr>
      </w:pPr>
    </w:p>
    <w:p>
      <w:pPr>
        <w:ind w:left="1560" w:hanging="904"/>
        <w:spacing w:after="0"/>
        <w:tabs>
          <w:tab w:leader="none" w:pos="1560" w:val="left"/>
        </w:tabs>
        <w:numPr>
          <w:ilvl w:val="0"/>
          <w:numId w:val="654"/>
        </w:numPr>
        <w:rPr>
          <w:rFonts w:ascii="Arial" w:cs="Arial" w:eastAsia="Arial" w:hAnsi="Arial"/>
          <w:sz w:val="22"/>
          <w:szCs w:val="22"/>
          <w:b w:val="1"/>
          <w:bCs w:val="1"/>
          <w:color w:val="auto"/>
        </w:rPr>
      </w:pPr>
      <w:r>
        <w:rPr>
          <w:rFonts w:ascii="Arial" w:cs="Arial" w:eastAsia="Arial" w:hAnsi="Arial"/>
          <w:sz w:val="22"/>
          <w:szCs w:val="22"/>
          <w:color w:val="auto"/>
        </w:rPr>
        <w:t>Payments After Event of Default.</w:t>
      </w:r>
    </w:p>
    <w:p>
      <w:pPr>
        <w:spacing w:after="0" w:line="179" w:lineRule="exact"/>
        <w:rPr>
          <w:sz w:val="20"/>
          <w:szCs w:val="20"/>
          <w:color w:val="auto"/>
        </w:rPr>
      </w:pPr>
    </w:p>
    <w:p>
      <w:pPr>
        <w:jc w:val="both"/>
        <w:ind w:firstLine="656"/>
        <w:spacing w:after="0" w:line="216" w:lineRule="auto"/>
        <w:tabs>
          <w:tab w:leader="none" w:pos="1512" w:val="left"/>
        </w:tabs>
        <w:numPr>
          <w:ilvl w:val="0"/>
          <w:numId w:val="655"/>
        </w:numPr>
        <w:rPr>
          <w:rFonts w:ascii="Arial" w:cs="Arial" w:eastAsia="Arial" w:hAnsi="Arial"/>
          <w:sz w:val="22"/>
          <w:szCs w:val="22"/>
          <w:b w:val="1"/>
          <w:bCs w:val="1"/>
          <w:color w:val="auto"/>
        </w:rPr>
      </w:pPr>
      <w:r>
        <w:rPr>
          <w:rFonts w:ascii="Arial" w:cs="Arial" w:eastAsia="Arial" w:hAnsi="Arial"/>
          <w:sz w:val="22"/>
          <w:szCs w:val="22"/>
          <w:color w:val="auto"/>
        </w:rPr>
        <w:t>Any cash held by the Trustee as Aircraft Collateral and all cash proceeds received by the Trustee in respect of any sale of, collection from, or other realization upon all or any part of the Aircraft Collateral pursuant to the exercise by the Trustee of its remedies as a secured creditor as provided in Section 4.01 of this Aircraft Security Agreement shall, subject to any Intercreditor Agreement and any Other Intercreditor Agreement, be applied from time to time by the Trustee in accordance with the terms of the Credit Agreement.</w:t>
      </w:r>
    </w:p>
    <w:p>
      <w:pPr>
        <w:spacing w:after="0" w:line="157" w:lineRule="exact"/>
        <w:rPr>
          <w:rFonts w:ascii="Arial" w:cs="Arial" w:eastAsia="Arial" w:hAnsi="Arial"/>
          <w:sz w:val="22"/>
          <w:szCs w:val="22"/>
          <w:b w:val="1"/>
          <w:bCs w:val="1"/>
          <w:color w:val="auto"/>
        </w:rPr>
      </w:pPr>
    </w:p>
    <w:p>
      <w:pPr>
        <w:jc w:val="both"/>
        <w:ind w:firstLine="656"/>
        <w:spacing w:after="0" w:line="223" w:lineRule="auto"/>
        <w:tabs>
          <w:tab w:leader="none" w:pos="1525" w:val="left"/>
        </w:tabs>
        <w:numPr>
          <w:ilvl w:val="0"/>
          <w:numId w:val="655"/>
        </w:numPr>
        <w:rPr>
          <w:rFonts w:ascii="Arial" w:cs="Arial" w:eastAsia="Arial" w:hAnsi="Arial"/>
          <w:sz w:val="22"/>
          <w:szCs w:val="22"/>
          <w:b w:val="1"/>
          <w:bCs w:val="1"/>
          <w:color w:val="auto"/>
        </w:rPr>
      </w:pPr>
      <w:r>
        <w:rPr>
          <w:rFonts w:ascii="Arial" w:cs="Arial" w:eastAsia="Arial" w:hAnsi="Arial"/>
          <w:sz w:val="22"/>
          <w:szCs w:val="22"/>
          <w:color w:val="auto"/>
        </w:rPr>
        <w:t>It is understood that, to the extent permitted by applicable law, the Grantor shall remain liable to the extent of any deficiency between the amount of the proceeds of the Aircraft Collateral and the aggregate amount of the outstanding Obligations.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05" w:name="page506"/>
    <w:bookmarkEnd w:id="505"/>
    <w:p>
      <w:pPr>
        <w:jc w:val="center"/>
        <w:spacing w:after="0"/>
        <w:rPr>
          <w:sz w:val="20"/>
          <w:szCs w:val="20"/>
          <w:color w:val="auto"/>
        </w:rPr>
      </w:pPr>
      <w:r>
        <w:rPr>
          <w:rFonts w:ascii="Arial" w:cs="Arial" w:eastAsia="Arial" w:hAnsi="Arial"/>
          <w:sz w:val="22"/>
          <w:szCs w:val="22"/>
          <w:b w:val="1"/>
          <w:bCs w:val="1"/>
          <w:color w:val="auto"/>
        </w:rPr>
        <w:t>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REMEDIES OF TRUSTEE</w:t>
      </w:r>
    </w:p>
    <w:p>
      <w:pPr>
        <w:spacing w:after="0" w:line="199" w:lineRule="exact"/>
        <w:rPr>
          <w:sz w:val="20"/>
          <w:szCs w:val="20"/>
          <w:color w:val="auto"/>
        </w:rPr>
      </w:pPr>
    </w:p>
    <w:p>
      <w:pPr>
        <w:ind w:left="1560" w:hanging="904"/>
        <w:spacing w:after="0"/>
        <w:tabs>
          <w:tab w:leader="none" w:pos="1560" w:val="left"/>
        </w:tabs>
        <w:numPr>
          <w:ilvl w:val="0"/>
          <w:numId w:val="656"/>
        </w:numPr>
        <w:rPr>
          <w:rFonts w:ascii="Arial" w:cs="Arial" w:eastAsia="Arial" w:hAnsi="Arial"/>
          <w:sz w:val="22"/>
          <w:szCs w:val="22"/>
          <w:b w:val="1"/>
          <w:bCs w:val="1"/>
          <w:color w:val="auto"/>
        </w:rPr>
      </w:pPr>
      <w:r>
        <w:rPr>
          <w:rFonts w:ascii="Arial" w:cs="Arial" w:eastAsia="Arial" w:hAnsi="Arial"/>
          <w:sz w:val="22"/>
          <w:szCs w:val="22"/>
          <w:color w:val="auto"/>
        </w:rPr>
        <w:t>Remedies.</w:t>
      </w:r>
    </w:p>
    <w:p>
      <w:pPr>
        <w:spacing w:after="0" w:line="179" w:lineRule="exact"/>
        <w:rPr>
          <w:sz w:val="20"/>
          <w:szCs w:val="20"/>
          <w:color w:val="auto"/>
        </w:rPr>
      </w:pPr>
    </w:p>
    <w:p>
      <w:pPr>
        <w:jc w:val="both"/>
        <w:ind w:firstLine="656"/>
        <w:spacing w:after="0" w:line="242" w:lineRule="auto"/>
        <w:tabs>
          <w:tab w:leader="none" w:pos="1525" w:val="left"/>
        </w:tabs>
        <w:numPr>
          <w:ilvl w:val="0"/>
          <w:numId w:val="657"/>
        </w:numPr>
        <w:rPr>
          <w:rFonts w:ascii="Arial" w:cs="Arial" w:eastAsia="Arial" w:hAnsi="Arial"/>
          <w:sz w:val="19"/>
          <w:szCs w:val="19"/>
          <w:b w:val="1"/>
          <w:bCs w:val="1"/>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 If an Event of Default shall have occurred and be continuing and so long as the same shall continue unremedied, then and in every such case the Trustee may do one or more of the following to the extent permitted by, and subject to compliance with the requirements of, (i) any Intercreditor Agreement and any Other Intercreditor Agreement and (ii) applicable law then in effect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during any period any Airframe or any Engine is subject to the CRAF Program and is in possession of or being operated under the direction of the United States government or an agency or instrumentality of the United States, the Trustee shall not, on account of any Event of Default, be entitled to exercise or pursue any of the powers, rights or remedies described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in such manner as to limit the Grantor’s control under this Aircraft Security Agreement (or any Permitted Lessee’s control under any Lease) of such Airframe, any Engines installed thereon or any such Engine, unless at least 60 days’ (or such lesser period as may then be applicable under the CRAF Program of the United States government) prior written notice of default hereunder shall have been given by the Trustee by registered or certified mail to the Grantor (and any such Permitted Lessee) with a copy addressed to the Contracting Office Representative or other appropriate person for the Air Mobility Command of the United States Air Force under any contract with the Grantor or such Permitted Lessee relating to the applicable Aircraft):</w:t>
      </w:r>
    </w:p>
    <w:p>
      <w:pPr>
        <w:spacing w:after="0" w:line="380" w:lineRule="exact"/>
        <w:rPr>
          <w:rFonts w:ascii="Arial" w:cs="Arial" w:eastAsia="Arial" w:hAnsi="Arial"/>
          <w:sz w:val="19"/>
          <w:szCs w:val="19"/>
          <w:b w:val="1"/>
          <w:bCs w:val="1"/>
          <w:color w:val="auto"/>
        </w:rPr>
      </w:pPr>
    </w:p>
    <w:p>
      <w:pPr>
        <w:jc w:val="both"/>
        <w:ind w:left="660" w:firstLine="644"/>
        <w:spacing w:after="0" w:line="242" w:lineRule="auto"/>
        <w:tabs>
          <w:tab w:leader="none" w:pos="2160" w:val="left"/>
        </w:tabs>
        <w:numPr>
          <w:ilvl w:val="1"/>
          <w:numId w:val="657"/>
        </w:numPr>
        <w:rPr>
          <w:rFonts w:ascii="Arial" w:cs="Arial" w:eastAsia="Arial" w:hAnsi="Arial"/>
          <w:sz w:val="19"/>
          <w:szCs w:val="19"/>
          <w:color w:val="auto"/>
        </w:rPr>
      </w:pPr>
      <w:r>
        <w:rPr>
          <w:rFonts w:ascii="Arial" w:cs="Arial" w:eastAsia="Arial" w:hAnsi="Arial"/>
          <w:sz w:val="19"/>
          <w:szCs w:val="19"/>
          <w:color w:val="auto"/>
        </w:rPr>
        <w:t>cause the Grantor, upon the written demand of the Trustee, at the Grantor’s expense, to deliver promptly, and the Grantor shall deliver promptly, all or such part of any Airframe or any Engine as the Trustee may so demand to the Trustee or its order, or, if the Grantor shall have failed to so deliver any such Airframe or any such Engine after such demand, the Trustee, at its option, may enter upon the premises where all or any part of any such Airframe or any such Engine are located and take immediate possession of and remove the same together with any engine which is not an Engine but which is installed on such Airframe, subject to all of the rights of the owner, lessor, lienor or secured party of such engine; provided that any such Airframe with an engine (which is not an Engine) installed thereon may be flown or returned only to a location within the continental United States, and such engine shall be held at the expense of the Grantor for the account of any such owner, lessor, lienor, secured party or, if such engine is owned by the Grantor, may at the option of the Grantor with the consent of the Trustee (which will not be unreasonably withheld) or at the option of the Trustee with the consent of the Grantor (which will not be unreasonably withheld), be exchanged with the Grantor for an Engine in accordance with the provisions of Section 6.04(b);</w:t>
      </w:r>
    </w:p>
    <w:p>
      <w:pPr>
        <w:spacing w:after="0" w:line="164" w:lineRule="exact"/>
        <w:rPr>
          <w:rFonts w:ascii="Arial" w:cs="Arial" w:eastAsia="Arial" w:hAnsi="Arial"/>
          <w:sz w:val="19"/>
          <w:szCs w:val="19"/>
          <w:color w:val="auto"/>
        </w:rPr>
      </w:pPr>
    </w:p>
    <w:p>
      <w:pPr>
        <w:jc w:val="both"/>
        <w:ind w:left="660" w:firstLine="644"/>
        <w:spacing w:after="0" w:line="257" w:lineRule="auto"/>
        <w:tabs>
          <w:tab w:leader="none" w:pos="2172" w:val="left"/>
        </w:tabs>
        <w:numPr>
          <w:ilvl w:val="1"/>
          <w:numId w:val="657"/>
        </w:numPr>
        <w:rPr>
          <w:rFonts w:ascii="Arial" w:cs="Arial" w:eastAsia="Arial" w:hAnsi="Arial"/>
          <w:sz w:val="19"/>
          <w:szCs w:val="19"/>
          <w:color w:val="auto"/>
        </w:rPr>
      </w:pPr>
      <w:r>
        <w:rPr>
          <w:rFonts w:ascii="Arial" w:cs="Arial" w:eastAsia="Arial" w:hAnsi="Arial"/>
          <w:sz w:val="19"/>
          <w:szCs w:val="19"/>
          <w:color w:val="auto"/>
        </w:rPr>
        <w:t>sell all or any part of any Airframe and any Engine at public or private sale, whether or not the Trustee shall at the time have possession thereof, as the Trustee may determine, or otherwise dispose of, hold, use, operate, lease to others (including the Grantor) or keep idle all or any part of any such Airframe or any such Engine as the Trustee, in its sole discretion, determines, all free and clear of any rights or claims of the Grantor,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506" w:name="page507"/>
    <w:bookmarkEnd w:id="506"/>
    <w:p>
      <w:pPr>
        <w:ind w:left="660" w:right="20"/>
        <w:spacing w:after="0" w:line="232" w:lineRule="auto"/>
        <w:rPr>
          <w:sz w:val="20"/>
          <w:szCs w:val="20"/>
          <w:color w:val="auto"/>
        </w:rPr>
      </w:pPr>
      <w:r>
        <w:rPr>
          <w:rFonts w:ascii="Arial" w:cs="Arial" w:eastAsia="Arial" w:hAnsi="Arial"/>
          <w:sz w:val="22"/>
          <w:szCs w:val="22"/>
          <w:color w:val="auto"/>
        </w:rPr>
        <w:t>subject to any Intercreditor Agreement and any Other Intercreditor Agreement, the proceeds of such sale or disposition shall be distributed as set forth in the Credit Agreement; or</w:t>
      </w:r>
    </w:p>
    <w:p>
      <w:pPr>
        <w:spacing w:after="0" w:line="159" w:lineRule="exact"/>
        <w:rPr>
          <w:sz w:val="20"/>
          <w:szCs w:val="20"/>
          <w:color w:val="auto"/>
        </w:rPr>
      </w:pPr>
    </w:p>
    <w:p>
      <w:pPr>
        <w:ind w:left="660" w:firstLine="644"/>
        <w:spacing w:after="0" w:line="232" w:lineRule="auto"/>
        <w:tabs>
          <w:tab w:leader="none" w:pos="2160" w:val="left"/>
        </w:tabs>
        <w:numPr>
          <w:ilvl w:val="0"/>
          <w:numId w:val="658"/>
        </w:numPr>
        <w:rPr>
          <w:rFonts w:ascii="Arial" w:cs="Arial" w:eastAsia="Arial" w:hAnsi="Arial"/>
          <w:sz w:val="22"/>
          <w:szCs w:val="22"/>
          <w:color w:val="auto"/>
        </w:rPr>
      </w:pPr>
      <w:r>
        <w:rPr>
          <w:rFonts w:ascii="Arial" w:cs="Arial" w:eastAsia="Arial" w:hAnsi="Arial"/>
          <w:sz w:val="22"/>
          <w:szCs w:val="22"/>
          <w:color w:val="auto"/>
        </w:rPr>
        <w:t>exercise any other remedy of a secured party under the Uniform Commercial Code of the State of New York (whether or not in effect in the jurisdiction in which enforcement is sought);</w:t>
      </w:r>
    </w:p>
    <w:p>
      <w:pPr>
        <w:spacing w:after="0" w:line="186"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set forth herein or in any other Loan Document, (i) as permitted by Article 15 of the Cape Town Convention, the provisions of Chapter III of the Cape Town Convention are hereby excluded and made inapplicable to this Aircraft Security Agreement and the other Loan Documents, except for those provisions of such Chapter III that cannot be derogated from; and (ii) as permitted by Article IV(3) of the Aircraft Protocol, the provisions of Chapter II of the Aircraft Protocol are hereby excluded and made inapplicable to this Aircraft Security Agreement and the other Loan Documents, except for (x) Article XVI of the Aircraft Protocol and (y) those provisions of such Chapter II that cannot be derogated from. In furtherance of the foregoing, the parties hereto agree that the exercise of remedies hereunder and under the other Loan Documents is subject to other applicable law, including without limitation, the Uniform Commercial Code (as in effect in the State of New York) and the Bankruptcy Code, and that nothing herein derogates from the rights of the Grantor or the Trustee under or pursuant to such other applicable law, including without limitation, the Uniform Commercial Code (as in effect in the State of New York) or the Bankruptcy Code.</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Upon every such taking of possession of any of the Aircraft Collateral under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 the Trustee may, from time to time, at the expense of the Aircraft Collateral, make all such expenditures for maintenance, insurance, repairs, alterations, additions and improvements to and of the Aircraft Collateral as it deems necessary to cause the Aircraft Collateral to be in such condition as required by the provisions of this Aircraft Security Agreement. In each such case, subject to any Intercreditor Agreement and any Other Intercreditor Agreement, the Trustee may maintain, use, operate, store, insure, lease, control, manage or dispose of the Aircraft Collateral and may exercise all rights and powers of the Grantor relating to the Aircraft Collateral as the Trustee reasonably deems best, including the right to enter into any and all such agreements with respect to the maintenance, use, operation, storage, insurance, leasing, control, management or disposition of the Aircraft Collateral or any part thereof as the Trustee may reasonably determine; and the Trustee shall be entitled to collect and receive directly all tolls, rents, revenues, issues, income, products and profits of the Aircraft Collateral and every part thereof, without prejudice, however, to the rights of the Trustee under any provision of this Aircraft Security Agreement to collect and receive all cash held by, or required to be deposited with, the Trustee hereunder. Subject to any Intercreditor Agreement and any Other Intercreditor Agreement, such tolls, rents, revenues, issues, income, products and profits shall be applied to pay the expenses of the use, operation, storage, insurance, leasing, control, management or disposition of the Aircraft Collateral, and of all maintenance, repairs, replacements, alterations, additions and improvements, and to make all payments that the Trustee is required or elects to make, if any, for Taxes, insurance or other proper charges assessed against or otherwise imposed upon the Aircraft Collateral or any part thereof, and all other payments which the Trustee is required or expressly authorized to make under any provision of this Aircraft Security Agreement, as well as just and reasonable compensation for the services of the Trustee, and shall otherwise be distributed as set forth in the Credit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07" w:name="page508"/>
    <w:bookmarkEnd w:id="507"/>
    <w:p>
      <w:pPr>
        <w:jc w:val="both"/>
        <w:ind w:firstLine="648"/>
        <w:spacing w:after="0" w:line="287" w:lineRule="auto"/>
        <w:rPr>
          <w:sz w:val="20"/>
          <w:szCs w:val="20"/>
          <w:color w:val="auto"/>
        </w:rPr>
      </w:pPr>
      <w:r>
        <w:rPr>
          <w:rFonts w:ascii="Arial" w:cs="Arial" w:eastAsia="Arial" w:hAnsi="Arial"/>
          <w:sz w:val="19"/>
          <w:szCs w:val="19"/>
          <w:color w:val="auto"/>
        </w:rPr>
        <w:t>Subject to any Intercreditor Agreement and any Other Intercreditor Agreement, if an Event of Default shall have occurred and be continuing and the Trustee shall be entitled to exercise rights hereunder, at the request of the Trustee, the Grantor shall promptly execute and deliver to the Trustee such instruments of title and other documents as the Trustee reasonably deems necessary or advisable to enable the Trustee or a subagent or representative designated by the Trustee, at such time or times and place or places as the Trustee may specify, to obtain possession of all or any part of the Aircraft Collateral to which the Trustee shall at the time be entitled hereunder. If the Grantor shall for any reason fail to execute and deliver such instruments and documents after such request by the Trustee, subject to any Intercreditor Agreement and any Other Intercreditor Agreement, the Trustee may seek a judgment conferring on the Trustee the right to immediate possession and requiring the Grantor to execute and deliver such instruments and documents to the Trustee, to the entry of which judgment the Grantor hereby specifically consents to the fullest extent it may lawfully do so. All actual and reasonable expenses of obtaining such judgment or of pursuing, searching for and taking such property shall, until paid, be secured by the Lien of this Aircraft Security Agreement.</w:t>
      </w:r>
    </w:p>
    <w:p>
      <w:pPr>
        <w:spacing w:after="0" w:line="136" w:lineRule="exact"/>
        <w:rPr>
          <w:sz w:val="20"/>
          <w:szCs w:val="20"/>
          <w:color w:val="auto"/>
        </w:rPr>
      </w:pPr>
    </w:p>
    <w:p>
      <w:pPr>
        <w:jc w:val="both"/>
        <w:ind w:firstLine="656"/>
        <w:spacing w:after="0" w:line="221" w:lineRule="auto"/>
        <w:tabs>
          <w:tab w:leader="none" w:pos="1512" w:val="left"/>
        </w:tabs>
        <w:numPr>
          <w:ilvl w:val="0"/>
          <w:numId w:val="659"/>
        </w:numPr>
        <w:rPr>
          <w:rFonts w:ascii="Arial" w:cs="Arial" w:eastAsia="Arial" w:hAnsi="Arial"/>
          <w:sz w:val="21"/>
          <w:szCs w:val="21"/>
          <w:b w:val="1"/>
          <w:bCs w:val="1"/>
          <w:color w:val="auto"/>
        </w:rPr>
      </w:pPr>
      <w:r>
        <w:rPr>
          <w:rFonts w:ascii="Arial" w:cs="Arial" w:eastAsia="Arial" w:hAnsi="Arial"/>
          <w:sz w:val="21"/>
          <w:szCs w:val="21"/>
          <w:u w:val="single" w:color="auto"/>
          <w:color w:val="auto"/>
        </w:rPr>
        <w:t>Notice of Sale; Bids; Etc</w:t>
      </w:r>
      <w:r>
        <w:rPr>
          <w:rFonts w:ascii="Arial" w:cs="Arial" w:eastAsia="Arial" w:hAnsi="Arial"/>
          <w:sz w:val="21"/>
          <w:szCs w:val="21"/>
          <w:color w:val="auto"/>
        </w:rPr>
        <w:t xml:space="preserve"> . The Trustee shall give the Grantor at least 30 days’ prior written notice of any public sale or of the date on or after which any private sale will be held, which notice the Grantor hereby agrees to the extent permitted by applicable law is reasonable notice. The Trustee or any other Secured Party shall be entitled to bid for and become the purchaser of any Aircraft Collateral offered for sale pursuant to this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and to credit against the purchase price bid at such sale by such Secured Parties all or any part of the Obligations owed to such Person. The Trustee may exercise such right without possession or production of the instruments evidencing Obligations or proof of ownership thereof, and as a representative of the Secured Parties may exercise such right without notice to the Secured Parties as party to any suit or proceeding relating to the foreclosure of any Aircraft Collateral. The Grantor shall also be entitled to bid for and become the purchaser of any Aircraft Collateral offered for sale pursuant to this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w:t>
      </w:r>
    </w:p>
    <w:p>
      <w:pPr>
        <w:spacing w:after="0" w:line="158" w:lineRule="exact"/>
        <w:rPr>
          <w:rFonts w:ascii="Arial" w:cs="Arial" w:eastAsia="Arial" w:hAnsi="Arial"/>
          <w:sz w:val="21"/>
          <w:szCs w:val="21"/>
          <w:b w:val="1"/>
          <w:bCs w:val="1"/>
          <w:color w:val="auto"/>
        </w:rPr>
      </w:pPr>
    </w:p>
    <w:p>
      <w:pPr>
        <w:jc w:val="both"/>
        <w:ind w:firstLine="656"/>
        <w:spacing w:after="0" w:line="243" w:lineRule="auto"/>
        <w:tabs>
          <w:tab w:leader="none" w:pos="1512" w:val="left"/>
        </w:tabs>
        <w:numPr>
          <w:ilvl w:val="0"/>
          <w:numId w:val="659"/>
        </w:numPr>
        <w:rPr>
          <w:rFonts w:ascii="Arial" w:cs="Arial" w:eastAsia="Arial" w:hAnsi="Arial"/>
          <w:sz w:val="19"/>
          <w:szCs w:val="19"/>
          <w:b w:val="1"/>
          <w:bCs w:val="1"/>
          <w:color w:val="auto"/>
        </w:rPr>
      </w:pPr>
      <w:r>
        <w:rPr>
          <w:rFonts w:ascii="Arial" w:cs="Arial" w:eastAsia="Arial" w:hAnsi="Arial"/>
          <w:sz w:val="19"/>
          <w:szCs w:val="19"/>
          <w:u w:val="single" w:color="auto"/>
          <w:color w:val="auto"/>
        </w:rPr>
        <w:t>Power of Attorney, Etc</w:t>
      </w:r>
      <w:r>
        <w:rPr>
          <w:rFonts w:ascii="Arial" w:cs="Arial" w:eastAsia="Arial" w:hAnsi="Arial"/>
          <w:sz w:val="19"/>
          <w:szCs w:val="19"/>
          <w:color w:val="auto"/>
        </w:rPr>
        <w:t xml:space="preserve"> . To the extent permitted by applicable law and subject to any Intercreditor Agreement and any Other Intercreditor Agreement, the Grantor irrevocably appoints, while an Event of Default has occurred and is continuing, the Trustee, on behalf of the Collateral Agent and the other Secured Parties, the true and lawful attorney-in-fact of the Grantor (which appointment is coupled with an interest) in its name and stead and on its behalf, for the purpose of effectuating any sale, assignment, transfer or delivery for the enforcement of the Lien of this Aircraft Security Agreement, whether pursuant to foreclosure or power of sale, or otherwise, to execute and deliver all such bills of sale, assignments and other instruments as may be necessary or appropriate, with full power of substitution, the Grantor hereby ratifying and confirming all that such attorney or any substitute shall do by virtue hereof in accordance with applicable law; provided that if so requested by the Trustee or any purchaser, the Grantor shall ratify and confirm any such sale, assignment, transfer or delivery, by executing and delivering to the Trustee or such purchaser all bills of sale, assignments, releases and other proper instruments to effect such ratification and confirmation as may reasonably be designated in any such request.</w:t>
      </w:r>
    </w:p>
    <w:p>
      <w:pPr>
        <w:spacing w:after="0" w:line="159" w:lineRule="exact"/>
        <w:rPr>
          <w:sz w:val="20"/>
          <w:szCs w:val="20"/>
          <w:color w:val="auto"/>
        </w:rPr>
      </w:pPr>
    </w:p>
    <w:p>
      <w:pPr>
        <w:jc w:val="both"/>
        <w:ind w:firstLine="656"/>
        <w:spacing w:after="0" w:line="257" w:lineRule="auto"/>
        <w:tabs>
          <w:tab w:leader="none" w:pos="1562" w:val="left"/>
        </w:tabs>
        <w:numPr>
          <w:ilvl w:val="0"/>
          <w:numId w:val="660"/>
        </w:numPr>
        <w:rPr>
          <w:rFonts w:ascii="Arial" w:cs="Arial" w:eastAsia="Arial" w:hAnsi="Arial"/>
          <w:sz w:val="19"/>
          <w:szCs w:val="19"/>
          <w:b w:val="1"/>
          <w:bCs w:val="1"/>
          <w:color w:val="auto"/>
        </w:rPr>
      </w:pPr>
      <w:r>
        <w:rPr>
          <w:rFonts w:ascii="Arial" w:cs="Arial" w:eastAsia="Arial" w:hAnsi="Arial"/>
          <w:sz w:val="19"/>
          <w:szCs w:val="19"/>
          <w:color w:val="auto"/>
        </w:rPr>
        <w:t>Remedies Cumulative. To the extent permitted under applicable law, each and every right, power and remedy specifically given to the Trustee herein or otherwise in this Aircraft Security Agreement shall be cumulative and shall be in addition to every other right, power and remedy specifically given herein or now or hereafter existing at law, in equity or by statute, and each and every right, power and remedy whether specifically given herein or otherwise existing may be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08" w:name="page509"/>
    <w:bookmarkEnd w:id="508"/>
    <w:p>
      <w:pPr>
        <w:jc w:val="both"/>
        <w:spacing w:after="0" w:line="252" w:lineRule="auto"/>
        <w:rPr>
          <w:sz w:val="20"/>
          <w:szCs w:val="20"/>
          <w:color w:val="auto"/>
        </w:rPr>
      </w:pPr>
      <w:r>
        <w:rPr>
          <w:rFonts w:ascii="Arial" w:cs="Arial" w:eastAsia="Arial" w:hAnsi="Arial"/>
          <w:sz w:val="19"/>
          <w:szCs w:val="19"/>
          <w:color w:val="auto"/>
        </w:rPr>
        <w:t>exercised from time to time and as often and in such order as may be deemed expedient by the Trustee, and the exercise or the beginning of the exercise of any power or remedy shall not be construed to be a waiver of the right to exercise at the same time or thereafter any other right, power or remedy. No delay or omission by the Trustee in the exercise of any right, remedy or power or in the pursuance of any remedy shall, to the extent permitted by applicable law, impair any such right, power or remedy or be construed to be a waiver of any default on the part of the Grantor or to be an acquiescence therein.</w:t>
      </w:r>
    </w:p>
    <w:p>
      <w:pPr>
        <w:spacing w:after="0" w:line="149" w:lineRule="exact"/>
        <w:rPr>
          <w:sz w:val="20"/>
          <w:szCs w:val="20"/>
          <w:color w:val="auto"/>
        </w:rPr>
      </w:pPr>
    </w:p>
    <w:p>
      <w:pPr>
        <w:jc w:val="both"/>
        <w:ind w:firstLine="656"/>
        <w:spacing w:after="0" w:line="249" w:lineRule="auto"/>
        <w:tabs>
          <w:tab w:leader="none" w:pos="1560" w:val="left"/>
        </w:tabs>
        <w:numPr>
          <w:ilvl w:val="0"/>
          <w:numId w:val="661"/>
        </w:numPr>
        <w:rPr>
          <w:rFonts w:ascii="Arial" w:cs="Arial" w:eastAsia="Arial" w:hAnsi="Arial"/>
          <w:sz w:val="19"/>
          <w:szCs w:val="19"/>
          <w:b w:val="1"/>
          <w:bCs w:val="1"/>
          <w:color w:val="auto"/>
        </w:rPr>
      </w:pPr>
      <w:r>
        <w:rPr>
          <w:rFonts w:ascii="Arial" w:cs="Arial" w:eastAsia="Arial" w:hAnsi="Arial"/>
          <w:sz w:val="19"/>
          <w:szCs w:val="19"/>
          <w:color w:val="auto"/>
        </w:rPr>
        <w:t>Discontinuance of Proceedings. In case the Trustee shall have instituted any proceedings to enforce any right, power or remedy under this Aircraft Security Agreement by foreclosure, entry or otherwise, and such proceedings shall have been discontinued or abandoned for any reason or shall have been determined adversely to the Trustee, then and in every such case the Grantor and the Trustee shall, subject to any determination in such proceedings, be restored to their former positions and rights hereunder with respect to the Aircraft Collateral, and all rights, remedies and powers of the Trustee shall continue as if no such proceedings had been undertaken (but otherwise without prejudice).</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TRUSTEE</w:t>
      </w:r>
    </w:p>
    <w:p>
      <w:pPr>
        <w:spacing w:after="0" w:line="199" w:lineRule="exact"/>
        <w:rPr>
          <w:sz w:val="20"/>
          <w:szCs w:val="20"/>
          <w:color w:val="auto"/>
        </w:rPr>
      </w:pPr>
    </w:p>
    <w:p>
      <w:pPr>
        <w:jc w:val="both"/>
        <w:ind w:firstLine="656"/>
        <w:spacing w:after="0" w:line="252" w:lineRule="auto"/>
        <w:tabs>
          <w:tab w:leader="none" w:pos="1560" w:val="left"/>
        </w:tabs>
        <w:numPr>
          <w:ilvl w:val="0"/>
          <w:numId w:val="662"/>
        </w:numPr>
        <w:rPr>
          <w:rFonts w:ascii="Arial" w:cs="Arial" w:eastAsia="Arial" w:hAnsi="Arial"/>
          <w:sz w:val="19"/>
          <w:szCs w:val="19"/>
          <w:b w:val="1"/>
          <w:bCs w:val="1"/>
          <w:color w:val="auto"/>
        </w:rPr>
      </w:pPr>
      <w:r>
        <w:rPr>
          <w:rFonts w:ascii="Arial" w:cs="Arial" w:eastAsia="Arial" w:hAnsi="Arial"/>
          <w:sz w:val="19"/>
          <w:szCs w:val="19"/>
          <w:color w:val="auto"/>
        </w:rPr>
        <w:t>Trustee May Perform. If the Grantor fails to perform any agreement contained herein within a reasonable time after receipt of a written request to do so from the Trustee, upon two Business Days’ prior written notice the Trustee may itself perform, or cause performance of, such agreement, and the reasonable expenses of the Trustee, including, without limitation, the reasonable fees and out-of-pocket expenses of its counsel, incurred in connection therewith, shall be payable by the Grantor in accordance with Section 10.04 of the Credit Agreement and shall constitute Obligations.</w:t>
      </w:r>
    </w:p>
    <w:p>
      <w:pPr>
        <w:spacing w:after="0" w:line="148" w:lineRule="exact"/>
        <w:rPr>
          <w:rFonts w:ascii="Arial" w:cs="Arial" w:eastAsia="Arial" w:hAnsi="Arial"/>
          <w:sz w:val="19"/>
          <w:szCs w:val="19"/>
          <w:b w:val="1"/>
          <w:bCs w:val="1"/>
          <w:color w:val="auto"/>
        </w:rPr>
      </w:pPr>
    </w:p>
    <w:p>
      <w:pPr>
        <w:jc w:val="both"/>
        <w:ind w:firstLine="656"/>
        <w:spacing w:after="0" w:line="257" w:lineRule="auto"/>
        <w:tabs>
          <w:tab w:leader="none" w:pos="1548" w:val="left"/>
        </w:tabs>
        <w:numPr>
          <w:ilvl w:val="0"/>
          <w:numId w:val="662"/>
        </w:numPr>
        <w:rPr>
          <w:rFonts w:ascii="Arial" w:cs="Arial" w:eastAsia="Arial" w:hAnsi="Arial"/>
          <w:sz w:val="19"/>
          <w:szCs w:val="19"/>
          <w:b w:val="1"/>
          <w:bCs w:val="1"/>
          <w:color w:val="auto"/>
        </w:rPr>
      </w:pPr>
      <w:r>
        <w:rPr>
          <w:rFonts w:ascii="Arial" w:cs="Arial" w:eastAsia="Arial" w:hAnsi="Arial"/>
          <w:sz w:val="19"/>
          <w:szCs w:val="19"/>
          <w:color w:val="auto"/>
        </w:rPr>
        <w:t>The Trustee. It is expressly understood and agreed by the parties hereto, and each Secured Party, by accepting the benefits of this Aircraft Security Agreement, acknowledges and agrees, that the obligations of the Trustee as holder of the Aircraft Collateral and interests therein and with respect to the disposition thereof, and otherwise under this Aircraft Security Agreement, are only those expressly set forth in this Aircraft Security Agreement and the Credit Agreement.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COVENANTS OF THE GRANTOR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Grantor will comply with the following covenants with respect to each Aircraft or the related Airframe or any related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Engine, as applicable: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09" w:name="page510"/>
    <w:bookmarkEnd w:id="509"/>
    <w:p>
      <w:pPr>
        <w:ind w:left="2220" w:hanging="916"/>
        <w:spacing w:after="0"/>
        <w:tabs>
          <w:tab w:leader="none" w:pos="2220" w:val="left"/>
        </w:tabs>
        <w:numPr>
          <w:ilvl w:val="1"/>
          <w:numId w:val="663"/>
        </w:numPr>
        <w:rPr>
          <w:rFonts w:ascii="Arial" w:cs="Arial" w:eastAsia="Arial" w:hAnsi="Arial"/>
          <w:sz w:val="22"/>
          <w:szCs w:val="22"/>
          <w:b w:val="1"/>
          <w:bCs w:val="1"/>
          <w:color w:val="auto"/>
        </w:rPr>
      </w:pPr>
      <w:r>
        <w:rPr>
          <w:rFonts w:ascii="Arial" w:cs="Arial" w:eastAsia="Arial" w:hAnsi="Arial"/>
          <w:sz w:val="22"/>
          <w:szCs w:val="22"/>
          <w:color w:val="auto"/>
        </w:rPr>
        <w:t>Possession, Operation and Use, Maintenance and Registration.</w:t>
      </w:r>
    </w:p>
    <w:p>
      <w:pPr>
        <w:spacing w:after="0" w:line="179" w:lineRule="exact"/>
        <w:rPr>
          <w:rFonts w:ascii="Arial" w:cs="Arial" w:eastAsia="Arial" w:hAnsi="Arial"/>
          <w:sz w:val="22"/>
          <w:szCs w:val="22"/>
          <w:b w:val="1"/>
          <w:bCs w:val="1"/>
          <w:color w:val="auto"/>
        </w:rPr>
      </w:pPr>
    </w:p>
    <w:p>
      <w:pPr>
        <w:jc w:val="both"/>
        <w:ind w:firstLine="656"/>
        <w:spacing w:after="0" w:line="226" w:lineRule="auto"/>
        <w:tabs>
          <w:tab w:leader="none" w:pos="1525" w:val="left"/>
        </w:tabs>
        <w:numPr>
          <w:ilvl w:val="0"/>
          <w:numId w:val="664"/>
        </w:numPr>
        <w:rPr>
          <w:rFonts w:ascii="Arial" w:cs="Arial" w:eastAsia="Arial" w:hAnsi="Arial"/>
          <w:sz w:val="21"/>
          <w:szCs w:val="21"/>
          <w:b w:val="1"/>
          <w:bCs w:val="1"/>
          <w:color w:val="auto"/>
        </w:rPr>
      </w:pPr>
      <w:r>
        <w:rPr>
          <w:rFonts w:ascii="Arial" w:cs="Arial" w:eastAsia="Arial" w:hAnsi="Arial"/>
          <w:sz w:val="21"/>
          <w:szCs w:val="21"/>
          <w:u w:val="single" w:color="auto"/>
          <w:color w:val="auto"/>
        </w:rPr>
        <w:t>Possession</w:t>
      </w:r>
      <w:r>
        <w:rPr>
          <w:rFonts w:ascii="Arial" w:cs="Arial" w:eastAsia="Arial" w:hAnsi="Arial"/>
          <w:sz w:val="21"/>
          <w:szCs w:val="21"/>
          <w:color w:val="auto"/>
        </w:rPr>
        <w:t xml:space="preserve"> . The Grantor shall not, without the prior written consent of the Trustee, lease or otherwise in any manner deliver, transfer or relinquish possession of such Aircraft, such Airframe or any such Engine or install any such Engine, or permit any such Engine to be installed, on any airframe other than another Airframe;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so long as the Grantor shall comply with the provisions of </w:t>
      </w:r>
      <w:r>
        <w:rPr>
          <w:rFonts w:ascii="Arial" w:cs="Arial" w:eastAsia="Arial" w:hAnsi="Arial"/>
          <w:sz w:val="21"/>
          <w:szCs w:val="21"/>
          <w:u w:val="single" w:color="auto"/>
          <w:color w:val="auto"/>
        </w:rPr>
        <w:t>Section 6.05</w:t>
      </w:r>
      <w:r>
        <w:rPr>
          <w:rFonts w:ascii="Arial" w:cs="Arial" w:eastAsia="Arial" w:hAnsi="Arial"/>
          <w:sz w:val="21"/>
          <w:szCs w:val="21"/>
          <w:color w:val="auto"/>
        </w:rPr>
        <w:t xml:space="preserve"> with respect to such Aircraft, such Airframe or such Engine, the Grantor may, or may permit any Permitted Lessee to, without the prior written consent of the Trustee:</w:t>
      </w:r>
    </w:p>
    <w:p>
      <w:pPr>
        <w:spacing w:after="0" w:line="159" w:lineRule="exact"/>
        <w:rPr>
          <w:sz w:val="20"/>
          <w:szCs w:val="20"/>
          <w:color w:val="auto"/>
        </w:rPr>
      </w:pPr>
    </w:p>
    <w:p>
      <w:pPr>
        <w:jc w:val="both"/>
        <w:ind w:left="660" w:firstLine="644"/>
        <w:spacing w:after="0" w:line="249" w:lineRule="auto"/>
        <w:tabs>
          <w:tab w:leader="none" w:pos="2173" w:val="left"/>
        </w:tabs>
        <w:numPr>
          <w:ilvl w:val="0"/>
          <w:numId w:val="665"/>
        </w:numPr>
        <w:rPr>
          <w:rFonts w:ascii="Arial" w:cs="Arial" w:eastAsia="Arial" w:hAnsi="Arial"/>
          <w:sz w:val="19"/>
          <w:szCs w:val="19"/>
          <w:color w:val="auto"/>
        </w:rPr>
      </w:pPr>
      <w:r>
        <w:rPr>
          <w:rFonts w:ascii="Arial" w:cs="Arial" w:eastAsia="Arial" w:hAnsi="Arial"/>
          <w:sz w:val="19"/>
          <w:szCs w:val="19"/>
          <w:color w:val="auto"/>
        </w:rPr>
        <w:t xml:space="preserve">subject such Airframe to interchange agreements or subject any such Engine and any appliances, Parts and other equipment removed from any Airframe or Engine to interchange or pooling agreements or arrangements, in each case as customary in the airline industry;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 such agreement or arrangement contemplates or requires the transfer of title to such Airframe and (B) if the Grantor’s title to any such Engine shall be divested under any such agreement or arrangement, such divestiture shall be deemed to be an Event of Loss with respect to such Engine, and the Grantor shall comply with </w:t>
      </w:r>
      <w:r>
        <w:rPr>
          <w:rFonts w:ascii="Arial" w:cs="Arial" w:eastAsia="Arial" w:hAnsi="Arial"/>
          <w:sz w:val="19"/>
          <w:szCs w:val="19"/>
          <w:u w:val="single" w:color="auto"/>
          <w:color w:val="auto"/>
        </w:rPr>
        <w:t>Section 6.04(b)</w:t>
      </w:r>
      <w:r>
        <w:rPr>
          <w:rFonts w:ascii="Arial" w:cs="Arial" w:eastAsia="Arial" w:hAnsi="Arial"/>
          <w:sz w:val="19"/>
          <w:szCs w:val="19"/>
          <w:color w:val="auto"/>
        </w:rPr>
        <w:t xml:space="preserve"> in respect thereof;</w:t>
      </w:r>
    </w:p>
    <w:p>
      <w:pPr>
        <w:spacing w:after="0" w:line="151" w:lineRule="exact"/>
        <w:rPr>
          <w:rFonts w:ascii="Arial" w:cs="Arial" w:eastAsia="Arial" w:hAnsi="Arial"/>
          <w:sz w:val="19"/>
          <w:szCs w:val="19"/>
          <w:color w:val="auto"/>
        </w:rPr>
      </w:pPr>
    </w:p>
    <w:p>
      <w:pPr>
        <w:jc w:val="both"/>
        <w:ind w:left="660" w:firstLine="644"/>
        <w:spacing w:after="0" w:line="218" w:lineRule="auto"/>
        <w:tabs>
          <w:tab w:leader="none" w:pos="2212" w:val="left"/>
        </w:tabs>
        <w:numPr>
          <w:ilvl w:val="0"/>
          <w:numId w:val="665"/>
        </w:numPr>
        <w:rPr>
          <w:rFonts w:ascii="Arial" w:cs="Arial" w:eastAsia="Arial" w:hAnsi="Arial"/>
          <w:sz w:val="22"/>
          <w:szCs w:val="22"/>
          <w:color w:val="auto"/>
        </w:rPr>
      </w:pPr>
      <w:r>
        <w:rPr>
          <w:rFonts w:ascii="Arial" w:cs="Arial" w:eastAsia="Arial" w:hAnsi="Arial"/>
          <w:sz w:val="22"/>
          <w:szCs w:val="22"/>
          <w:color w:val="auto"/>
        </w:rPr>
        <w:t>deliver possession of such Airframe or any such Engine to any Person for testing, service, repair, reconditioning, restoration, storage, maintenance, overhaul work or other similar purposes or for alterations, modifications or additions to such Airframe or any such Engine to the extent required or permitted by the terms hereof or to any Person for transportation relating to the foregoing purposes;</w:t>
      </w:r>
    </w:p>
    <w:p>
      <w:pPr>
        <w:spacing w:after="0" w:line="160" w:lineRule="exact"/>
        <w:rPr>
          <w:rFonts w:ascii="Arial" w:cs="Arial" w:eastAsia="Arial" w:hAnsi="Arial"/>
          <w:sz w:val="22"/>
          <w:szCs w:val="22"/>
          <w:color w:val="auto"/>
        </w:rPr>
      </w:pPr>
    </w:p>
    <w:p>
      <w:pPr>
        <w:ind w:left="660" w:right="20" w:firstLine="644"/>
        <w:spacing w:after="0" w:line="232" w:lineRule="auto"/>
        <w:tabs>
          <w:tab w:leader="none" w:pos="2173" w:val="left"/>
        </w:tabs>
        <w:numPr>
          <w:ilvl w:val="0"/>
          <w:numId w:val="665"/>
        </w:numPr>
        <w:rPr>
          <w:rFonts w:ascii="Arial" w:cs="Arial" w:eastAsia="Arial" w:hAnsi="Arial"/>
          <w:sz w:val="22"/>
          <w:szCs w:val="22"/>
          <w:color w:val="auto"/>
        </w:rPr>
      </w:pPr>
      <w:r>
        <w:rPr>
          <w:rFonts w:ascii="Arial" w:cs="Arial" w:eastAsia="Arial" w:hAnsi="Arial"/>
          <w:sz w:val="22"/>
          <w:szCs w:val="22"/>
          <w:color w:val="auto"/>
        </w:rPr>
        <w:t>transfer or permit the transfer of possession of such Airframe or any such Engine to any Government pursuant to a lease, contract or other instrument;</w:t>
      </w:r>
    </w:p>
    <w:p>
      <w:pPr>
        <w:spacing w:after="0" w:line="158" w:lineRule="exact"/>
        <w:rPr>
          <w:rFonts w:ascii="Arial" w:cs="Arial" w:eastAsia="Arial" w:hAnsi="Arial"/>
          <w:sz w:val="22"/>
          <w:szCs w:val="22"/>
          <w:color w:val="auto"/>
        </w:rPr>
      </w:pPr>
    </w:p>
    <w:p>
      <w:pPr>
        <w:jc w:val="both"/>
        <w:ind w:left="660" w:firstLine="644"/>
        <w:spacing w:after="0" w:line="221" w:lineRule="auto"/>
        <w:tabs>
          <w:tab w:leader="none" w:pos="2172" w:val="left"/>
        </w:tabs>
        <w:numPr>
          <w:ilvl w:val="0"/>
          <w:numId w:val="665"/>
        </w:numPr>
        <w:rPr>
          <w:rFonts w:ascii="Arial" w:cs="Arial" w:eastAsia="Arial" w:hAnsi="Arial"/>
          <w:sz w:val="21"/>
          <w:szCs w:val="21"/>
          <w:color w:val="auto"/>
        </w:rPr>
      </w:pPr>
      <w:r>
        <w:rPr>
          <w:rFonts w:ascii="Arial" w:cs="Arial" w:eastAsia="Arial" w:hAnsi="Arial"/>
          <w:sz w:val="21"/>
          <w:szCs w:val="21"/>
          <w:color w:val="auto"/>
        </w:rPr>
        <w:t>subject such Airframe or any such Engine to the CRAF Program or transfer possession of such Airframe or any such Engine to the United States government in accordance with applicable laws, rulings, regulations or orders (including, without limitation, any transfer of possession pursuant to the CRAF Program); provided, that the Grantor (A) shall promptly notify the Trustee upon transferring possession of such Airframe or any such Engine pursuant to this clause (iv) and (B) in the case of a transfer of possession pursuant to the CRAF Program, shall notify the Trustee of the name and address of the responsible Contracting Office Representative for the Air Mobility Command of the United States Air Force or other appropriate Person to whom notices must be given and to whom requests or claims must be made to the extent applicable under the CRAF Program;</w:t>
      </w:r>
    </w:p>
    <w:p>
      <w:pPr>
        <w:spacing w:after="0" w:line="165" w:lineRule="exact"/>
        <w:rPr>
          <w:rFonts w:ascii="Arial" w:cs="Arial" w:eastAsia="Arial" w:hAnsi="Arial"/>
          <w:sz w:val="21"/>
          <w:szCs w:val="21"/>
          <w:color w:val="auto"/>
        </w:rPr>
      </w:pPr>
    </w:p>
    <w:p>
      <w:pPr>
        <w:jc w:val="both"/>
        <w:ind w:left="660" w:firstLine="644"/>
        <w:spacing w:after="0" w:line="252" w:lineRule="auto"/>
        <w:tabs>
          <w:tab w:leader="none" w:pos="2160" w:val="left"/>
        </w:tabs>
        <w:numPr>
          <w:ilvl w:val="0"/>
          <w:numId w:val="665"/>
        </w:numPr>
        <w:rPr>
          <w:rFonts w:ascii="Arial" w:cs="Arial" w:eastAsia="Arial" w:hAnsi="Arial"/>
          <w:sz w:val="19"/>
          <w:szCs w:val="19"/>
          <w:color w:val="auto"/>
        </w:rPr>
      </w:pPr>
      <w:r>
        <w:rPr>
          <w:rFonts w:ascii="Arial" w:cs="Arial" w:eastAsia="Arial" w:hAnsi="Arial"/>
          <w:sz w:val="19"/>
          <w:szCs w:val="19"/>
          <w:color w:val="auto"/>
        </w:rPr>
        <w:t>install any such Engine on an airframe owned by the Grantor (or any Permitted Lessee) free and clear of all Liens, except (A) Permitted Liens and Liens that do not apply to the Engines and the related Parts, (B) the mortgage or security interest relating to such Liens effectively provides that such Liens will not be effective with respect to such Engine at any time while such Engine is subject to the Lien of this Aircraft Security Agreement; and (C) the rights of third parties under interchange agreements or pooling or similar arrangements that would be permitted under clause (i) above;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10" w:name="page511"/>
    <w:bookmarkEnd w:id="510"/>
    <w:p>
      <w:pPr>
        <w:jc w:val="both"/>
        <w:ind w:left="4" w:firstLine="644"/>
        <w:spacing w:after="0" w:line="242" w:lineRule="auto"/>
        <w:tabs>
          <w:tab w:leader="none" w:pos="1507" w:val="left"/>
        </w:tabs>
        <w:numPr>
          <w:ilvl w:val="1"/>
          <w:numId w:val="666"/>
        </w:numPr>
        <w:rPr>
          <w:rFonts w:ascii="Arial" w:cs="Arial" w:eastAsia="Arial" w:hAnsi="Arial"/>
          <w:sz w:val="19"/>
          <w:szCs w:val="19"/>
          <w:color w:val="auto"/>
        </w:rPr>
      </w:pPr>
      <w:r>
        <w:rPr>
          <w:rFonts w:ascii="Arial" w:cs="Arial" w:eastAsia="Arial" w:hAnsi="Arial"/>
          <w:sz w:val="19"/>
          <w:szCs w:val="19"/>
          <w:color w:val="auto"/>
        </w:rPr>
        <w:t>install any such Engine on an airframe leased, purchased or owned by the Grantor (or any Permitted Lessee) subject to a lease, conditional sale and/or other security agreement; provided that (A) such airframe is free and clear of all Liens except (1) the rights of the parties to the lease or any conditional sale or security agreement covering such airframe, or their successors and assigns, and (2) Liens of the type permitted by clause (v) of this Section 6.01(a) and</w:t>
      </w:r>
    </w:p>
    <w:p>
      <w:pPr>
        <w:jc w:val="both"/>
        <w:ind w:left="4" w:hanging="4"/>
        <w:spacing w:after="0" w:line="241" w:lineRule="auto"/>
        <w:tabs>
          <w:tab w:leader="none" w:pos="374" w:val="left"/>
        </w:tabs>
        <w:numPr>
          <w:ilvl w:val="0"/>
          <w:numId w:val="667"/>
        </w:numPr>
        <w:rPr>
          <w:rFonts w:ascii="Arial" w:cs="Arial" w:eastAsia="Arial" w:hAnsi="Arial"/>
          <w:sz w:val="19"/>
          <w:szCs w:val="19"/>
          <w:color w:val="auto"/>
        </w:rPr>
      </w:pPr>
      <w:r>
        <w:rPr>
          <w:rFonts w:ascii="Arial" w:cs="Arial" w:eastAsia="Arial" w:hAnsi="Arial"/>
          <w:sz w:val="19"/>
          <w:szCs w:val="19"/>
          <w:color w:val="auto"/>
        </w:rPr>
        <w:t>either (1) the Grantor shall have obtained from the lessor, conditional vendor or secured party of such airframe a written agreement (which may be the lease, conditional sale or other security agreement covering such airframe), in form and substance satisfactory to the Trustee (it being understood that an agreement from such lessor, conditional vendor or secured party substantially in the form of the penultimate paragraph of this Section 6.01(a) shall be deemed to be satisfactory to the Trustee), whereby such lessor, conditional vendor or secured party expressly agrees that neither it nor its successors or assigns will acquire or claim any right, title or interest in any such Engine by reason of such Engine being installed on such airframe at any time while such Engine is subject to the Lien of this Aircraft Security Agreement or (2) such lease, conditional sale or other security agreement or other written agreement governing such conditional sale or other security interest provides that any such Engine shall not become subject to the Lien of such lease, conditional sale or other security agreement at any time while such Engine is subject to the Lien of this Aircraft Security Agreement, notwithstanding the installation thereof on such airframe;</w:t>
      </w:r>
    </w:p>
    <w:p>
      <w:pPr>
        <w:spacing w:after="0" w:line="160" w:lineRule="exact"/>
        <w:rPr>
          <w:rFonts w:ascii="Arial" w:cs="Arial" w:eastAsia="Arial" w:hAnsi="Arial"/>
          <w:sz w:val="19"/>
          <w:szCs w:val="19"/>
          <w:color w:val="auto"/>
        </w:rPr>
      </w:pPr>
    </w:p>
    <w:p>
      <w:pPr>
        <w:jc w:val="both"/>
        <w:ind w:left="4" w:firstLine="644"/>
        <w:spacing w:after="0" w:line="247" w:lineRule="auto"/>
        <w:tabs>
          <w:tab w:leader="none" w:pos="1516" w:val="left"/>
        </w:tabs>
        <w:numPr>
          <w:ilvl w:val="1"/>
          <w:numId w:val="667"/>
        </w:numPr>
        <w:rPr>
          <w:rFonts w:ascii="Arial" w:cs="Arial" w:eastAsia="Arial" w:hAnsi="Arial"/>
          <w:sz w:val="19"/>
          <w:szCs w:val="19"/>
          <w:color w:val="auto"/>
        </w:rPr>
      </w:pPr>
      <w:r>
        <w:rPr>
          <w:rFonts w:ascii="Arial" w:cs="Arial" w:eastAsia="Arial" w:hAnsi="Arial"/>
          <w:sz w:val="19"/>
          <w:szCs w:val="19"/>
          <w:color w:val="auto"/>
        </w:rPr>
        <w:t>install any such Engine on an airframe owned by the Grantor (or any Permitted Lessee) [or any Affiliate of the Grantor], leased to the Grantor (or any Permitted Lessee) or purchased by the Grantor (or any Permitted Lessee) subject to a conditional sale or other security agreement under circumstances where neither clause (v) nor clause (vi) of this Section 6.01(a) is applicable; provided that such installation shall be deemed an Event of Loss with respect to such Engine, and the Grantor shall comply with Section 6.04(b) in respect thereof, if such installation shall adversely affect the Trustee’s security interest in any such Engine, the Trustee not intending hereby to waive any right or interest it may have to or in such Engine under applicable law until compliance by the Grantor with Section 6.04(b);</w:t>
      </w:r>
    </w:p>
    <w:p>
      <w:pPr>
        <w:spacing w:after="0" w:line="153" w:lineRule="exact"/>
        <w:rPr>
          <w:rFonts w:ascii="Arial" w:cs="Arial" w:eastAsia="Arial" w:hAnsi="Arial"/>
          <w:sz w:val="19"/>
          <w:szCs w:val="19"/>
          <w:color w:val="auto"/>
        </w:rPr>
      </w:pPr>
    </w:p>
    <w:p>
      <w:pPr>
        <w:jc w:val="both"/>
        <w:ind w:left="4" w:firstLine="644"/>
        <w:spacing w:after="0" w:line="252" w:lineRule="auto"/>
        <w:tabs>
          <w:tab w:leader="none" w:pos="1516" w:val="left"/>
        </w:tabs>
        <w:numPr>
          <w:ilvl w:val="1"/>
          <w:numId w:val="667"/>
        </w:numPr>
        <w:rPr>
          <w:rFonts w:ascii="Arial" w:cs="Arial" w:eastAsia="Arial" w:hAnsi="Arial"/>
          <w:sz w:val="19"/>
          <w:szCs w:val="19"/>
          <w:color w:val="auto"/>
        </w:rPr>
      </w:pPr>
      <w:r>
        <w:rPr>
          <w:rFonts w:ascii="Arial" w:cs="Arial" w:eastAsia="Arial" w:hAnsi="Arial"/>
          <w:sz w:val="19"/>
          <w:szCs w:val="19"/>
          <w:color w:val="auto"/>
        </w:rPr>
        <w:t>lease any such Engine or such Airframe and any such Engine to any United States air carrier as to which there is in force a certificate issued pursuant to the Transportation Code (49 U.S.C. §§41101-41112) or successor provision that gives like authority, or to any manufacturer of airframes or engines (or an Affiliate thereof acting under an unconditional guarantee of such manufacturer), so long as such manufacturer and, if applicable, such Affiliate is domiciled in the United States; provided that no Event of Default shall exist at the time any such lease is entered into; and</w:t>
      </w:r>
    </w:p>
    <w:p>
      <w:pPr>
        <w:spacing w:after="0" w:line="148" w:lineRule="exact"/>
        <w:rPr>
          <w:rFonts w:ascii="Arial" w:cs="Arial" w:eastAsia="Arial" w:hAnsi="Arial"/>
          <w:sz w:val="19"/>
          <w:szCs w:val="19"/>
          <w:color w:val="auto"/>
        </w:rPr>
      </w:pPr>
    </w:p>
    <w:p>
      <w:pPr>
        <w:jc w:val="both"/>
        <w:ind w:left="4" w:firstLine="644"/>
        <w:spacing w:after="0" w:line="214" w:lineRule="auto"/>
        <w:tabs>
          <w:tab w:leader="none" w:pos="1481" w:val="left"/>
        </w:tabs>
        <w:numPr>
          <w:ilvl w:val="1"/>
          <w:numId w:val="667"/>
        </w:numPr>
        <w:rPr>
          <w:rFonts w:ascii="Arial" w:cs="Arial" w:eastAsia="Arial" w:hAnsi="Arial"/>
          <w:sz w:val="22"/>
          <w:szCs w:val="22"/>
          <w:color w:val="auto"/>
        </w:rPr>
      </w:pPr>
      <w:r>
        <w:rPr>
          <w:rFonts w:ascii="Arial" w:cs="Arial" w:eastAsia="Arial" w:hAnsi="Arial"/>
          <w:sz w:val="22"/>
          <w:szCs w:val="22"/>
          <w:color w:val="auto"/>
        </w:rPr>
        <w:t>lease any such Engine or such Airframe and any such Engine to (A) any foreign air carrier other than those set forth in clause (B), (B) any foreign air carrier that is at the inception of the lease based in and a domiciliary of a country listed in Exhibit B hereto, (C) any foreign manufacturer of airframes or engines (or a foreign Affiliate of a United States or foreign manufacturer of airframes or engines acting under an unconditional guarantee of such manufacturer), so long as such foreign manufacturer or (if applicable) foreign Affiliate is domiciled in a country listed in Exhibit B hereto, or (D) any foreign air</w:t>
      </w:r>
    </w:p>
    <w:p>
      <w:pPr>
        <w:spacing w:after="0" w:line="200" w:lineRule="exact"/>
        <w:rPr>
          <w:sz w:val="20"/>
          <w:szCs w:val="20"/>
          <w:color w:val="auto"/>
        </w:rPr>
      </w:pPr>
    </w:p>
    <w:p>
      <w:pPr>
        <w:spacing w:after="0" w:line="202" w:lineRule="exact"/>
        <w:rPr>
          <w:sz w:val="20"/>
          <w:szCs w:val="20"/>
          <w:color w:val="auto"/>
        </w:rPr>
      </w:pPr>
    </w:p>
    <w:p>
      <w:pPr>
        <w:ind w:left="4744"/>
        <w:spacing w:after="0"/>
        <w:rPr>
          <w:sz w:val="20"/>
          <w:szCs w:val="20"/>
          <w:color w:val="auto"/>
        </w:rPr>
      </w:pPr>
      <w:r>
        <w:rPr>
          <w:rFonts w:ascii="Arial" w:cs="Arial" w:eastAsia="Arial" w:hAnsi="Arial"/>
          <w:sz w:val="22"/>
          <w:szCs w:val="22"/>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52" w:right="339" w:bottom="1440" w:gutter="0" w:footer="0" w:header="0"/>
        </w:sectPr>
      </w:pPr>
    </w:p>
    <w:bookmarkStart w:id="511" w:name="page512"/>
    <w:bookmarkEnd w:id="511"/>
    <w:p>
      <w:pPr>
        <w:jc w:val="both"/>
        <w:ind w:left="660"/>
        <w:spacing w:after="0" w:line="239" w:lineRule="auto"/>
        <w:rPr>
          <w:sz w:val="20"/>
          <w:szCs w:val="20"/>
          <w:color w:val="auto"/>
        </w:rPr>
      </w:pPr>
      <w:r>
        <w:rPr>
          <w:rFonts w:ascii="Arial" w:cs="Arial" w:eastAsia="Arial" w:hAnsi="Arial"/>
          <w:sz w:val="19"/>
          <w:szCs w:val="19"/>
          <w:color w:val="auto"/>
        </w:rPr>
        <w:t xml:space="preserve">carrier consented to in writing by the Trustee with the consent of the Collateral Agent; provided that (w) in the case of a lease to, or guarantee by, any entity pursuant to this </w:t>
      </w:r>
      <w:r>
        <w:rPr>
          <w:rFonts w:ascii="Arial" w:cs="Arial" w:eastAsia="Arial" w:hAnsi="Arial"/>
          <w:sz w:val="19"/>
          <w:szCs w:val="19"/>
          <w:u w:val="single" w:color="auto"/>
          <w:color w:val="auto"/>
        </w:rPr>
        <w:t>Section 6.01(a)(ix)</w:t>
      </w:r>
      <w:r>
        <w:rPr>
          <w:rFonts w:ascii="Arial" w:cs="Arial" w:eastAsia="Arial" w:hAnsi="Arial"/>
          <w:sz w:val="19"/>
          <w:szCs w:val="19"/>
          <w:color w:val="auto"/>
        </w:rPr>
        <w:t xml:space="preserve"> , (1) other than a foreign carrier principally based in Taiwan, the United States maintains diplomatic relations with the country in which such entity is based and domiciled at the time such lease is entered into, (2) no Event of Default exists at the time such lease is entered into and (3) such entity is not then subject to any bankruptcy, insolvency, liquidation, reorganization, dissolution or similar proceeding and shall not have substantially all of its property in the possession of any liquidator, trustee, receiver or similar person, (x) in the case of a lease to a foreign air carrier under clause (A) above, the Trustee receives at the time of such lease an opinion of counsel to the Grantor (such counsel to be reasonably satisfactory to the Trustee) to the effect that there exist no possessory rights in favor of the lessee under the laws of such lessee’s country which would, upon bankruptcy or insolvency of or other default by the Grantor and assuming at such time such lessee is not insolvent or bankrupt, prevent the taking of possession of any such Engine or such Airframe and any such Engine by the Trustee in accordance with and when permitted by the terms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upon the exercise by the Trustee of its remedies under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 and (y) in the case of a lease to any foreign manufacturer or foreign Affiliate under clause (C) above, the re-registration conditions set forth in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shall be satisfied notwithstanding anything to the contrary in such clause (C); provided that the rights of any lessee or other transferee who receives possession of such Aircraft, such Airframe or any such Engine by reason of a transfer permitted by this Section 6.01(a) (other than the transfer of any such Engine which is deemed an Event of Loss) shall be subject and subordinate to, and any permitted lease shall be made expressly subject and subordinate to, all the terms of this Aircraft Security Agreement, including the Trustee’s rights to repossess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and to avoid such lease upon such repossession, and the Grantor shall remain primarily liable hereunder for the performance and observance of all of the terms and conditions of this Aircraft Security Agreement to the same extent as if such lease or transfer had not occurred, any such lease shall include appropriate provisions for the maintenance and insurance of such Aircraft, Airframe or Engine, and no lease or transfer or possession otherwise in compliance with this Section shall (x) result in any registration or re-registration of such Aircraft except to the extent permitted in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or the maintenance, operation or use thereof that does not comply with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(y)</w:t>
      </w:r>
      <w:r>
        <w:rPr>
          <w:rFonts w:ascii="Arial" w:cs="Arial" w:eastAsia="Arial" w:hAnsi="Arial"/>
          <w:sz w:val="19"/>
          <w:szCs w:val="19"/>
          <w:color w:val="auto"/>
        </w:rPr>
        <w:t xml:space="preserve"> permit any action not permitted to be taken by the Grantor with respect to such Aircraft hereunder. The Grantor shall promptly notify the Trustee of the existence of any such lease with a term in excess of one year.</w:t>
      </w:r>
    </w:p>
    <w:p>
      <w:pPr>
        <w:spacing w:after="0" w:line="20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Each of the Trustee and the Collateral Agent agrees, and each other Secured Party by acceptance of any instrument evidencing Obligations is deemed to have agreed, for the benefit of the Grantor (and any Permitted Lessee) and for the benefit of the lessor, conditional vendor or secured party of such Airframe or engine leased to the Grantor (or any Permitted Lessee) or leased to or purchased or owned by the Grantor (or any Permitted Lessee) subject to a conditional sale or other security agreement, that the Trustee, the Collateral Agent and the other Secured Parties will not acquire or claim, as against the Grantor (or any Permitted Lessee) or such lessor, conditional vendor or secured party, any right, title or interest in (A) any engine or engines owned by the Grantor (or any Permitted Lessee) or the lessor under such lease or subject to a security interest in favor of the secured party under any conditional sale or other security agreement as the result of such engine or engines being installed on such Airframe at any time while such engine or engines are subject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12" w:name="page513"/>
    <w:bookmarkEnd w:id="512"/>
    <w:p>
      <w:pPr>
        <w:jc w:val="both"/>
        <w:spacing w:after="0" w:line="250" w:lineRule="auto"/>
        <w:rPr>
          <w:sz w:val="20"/>
          <w:szCs w:val="20"/>
          <w:color w:val="auto"/>
        </w:rPr>
      </w:pPr>
      <w:r>
        <w:rPr>
          <w:rFonts w:ascii="Arial" w:cs="Arial" w:eastAsia="Arial" w:hAnsi="Arial"/>
          <w:sz w:val="22"/>
          <w:szCs w:val="22"/>
          <w:color w:val="auto"/>
        </w:rPr>
        <w:t>to such lease or conditional sale or other security agreement or (B) any airframe owned by the Grantor (or any Permitted Lessee) or the lessor under such lease or subject to a security interest in favor of the secured party under any conditional sale or other security agreement as the result of any such Engine being installed on such airframe at any time while such airframe is subject to such lease or conditional sale or other security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acknowledges that any charter or “wet lease” or other similar arrangement under which the Grantor maintains operational control of an Aircraft shall not constitute a delivery, transfer or relinquishment of possession for purposes of this Section 6.01(a).</w:t>
      </w:r>
    </w:p>
    <w:p>
      <w:pPr>
        <w:spacing w:after="0" w:line="158" w:lineRule="exact"/>
        <w:rPr>
          <w:sz w:val="20"/>
          <w:szCs w:val="20"/>
          <w:color w:val="auto"/>
        </w:rPr>
      </w:pPr>
    </w:p>
    <w:p>
      <w:pPr>
        <w:jc w:val="both"/>
        <w:ind w:left="660" w:firstLine="644"/>
        <w:spacing w:after="0" w:line="241" w:lineRule="auto"/>
        <w:tabs>
          <w:tab w:leader="none" w:pos="2212" w:val="left"/>
        </w:tabs>
        <w:numPr>
          <w:ilvl w:val="1"/>
          <w:numId w:val="668"/>
        </w:numPr>
        <w:rPr>
          <w:rFonts w:ascii="Arial" w:cs="Arial" w:eastAsia="Arial" w:hAnsi="Arial"/>
          <w:sz w:val="19"/>
          <w:szCs w:val="19"/>
          <w:b w:val="1"/>
          <w:bCs w:val="1"/>
          <w:color w:val="auto"/>
        </w:rPr>
      </w:pPr>
      <w:r>
        <w:rPr>
          <w:rFonts w:ascii="Arial" w:cs="Arial" w:eastAsia="Arial" w:hAnsi="Arial"/>
          <w:sz w:val="19"/>
          <w:szCs w:val="19"/>
          <w:u w:val="single" w:color="auto"/>
          <w:color w:val="auto"/>
        </w:rPr>
        <w:t>Operation and Use</w:t>
      </w:r>
      <w:r>
        <w:rPr>
          <w:rFonts w:ascii="Arial" w:cs="Arial" w:eastAsia="Arial" w:hAnsi="Arial"/>
          <w:sz w:val="19"/>
          <w:szCs w:val="19"/>
          <w:color w:val="auto"/>
        </w:rPr>
        <w:t xml:space="preserve"> . The Grantor agrees that such Aircraft will not be maintained, used, serviced, repaired, overhauled or operated in violation of any law, rule or regulation of any government of any country having jurisdiction over such Aircraft or in violation of any airworthiness certificate, license or registration relating to such Aircraft issued by any such government, except (i) immaterial violations, (ii) to the extent the Grantor is contesting in good faith the validity or application of any such law, rule or regulation or airworthiness certificate, license or registration in any manner that does not involve any material risk of sale, forfeiture or loss of such Aircraft or impair the Lien of this Aircraft Security Agreement; or (iii) if it is not possible for the Grantor to comply with the laws of a jurisdiction other than the United States (or other than any jurisdiction in which such Aircraft is then registered) because of a conflict with the applicable laws of the United States (or such jurisdiction in which such Aircraft is then registered). The Grantor will not operate such Aircraft, or permit such Aircraft to be operated or located, (i) in any area excluded from coverage by any insurance required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or (ii) in any war zone or recognized or, in the Grantor’s judgment, threatened areas of hostilities unless covered by war risk insurance, to the extent war risk insurance is required pursuant to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 unless in the case of either clause (i) or (ii), (x) governmental indemnification in the amount of any insurance that would otherwise be required pursuant to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has been provided or (y) such Aircraft is only temporarily located in such area as a result of an isolated occurrence or isolated series of occurrences attributable to a hijacking, medical emergency, equipment malfunction, weather conditions, navigational error or other similar unforeseen circumstances and the Grantor is using its good faith efforts to remove such Aircraft from such area as promptly as practicable.</w:t>
      </w:r>
    </w:p>
    <w:p>
      <w:pPr>
        <w:spacing w:after="0" w:line="158" w:lineRule="exact"/>
        <w:rPr>
          <w:rFonts w:ascii="Arial" w:cs="Arial" w:eastAsia="Arial" w:hAnsi="Arial"/>
          <w:sz w:val="19"/>
          <w:szCs w:val="19"/>
          <w:b w:val="1"/>
          <w:bCs w:val="1"/>
          <w:color w:val="auto"/>
        </w:rPr>
      </w:pPr>
    </w:p>
    <w:p>
      <w:pPr>
        <w:jc w:val="both"/>
        <w:ind w:firstLine="656"/>
        <w:spacing w:after="0" w:line="244" w:lineRule="auto"/>
        <w:tabs>
          <w:tab w:leader="none" w:pos="1525" w:val="left"/>
        </w:tabs>
        <w:numPr>
          <w:ilvl w:val="0"/>
          <w:numId w:val="669"/>
        </w:numPr>
        <w:rPr>
          <w:rFonts w:ascii="Arial" w:cs="Arial" w:eastAsia="Arial" w:hAnsi="Arial"/>
          <w:sz w:val="19"/>
          <w:szCs w:val="19"/>
          <w:b w:val="1"/>
          <w:bCs w:val="1"/>
          <w:color w:val="auto"/>
        </w:rPr>
      </w:pPr>
      <w:r>
        <w:rPr>
          <w:rFonts w:ascii="Arial" w:cs="Arial" w:eastAsia="Arial" w:hAnsi="Arial"/>
          <w:sz w:val="19"/>
          <w:szCs w:val="19"/>
          <w:u w:val="single" w:color="auto"/>
          <w:color w:val="auto"/>
        </w:rPr>
        <w:t>Maintenance</w:t>
      </w:r>
      <w:r>
        <w:rPr>
          <w:rFonts w:ascii="Arial" w:cs="Arial" w:eastAsia="Arial" w:hAnsi="Arial"/>
          <w:sz w:val="19"/>
          <w:szCs w:val="19"/>
          <w:color w:val="auto"/>
        </w:rPr>
        <w:t xml:space="preserve"> . The Grantor shall maintain, service, repair and overhaul such Aircraft (or cause the same to be done) (i) so as to keep such Aircraft in as good operating condition as on the applicable Aircraft Closing Date for such Aircraft, ordinary wear and tear excepted, and in such condition as may be necessary to enable the airworthiness certification of such Aircraft to be maintained in good standing at all times (other than during temporary periods of storage, during maintenance or modification permitted hereunder, or during periods of grounding by applicable governmental authorities) under the Transportation Code, during such periods in which such Aircraft is registered under the laws of the United States, or, if such Aircraft is registered under the laws of any other jurisdiction, the applicable laws of such jurisdiction and (ii) using the same standards as the Grantor or, in the case of a lease permitted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 the applicable Permitted Lessee uses with respect to similar aircraft operated by the Grantor or such Permitted Lessee, as the case may be, in similar circumstances (in any case, without limitation of the Grantor’s obligations under the preceding clause (i)).</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13" w:name="page514"/>
    <w:bookmarkEnd w:id="513"/>
    <w:p>
      <w:pPr>
        <w:jc w:val="both"/>
        <w:ind w:firstLine="648"/>
        <w:spacing w:after="0" w:line="294" w:lineRule="auto"/>
        <w:rPr>
          <w:sz w:val="20"/>
          <w:szCs w:val="20"/>
          <w:color w:val="auto"/>
        </w:rPr>
      </w:pPr>
      <w:r>
        <w:rPr>
          <w:rFonts w:ascii="Arial" w:cs="Arial" w:eastAsia="Arial" w:hAnsi="Arial"/>
          <w:sz w:val="19"/>
          <w:szCs w:val="19"/>
          <w:color w:val="auto"/>
        </w:rPr>
        <w:t>In any case such Aircraft will be maintained in accordance with a maintenance program for such model of Aircraft, approved by the FAA or, if such Aircraft is not registered in the United States, (i) the EASA or the JAA, (ii) the central aviation authority of Australia, Canada, Japan or New Zealand, or (iii) the central aviation authority of any country with aircraft maintenance standards that are substantially similar to those of the United States or any of the foregoing authorities or countries. The Grantor shall maintain or cause to be maintained all records, logs and other documents required to be maintained in respect of such Aircraft by appropriate authorities in the jurisdiction in which such Aircraft is registered.</w:t>
      </w:r>
    </w:p>
    <w:p>
      <w:pPr>
        <w:spacing w:after="0" w:line="122" w:lineRule="exact"/>
        <w:rPr>
          <w:sz w:val="20"/>
          <w:szCs w:val="20"/>
          <w:color w:val="auto"/>
        </w:rPr>
      </w:pPr>
    </w:p>
    <w:p>
      <w:pPr>
        <w:jc w:val="both"/>
        <w:ind w:left="660" w:firstLine="644"/>
        <w:spacing w:after="0" w:line="222" w:lineRule="auto"/>
        <w:tabs>
          <w:tab w:leader="none" w:pos="2199" w:val="left"/>
        </w:tabs>
        <w:numPr>
          <w:ilvl w:val="2"/>
          <w:numId w:val="670"/>
        </w:numPr>
        <w:rPr>
          <w:rFonts w:ascii="Arial" w:cs="Arial" w:eastAsia="Arial" w:hAnsi="Arial"/>
          <w:sz w:val="21"/>
          <w:szCs w:val="21"/>
          <w:b w:val="1"/>
          <w:bCs w:val="1"/>
          <w:color w:val="auto"/>
        </w:rPr>
      </w:pPr>
      <w:r>
        <w:rPr>
          <w:rFonts w:ascii="Arial" w:cs="Arial" w:eastAsia="Arial" w:hAnsi="Arial"/>
          <w:sz w:val="21"/>
          <w:szCs w:val="21"/>
          <w:u w:val="single" w:color="auto"/>
          <w:color w:val="auto"/>
        </w:rPr>
        <w:t>Identification of Trustee’s Interest</w:t>
      </w:r>
      <w:r>
        <w:rPr>
          <w:rFonts w:ascii="Arial" w:cs="Arial" w:eastAsia="Arial" w:hAnsi="Arial"/>
          <w:sz w:val="21"/>
          <w:szCs w:val="21"/>
          <w:color w:val="auto"/>
        </w:rPr>
        <w:t xml:space="preserve"> . The Grantor agrees to affix as promptly as practicable after the applicable Aircraft Closing Date for such Aircraft and thereafter to maintain in the cockpit of such Aircraft, in a clearly visible location, and (if not prevented by applicable law or regulations or by any government) on each such Engine, a nameplate bearing the inscription “MORTGAGED TO [NAME OF TRUSTEE], AS TRUSTEE” (such nameplate to be replaced, if necessary, with a nameplate reflecting the name of any successor Trustee). If any such nameplate is damaged beyond repair or becomes illegible, the Grantor shall as promptly as practicable replace it with a nameplate complying with the requirements of this Section.</w:t>
      </w:r>
    </w:p>
    <w:p>
      <w:pPr>
        <w:spacing w:after="0" w:line="164" w:lineRule="exact"/>
        <w:rPr>
          <w:rFonts w:ascii="Arial" w:cs="Arial" w:eastAsia="Arial" w:hAnsi="Arial"/>
          <w:sz w:val="21"/>
          <w:szCs w:val="21"/>
          <w:b w:val="1"/>
          <w:bCs w:val="1"/>
          <w:color w:val="auto"/>
        </w:rPr>
      </w:pPr>
    </w:p>
    <w:p>
      <w:pPr>
        <w:jc w:val="both"/>
        <w:ind w:firstLine="656"/>
        <w:spacing w:after="0" w:line="239" w:lineRule="auto"/>
        <w:tabs>
          <w:tab w:leader="none" w:pos="1525" w:val="left"/>
        </w:tabs>
        <w:numPr>
          <w:ilvl w:val="1"/>
          <w:numId w:val="671"/>
        </w:numPr>
        <w:rPr>
          <w:rFonts w:ascii="Arial" w:cs="Arial" w:eastAsia="Arial" w:hAnsi="Arial"/>
          <w:sz w:val="19"/>
          <w:szCs w:val="19"/>
          <w:b w:val="1"/>
          <w:bCs w:val="1"/>
          <w:color w:val="auto"/>
        </w:rPr>
      </w:pPr>
      <w:r>
        <w:rPr>
          <w:rFonts w:ascii="Arial" w:cs="Arial" w:eastAsia="Arial" w:hAnsi="Arial"/>
          <w:sz w:val="19"/>
          <w:szCs w:val="19"/>
          <w:u w:val="single" w:color="auto"/>
          <w:color w:val="auto"/>
        </w:rPr>
        <w:t>Registration</w:t>
      </w:r>
      <w:r>
        <w:rPr>
          <w:rFonts w:ascii="Arial" w:cs="Arial" w:eastAsia="Arial" w:hAnsi="Arial"/>
          <w:sz w:val="19"/>
          <w:szCs w:val="19"/>
          <w:color w:val="auto"/>
        </w:rPr>
        <w:t xml:space="preserve"> . The Grantor shall cause such Aircraft to remain duly registered, under the laws of the United States, in the name of the Grantor except as otherwise required by the Transportation Code; provided that the Trustee shall, at the Grantor’s expense, execute and deliver all such documents as the Grantor may reasonably request for the purpose of continuing such registration. Notwithstanding the preceding sentence, the Grantor, at its own expense, may cause or allow such Aircraft to be duly registered under the laws of any foreign jurisdiction in which a Permitted Lessee could be principally based, in the name of the Grantor or of any nominee of the Grantor, or, if required by applicable law, in the name of any other Person (and, following any such foreign registration, may cause such Aircraft to be re-registered under the laws of the United States); provided, that in the case of jurisdictions other than those approved by the Trustee, (i) if such jurisdiction is at the time of registration listed on Exhibit B, the Trustee shall have received at the time of such registration an opinion of counsel to the Grantor to the effect that</w:t>
      </w:r>
    </w:p>
    <w:p>
      <w:pPr>
        <w:spacing w:after="0" w:line="3" w:lineRule="exact"/>
        <w:rPr>
          <w:rFonts w:ascii="Arial" w:cs="Arial" w:eastAsia="Arial" w:hAnsi="Arial"/>
          <w:sz w:val="19"/>
          <w:szCs w:val="19"/>
          <w:b w:val="1"/>
          <w:bCs w:val="1"/>
          <w:color w:val="auto"/>
        </w:rPr>
      </w:pPr>
    </w:p>
    <w:p>
      <w:pPr>
        <w:jc w:val="both"/>
        <w:ind w:firstLine="8"/>
        <w:spacing w:after="0"/>
        <w:tabs>
          <w:tab w:leader="none" w:pos="360" w:val="left"/>
        </w:tabs>
        <w:numPr>
          <w:ilvl w:val="0"/>
          <w:numId w:val="672"/>
        </w:numPr>
        <w:rPr>
          <w:rFonts w:ascii="Arial" w:cs="Arial" w:eastAsia="Arial" w:hAnsi="Arial"/>
          <w:sz w:val="19"/>
          <w:szCs w:val="19"/>
          <w:color w:val="auto"/>
        </w:rPr>
      </w:pPr>
      <w:r>
        <w:rPr>
          <w:rFonts w:ascii="Arial" w:cs="Arial" w:eastAsia="Arial" w:hAnsi="Arial"/>
          <w:sz w:val="19"/>
          <w:szCs w:val="19"/>
          <w:color w:val="auto"/>
        </w:rPr>
        <w:t>this Aircraft Security Agreement and the Trustee’s right to repossession hereunder is valid and enforceable under the laws of such country, (B) after giving effect to such change in registration, the Lien of this Aircraft Security Agreement shall continue as a valid Lien and shall be duly perfected in the new jurisdiction of registration and that all filing, recording or other action necessary to perfect and protect the Lien of this Aircraft Security Agreement has been accomplished (or if such opinion cannot be given at such time, (x) the opinion shall detail what filing, recording or other action is necessary and (y) the Trustee shall have received a certificate from a Responsible Officer that all possible preparations to accomplish such filing, recording and other action shall have been done, and such filing, recording and other action shall be accomplished and a supplemental opinion to that effect shall be promptly delivered to the Trustee subsequent to the effective date of such change in registration), (C) the obligations of the Grantor under this Aircraft Security Agreement shall remain valid, binding and (subject to customary bankruptcy and equitable remedies exceptions and to other exceptions customary in foreign opinions generally) enforceable under the laws of such jurisdiction (or the laws of the jurisdiction to which the laws of such jurisdiction would refer as the applicable governing law) and (D) all approvals or consents of any government in such jurisdiction having jurisdiction required for such change in registration shall have been duly obtained and shall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14" w:name="page515"/>
    <w:bookmarkEnd w:id="514"/>
    <w:p>
      <w:pPr>
        <w:jc w:val="both"/>
        <w:spacing w:after="0"/>
        <w:rPr>
          <w:sz w:val="20"/>
          <w:szCs w:val="20"/>
          <w:color w:val="auto"/>
        </w:rPr>
      </w:pPr>
      <w:r>
        <w:rPr>
          <w:rFonts w:ascii="Arial" w:cs="Arial" w:eastAsia="Arial" w:hAnsi="Arial"/>
          <w:sz w:val="19"/>
          <w:szCs w:val="19"/>
          <w:color w:val="auto"/>
        </w:rPr>
        <w:t xml:space="preserve">be in full force and effect, and (ii) if such jurisdiction is at the time of registration not listed on Exhibit B, the Trustee shall have received (in addition to the opinions set forth in clause (i) above) at the time of such registration an opinion of counsel to the Grantor to the effect that (A) the terms of this Aircraft Security Agreement are legal, valid, binding and enforceable in such jurisdiction (subject to exceptions customary in such jurisdiction; provided, that, subject to bankruptcy, insolvency, reorganization, moratorium or similar laws affecting the rights of creditors generally, and to general principles of equity, any applicable laws limiting the remedies provided in Section 4.01 do not in the opinion of such counsel make the remedies provided in Section 4.01 inadequate for the practical realization of the rights and benefits provided thereby), (B) that it is not necessary as a result of such change of registration or for the enforcement or validity of the Aircraft Security Agreement (and without regard to any other activity of the Trustee in such jurisdiction) for the Trustee to register or qualify to do business in such jurisdiction, (C) that there is no tort liability of the lender of an aircraft not in possession thereof under the laws of such jurisdiction other than tort liability that might have been imposed on such lender under the laws of the United States or any state thereof (it being understood that such opinion shall be waived if insurance reasonably satisfactory to the Trustee is provided, at the Grantor’s expense, to cover such risk) and (D) (unless the Grantor shall have agreed to provide insurance covering the risk of requisition of use or title of such Aircraft by the government of such jurisdiction so long as such Aircraft is registered under the laws of such jurisdiction) that the laws of such jurisdiction require fair compensation by the government of such jurisdiction payable in currency freely convertible into Dollars for the loss of use or title of such Aircraft in the event of requisition by such government of such use or title. The Trustee will cooperate with the Grantor in effecting such foreign registration. Notwithstanding the foregoing, prior to any such change in the country of registry of such Aircraft, the following conditions shall be met (or waived as provided in </w:t>
      </w:r>
      <w:r>
        <w:rPr>
          <w:rFonts w:ascii="Arial" w:cs="Arial" w:eastAsia="Arial" w:hAnsi="Arial"/>
          <w:sz w:val="19"/>
          <w:szCs w:val="19"/>
          <w:u w:val="single" w:color="auto"/>
          <w:color w:val="auto"/>
        </w:rPr>
        <w:t>Section 8.15</w:t>
      </w:r>
      <w:r>
        <w:rPr>
          <w:rFonts w:ascii="Arial" w:cs="Arial" w:eastAsia="Arial" w:hAnsi="Arial"/>
          <w:sz w:val="19"/>
          <w:szCs w:val="19"/>
          <w:color w:val="auto"/>
        </w:rPr>
        <w:t xml:space="preserve"> ):</w:t>
      </w:r>
    </w:p>
    <w:p>
      <w:pPr>
        <w:spacing w:after="0" w:line="387" w:lineRule="exact"/>
        <w:rPr>
          <w:sz w:val="20"/>
          <w:szCs w:val="20"/>
          <w:color w:val="auto"/>
        </w:rPr>
      </w:pPr>
    </w:p>
    <w:p>
      <w:pPr>
        <w:jc w:val="both"/>
        <w:ind w:left="660" w:firstLine="644"/>
        <w:spacing w:after="0" w:line="218" w:lineRule="auto"/>
        <w:tabs>
          <w:tab w:leader="none" w:pos="2200" w:val="left"/>
        </w:tabs>
        <w:numPr>
          <w:ilvl w:val="0"/>
          <w:numId w:val="673"/>
        </w:numPr>
        <w:rPr>
          <w:rFonts w:ascii="Arial" w:cs="Arial" w:eastAsia="Arial" w:hAnsi="Arial"/>
          <w:sz w:val="22"/>
          <w:szCs w:val="22"/>
          <w:color w:val="auto"/>
        </w:rPr>
      </w:pPr>
      <w:r>
        <w:rPr>
          <w:rFonts w:ascii="Arial" w:cs="Arial" w:eastAsia="Arial" w:hAnsi="Arial"/>
          <w:sz w:val="22"/>
          <w:szCs w:val="22"/>
          <w:color w:val="auto"/>
        </w:rPr>
        <w:t xml:space="preserve">no Event of Default shall have occurred and be continuing at the effective date of the change in registration;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 that it shall not be necessary to comply with this condition if the change in registration results in the registration of such Aircraft under the laws of the United States or if the Trustee consents to such change in registration;</w:t>
      </w:r>
    </w:p>
    <w:p>
      <w:pPr>
        <w:spacing w:after="0" w:line="160" w:lineRule="exact"/>
        <w:rPr>
          <w:rFonts w:ascii="Arial" w:cs="Arial" w:eastAsia="Arial" w:hAnsi="Arial"/>
          <w:sz w:val="22"/>
          <w:szCs w:val="22"/>
          <w:color w:val="auto"/>
        </w:rPr>
      </w:pPr>
    </w:p>
    <w:p>
      <w:pPr>
        <w:jc w:val="both"/>
        <w:ind w:left="660" w:firstLine="644"/>
        <w:spacing w:after="0" w:line="223" w:lineRule="auto"/>
        <w:tabs>
          <w:tab w:leader="none" w:pos="2172" w:val="left"/>
        </w:tabs>
        <w:numPr>
          <w:ilvl w:val="0"/>
          <w:numId w:val="673"/>
        </w:numPr>
        <w:rPr>
          <w:rFonts w:ascii="Arial" w:cs="Arial" w:eastAsia="Arial" w:hAnsi="Arial"/>
          <w:sz w:val="22"/>
          <w:szCs w:val="22"/>
          <w:color w:val="auto"/>
        </w:rPr>
      </w:pPr>
      <w:r>
        <w:rPr>
          <w:rFonts w:ascii="Arial" w:cs="Arial" w:eastAsia="Arial" w:hAnsi="Arial"/>
          <w:sz w:val="22"/>
          <w:szCs w:val="22"/>
          <w:color w:val="auto"/>
        </w:rPr>
        <w:t>the Trustee shall have received evidence of compliance with Section 6.05 with respect to such Aircraft (which may be an Officer’s Certificate to the effect that the Grantor has determined that the insurance maintained with respect to such Aircraft so complies); and</w:t>
      </w:r>
    </w:p>
    <w:p>
      <w:pPr>
        <w:spacing w:after="0" w:line="158" w:lineRule="exact"/>
        <w:rPr>
          <w:rFonts w:ascii="Arial" w:cs="Arial" w:eastAsia="Arial" w:hAnsi="Arial"/>
          <w:sz w:val="22"/>
          <w:szCs w:val="22"/>
          <w:color w:val="auto"/>
        </w:rPr>
      </w:pPr>
    </w:p>
    <w:p>
      <w:pPr>
        <w:jc w:val="both"/>
        <w:ind w:left="660" w:firstLine="644"/>
        <w:spacing w:after="0" w:line="223" w:lineRule="auto"/>
        <w:tabs>
          <w:tab w:leader="none" w:pos="2160" w:val="left"/>
        </w:tabs>
        <w:numPr>
          <w:ilvl w:val="0"/>
          <w:numId w:val="673"/>
        </w:numPr>
        <w:rPr>
          <w:rFonts w:ascii="Arial" w:cs="Arial" w:eastAsia="Arial" w:hAnsi="Arial"/>
          <w:sz w:val="22"/>
          <w:szCs w:val="22"/>
          <w:color w:val="auto"/>
        </w:rPr>
      </w:pPr>
      <w:r>
        <w:rPr>
          <w:rFonts w:ascii="Arial" w:cs="Arial" w:eastAsia="Arial" w:hAnsi="Arial"/>
          <w:sz w:val="22"/>
          <w:szCs w:val="22"/>
          <w:color w:val="auto"/>
        </w:rPr>
        <w:t>the Grantor shall have paid or made provision reasonably satisfactory to the Trustee for the payment of all reasonable expenses (including reasonable attorneys’ fees) of the Trustee in connection with such change in registration.</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Grantor shall (i) take such actions as may be required to be taken by the Grantor so that any International Interest arising in relation to this Aircraft Security Agreement, such Aircraft, any Replacement Aircraft therefor, any such Engine or any Replacement Engine therefor may be duly registered (and any such registration may be assigned, amended, extended or discharged) at the International Registry, and (ii) obtain from the International Registry all approvals as may be required duly and timely to perform the Grantor’s obligations under this Aircraft Security Agreement with respect to the registration of any such International Interest. The Trustee shall take all actions necessary with respect to the International Registry to consent to the Grantor’s initiation of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15" w:name="page516"/>
    <w:bookmarkEnd w:id="515"/>
    <w:p>
      <w:pPr>
        <w:jc w:val="both"/>
        <w:spacing w:after="0" w:line="248" w:lineRule="auto"/>
        <w:rPr>
          <w:sz w:val="20"/>
          <w:szCs w:val="20"/>
          <w:color w:val="auto"/>
        </w:rPr>
      </w:pPr>
      <w:r>
        <w:rPr>
          <w:rFonts w:ascii="Arial" w:cs="Arial" w:eastAsia="Arial" w:hAnsi="Arial"/>
          <w:sz w:val="22"/>
          <w:szCs w:val="22"/>
          <w:color w:val="auto"/>
        </w:rPr>
        <w:t>registrations required under this Aircraft Security Agreement to enable the Grantor to complete such registrations, including, without limitation, registering on the International Registry as a “transacting user entity” (as defined in the Cape Town Treaty), if not already so registered, and appointing Daugherty, Fowler, Peregrin, Haught &amp; Jenson, a Professional Corporation, as its “professional user entity” (as defined in the Cape Town Treaty) to consent to any registrations on the International Registry with respect to such Airframe or any such Engine.</w:t>
      </w:r>
    </w:p>
    <w:p>
      <w:pPr>
        <w:spacing w:after="0" w:line="165" w:lineRule="exact"/>
        <w:rPr>
          <w:sz w:val="20"/>
          <w:szCs w:val="20"/>
          <w:color w:val="auto"/>
        </w:rPr>
      </w:pPr>
    </w:p>
    <w:p>
      <w:pPr>
        <w:jc w:val="both"/>
        <w:ind w:left="660" w:firstLine="644"/>
        <w:spacing w:after="0"/>
        <w:tabs>
          <w:tab w:leader="none" w:pos="2235" w:val="left"/>
        </w:tabs>
        <w:numPr>
          <w:ilvl w:val="1"/>
          <w:numId w:val="674"/>
        </w:numPr>
        <w:rPr>
          <w:rFonts w:ascii="Arial" w:cs="Arial" w:eastAsia="Arial" w:hAnsi="Arial"/>
          <w:sz w:val="19"/>
          <w:szCs w:val="19"/>
          <w:b w:val="1"/>
          <w:bCs w:val="1"/>
          <w:color w:val="auto"/>
        </w:rPr>
      </w:pPr>
      <w:r>
        <w:rPr>
          <w:rFonts w:ascii="Arial" w:cs="Arial" w:eastAsia="Arial" w:hAnsi="Arial"/>
          <w:sz w:val="19"/>
          <w:szCs w:val="19"/>
          <w:color w:val="auto"/>
        </w:rPr>
        <w:t xml:space="preserve">Inspection. At all reasonable times, but upon at least 15 Business Days’ prior written notice to the Grantor, the Trustee or its authorized representative may, subject to the other conditions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 inspect such Aircraft and may inspect the books and records of the Grantor required to be maintained by the FAA or the government of another jurisdiction in which such Aircraft is then registered relating to the maintenance of such Aircraft; provided that (i) the Trustee or its representative shall be fully insured at no cost to the Grantor in a manner satisfactory to the Grantor with respect to any risks incurred in connection with any such inspection or shall provide to the Grantor a written release satisfactory to the Grantor with respect to such risks, (ii) any such inspection shall be subject to the safety, security and workplace rules applicable at the location where such inspection is conducted and any applicable governmental rules or regulations, (iii) any such inspection of such Aircraft shall be a visual, walk-around inspection of the interior and exterior of such Aircraft and shall not include opening any panels, bays or the like without the Grantor’s express consent, which consent the Grantor may in its sole discretion withhold, and (iv) no exercise of such inspection right shall interfere with the use, operation or maintenance of such Aircraft by, or the business of, the Grantor and the Grantor shall not be required to undertake or incur any additional liabilities in connection therewith. All information obtained in connection with any such inspection of such Aircraft and of such books and records shall be held confidential by the Trustee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Any inspection pursuant to this Section 6.02 shall be at the sole risk (including, without limitation, any risk of personal injury or death) and expense of the Trustee (or its representative), as the case may be, making such inspection. Except during the continuance of an Event of Default, all inspections by the Trustee and its representatives provided for under this Section 6.02 shall be limited to one inspection of any kind contemplated by this Section 6.02 for all such Aircraft during any calendar year.</w:t>
      </w:r>
    </w:p>
    <w:p>
      <w:pPr>
        <w:spacing w:after="0" w:line="163" w:lineRule="exact"/>
        <w:rPr>
          <w:rFonts w:ascii="Arial" w:cs="Arial" w:eastAsia="Arial" w:hAnsi="Arial"/>
          <w:sz w:val="19"/>
          <w:szCs w:val="19"/>
          <w:b w:val="1"/>
          <w:bCs w:val="1"/>
          <w:color w:val="auto"/>
        </w:rPr>
      </w:pPr>
    </w:p>
    <w:p>
      <w:pPr>
        <w:ind w:left="1560" w:hanging="904"/>
        <w:spacing w:after="0"/>
        <w:tabs>
          <w:tab w:leader="none" w:pos="1560" w:val="left"/>
        </w:tabs>
        <w:numPr>
          <w:ilvl w:val="0"/>
          <w:numId w:val="675"/>
        </w:numPr>
        <w:rPr>
          <w:rFonts w:ascii="Arial" w:cs="Arial" w:eastAsia="Arial" w:hAnsi="Arial"/>
          <w:sz w:val="21"/>
          <w:szCs w:val="21"/>
          <w:b w:val="1"/>
          <w:bCs w:val="1"/>
          <w:color w:val="auto"/>
        </w:rPr>
      </w:pPr>
      <w:r>
        <w:rPr>
          <w:rFonts w:ascii="Arial" w:cs="Arial" w:eastAsia="Arial" w:hAnsi="Arial"/>
          <w:sz w:val="21"/>
          <w:szCs w:val="21"/>
          <w:color w:val="auto"/>
        </w:rPr>
        <w:t>Replacement and Pooling of Parts; Alterations, Modifications and Additions; Substitution of Engines.</w:t>
      </w:r>
    </w:p>
    <w:p>
      <w:pPr>
        <w:spacing w:after="0" w:line="191" w:lineRule="exact"/>
        <w:rPr>
          <w:sz w:val="20"/>
          <w:szCs w:val="20"/>
          <w:color w:val="auto"/>
        </w:rPr>
      </w:pPr>
    </w:p>
    <w:p>
      <w:pPr>
        <w:jc w:val="both"/>
        <w:ind w:firstLine="656"/>
        <w:spacing w:after="0" w:line="212" w:lineRule="auto"/>
        <w:tabs>
          <w:tab w:leader="none" w:pos="1512" w:val="left"/>
        </w:tabs>
        <w:numPr>
          <w:ilvl w:val="0"/>
          <w:numId w:val="676"/>
        </w:numPr>
        <w:rPr>
          <w:rFonts w:ascii="Arial" w:cs="Arial" w:eastAsia="Arial" w:hAnsi="Arial"/>
          <w:sz w:val="22"/>
          <w:szCs w:val="22"/>
          <w:b w:val="1"/>
          <w:bCs w:val="1"/>
          <w:color w:val="auto"/>
        </w:rPr>
      </w:pPr>
      <w:r>
        <w:rPr>
          <w:rFonts w:ascii="Arial" w:cs="Arial" w:eastAsia="Arial" w:hAnsi="Arial"/>
          <w:sz w:val="22"/>
          <w:szCs w:val="22"/>
          <w:u w:val="single" w:color="auto"/>
          <w:color w:val="auto"/>
        </w:rPr>
        <w:t>Replacement of Parts</w:t>
      </w:r>
      <w:r>
        <w:rPr>
          <w:rFonts w:ascii="Arial" w:cs="Arial" w:eastAsia="Arial" w:hAnsi="Arial"/>
          <w:sz w:val="22"/>
          <w:szCs w:val="22"/>
          <w:color w:val="auto"/>
        </w:rPr>
        <w:t xml:space="preserve"> . The Grantor, at its own expense, shall promptly replace all Parts that may from time to time be incorporated or installed in or attached to such Airframe or any such Engine and that may from time to time become worn out, lost, stolen, destroyed, seized, confiscated, damaged beyond repair or rendered permanently unfit for use for any reason whatsoever, except as otherwise provided in </w:t>
      </w:r>
      <w:r>
        <w:rPr>
          <w:rFonts w:ascii="Arial" w:cs="Arial" w:eastAsia="Arial" w:hAnsi="Arial"/>
          <w:sz w:val="22"/>
          <w:szCs w:val="22"/>
          <w:u w:val="single" w:color="auto"/>
          <w:color w:val="auto"/>
        </w:rPr>
        <w:t>Section 6.03(c)</w:t>
      </w:r>
      <w:r>
        <w:rPr>
          <w:rFonts w:ascii="Arial" w:cs="Arial" w:eastAsia="Arial" w:hAnsi="Arial"/>
          <w:sz w:val="22"/>
          <w:szCs w:val="22"/>
          <w:color w:val="auto"/>
        </w:rPr>
        <w:t xml:space="preserve"> or if such Airframe or any such Engine to which a Part relates has suffered an Event of Loss. In addition, the Grantor, at its own expense, may remove in the ordinary course of maintenance, service, repair, overhaul or testing, any Parts, whether or not worn out, lost, stolen, destroyed, seized, confiscated, damaged beyond repair 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16" w:name="page517"/>
    <w:bookmarkEnd w:id="516"/>
    <w:p>
      <w:pPr>
        <w:jc w:val="both"/>
        <w:spacing w:after="0" w:line="241" w:lineRule="auto"/>
        <w:rPr>
          <w:sz w:val="20"/>
          <w:szCs w:val="20"/>
          <w:color w:val="auto"/>
        </w:rPr>
      </w:pPr>
      <w:r>
        <w:rPr>
          <w:rFonts w:ascii="Arial" w:cs="Arial" w:eastAsia="Arial" w:hAnsi="Arial"/>
          <w:sz w:val="19"/>
          <w:szCs w:val="19"/>
          <w:color w:val="auto"/>
        </w:rPr>
        <w:t xml:space="preserve">rendered permanently unfit for use; provided that the Grantor, except as otherwise provided in Section 6.03(c), at its own expense, will replace such Parts as promptly as practicable. All replacement Parts shall be free and clear of all Liens (except for Permitted Liens and except in the case of replacement property temporarily installed on an emergency basis) and shall have a value and utility at least equal to the Parts replaced, assuming such replaced Parts were in the condition and repair required to be maintained by the terms hereof. Except as otherwise provided in </w:t>
      </w:r>
      <w:r>
        <w:rPr>
          <w:rFonts w:ascii="Arial" w:cs="Arial" w:eastAsia="Arial" w:hAnsi="Arial"/>
          <w:sz w:val="19"/>
          <w:szCs w:val="19"/>
          <w:u w:val="single" w:color="auto"/>
          <w:color w:val="auto"/>
        </w:rPr>
        <w:t>Section 6.03(c)</w:t>
      </w:r>
      <w:r>
        <w:rPr>
          <w:rFonts w:ascii="Arial" w:cs="Arial" w:eastAsia="Arial" w:hAnsi="Arial"/>
          <w:sz w:val="19"/>
          <w:szCs w:val="19"/>
          <w:color w:val="auto"/>
        </w:rPr>
        <w:t xml:space="preserve"> , all Parts at any time removed from such Airframe or any such Engine shall remain subject to the Lien of this Aircraft Security Agreement no matter where located until such time as such Parts shall be replaced by parts that have been incorporated or installed in or attached to such Airframe or such Engine and that meet the requirements for replacement Parts specified above. Immediately upon any replacement Part becoming incorporated or installed in or attached to such Airframe or any such Engine as above provided (except in the case of replacement property temporarily installed on an emergency basis), without further act, (i) the replaced Part shall thereupon be free and clear of the Lien of this Aircraft Security Agreement and of all rights and interests of the Trustee (and the other beneficiaries hereof) and shall no longer be deemed a Part hereunder and (ii) such replacement Part shall become subject to the Lien of this Aircraft Security Agreement and be deemed a Part of such Airframe or such Engine for all purposes to the same extent as the Parts originally incorporated or installed in or attached to such Airframe or such Engine. Upon request of the Grantor from time to time, the Trustee shall execute and deliver to the Grantor an appropriate instrument confirming the release of any such replaced Part from the Lien of this Aircraft Security Agreement.</w:t>
      </w:r>
    </w:p>
    <w:p>
      <w:pPr>
        <w:spacing w:after="0" w:line="381" w:lineRule="exact"/>
        <w:rPr>
          <w:sz w:val="20"/>
          <w:szCs w:val="20"/>
          <w:color w:val="auto"/>
        </w:rPr>
      </w:pPr>
    </w:p>
    <w:p>
      <w:pPr>
        <w:jc w:val="both"/>
        <w:ind w:firstLine="656"/>
        <w:spacing w:after="0" w:line="220" w:lineRule="auto"/>
        <w:tabs>
          <w:tab w:leader="none" w:pos="1512" w:val="left"/>
        </w:tabs>
        <w:numPr>
          <w:ilvl w:val="0"/>
          <w:numId w:val="677"/>
        </w:numPr>
        <w:rPr>
          <w:rFonts w:ascii="Arial" w:cs="Arial" w:eastAsia="Arial" w:hAnsi="Arial"/>
          <w:sz w:val="21"/>
          <w:szCs w:val="21"/>
          <w:b w:val="1"/>
          <w:bCs w:val="1"/>
          <w:color w:val="auto"/>
        </w:rPr>
      </w:pPr>
      <w:r>
        <w:rPr>
          <w:rFonts w:ascii="Arial" w:cs="Arial" w:eastAsia="Arial" w:hAnsi="Arial"/>
          <w:sz w:val="21"/>
          <w:szCs w:val="21"/>
          <w:u w:val="single" w:color="auto"/>
          <w:color w:val="auto"/>
        </w:rPr>
        <w:t>Pooling of Parts</w:t>
      </w:r>
      <w:r>
        <w:rPr>
          <w:rFonts w:ascii="Arial" w:cs="Arial" w:eastAsia="Arial" w:hAnsi="Arial"/>
          <w:sz w:val="21"/>
          <w:szCs w:val="21"/>
          <w:color w:val="auto"/>
        </w:rPr>
        <w:t xml:space="preserve"> . Any Part removed from such Airframe or any such Engine as provided in </w:t>
      </w:r>
      <w:r>
        <w:rPr>
          <w:rFonts w:ascii="Arial" w:cs="Arial" w:eastAsia="Arial" w:hAnsi="Arial"/>
          <w:sz w:val="21"/>
          <w:szCs w:val="21"/>
          <w:u w:val="single" w:color="auto"/>
          <w:color w:val="auto"/>
        </w:rPr>
        <w:t>Section 6.03(a)</w:t>
      </w:r>
      <w:r>
        <w:rPr>
          <w:rFonts w:ascii="Arial" w:cs="Arial" w:eastAsia="Arial" w:hAnsi="Arial"/>
          <w:sz w:val="21"/>
          <w:szCs w:val="21"/>
          <w:color w:val="auto"/>
        </w:rPr>
        <w:t xml:space="preserve"> may be subjected by the Grantor or a Person permitted to be in possession of such Aircraft to a pooling arrangement customary in the airline industry entered into in the ordinary course of the Grantor’s or such Person’s business; provided that the part replacing such removed Part shall be incorporated or installed in or attached to such Airframe or such Engine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6.03(a)</w:t>
      </w:r>
      <w:r>
        <w:rPr>
          <w:rFonts w:ascii="Arial" w:cs="Arial" w:eastAsia="Arial" w:hAnsi="Arial"/>
          <w:sz w:val="21"/>
          <w:szCs w:val="21"/>
          <w:color w:val="auto"/>
        </w:rPr>
        <w:t xml:space="preserve"> as promptly as practicable after the removal of such removed Part. In addition, any replacement Part when incorporated or installed in or attached to such Airframe or any such Engine may be owned by any third party subject to such a pooling arrangement; provided that the Grantor, at its expense, as promptly thereafter as practicable, either (i) causes title to such replacement Part to vest in the Grantor free and clear of all Liens (except Permitted Liens), or (ii) replaces such replacement Part by incorporating or installing in or attaching to such Airframe or such Engine a further replacement Part in the manner contemplated by </w:t>
      </w:r>
      <w:r>
        <w:rPr>
          <w:rFonts w:ascii="Arial" w:cs="Arial" w:eastAsia="Arial" w:hAnsi="Arial"/>
          <w:sz w:val="21"/>
          <w:szCs w:val="21"/>
          <w:u w:val="single" w:color="auto"/>
          <w:color w:val="auto"/>
        </w:rPr>
        <w:t>Section 6.03(a)</w:t>
      </w:r>
      <w:r>
        <w:rPr>
          <w:rFonts w:ascii="Arial" w:cs="Arial" w:eastAsia="Arial" w:hAnsi="Arial"/>
          <w:sz w:val="21"/>
          <w:szCs w:val="21"/>
          <w:color w:val="auto"/>
        </w:rPr>
        <w:t xml:space="preserve"> .</w:t>
      </w:r>
    </w:p>
    <w:p>
      <w:pPr>
        <w:spacing w:after="0" w:line="162" w:lineRule="exact"/>
        <w:rPr>
          <w:rFonts w:ascii="Arial" w:cs="Arial" w:eastAsia="Arial" w:hAnsi="Arial"/>
          <w:sz w:val="21"/>
          <w:szCs w:val="21"/>
          <w:b w:val="1"/>
          <w:bCs w:val="1"/>
          <w:color w:val="auto"/>
        </w:rPr>
      </w:pPr>
    </w:p>
    <w:p>
      <w:pPr>
        <w:jc w:val="both"/>
        <w:ind w:firstLine="656"/>
        <w:spacing w:after="0" w:line="220" w:lineRule="auto"/>
        <w:tabs>
          <w:tab w:leader="none" w:pos="1525" w:val="left"/>
        </w:tabs>
        <w:numPr>
          <w:ilvl w:val="0"/>
          <w:numId w:val="677"/>
        </w:numPr>
        <w:rPr>
          <w:rFonts w:ascii="Arial" w:cs="Arial" w:eastAsia="Arial" w:hAnsi="Arial"/>
          <w:sz w:val="21"/>
          <w:szCs w:val="21"/>
          <w:b w:val="1"/>
          <w:bCs w:val="1"/>
          <w:color w:val="auto"/>
        </w:rPr>
      </w:pPr>
      <w:r>
        <w:rPr>
          <w:rFonts w:ascii="Arial" w:cs="Arial" w:eastAsia="Arial" w:hAnsi="Arial"/>
          <w:sz w:val="21"/>
          <w:szCs w:val="21"/>
          <w:u w:val="single" w:color="auto"/>
          <w:color w:val="auto"/>
        </w:rPr>
        <w:t>Alterations, Modifications and Additions</w:t>
      </w:r>
      <w:r>
        <w:rPr>
          <w:rFonts w:ascii="Arial" w:cs="Arial" w:eastAsia="Arial" w:hAnsi="Arial"/>
          <w:sz w:val="21"/>
          <w:szCs w:val="21"/>
          <w:color w:val="auto"/>
        </w:rPr>
        <w:t xml:space="preserve"> . The Grantor will make (or cause to be made) such alterations and modifications in and additions to such Airframe and each such Engine as may be required from time to time to meet the applicable requirements of the FAA or any applicable government of any other jurisdiction in which such Aircraft may then be registered; provided that the Grantor may, in good faith, contest the validity or application of any such requirement in any manner that does not involve any material risk of sale, loss or forfeiture of such Aircraft and does not adversely affect the Trustee’s interest in the Aircraft Collateral. In addition, the Grantor (or any Permitted Lessee), at its own expense, may from time to time add further parts or accessories and make or cause to be made such alterations and modifications in and additions to such Airframe or any such Engine as the Grantor may deem desirable in the proper conduct of its business, including, without limitation, removal (without replacement) of Parts, provided that no such alteration, modification or addition shall materially diminish the value or utility of such Airframe or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17" w:name="page518"/>
    <w:bookmarkEnd w:id="517"/>
    <w:p>
      <w:pPr>
        <w:jc w:val="both"/>
        <w:spacing w:after="0" w:line="222" w:lineRule="auto"/>
        <w:rPr>
          <w:sz w:val="20"/>
          <w:szCs w:val="20"/>
          <w:color w:val="auto"/>
        </w:rPr>
      </w:pPr>
      <w:r>
        <w:rPr>
          <w:rFonts w:ascii="Arial" w:cs="Arial" w:eastAsia="Arial" w:hAnsi="Arial"/>
          <w:sz w:val="21"/>
          <w:szCs w:val="21"/>
          <w:color w:val="auto"/>
        </w:rPr>
        <w:t>Engine below its value or utility, immediately prior to such alteration, modification or addition, assuming that such Airframe or such Engine was then in the condition required to be maintained by the terms of this Aircraft Security Agreement, except that the value (but not the utility) of such Airframe or such Engine may be reduced by the value of any such Parts that shall have been removed that the Grantor deems obsolete or no longer suitable or appropriate for use on such Airframe or such Engine. All Parts incorporated or installed in or attached or added to such Airframe or any such Engine as the result of such alteration, modification or addition shall be free and clear of any Liens, other than Permitted Liens, and shall, without further act, be subject to the Lien of this Aircraft Security Agreement.</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Notwithstanding the foregoing, the Grantor (or any Permitted Lessee) may, at any time, remove any Part from such Airframe or any such Engine if such Part: (i) is in addition to, and not in replacement of or substitution for, any Part originally incorporated or installed in or attached to such Airframe or such Engine at the time of delivery thereof to the Grantor or any Part in replacement of, or substitution for, any such Part, (ii) is not required to be incorporated or installed in or attached or added to such Airframe or such Engine pursuant to the first sentence of this </w:t>
      </w:r>
      <w:r>
        <w:rPr>
          <w:rFonts w:ascii="Arial" w:cs="Arial" w:eastAsia="Arial" w:hAnsi="Arial"/>
          <w:sz w:val="19"/>
          <w:szCs w:val="19"/>
          <w:u w:val="single" w:color="auto"/>
          <w:color w:val="auto"/>
        </w:rPr>
        <w:t>Section 6.03(c)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and (iii) can be removed from such Airframe or such Engine without materially diminishing the value or utility required to be maintained by the terms of this Aircraft Security Agreement that such Airframe or such Engine would have had had such Part never been installed on such Airframe or such Engine. Upon the removal by the Grantor of any Part as permitted by this Section 6.03(c), such removed Part shall, without further act, be free and clear of the Lien of this Aircraft Security Agreement and of all rights and interests of the Trustee (and the other beneficiaries hereof) and shall no longer be deemed a Part hereunder. Upon request of the Grantor from time to time, the Trustee shall execute and deliver to the Grantor an appropriate instrument confirming the release of any such removed Part from the Lien of this Aircraft Security Agreement.</w:t>
      </w:r>
    </w:p>
    <w:p>
      <w:pPr>
        <w:spacing w:after="0" w:line="132" w:lineRule="exact"/>
        <w:rPr>
          <w:sz w:val="20"/>
          <w:szCs w:val="20"/>
          <w:color w:val="auto"/>
        </w:rPr>
      </w:pPr>
    </w:p>
    <w:p>
      <w:pPr>
        <w:jc w:val="both"/>
        <w:ind w:left="660" w:firstLine="644"/>
        <w:spacing w:after="0" w:line="229" w:lineRule="auto"/>
        <w:tabs>
          <w:tab w:leader="none" w:pos="2172" w:val="left"/>
        </w:tabs>
        <w:numPr>
          <w:ilvl w:val="1"/>
          <w:numId w:val="678"/>
        </w:numPr>
        <w:rPr>
          <w:rFonts w:ascii="Arial" w:cs="Arial" w:eastAsia="Arial" w:hAnsi="Arial"/>
          <w:sz w:val="21"/>
          <w:szCs w:val="21"/>
          <w:b w:val="1"/>
          <w:bCs w:val="1"/>
          <w:color w:val="auto"/>
        </w:rPr>
      </w:pPr>
      <w:r>
        <w:rPr>
          <w:rFonts w:ascii="Arial" w:cs="Arial" w:eastAsia="Arial" w:hAnsi="Arial"/>
          <w:sz w:val="21"/>
          <w:szCs w:val="21"/>
          <w:u w:val="single" w:color="auto"/>
          <w:color w:val="auto"/>
        </w:rPr>
        <w:t>Substitution of Engines</w:t>
      </w:r>
      <w:r>
        <w:rPr>
          <w:rFonts w:ascii="Arial" w:cs="Arial" w:eastAsia="Arial" w:hAnsi="Arial"/>
          <w:sz w:val="21"/>
          <w:szCs w:val="21"/>
          <w:color w:val="auto"/>
        </w:rPr>
        <w:t xml:space="preserve"> . The Grantor shall have the right at its option at any time, on at least 30 days’ prior written notice to the Trustee, to substitute a Replacement Engine for any such Engine. In such event, and prior to the date of such substitution, the Grantor shall replace such Engine hereunder by complying with the terms of </w:t>
      </w:r>
      <w:r>
        <w:rPr>
          <w:rFonts w:ascii="Arial" w:cs="Arial" w:eastAsia="Arial" w:hAnsi="Arial"/>
          <w:sz w:val="21"/>
          <w:szCs w:val="21"/>
          <w:u w:val="single" w:color="auto"/>
          <w:color w:val="auto"/>
        </w:rPr>
        <w:t>Section 6.04(b)</w:t>
      </w:r>
      <w:r>
        <w:rPr>
          <w:rFonts w:ascii="Arial" w:cs="Arial" w:eastAsia="Arial" w:hAnsi="Arial"/>
          <w:sz w:val="21"/>
          <w:szCs w:val="21"/>
          <w:color w:val="auto"/>
        </w:rPr>
        <w:t xml:space="preserve"> to the same extent as if an Event of Loss had occurred with respect to such Engine.</w:t>
      </w:r>
    </w:p>
    <w:p>
      <w:pPr>
        <w:spacing w:after="0" w:line="158" w:lineRule="exact"/>
        <w:rPr>
          <w:rFonts w:ascii="Arial" w:cs="Arial" w:eastAsia="Arial" w:hAnsi="Arial"/>
          <w:sz w:val="21"/>
          <w:szCs w:val="21"/>
          <w:b w:val="1"/>
          <w:bCs w:val="1"/>
          <w:color w:val="auto"/>
        </w:rPr>
      </w:pPr>
    </w:p>
    <w:p>
      <w:pPr>
        <w:ind w:left="1560" w:hanging="904"/>
        <w:spacing w:after="0"/>
        <w:tabs>
          <w:tab w:leader="none" w:pos="1560" w:val="left"/>
        </w:tabs>
        <w:numPr>
          <w:ilvl w:val="0"/>
          <w:numId w:val="679"/>
        </w:numPr>
        <w:rPr>
          <w:rFonts w:ascii="Arial" w:cs="Arial" w:eastAsia="Arial" w:hAnsi="Arial"/>
          <w:sz w:val="22"/>
          <w:szCs w:val="22"/>
          <w:b w:val="1"/>
          <w:bCs w:val="1"/>
          <w:color w:val="auto"/>
        </w:rPr>
      </w:pPr>
      <w:r>
        <w:rPr>
          <w:rFonts w:ascii="Arial" w:cs="Arial" w:eastAsia="Arial" w:hAnsi="Arial"/>
          <w:sz w:val="22"/>
          <w:szCs w:val="22"/>
          <w:color w:val="auto"/>
        </w:rPr>
        <w:t>Loss, Destruction or Requisition.</w:t>
      </w:r>
    </w:p>
    <w:p>
      <w:pPr>
        <w:spacing w:after="0" w:line="179" w:lineRule="exact"/>
        <w:rPr>
          <w:sz w:val="20"/>
          <w:szCs w:val="20"/>
          <w:color w:val="auto"/>
        </w:rPr>
      </w:pPr>
    </w:p>
    <w:p>
      <w:pPr>
        <w:jc w:val="both"/>
        <w:ind w:firstLine="656"/>
        <w:spacing w:after="0" w:line="219" w:lineRule="auto"/>
        <w:tabs>
          <w:tab w:leader="none" w:pos="1525" w:val="left"/>
        </w:tabs>
        <w:numPr>
          <w:ilvl w:val="0"/>
          <w:numId w:val="680"/>
        </w:numPr>
        <w:rPr>
          <w:rFonts w:ascii="Arial" w:cs="Arial" w:eastAsia="Arial" w:hAnsi="Arial"/>
          <w:sz w:val="21"/>
          <w:szCs w:val="21"/>
          <w:b w:val="1"/>
          <w:bCs w:val="1"/>
          <w:color w:val="auto"/>
        </w:rPr>
      </w:pPr>
      <w:r>
        <w:rPr>
          <w:rFonts w:ascii="Arial" w:cs="Arial" w:eastAsia="Arial" w:hAnsi="Arial"/>
          <w:sz w:val="21"/>
          <w:szCs w:val="21"/>
          <w:u w:val="single" w:color="auto"/>
          <w:color w:val="auto"/>
        </w:rPr>
        <w:t>Event of Loss with Respect to Such Airframe</w:t>
      </w:r>
      <w:r>
        <w:rPr>
          <w:rFonts w:ascii="Arial" w:cs="Arial" w:eastAsia="Arial" w:hAnsi="Arial"/>
          <w:sz w:val="21"/>
          <w:szCs w:val="21"/>
          <w:color w:val="auto"/>
        </w:rPr>
        <w:t xml:space="preserve"> . Upon the occurrence of an Event of Loss with respect to such Airframe or such Airframe and any such Engine then installed thereon, the Grantor shall as promptly as practicable (and, in any event, within 15 days after such occurrence, or, in the case of an occurrence described in clause (a) of the definition of Event of Loss, within 15 days after the determination of such) give the Trustee written notice of such Event of Loss, and, within 90 days after such Event of Loss, the Grantor may give the Trustee written notice (an “ </w:t>
      </w:r>
      <w:r>
        <w:rPr>
          <w:rFonts w:ascii="Arial" w:cs="Arial" w:eastAsia="Arial" w:hAnsi="Arial"/>
          <w:sz w:val="21"/>
          <w:szCs w:val="21"/>
          <w:u w:val="single" w:color="auto"/>
          <w:color w:val="auto"/>
        </w:rPr>
        <w:t>Election Notice</w:t>
      </w:r>
      <w:r>
        <w:rPr>
          <w:rFonts w:ascii="Arial" w:cs="Arial" w:eastAsia="Arial" w:hAnsi="Arial"/>
          <w:sz w:val="21"/>
          <w:szCs w:val="21"/>
          <w:color w:val="auto"/>
        </w:rPr>
        <w:t xml:space="preserve"> ”) of its election to substitute, on or before the applicable Substitution Date (as defined below), as replacement for such Airframe and its related Engines (whether or not such Engines were affected by such Event of Loss), a Replacement Airframe and Replacement Engines, such Replacement Airframe and Replacement Engines to be owned by the Grantor free and clear of all Liens (other than Permitted Liens);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the Appraised Value of the Replacement Aircraft (of which such Replacement Airframe and Replacement Engines are part) shall be greater than or equal to the Appraised Value of the Aircraft (of which such Airframe and its related Engines are part); and (ii)</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18" w:name="page519"/>
    <w:bookmarkEnd w:id="518"/>
    <w:p>
      <w:pPr>
        <w:jc w:val="both"/>
        <w:spacing w:after="0" w:line="252" w:lineRule="auto"/>
        <w:rPr>
          <w:sz w:val="20"/>
          <w:szCs w:val="20"/>
          <w:color w:val="auto"/>
        </w:rPr>
      </w:pPr>
      <w:r>
        <w:rPr>
          <w:rFonts w:ascii="Arial" w:cs="Arial" w:eastAsia="Arial" w:hAnsi="Arial"/>
          <w:sz w:val="19"/>
          <w:szCs w:val="19"/>
          <w:color w:val="auto"/>
        </w:rPr>
        <w:t xml:space="preserve">the Appraisal used to calculate the Appraised Value of such Replacement Aircraft shall have been performed by the applicable appraiser no earlier than 45 days prior to the date of such Election Notice. If the Grantor shall not deliver such Election Notice within the time period for such Election Notice specified in the first sentence of this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or shall not perform its obligation to effect such substitution on or prior to such Substitution Date, then at such time such Event of Loss shall constitute a Disposition of Aircraft Collateral that is not a Permitted Disposition for purposes of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of the Credit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The “ </w:t>
      </w:r>
      <w:r>
        <w:rPr>
          <w:rFonts w:ascii="Arial" w:cs="Arial" w:eastAsia="Arial" w:hAnsi="Arial"/>
          <w:sz w:val="22"/>
          <w:szCs w:val="22"/>
          <w:u w:val="single" w:color="auto"/>
          <w:color w:val="auto"/>
        </w:rPr>
        <w:t>Substitution Date</w:t>
      </w:r>
      <w:r>
        <w:rPr>
          <w:rFonts w:ascii="Arial" w:cs="Arial" w:eastAsia="Arial" w:hAnsi="Arial"/>
          <w:sz w:val="22"/>
          <w:szCs w:val="22"/>
          <w:color w:val="auto"/>
        </w:rPr>
        <w:t xml:space="preserve"> ,” with respect to an Event of Loss, means the Business Day next succeeding the 120th day following the date of occurrence of such Event of Loss.</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If the Grantor elects to substitute a Replacement Airframe (or a Replacement Airframe and one or more Replacement Engines, as the case may be) pursuant to this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 the Grantor shall, at its sole expense, not later than the applicable Substitution Date, (A) cause an Aircraft Security Agreement Supplement for such Replacement Airframe and Replacement Engines, if any, to be delivered to the Trustee for execution and, upon such execution, to be filed for recordation pursuant to the Transportation Code or the applicable laws of such other jurisdiction in which the applicable Aircraft may then be registered, (B) cause the sale of such Replacement Airframe and Replacement Engines, if any, to the Grantor (if the seller of such Replacement Airframe and Replacement Engines, if any, is “situated in” a country that has ratified the Cape Town Convention) and the International Interest created pursuant to such Aircraft Security Agreement Supplement in favor of the Trustee with respect to such Replacement Airframe and Replacement Engines, if any, each to be registered on the International Registry as a sale or an International Interest,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seller of such Replacement Airframe and Replacement Engines, if any, is not situated in a country that has ratified the Cape Town Convention, the Grantor will use its reasonable efforts to cause the seller to register the contract of sale on the International Registry, (C) cause a financing statement or statements with respect to such Replacement Airframe and Replacement Engines, if any, or other requisite documents or instruments to be filed in such place or places as necessary in order to perfect the Trustee’s interest therein in the United States, or in any other jurisdiction in which the applicable Aircraft may then be registered, (D) furnish the Trustee with an opinion of the Grantor’s counsel (which may be the Grantor’s General Counsel or such other internal counsel of the Grantor as shall be reasonably satisfactory to the Trustee) addressed to the Trustee to the effect that upon such replacement, such Replacement Airframe and Replacement Engines, if any, will be subject to the Lien of this Aircraft Security Agreement and addressing the matters set forth in clauses (A), (B) and (C),</w:t>
      </w:r>
    </w:p>
    <w:p>
      <w:pPr>
        <w:spacing w:after="0" w:line="14" w:lineRule="exact"/>
        <w:rPr>
          <w:sz w:val="20"/>
          <w:szCs w:val="20"/>
          <w:color w:val="auto"/>
        </w:rPr>
      </w:pPr>
    </w:p>
    <w:p>
      <w:pPr>
        <w:jc w:val="both"/>
        <w:ind w:firstLine="8"/>
        <w:spacing w:after="0" w:line="244" w:lineRule="auto"/>
        <w:tabs>
          <w:tab w:leader="none" w:pos="388" w:val="left"/>
        </w:tabs>
        <w:numPr>
          <w:ilvl w:val="0"/>
          <w:numId w:val="681"/>
        </w:numPr>
        <w:rPr>
          <w:rFonts w:ascii="Arial" w:cs="Arial" w:eastAsia="Arial" w:hAnsi="Arial"/>
          <w:sz w:val="22"/>
          <w:szCs w:val="22"/>
          <w:color w:val="auto"/>
        </w:rPr>
      </w:pPr>
      <w:r>
        <w:rPr>
          <w:rFonts w:ascii="Arial" w:cs="Arial" w:eastAsia="Arial" w:hAnsi="Arial"/>
          <w:sz w:val="22"/>
          <w:szCs w:val="22"/>
          <w:color w:val="auto"/>
        </w:rPr>
        <w:t xml:space="preserve">furnish the Trustee with evidence of compliance with </w:t>
      </w:r>
      <w:r>
        <w:rPr>
          <w:rFonts w:ascii="Arial" w:cs="Arial" w:eastAsia="Arial" w:hAnsi="Arial"/>
          <w:sz w:val="22"/>
          <w:szCs w:val="22"/>
          <w:u w:val="single" w:color="auto"/>
          <w:color w:val="auto"/>
        </w:rPr>
        <w:t>Section 6.05</w:t>
      </w:r>
      <w:r>
        <w:rPr>
          <w:rFonts w:ascii="Arial" w:cs="Arial" w:eastAsia="Arial" w:hAnsi="Arial"/>
          <w:sz w:val="22"/>
          <w:szCs w:val="22"/>
          <w:color w:val="auto"/>
        </w:rPr>
        <w:t xml:space="preserve"> with respect to such Replacement Airframe and Replacement Engines, if any (which may be an Officer’s Certificate to the effect that the Grantor has determined that the insurance maintained with respect to such Replacement Airframe and Replacement Engines, if any, so complies); and (F) furnish the Trustee with a copy of the original bill(s) of sale or, if the bill(s) of sale are unavailable, other evidence of ownership reasonably satisfactory to the Trustee (which may be a copy of an invoice or purchase order) respecting such Replacement Airframe and Replacement Engines, if any.</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In the case of each Replacement Airframe or Replacement Airframe and one or more Replacement Engines subjected to the Lien of this Aircraft Security Agreement under this </w:t>
      </w:r>
      <w:r>
        <w:rPr>
          <w:rFonts w:ascii="Arial" w:cs="Arial" w:eastAsia="Arial" w:hAnsi="Arial"/>
          <w:sz w:val="22"/>
          <w:szCs w:val="22"/>
          <w:u w:val="single" w:color="auto"/>
          <w:color w:val="auto"/>
        </w:rPr>
        <w:t>Section 6.04(a)</w:t>
      </w:r>
      <w:r>
        <w:rPr>
          <w:rFonts w:ascii="Arial" w:cs="Arial" w:eastAsia="Arial" w:hAnsi="Arial"/>
          <w:sz w:val="22"/>
          <w:szCs w:val="22"/>
          <w:color w:val="auto"/>
        </w:rPr>
        <w:t xml:space="preserve"> , promptly upon the recordation of an Aircraft Security Agreement Supplement covering such Replacement Airframe and Replacement Engines, if any, pursuant to the Transportation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19" w:name="page520"/>
    <w:bookmarkEnd w:id="519"/>
    <w:p>
      <w:pPr>
        <w:jc w:val="both"/>
        <w:spacing w:after="0" w:line="288" w:lineRule="auto"/>
        <w:rPr>
          <w:sz w:val="20"/>
          <w:szCs w:val="20"/>
          <w:color w:val="auto"/>
        </w:rPr>
      </w:pPr>
      <w:r>
        <w:rPr>
          <w:rFonts w:ascii="Arial" w:cs="Arial" w:eastAsia="Arial" w:hAnsi="Arial"/>
          <w:sz w:val="19"/>
          <w:szCs w:val="19"/>
          <w:color w:val="auto"/>
        </w:rPr>
        <w:t>(or pursuant to the applicable law of such other jurisdiction in which such Replacement Airframe and Replacement Engines, if any, are registered), the Grantor will cause to be delivered to the Trustee a favorable opinion of the Grantor’s counsel (which may be the Grantor’s General Counsel or such internal or external counsel to the Grantor as shall be reasonably satisfactory to the Trustee) addressed to the Trustee as to the due registration of such Replacement Aircraft and the due recordation of such Aircraft Security Agreement Supplement or such other requisite documents or instruments, the registration with the International Registry of the sale of such Replacement Airframe and Replacement Engines, if any, to the Grantor (if the seller of such Replacement Airframe and Replacement Engines, if any, is “situated in” a country that has ratified the Cape Town Convention) and of the International Interests created pursuant to such Aircraft Security Agreement Supplement with respect to such Replacement Airframe and Replacement Engines, if any, and the validity and perfection of the security interest in the applicable Replacement Aircraft granted to the Trustee under this Aircraft Security Agreement.</w:t>
      </w:r>
    </w:p>
    <w:p>
      <w:pPr>
        <w:spacing w:after="0" w:line="15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For all purposes hereof, upon the attachment of the Lien of this Aircraft Security Agreement thereto, such Replacement Airframe and Replacement Engine, if any, shall become part of the Aircraft Collateral, such Replacement Airframe shall be deemed an “Airframe” as defined herein, and each such Replacement Engine shall be deemed an “Engine” as defined herein.</w:t>
      </w:r>
    </w:p>
    <w:p>
      <w:pPr>
        <w:spacing w:after="0" w:line="1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In the event that, after an Event of Loss, (x) the Grantor complies with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of the Credit Agreement (if such Event of Loss constitutes a Disposition of Aircraft Collateral that is not a Permitted Disposition as provided above) or, (y) if applicable, the Grantor performs the option set forth in the first sentence of this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 upon compliance with clauses</w:t>
      </w:r>
    </w:p>
    <w:p>
      <w:pPr>
        <w:spacing w:after="0" w:line="1" w:lineRule="exact"/>
        <w:rPr>
          <w:sz w:val="20"/>
          <w:szCs w:val="20"/>
          <w:color w:val="auto"/>
        </w:rPr>
      </w:pPr>
    </w:p>
    <w:p>
      <w:pPr>
        <w:jc w:val="both"/>
        <w:ind w:firstLine="8"/>
        <w:spacing w:after="0" w:line="257" w:lineRule="auto"/>
        <w:tabs>
          <w:tab w:leader="none" w:pos="368" w:val="left"/>
        </w:tabs>
        <w:numPr>
          <w:ilvl w:val="0"/>
          <w:numId w:val="682"/>
        </w:numPr>
        <w:rPr>
          <w:rFonts w:ascii="Arial" w:cs="Arial" w:eastAsia="Arial" w:hAnsi="Arial"/>
          <w:sz w:val="21"/>
          <w:szCs w:val="21"/>
          <w:color w:val="auto"/>
        </w:rPr>
      </w:pPr>
      <w:r>
        <w:rPr>
          <w:rFonts w:ascii="Arial" w:cs="Arial" w:eastAsia="Arial" w:hAnsi="Arial"/>
          <w:sz w:val="21"/>
          <w:szCs w:val="21"/>
          <w:color w:val="auto"/>
        </w:rPr>
        <w:t>through (F) of the second preceding paragraph, (i) the Aircraft that suffered such Event of Loss, all proceeds, the Warranty Rights in respect of such Aircraft and all rights relating to the foregoing shall be free and clear of the Lien of this Aircraft Security Agreement and of all rights and interests of the Trustee (and the other beneficiaries hereof), (ii) the Trustee shall execute and deliver to the Grantor an appropriate instrument releasing such properties, rights, interests and privileges from the Lien of this Aircraft Security Agreement and assigning to the Grantor all claims against third Persons for damage to or loss of such Aircraft arising from such Event of Loss, and (iii) the Trustee will take such actions as may be required to be taken by the Trustee to cancel or release any International Interest of the Trustee registered with the International Registry in relation to such Aircraft with respect to which such Event of Loss occurred.</w:t>
      </w:r>
    </w:p>
    <w:p>
      <w:pPr>
        <w:spacing w:after="0" w:line="154" w:lineRule="exact"/>
        <w:rPr>
          <w:rFonts w:ascii="Arial" w:cs="Arial" w:eastAsia="Arial" w:hAnsi="Arial"/>
          <w:sz w:val="21"/>
          <w:szCs w:val="21"/>
          <w:color w:val="auto"/>
        </w:rPr>
      </w:pPr>
    </w:p>
    <w:p>
      <w:pPr>
        <w:jc w:val="both"/>
        <w:ind w:left="660" w:firstLine="644"/>
        <w:spacing w:after="0" w:line="249" w:lineRule="auto"/>
        <w:tabs>
          <w:tab w:leader="none" w:pos="2172" w:val="left"/>
        </w:tabs>
        <w:numPr>
          <w:ilvl w:val="1"/>
          <w:numId w:val="682"/>
        </w:numPr>
        <w:rPr>
          <w:rFonts w:ascii="Arial" w:cs="Arial" w:eastAsia="Arial" w:hAnsi="Arial"/>
          <w:sz w:val="19"/>
          <w:szCs w:val="19"/>
          <w:b w:val="1"/>
          <w:bCs w:val="1"/>
          <w:color w:val="auto"/>
        </w:rPr>
      </w:pPr>
      <w:r>
        <w:rPr>
          <w:rFonts w:ascii="Arial" w:cs="Arial" w:eastAsia="Arial" w:hAnsi="Arial"/>
          <w:sz w:val="19"/>
          <w:szCs w:val="19"/>
          <w:u w:val="single" w:color="auto"/>
          <w:color w:val="auto"/>
        </w:rPr>
        <w:t>Event of Loss with Respect to any such Engine</w:t>
      </w:r>
      <w:r>
        <w:rPr>
          <w:rFonts w:ascii="Arial" w:cs="Arial" w:eastAsia="Arial" w:hAnsi="Arial"/>
          <w:sz w:val="19"/>
          <w:szCs w:val="19"/>
          <w:color w:val="auto"/>
        </w:rPr>
        <w:t xml:space="preserve"> . Upon the occurrence of an Event of Loss with respect to any such Engine under circumstances in which there has not occurred an Event of Loss with respect to such Airframe, the Grantor shall give the Trustee prompt written notice thereof within 15 days after the Grantor has determined that an Event of Loss has occurred with respect to such Engine and shall, within 120 days after the occurrence of such Event of Loss, cause to be subjected to the Lien of this Aircraft Security Agreement, as replacement for the Engine with respect to which such Event of Loss occurred, a Replacement Engine free and clear of all Liens (other than Permitted Liens).</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Prior to or at the time of any replacement under this </w:t>
      </w:r>
      <w:r>
        <w:rPr>
          <w:rFonts w:ascii="Arial" w:cs="Arial" w:eastAsia="Arial" w:hAnsi="Arial"/>
          <w:sz w:val="22"/>
          <w:szCs w:val="22"/>
          <w:u w:val="single" w:color="auto"/>
          <w:color w:val="auto"/>
        </w:rPr>
        <w:t>Section 6.04(b)</w:t>
      </w:r>
      <w:r>
        <w:rPr>
          <w:rFonts w:ascii="Arial" w:cs="Arial" w:eastAsia="Arial" w:hAnsi="Arial"/>
          <w:sz w:val="22"/>
          <w:szCs w:val="22"/>
          <w:color w:val="auto"/>
        </w:rPr>
        <w:t xml:space="preserve"> , the Grantor will (i) cause an Aircraft Security Agreement Supplement covering such Replacement Engine to be delivered to the Trustee for execution and, upon such execution, to be filed for recordation pursuant to the Transportation Code or the applicable laws of any other jurisdiction in which such Aircraft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20" w:name="page521"/>
    <w:bookmarkEnd w:id="520"/>
    <w:p>
      <w:pPr>
        <w:jc w:val="both"/>
        <w:spacing w:after="0" w:line="283" w:lineRule="auto"/>
        <w:rPr>
          <w:sz w:val="20"/>
          <w:szCs w:val="20"/>
          <w:color w:val="auto"/>
        </w:rPr>
      </w:pPr>
      <w:r>
        <w:rPr>
          <w:rFonts w:ascii="Arial" w:cs="Arial" w:eastAsia="Arial" w:hAnsi="Arial"/>
          <w:sz w:val="19"/>
          <w:szCs w:val="19"/>
          <w:color w:val="auto"/>
        </w:rPr>
        <w:t xml:space="preserve">may be registered, (ii) furnish the Trustee with a copy of the original bill of sale or, if the bill of sale is unavailable, other evidence of ownership reasonably satisfactory to the Trustee (which may be a copy of an invoice or purchase order) respecting such Replacement Engine, (iii) cause the sale of such Replacement Engine to the Grantor (if the seller of such Replacement Engine is “situated in” a country that has ratified the Cape Town Convention) and the International Interest created pursuant to such Aircraft Security Agreement Supplement in favor of the Trustee with respect to such Replacement Engine, to be registered on the International Registry as a sale or an International Interest; provided that if the seller of such Replacement Engine is not situated in a country that has ratified the Cape Town Convention, the Grantor will use its reasonable efforts to cause the seller to register the contract of sale on the International Registry, (iv) cause a financing statement or statements with respect to such Replacement Engine or other requisite documents or instruments to be filed in such place or places as necessary in order to perfect the Trustee’s interest therein in the United States, or in such other jurisdiction in which such Engine may then be registered, (v) furnish the Trustee with an opinion of the Grantor’s counsel (which may be the Grantor’s General Counsel or such other internal counsel to the Grantor as shall be reasonably satisfactory to the Trustee) addressed to the Trustee to the effect that, upon such replacement, such Replacement Engine will be subject to the Lien of this Aircraft Security Agreement, (vi) furnish the Trustee with a certificate of an aircraft engineer or appraiser (who may be an employee of the Grantor) certifying that such Replacement Engine has a value and utility (without regard to hours or cycles) at least equal to the Engine so replaced assuming such Engine was in the condition and repair required by the terms hereof immediately prior to the occurrence of such Event of Loss, and (vii) furnish the Trustee with evidence of compliance with Section 6.05 with respect to such Replacement Engine (which may be an Officer’s Certificate to the effect that the Grantor has determined that the insurance maintained with respect to such Replacement Engine so complies). In the case of each Replacement Engine subjected to the Lien of this Aircraft Security Agreement under this </w:t>
      </w:r>
      <w:r>
        <w:rPr>
          <w:rFonts w:ascii="Arial" w:cs="Arial" w:eastAsia="Arial" w:hAnsi="Arial"/>
          <w:sz w:val="19"/>
          <w:szCs w:val="19"/>
          <w:u w:val="single" w:color="auto"/>
          <w:color w:val="auto"/>
        </w:rPr>
        <w:t>Section 6.04(b)</w:t>
      </w:r>
      <w:r>
        <w:rPr>
          <w:rFonts w:ascii="Arial" w:cs="Arial" w:eastAsia="Arial" w:hAnsi="Arial"/>
          <w:sz w:val="19"/>
          <w:szCs w:val="19"/>
          <w:color w:val="auto"/>
        </w:rPr>
        <w:t xml:space="preserve"> , promptly upon the recordation of an Aircraft Security Agreement Supplement covering such Replacement Engine pursuant to the Transportation Code (or pursuant to the applicable law of such other jurisdiction in which such Aircraft is registered), the Grantor will cause to be delivered to the Trustee an opinion of counsel to the Grantor (which may be the Grantor’s General Counsel or such internal or external counsel of the Grantor as shall be reasonably satisfactory to the Trustee) addressed to the Trustee as to the due recordation of such Aircraft Security Agreement Supplement or such other requisite documents or instruments, the registration with the International Registry of the sale of such Replacement Engine to Grantor (if the seller of such Replacement Engine is “situated in” a country that has ratified the Cape Town Convention) and of the International Interest created pursuant to such Aircraft Security Agreement Supplement with respect to such Replacement Engine, and the validity and perfection of the security interest in the Replacement Engine granted to the Trustee under this Aircraft Security Agreement. For all purposes hereof, upon the attachment of the Lien of this Aircraft Security Agreement thereto, the Replacement Engine shall become part of the Aircraft Collateral and shall be deemed an “Engine” as defined herein. Upon compliance with clauses (i) through (vi) of this paragraph, (x) such replaced Engine, any proceeds, the Warranty Rights in respect of such replaced Engine and all rights relating to any of the foregoing shall be free and clear of the Lien of this Aircraft Security Agreement and of all rights and interests of the Trustee (and the other beneficiaries hereof), (y) the Trustee shall execute and deliver to the Grantor an appropriate instrument releasing such properties, rights, interests and privileges from the Lien of this Aircraft Security Agreement and assigning to the Grantor all claims against third Persons for damage to or loss of such Engine arising from the Event of Loss, and (z) the Trustee will take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21" w:name="page522"/>
    <w:bookmarkEnd w:id="521"/>
    <w:p>
      <w:pPr>
        <w:spacing w:after="0" w:line="287" w:lineRule="auto"/>
        <w:rPr>
          <w:sz w:val="20"/>
          <w:szCs w:val="20"/>
          <w:color w:val="auto"/>
        </w:rPr>
      </w:pPr>
      <w:r>
        <w:rPr>
          <w:rFonts w:ascii="Arial" w:cs="Arial" w:eastAsia="Arial" w:hAnsi="Arial"/>
          <w:sz w:val="21"/>
          <w:szCs w:val="21"/>
          <w:color w:val="auto"/>
        </w:rPr>
        <w:t>such actions as may be required to be taken by the Trustee to cancel or release any International Interest of the Trustee registered with the International Registry in relation to the Engines with respect to which such Event of Loss occurred.</w:t>
      </w:r>
    </w:p>
    <w:p>
      <w:pPr>
        <w:spacing w:after="0" w:line="124" w:lineRule="exact"/>
        <w:rPr>
          <w:sz w:val="20"/>
          <w:szCs w:val="20"/>
          <w:color w:val="auto"/>
        </w:rPr>
      </w:pPr>
    </w:p>
    <w:p>
      <w:pPr>
        <w:jc w:val="both"/>
        <w:ind w:firstLine="656"/>
        <w:spacing w:after="0" w:line="221" w:lineRule="auto"/>
        <w:tabs>
          <w:tab w:leader="none" w:pos="1512" w:val="left"/>
        </w:tabs>
        <w:numPr>
          <w:ilvl w:val="0"/>
          <w:numId w:val="683"/>
        </w:numPr>
        <w:rPr>
          <w:rFonts w:ascii="Arial" w:cs="Arial" w:eastAsia="Arial" w:hAnsi="Arial"/>
          <w:sz w:val="21"/>
          <w:szCs w:val="21"/>
          <w:b w:val="1"/>
          <w:bCs w:val="1"/>
          <w:color w:val="auto"/>
        </w:rPr>
      </w:pPr>
      <w:r>
        <w:rPr>
          <w:rFonts w:ascii="Arial" w:cs="Arial" w:eastAsia="Arial" w:hAnsi="Arial"/>
          <w:sz w:val="21"/>
          <w:szCs w:val="21"/>
          <w:u w:val="single" w:color="auto"/>
          <w:color w:val="auto"/>
        </w:rPr>
        <w:t>Requisition for Use by the Government of such Airframe and the Engines Installed Thereon</w:t>
      </w:r>
      <w:r>
        <w:rPr>
          <w:rFonts w:ascii="Arial" w:cs="Arial" w:eastAsia="Arial" w:hAnsi="Arial"/>
          <w:sz w:val="21"/>
          <w:szCs w:val="21"/>
          <w:color w:val="auto"/>
        </w:rPr>
        <w:t xml:space="preserve"> . In the event of the requisition for use by any government, including, without limitation, pursuant to the CRAF Program, of such Airframe and such Engines or engines installed on such Airframe that does not constitute an Event of Loss, the Grantor shall promptly notify the Trustee and all of the Grantor’s rights and obligations under this Aircraft Security Agreement with respect to such Airframe and such Engines shall continue to the same extent as if such requisition had not occurred; provided that, notwithstanding the foregoing, the Grantor’s obligations other than payment obligations shall only continue to the extent feasible. All payments received by the Grantor or the Trustee from such government for such use of such Airframe and Engines or engines shall be paid over to, or retained by, the Grantor.</w:t>
      </w:r>
    </w:p>
    <w:p>
      <w:pPr>
        <w:spacing w:after="0" w:line="165" w:lineRule="exact"/>
        <w:rPr>
          <w:rFonts w:ascii="Arial" w:cs="Arial" w:eastAsia="Arial" w:hAnsi="Arial"/>
          <w:sz w:val="21"/>
          <w:szCs w:val="21"/>
          <w:b w:val="1"/>
          <w:bCs w:val="1"/>
          <w:color w:val="auto"/>
        </w:rPr>
      </w:pPr>
    </w:p>
    <w:p>
      <w:pPr>
        <w:jc w:val="both"/>
        <w:ind w:firstLine="656"/>
        <w:spacing w:after="0" w:line="226" w:lineRule="auto"/>
        <w:tabs>
          <w:tab w:leader="none" w:pos="1512" w:val="left"/>
        </w:tabs>
        <w:numPr>
          <w:ilvl w:val="0"/>
          <w:numId w:val="683"/>
        </w:numPr>
        <w:rPr>
          <w:rFonts w:ascii="Arial" w:cs="Arial" w:eastAsia="Arial" w:hAnsi="Arial"/>
          <w:sz w:val="21"/>
          <w:szCs w:val="21"/>
          <w:b w:val="1"/>
          <w:bCs w:val="1"/>
          <w:color w:val="auto"/>
        </w:rPr>
      </w:pPr>
      <w:r>
        <w:rPr>
          <w:rFonts w:ascii="Arial" w:cs="Arial" w:eastAsia="Arial" w:hAnsi="Arial"/>
          <w:sz w:val="21"/>
          <w:szCs w:val="21"/>
          <w:u w:val="single" w:color="auto"/>
          <w:color w:val="auto"/>
        </w:rPr>
        <w:t>Requisition for Use by the Government of any such Engine Not Installed on such Airframe</w:t>
      </w:r>
      <w:r>
        <w:rPr>
          <w:rFonts w:ascii="Arial" w:cs="Arial" w:eastAsia="Arial" w:hAnsi="Arial"/>
          <w:sz w:val="21"/>
          <w:szCs w:val="21"/>
          <w:color w:val="auto"/>
        </w:rPr>
        <w:t xml:space="preserve"> . In the event of the requisition for use by any government of any such Engine not then installed on such Airframe, the Grantor will replace such Engine by complying with the terms of Section 6.04(b) to the same extent as if an Event of Loss had occurred with respect to such Engine. Upon such replacement, any payments received by the Grantor or the Trustee from such government with respect to such requisition shall be paid over to, or retained by, the Grantor.</w:t>
      </w:r>
    </w:p>
    <w:p>
      <w:pPr>
        <w:spacing w:after="0" w:line="159" w:lineRule="exact"/>
        <w:rPr>
          <w:rFonts w:ascii="Arial" w:cs="Arial" w:eastAsia="Arial" w:hAnsi="Arial"/>
          <w:sz w:val="21"/>
          <w:szCs w:val="21"/>
          <w:b w:val="1"/>
          <w:bCs w:val="1"/>
          <w:color w:val="auto"/>
        </w:rPr>
      </w:pPr>
    </w:p>
    <w:p>
      <w:pPr>
        <w:jc w:val="both"/>
        <w:ind w:firstLine="656"/>
        <w:spacing w:after="0" w:line="252" w:lineRule="auto"/>
        <w:tabs>
          <w:tab w:leader="none" w:pos="1512" w:val="left"/>
        </w:tabs>
        <w:numPr>
          <w:ilvl w:val="0"/>
          <w:numId w:val="683"/>
        </w:numPr>
        <w:rPr>
          <w:rFonts w:ascii="Arial" w:cs="Arial" w:eastAsia="Arial" w:hAnsi="Arial"/>
          <w:sz w:val="19"/>
          <w:szCs w:val="19"/>
          <w:b w:val="1"/>
          <w:bCs w:val="1"/>
          <w:color w:val="auto"/>
        </w:rPr>
      </w:pPr>
      <w:r>
        <w:rPr>
          <w:rFonts w:ascii="Arial" w:cs="Arial" w:eastAsia="Arial" w:hAnsi="Arial"/>
          <w:sz w:val="19"/>
          <w:szCs w:val="19"/>
          <w:u w:val="single" w:color="auto"/>
          <w:color w:val="auto"/>
        </w:rPr>
        <w:t>Application of Payments During Existence of Event of Default</w:t>
      </w:r>
      <w:r>
        <w:rPr>
          <w:rFonts w:ascii="Arial" w:cs="Arial" w:eastAsia="Arial" w:hAnsi="Arial"/>
          <w:sz w:val="19"/>
          <w:szCs w:val="19"/>
          <w:color w:val="auto"/>
        </w:rPr>
        <w:t xml:space="preserve"> . Any amount referred to in Section 6.04 that is payable to or retainable by the Grantor shall not be paid to or retained by the Grantor if at the time of such payment or retention an Event of Default shall have occurred and be continuing, but, subject to any Intercreditor Agreement and any Other Intercreditor Agreement, shall be paid to and held by the Trustee as security for the Obligations. At such time as there shall not be continuing any such Event of Default, such amount shall be paid to the Grantor.</w:t>
      </w:r>
    </w:p>
    <w:p>
      <w:pPr>
        <w:spacing w:after="0" w:line="149" w:lineRule="exact"/>
        <w:rPr>
          <w:sz w:val="20"/>
          <w:szCs w:val="20"/>
          <w:color w:val="auto"/>
        </w:rPr>
      </w:pPr>
    </w:p>
    <w:p>
      <w:pPr>
        <w:ind w:left="1560" w:hanging="904"/>
        <w:spacing w:after="0"/>
        <w:tabs>
          <w:tab w:leader="none" w:pos="1560" w:val="left"/>
        </w:tabs>
        <w:numPr>
          <w:ilvl w:val="0"/>
          <w:numId w:val="684"/>
        </w:numPr>
        <w:rPr>
          <w:rFonts w:ascii="Arial" w:cs="Arial" w:eastAsia="Arial" w:hAnsi="Arial"/>
          <w:sz w:val="22"/>
          <w:szCs w:val="22"/>
          <w:b w:val="1"/>
          <w:bCs w:val="1"/>
          <w:color w:val="auto"/>
        </w:rPr>
      </w:pPr>
      <w:r>
        <w:rPr>
          <w:rFonts w:ascii="Arial" w:cs="Arial" w:eastAsia="Arial" w:hAnsi="Arial"/>
          <w:sz w:val="22"/>
          <w:szCs w:val="22"/>
          <w:color w:val="auto"/>
        </w:rPr>
        <w:t>Insurance. With respect to any Aircraft Collateral, the Grantor will:</w:t>
      </w:r>
    </w:p>
    <w:p>
      <w:pPr>
        <w:spacing w:after="0" w:line="179" w:lineRule="exact"/>
        <w:rPr>
          <w:sz w:val="20"/>
          <w:szCs w:val="20"/>
          <w:color w:val="auto"/>
        </w:rPr>
      </w:pPr>
    </w:p>
    <w:p>
      <w:pPr>
        <w:ind w:firstLine="656"/>
        <w:spacing w:after="0" w:line="232" w:lineRule="auto"/>
        <w:tabs>
          <w:tab w:leader="none" w:pos="1525" w:val="left"/>
        </w:tabs>
        <w:numPr>
          <w:ilvl w:val="0"/>
          <w:numId w:val="685"/>
        </w:numPr>
        <w:rPr>
          <w:rFonts w:ascii="Arial" w:cs="Arial" w:eastAsia="Arial" w:hAnsi="Arial"/>
          <w:sz w:val="22"/>
          <w:szCs w:val="22"/>
          <w:b w:val="1"/>
          <w:bCs w:val="1"/>
          <w:color w:val="auto"/>
        </w:rPr>
      </w:pPr>
      <w:r>
        <w:rPr>
          <w:rFonts w:ascii="Arial" w:cs="Arial" w:eastAsia="Arial" w:hAnsi="Arial"/>
          <w:sz w:val="22"/>
          <w:szCs w:val="22"/>
          <w:color w:val="auto"/>
        </w:rPr>
        <w:t>maintain insurance, against such risks, including fire and other risks, as is prudent and customary for United States-based passenger airlines of similar size insuring similar assets;</w:t>
      </w:r>
    </w:p>
    <w:p>
      <w:pPr>
        <w:spacing w:after="0" w:line="158" w:lineRule="exact"/>
        <w:rPr>
          <w:rFonts w:ascii="Arial" w:cs="Arial" w:eastAsia="Arial" w:hAnsi="Arial"/>
          <w:sz w:val="22"/>
          <w:szCs w:val="22"/>
          <w:b w:val="1"/>
          <w:bCs w:val="1"/>
          <w:color w:val="auto"/>
        </w:rPr>
      </w:pPr>
    </w:p>
    <w:p>
      <w:pPr>
        <w:jc w:val="both"/>
        <w:ind w:firstLine="656"/>
        <w:spacing w:after="0" w:line="218" w:lineRule="auto"/>
        <w:tabs>
          <w:tab w:leader="none" w:pos="1512" w:val="left"/>
        </w:tabs>
        <w:numPr>
          <w:ilvl w:val="0"/>
          <w:numId w:val="685"/>
        </w:numPr>
        <w:rPr>
          <w:rFonts w:ascii="Arial" w:cs="Arial" w:eastAsia="Arial" w:hAnsi="Arial"/>
          <w:sz w:val="22"/>
          <w:szCs w:val="22"/>
          <w:b w:val="1"/>
          <w:bCs w:val="1"/>
          <w:color w:val="auto"/>
        </w:rPr>
      </w:pPr>
      <w:r>
        <w:rPr>
          <w:rFonts w:ascii="Arial" w:cs="Arial" w:eastAsia="Arial" w:hAnsi="Arial"/>
          <w:sz w:val="22"/>
          <w:szCs w:val="22"/>
          <w:color w:val="auto"/>
        </w:rPr>
        <w:t>maintain in full force and effect public liability insurance against claims for personal injury or death or property damage occurring upon, in, about or in connection with the use of such Aircraft Collateral, in such amounts and with such deductibles as are prudent and customary for United States-based passenger airlines of similar size insuring against similar risks; and</w:t>
      </w:r>
    </w:p>
    <w:p>
      <w:pPr>
        <w:spacing w:after="0" w:line="160" w:lineRule="exact"/>
        <w:rPr>
          <w:rFonts w:ascii="Arial" w:cs="Arial" w:eastAsia="Arial" w:hAnsi="Arial"/>
          <w:sz w:val="22"/>
          <w:szCs w:val="22"/>
          <w:b w:val="1"/>
          <w:bCs w:val="1"/>
          <w:color w:val="auto"/>
        </w:rPr>
      </w:pPr>
    </w:p>
    <w:p>
      <w:pPr>
        <w:ind w:left="1520" w:hanging="864"/>
        <w:spacing w:after="0"/>
        <w:tabs>
          <w:tab w:leader="none" w:pos="1520" w:val="left"/>
        </w:tabs>
        <w:numPr>
          <w:ilvl w:val="0"/>
          <w:numId w:val="685"/>
        </w:numPr>
        <w:rPr>
          <w:rFonts w:ascii="Arial" w:cs="Arial" w:eastAsia="Arial" w:hAnsi="Arial"/>
          <w:sz w:val="22"/>
          <w:szCs w:val="22"/>
          <w:b w:val="1"/>
          <w:bCs w:val="1"/>
          <w:color w:val="auto"/>
        </w:rPr>
      </w:pPr>
      <w:r>
        <w:rPr>
          <w:rFonts w:ascii="Arial" w:cs="Arial" w:eastAsia="Arial" w:hAnsi="Arial"/>
          <w:sz w:val="22"/>
          <w:szCs w:val="22"/>
          <w:color w:val="auto"/>
        </w:rPr>
        <w:t>maintain such other insurance or self-insurance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22" w:name="page523"/>
    <w:bookmarkEnd w:id="522"/>
    <w:p>
      <w:pPr>
        <w:jc w:val="center"/>
        <w:spacing w:after="0"/>
        <w:rPr>
          <w:sz w:val="20"/>
          <w:szCs w:val="20"/>
          <w:color w:val="auto"/>
        </w:rPr>
      </w:pPr>
      <w:r>
        <w:rPr>
          <w:rFonts w:ascii="Arial" w:cs="Arial" w:eastAsia="Arial" w:hAnsi="Arial"/>
          <w:sz w:val="22"/>
          <w:szCs w:val="22"/>
          <w:b w:val="1"/>
          <w:bCs w:val="1"/>
          <w:color w:val="auto"/>
        </w:rPr>
        <w:t>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COVENANTS</w:t>
      </w:r>
    </w:p>
    <w:p>
      <w:pPr>
        <w:spacing w:after="0" w:line="199" w:lineRule="exact"/>
        <w:rPr>
          <w:sz w:val="20"/>
          <w:szCs w:val="20"/>
          <w:color w:val="auto"/>
        </w:rPr>
      </w:pPr>
    </w:p>
    <w:p>
      <w:pPr>
        <w:ind w:left="2220" w:hanging="916"/>
        <w:spacing w:after="0"/>
        <w:tabs>
          <w:tab w:leader="none" w:pos="2220" w:val="left"/>
        </w:tabs>
        <w:numPr>
          <w:ilvl w:val="2"/>
          <w:numId w:val="686"/>
        </w:numPr>
        <w:rPr>
          <w:rFonts w:ascii="Arial" w:cs="Arial" w:eastAsia="Arial" w:hAnsi="Arial"/>
          <w:sz w:val="22"/>
          <w:szCs w:val="22"/>
          <w:b w:val="1"/>
          <w:bCs w:val="1"/>
          <w:color w:val="auto"/>
        </w:rPr>
      </w:pPr>
      <w:r>
        <w:rPr>
          <w:rFonts w:ascii="Arial" w:cs="Arial" w:eastAsia="Arial" w:hAnsi="Arial"/>
          <w:sz w:val="22"/>
          <w:szCs w:val="22"/>
          <w:color w:val="auto"/>
        </w:rPr>
        <w:t>Certain Covenants of the Grantor.</w:t>
      </w:r>
    </w:p>
    <w:p>
      <w:pPr>
        <w:spacing w:after="0" w:line="179" w:lineRule="exact"/>
        <w:rPr>
          <w:rFonts w:ascii="Arial" w:cs="Arial" w:eastAsia="Arial" w:hAnsi="Arial"/>
          <w:sz w:val="22"/>
          <w:szCs w:val="22"/>
          <w:b w:val="1"/>
          <w:bCs w:val="1"/>
          <w:color w:val="auto"/>
        </w:rPr>
      </w:pPr>
    </w:p>
    <w:p>
      <w:pPr>
        <w:jc w:val="both"/>
        <w:ind w:firstLine="656"/>
        <w:spacing w:after="0" w:line="216" w:lineRule="auto"/>
        <w:tabs>
          <w:tab w:leader="none" w:pos="1525" w:val="left"/>
        </w:tabs>
        <w:numPr>
          <w:ilvl w:val="1"/>
          <w:numId w:val="687"/>
        </w:numPr>
        <w:rPr>
          <w:rFonts w:ascii="Arial" w:cs="Arial" w:eastAsia="Arial" w:hAnsi="Arial"/>
          <w:sz w:val="22"/>
          <w:szCs w:val="22"/>
          <w:b w:val="1"/>
          <w:bCs w:val="1"/>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xml:space="preserve"> . On and after the date hereof, the Grantor will cause to be done, executed, acknowledged and delivered such further acts, conveyances and assurances as the Trustee shall reasonably request for accomplishing the purposes of this Aircraft Security Agreement; provided that any instrument or other document so executed by the Grantor will not expand any obligations or limit any rights of the Grantor in respect of the transactions contemplated by this Aircraft Security Agreement.</w:t>
      </w:r>
    </w:p>
    <w:p>
      <w:pPr>
        <w:spacing w:after="0" w:line="157" w:lineRule="exact"/>
        <w:rPr>
          <w:rFonts w:ascii="Arial" w:cs="Arial" w:eastAsia="Arial" w:hAnsi="Arial"/>
          <w:sz w:val="22"/>
          <w:szCs w:val="22"/>
          <w:b w:val="1"/>
          <w:bCs w:val="1"/>
          <w:color w:val="auto"/>
        </w:rPr>
      </w:pPr>
    </w:p>
    <w:p>
      <w:pPr>
        <w:jc w:val="both"/>
        <w:ind w:firstLine="656"/>
        <w:spacing w:after="0" w:line="220" w:lineRule="auto"/>
        <w:tabs>
          <w:tab w:leader="none" w:pos="1566" w:val="left"/>
        </w:tabs>
        <w:numPr>
          <w:ilvl w:val="1"/>
          <w:numId w:val="687"/>
        </w:numPr>
        <w:rPr>
          <w:rFonts w:ascii="Arial" w:cs="Arial" w:eastAsia="Arial" w:hAnsi="Arial"/>
          <w:sz w:val="21"/>
          <w:szCs w:val="21"/>
          <w:b w:val="1"/>
          <w:bCs w:val="1"/>
          <w:color w:val="auto"/>
        </w:rPr>
      </w:pPr>
      <w:r>
        <w:rPr>
          <w:rFonts w:ascii="Arial" w:cs="Arial" w:eastAsia="Arial" w:hAnsi="Arial"/>
          <w:sz w:val="21"/>
          <w:szCs w:val="21"/>
          <w:u w:val="single" w:color="auto"/>
          <w:color w:val="auto"/>
        </w:rPr>
        <w:t>Filing and Recordation of this Aircraft Security Agreement; Registration of International Interests</w:t>
      </w:r>
      <w:r>
        <w:rPr>
          <w:rFonts w:ascii="Arial" w:cs="Arial" w:eastAsia="Arial" w:hAnsi="Arial"/>
          <w:sz w:val="21"/>
          <w:szCs w:val="21"/>
          <w:color w:val="auto"/>
        </w:rPr>
        <w:t xml:space="preserve"> . The Grantor, at its own expense, will cause this Aircraft Security Agreement (with each Aircraft Security Supplement covering an Aircraft being subjected to the Lien of this Aircraft Security Agreement attached) to be promptly filed and recorded, or filed for recording, with the FAA to the extent permitted under the Transportation Code and the rules and regulations of the FAA thereunder. In addition, on or prior to each Aircraft Closing Date, the Grantor will cause the registration of the International Interests (or Prospective International Interests) created under this Aircraft Security Agreement (as supplemented by each Aircraft Security Agreement Supplement covering an Aircraft being subjected to the Lien of this Aircraft Security Agreement on such Aircraft Closing Date) to be effected on the International Registry in accordance with the Cape Town Treaty, and shall, as and to the extent applicable, consent to such registration upon the issuance of a request for such consent by the International Registry.</w:t>
      </w:r>
    </w:p>
    <w:p>
      <w:pPr>
        <w:spacing w:after="0" w:line="162" w:lineRule="exact"/>
        <w:rPr>
          <w:rFonts w:ascii="Arial" w:cs="Arial" w:eastAsia="Arial" w:hAnsi="Arial"/>
          <w:sz w:val="21"/>
          <w:szCs w:val="21"/>
          <w:b w:val="1"/>
          <w:bCs w:val="1"/>
          <w:color w:val="auto"/>
        </w:rPr>
      </w:pPr>
    </w:p>
    <w:p>
      <w:pPr>
        <w:jc w:val="both"/>
        <w:ind w:firstLine="656"/>
        <w:spacing w:after="0" w:line="230" w:lineRule="auto"/>
        <w:tabs>
          <w:tab w:leader="none" w:pos="1512" w:val="left"/>
        </w:tabs>
        <w:numPr>
          <w:ilvl w:val="1"/>
          <w:numId w:val="687"/>
        </w:numPr>
        <w:rPr>
          <w:rFonts w:ascii="Arial" w:cs="Arial" w:eastAsia="Arial" w:hAnsi="Arial"/>
          <w:sz w:val="20"/>
          <w:szCs w:val="20"/>
          <w:b w:val="1"/>
          <w:bCs w:val="1"/>
          <w:color w:val="auto"/>
        </w:rPr>
      </w:pPr>
      <w:r>
        <w:rPr>
          <w:rFonts w:ascii="Arial" w:cs="Arial" w:eastAsia="Arial" w:hAnsi="Arial"/>
          <w:sz w:val="20"/>
          <w:szCs w:val="20"/>
          <w:u w:val="single" w:color="auto"/>
          <w:color w:val="auto"/>
        </w:rPr>
        <w:t>Maintenance of Filings</w:t>
      </w:r>
      <w:r>
        <w:rPr>
          <w:rFonts w:ascii="Arial" w:cs="Arial" w:eastAsia="Arial" w:hAnsi="Arial"/>
          <w:sz w:val="20"/>
          <w:szCs w:val="20"/>
          <w:color w:val="auto"/>
        </w:rPr>
        <w:t xml:space="preserve"> . The Grantor, at its expense, will take, or cause to be taken, upon the reasonable request of the Trustee, such action with respect to the due and timely recording, filing, re-recording and refiling of this Aircraft Security Agreement and any financing statements and any continuation statements or other instruments as are necessary to maintain, so long as this Aircraft Security Agreement is in effect, the perfection of the security interests created by this Aircraft Security Agreement or will, at the reasonable request of the Trustee, will furnish the Trustee with such instruments, in execution form, and such other information as may be required to enable the Trustee to take such action. In addition, with respect to each Aircraft, the Grantor will pay any and all recording, stamp and other similar taxes payable in the United States, and in any other jurisdiction where such Aircraft is registered, in connection with the execution, delivery, recording, filing, rerecording and refiling of this Aircraft Security Agreement or any such financing statements or other instruments. The Grantor will notify the Trustee of any change in its jurisdiction of organization (as such term is used in Article 9 of the Uniform Commercial Code as in effect in the [State of Delaware] </w:t>
      </w:r>
      <w:r>
        <w:rPr>
          <w:rFonts w:ascii="Arial" w:cs="Arial" w:eastAsia="Arial" w:hAnsi="Arial"/>
          <w:sz w:val="13"/>
          <w:szCs w:val="13"/>
          <w:color w:val="auto"/>
        </w:rPr>
        <w:t>5</w:t>
      </w:r>
      <w:r>
        <w:rPr>
          <w:rFonts w:ascii="Arial" w:cs="Arial" w:eastAsia="Arial" w:hAnsi="Arial"/>
          <w:sz w:val="20"/>
          <w:szCs w:val="20"/>
          <w:color w:val="auto"/>
        </w:rPr>
        <w:t xml:space="preserve"> ) promptly after making such change or in any event within the period of time necessary under applicable law to prevent the lapse of perfection (absent refiling) of financing statements filed under this Aircraft Security Agreement. Notwithstanding the foregoing and for the</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74" w:lineRule="exact"/>
        <w:rPr>
          <w:rFonts w:ascii="Arial" w:cs="Arial" w:eastAsia="Arial" w:hAnsi="Arial"/>
          <w:sz w:val="20"/>
          <w:szCs w:val="20"/>
          <w:b w:val="1"/>
          <w:bCs w:val="1"/>
          <w:color w:val="auto"/>
        </w:rPr>
      </w:pPr>
    </w:p>
    <w:p>
      <w:pPr>
        <w:ind w:left="340" w:hanging="332"/>
        <w:spacing w:after="0"/>
        <w:tabs>
          <w:tab w:leader="none" w:pos="340" w:val="left"/>
        </w:tabs>
        <w:numPr>
          <w:ilvl w:val="0"/>
          <w:numId w:val="688"/>
        </w:numPr>
        <w:rPr>
          <w:rFonts w:ascii="Arial" w:cs="Arial" w:eastAsia="Arial" w:hAnsi="Arial"/>
          <w:sz w:val="29"/>
          <w:szCs w:val="29"/>
          <w:color w:val="auto"/>
          <w:vertAlign w:val="superscript"/>
        </w:rPr>
      </w:pPr>
      <w:r>
        <w:rPr>
          <w:rFonts w:ascii="Arial" w:cs="Arial" w:eastAsia="Arial" w:hAnsi="Arial"/>
          <w:sz w:val="22"/>
          <w:szCs w:val="22"/>
          <w:color w:val="auto"/>
        </w:rPr>
        <w:t>Revise bracketed phrase as necessary for the applicable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-280035</wp:posOffset>
            </wp:positionV>
            <wp:extent cx="6858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3" w:name="page524"/>
    <w:bookmarkEnd w:id="523"/>
    <w:p>
      <w:pPr>
        <w:spacing w:after="0" w:line="263" w:lineRule="auto"/>
        <w:rPr>
          <w:sz w:val="20"/>
          <w:szCs w:val="20"/>
          <w:color w:val="auto"/>
        </w:rPr>
      </w:pPr>
      <w:r>
        <w:rPr>
          <w:rFonts w:ascii="Arial" w:cs="Arial" w:eastAsia="Arial" w:hAnsi="Arial"/>
          <w:sz w:val="22"/>
          <w:szCs w:val="22"/>
          <w:color w:val="auto"/>
        </w:rPr>
        <w:t>avoidance of doubt, the Grantor shall not be responsible for the filing of any continuation statements of any financing statements referred to herein.</w:t>
      </w:r>
    </w:p>
    <w:p>
      <w:pPr>
        <w:spacing w:after="0" w:line="148" w:lineRule="exact"/>
        <w:rPr>
          <w:sz w:val="20"/>
          <w:szCs w:val="20"/>
          <w:color w:val="auto"/>
        </w:rPr>
      </w:pPr>
    </w:p>
    <w:p>
      <w:pPr>
        <w:ind w:left="1560" w:hanging="904"/>
        <w:spacing w:after="0"/>
        <w:tabs>
          <w:tab w:leader="none" w:pos="1560" w:val="left"/>
        </w:tabs>
        <w:numPr>
          <w:ilvl w:val="0"/>
          <w:numId w:val="689"/>
        </w:numPr>
        <w:rPr>
          <w:rFonts w:ascii="Arial" w:cs="Arial" w:eastAsia="Arial" w:hAnsi="Arial"/>
          <w:sz w:val="22"/>
          <w:szCs w:val="22"/>
          <w:b w:val="1"/>
          <w:bCs w:val="1"/>
          <w:color w:val="auto"/>
        </w:rPr>
      </w:pPr>
      <w:r>
        <w:rPr>
          <w:rFonts w:ascii="Arial" w:cs="Arial" w:eastAsia="Arial" w:hAnsi="Arial"/>
          <w:sz w:val="22"/>
          <w:szCs w:val="22"/>
          <w:color w:val="auto"/>
        </w:rPr>
        <w:t>Certain Covenants of the Trustee.</w:t>
      </w:r>
    </w:p>
    <w:p>
      <w:pPr>
        <w:spacing w:after="0" w:line="179" w:lineRule="exact"/>
        <w:rPr>
          <w:sz w:val="20"/>
          <w:szCs w:val="20"/>
          <w:color w:val="auto"/>
        </w:rPr>
      </w:pPr>
    </w:p>
    <w:p>
      <w:pPr>
        <w:jc w:val="both"/>
        <w:ind w:firstLine="656"/>
        <w:spacing w:after="0" w:line="247" w:lineRule="auto"/>
        <w:tabs>
          <w:tab w:leader="none" w:pos="1552" w:val="left"/>
        </w:tabs>
        <w:numPr>
          <w:ilvl w:val="0"/>
          <w:numId w:val="690"/>
        </w:numPr>
        <w:rPr>
          <w:rFonts w:ascii="Arial" w:cs="Arial" w:eastAsia="Arial" w:hAnsi="Arial"/>
          <w:sz w:val="19"/>
          <w:szCs w:val="19"/>
          <w:b w:val="1"/>
          <w:bCs w:val="1"/>
          <w:color w:val="auto"/>
        </w:rPr>
      </w:pPr>
      <w:r>
        <w:rPr>
          <w:rFonts w:ascii="Arial" w:cs="Arial" w:eastAsia="Arial" w:hAnsi="Arial"/>
          <w:sz w:val="19"/>
          <w:szCs w:val="19"/>
          <w:u w:val="single" w:color="auto"/>
          <w:color w:val="auto"/>
        </w:rPr>
        <w:t>Continuing Registration and Re-Registration</w:t>
      </w:r>
      <w:r>
        <w:rPr>
          <w:rFonts w:ascii="Arial" w:cs="Arial" w:eastAsia="Arial" w:hAnsi="Arial"/>
          <w:sz w:val="19"/>
          <w:szCs w:val="19"/>
          <w:color w:val="auto"/>
        </w:rPr>
        <w:t xml:space="preserve"> . The Trustee agrees to execute and deliver, at the Grantor’s expense, all such documents and consents as the Grantor may reasonably request for the purpose of continuing the registration of any Aircraft at the FAA in the Grantor’s name or for the purpose of registering or maintaining any registration on the International Registry in respect of such Aircraft. In addition, each of the Trustee agrees, for the benefit of the Grantor, to cooperate with the Grantor in effecting any foreign registration of any such Aircraft pursuant to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any such change in the country of registry of such Aircraft the conditions set forth in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hereof are met to the reasonable satisfaction of, or waived by, the Trustee.</w:t>
      </w:r>
    </w:p>
    <w:p>
      <w:pPr>
        <w:spacing w:after="0" w:line="153" w:lineRule="exact"/>
        <w:rPr>
          <w:rFonts w:ascii="Arial" w:cs="Arial" w:eastAsia="Arial" w:hAnsi="Arial"/>
          <w:sz w:val="19"/>
          <w:szCs w:val="19"/>
          <w:b w:val="1"/>
          <w:bCs w:val="1"/>
          <w:color w:val="auto"/>
        </w:rPr>
      </w:pPr>
    </w:p>
    <w:p>
      <w:pPr>
        <w:jc w:val="both"/>
        <w:ind w:firstLine="656"/>
        <w:spacing w:after="0" w:line="252" w:lineRule="auto"/>
        <w:tabs>
          <w:tab w:leader="none" w:pos="1512" w:val="left"/>
        </w:tabs>
        <w:numPr>
          <w:ilvl w:val="0"/>
          <w:numId w:val="690"/>
        </w:numPr>
        <w:rPr>
          <w:rFonts w:ascii="Arial" w:cs="Arial" w:eastAsia="Arial" w:hAnsi="Arial"/>
          <w:sz w:val="19"/>
          <w:szCs w:val="19"/>
          <w:b w:val="1"/>
          <w:bCs w:val="1"/>
          <w:color w:val="auto"/>
        </w:rPr>
      </w:pPr>
      <w:r>
        <w:rPr>
          <w:rFonts w:ascii="Arial" w:cs="Arial" w:eastAsia="Arial" w:hAnsi="Arial"/>
          <w:sz w:val="19"/>
          <w:szCs w:val="19"/>
          <w:u w:val="single" w:color="auto"/>
          <w:color w:val="auto"/>
        </w:rPr>
        <w:t>Quiet Enjoyment</w:t>
      </w:r>
      <w:r>
        <w:rPr>
          <w:rFonts w:ascii="Arial" w:cs="Arial" w:eastAsia="Arial" w:hAnsi="Arial"/>
          <w:sz w:val="19"/>
          <w:szCs w:val="19"/>
          <w:color w:val="auto"/>
        </w:rPr>
        <w:t xml:space="preserve"> . The Trustee agrees, with respect to each Aircraft, that, unless an Event of Default shall have occurred and be continuing, it shall not (and shall not permit any Affiliate or other Person claiming by, through or under it to) take any action contrary to, or otherwise in any way interfere with or disturb (and then only in accordance with this Aircraft Security Agreement), the quiet enjoyment of the use and possession of such Aircraft, the related Airframe, any related Engine or any Part thereof by the Grantor or any transferee of any interest in any thereof permitted under this Aircraft Security Agreement.</w:t>
      </w:r>
    </w:p>
    <w:p>
      <w:pPr>
        <w:spacing w:after="0" w:line="148" w:lineRule="exact"/>
        <w:rPr>
          <w:rFonts w:ascii="Arial" w:cs="Arial" w:eastAsia="Arial" w:hAnsi="Arial"/>
          <w:sz w:val="19"/>
          <w:szCs w:val="19"/>
          <w:b w:val="1"/>
          <w:bCs w:val="1"/>
          <w:color w:val="auto"/>
        </w:rPr>
      </w:pPr>
    </w:p>
    <w:p>
      <w:pPr>
        <w:jc w:val="both"/>
        <w:ind w:left="660" w:firstLine="644"/>
        <w:spacing w:after="0" w:line="218" w:lineRule="auto"/>
        <w:tabs>
          <w:tab w:leader="none" w:pos="2185" w:val="left"/>
        </w:tabs>
        <w:numPr>
          <w:ilvl w:val="1"/>
          <w:numId w:val="690"/>
        </w:numPr>
        <w:rPr>
          <w:rFonts w:ascii="Arial" w:cs="Arial" w:eastAsia="Arial" w:hAnsi="Arial"/>
          <w:sz w:val="22"/>
          <w:szCs w:val="22"/>
          <w:b w:val="1"/>
          <w:bCs w:val="1"/>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xml:space="preserve"> . The Trustee will cooperate with the Grantor in connection with the recording, filing, re-recording and re-filing of this Aircraft Security Agreement and any Aircraft Security Agreement Supplements and any financing statements or other documents as are necessary to maintain the perfection hereof or otherwise protect the security interests created hereby.</w:t>
      </w:r>
    </w:p>
    <w:p>
      <w:pPr>
        <w:spacing w:after="0" w:line="161" w:lineRule="exact"/>
        <w:rPr>
          <w:sz w:val="20"/>
          <w:szCs w:val="20"/>
          <w:color w:val="auto"/>
        </w:rPr>
      </w:pPr>
    </w:p>
    <w:p>
      <w:pPr>
        <w:jc w:val="both"/>
        <w:ind w:firstLine="656"/>
        <w:spacing w:after="0" w:line="241" w:lineRule="auto"/>
        <w:tabs>
          <w:tab w:leader="none" w:pos="1600" w:val="left"/>
        </w:tabs>
        <w:numPr>
          <w:ilvl w:val="0"/>
          <w:numId w:val="691"/>
        </w:numPr>
        <w:rPr>
          <w:rFonts w:ascii="Arial" w:cs="Arial" w:eastAsia="Arial" w:hAnsi="Arial"/>
          <w:sz w:val="19"/>
          <w:szCs w:val="19"/>
          <w:b w:val="1"/>
          <w:bCs w:val="1"/>
          <w:color w:val="auto"/>
        </w:rPr>
      </w:pPr>
      <w:r>
        <w:rPr>
          <w:rFonts w:ascii="Arial" w:cs="Arial" w:eastAsia="Arial" w:hAnsi="Arial"/>
          <w:sz w:val="19"/>
          <w:szCs w:val="19"/>
          <w:color w:val="auto"/>
        </w:rPr>
        <w:t>Subjection of Aircraft to Lien of Aircraft Security Agreement. If the Grantor has elected to subject any Additional Aircraft to the Lien of this Aircraft Security Agreement as Additional Collateral or Qualified Replacement Assets pursuant to the Credit Agreement, the Grantor shall, at its sole expense (A) cause an Aircraft Security Agreement Supplement describing the airframe and engines that constitute such Additional Aircraft to be delivered to the Trustee for execution and, upon such execution, to be filed for recordation pursuant to the Transportation Code or the applicable laws of such other jurisdiction in which such Additional Aircraft may then be registered, (B) cause the sale of such Additional Aircraft to the Grantor (if the seller of such Additional Aircraft is “situated in” a country that has ratified the Cape Town Convention) and the International Interest created pursuant to such Aircraft Security Agreement Supplement in favor of the Trustee with respect to such Additional Aircraft each to be registered on the International Registry as a sale or an International Interest, respectively; provided that if the seller of such Additional Aircraft is not situated in a country that has ratified the Cape Town Convention, the Grantor will use its reasonable efforts to cause the seller to register the contract of sale on the International Registry, (C) cause a financing statement or statements with respect to such Additional Aircraft or other requisite documents or instruments to be filed in such place or places as necessary in order to perfect the Trustee’s interest therein in the United States, or in any other jurisdiction in which such Additional Aircraft may then be registered, (D) furnish the Trustee with an opinion of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524" w:name="page525"/>
    <w:bookmarkEnd w:id="524"/>
    <w:p>
      <w:pPr>
        <w:jc w:val="both"/>
        <w:spacing w:after="0" w:line="247" w:lineRule="auto"/>
        <w:rPr>
          <w:sz w:val="20"/>
          <w:szCs w:val="20"/>
          <w:color w:val="auto"/>
        </w:rPr>
      </w:pPr>
      <w:r>
        <w:rPr>
          <w:rFonts w:ascii="Arial" w:cs="Arial" w:eastAsia="Arial" w:hAnsi="Arial"/>
          <w:sz w:val="19"/>
          <w:szCs w:val="19"/>
          <w:color w:val="auto"/>
        </w:rPr>
        <w:t>Grantor’s counsel (which may be the Grantor’s General Counsel or such internal or external counsel of the Grantor as shall be reasonably satisfactory to the Trustee) addressed to the Trustee to the effect that upon taking the actions described in clauses (A),</w:t>
      </w:r>
    </w:p>
    <w:p>
      <w:pPr>
        <w:jc w:val="both"/>
        <w:ind w:firstLine="8"/>
        <w:spacing w:after="0" w:line="219" w:lineRule="auto"/>
        <w:tabs>
          <w:tab w:leader="none" w:pos="346" w:val="left"/>
        </w:tabs>
        <w:numPr>
          <w:ilvl w:val="0"/>
          <w:numId w:val="692"/>
        </w:numPr>
        <w:rPr>
          <w:rFonts w:ascii="Arial" w:cs="Arial" w:eastAsia="Arial" w:hAnsi="Arial"/>
          <w:sz w:val="21"/>
          <w:szCs w:val="21"/>
          <w:color w:val="auto"/>
        </w:rPr>
      </w:pPr>
      <w:r>
        <w:rPr>
          <w:rFonts w:ascii="Arial" w:cs="Arial" w:eastAsia="Arial" w:hAnsi="Arial"/>
          <w:sz w:val="21"/>
          <w:szCs w:val="21"/>
          <w:color w:val="auto"/>
        </w:rPr>
        <w:t xml:space="preserve">and (C), such Additional Aircraft will be subject to the Lien of this Aircraft Security Agreement, (E) furnish the Trustee with evidence of compliance with </w:t>
      </w:r>
      <w:r>
        <w:rPr>
          <w:rFonts w:ascii="Arial" w:cs="Arial" w:eastAsia="Arial" w:hAnsi="Arial"/>
          <w:sz w:val="21"/>
          <w:szCs w:val="21"/>
          <w:u w:val="single" w:color="auto"/>
          <w:color w:val="auto"/>
        </w:rPr>
        <w:t>Section 6.05</w:t>
      </w:r>
      <w:r>
        <w:rPr>
          <w:rFonts w:ascii="Arial" w:cs="Arial" w:eastAsia="Arial" w:hAnsi="Arial"/>
          <w:sz w:val="21"/>
          <w:szCs w:val="21"/>
          <w:color w:val="auto"/>
        </w:rPr>
        <w:t xml:space="preserve"> with respect to such Additional Aircraft (which may be an Officer’s Certificate to the effect that the Grantor has determined that the insurance maintained with respect to such Additional Aircraft so complies) and (F) furnish the Trustee with a copy of the original bill(s) of sale or, if the bill(s) of sale are unavailable, other evidence of ownership reasonably satisfactory to the Trustee (which may be a copy of an invoice or purchase order) respecting the airframe and engines constituting part of such Additional Aircraft. The Trustee shall promptly execute such Aircraft Security Agreement Supplement and take such other actions reasonably requested by the Grantor to subject such Additional Aircraft to the Lien of this Aircraft Security Agreement.</w:t>
      </w:r>
    </w:p>
    <w:p>
      <w:pPr>
        <w:spacing w:after="0" w:line="19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In the case of any Additional Aircraft subjected to the Lien of this Aircraft Security Agreement under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 promptly upon the recordation of an Aircraft Security Agreement Supplement covering such Additional Aircraft pursuant to the Transportation Code (or pursuant to the applicable law of such other jurisdiction in which such Additional Aircraft is registered), the Grantor will cause to be delivered to the Trustee a favorable opinion of the Grantor’s counsel (which may be the Grantor’s General Counsel or such other internal counsel to the Grantor as shall be reasonably satisfactory to the Trustee) addressed to the Trustee as to the due registration of such Additional Aircraft and the due recordation of such Aircraft Security Agreement Supplement or such other requisite documents or instruments, the registration with the International Registry of the sale of such Additional Aircraft to the Grantor (if occurring after February 28, 2006 and if the seller of such Additional Aircraft is “situated in” a country that has ratified the Cape Town Convention) and of the International Interests created pursuant to such Aircraft Security Agreement Supplement with respect to such Additional Aircraft, and the validity and perfection of the security interest in such Additional Aircraft granted to the Trustee under this Aircraft Security Agreement.</w:t>
      </w:r>
    </w:p>
    <w:p>
      <w:pPr>
        <w:spacing w:after="0" w:line="1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all purposes hereof, upon the attachment of the Lien of this Aircraft Security Agreement thereto, such Additional Aircraft shall become part of the Aircraft Collateral, the airframe constituting part of such Additional Aircraft shall be deemed an “Airframe” as defined herein, and each engine constituting part of the Additional Aircraft shall be deemed an “Engine” as defined herein.</w:t>
      </w:r>
    </w:p>
    <w:p>
      <w:pPr>
        <w:spacing w:after="0" w:line="161" w:lineRule="exact"/>
        <w:rPr>
          <w:sz w:val="20"/>
          <w:szCs w:val="20"/>
          <w:color w:val="auto"/>
        </w:rPr>
      </w:pPr>
    </w:p>
    <w:p>
      <w:pPr>
        <w:ind w:left="1560" w:hanging="904"/>
        <w:spacing w:after="0"/>
        <w:tabs>
          <w:tab w:leader="none" w:pos="1560" w:val="left"/>
        </w:tabs>
        <w:numPr>
          <w:ilvl w:val="0"/>
          <w:numId w:val="693"/>
        </w:numPr>
        <w:rPr>
          <w:rFonts w:ascii="Arial" w:cs="Arial" w:eastAsia="Arial" w:hAnsi="Arial"/>
          <w:sz w:val="22"/>
          <w:szCs w:val="22"/>
          <w:b w:val="1"/>
          <w:bCs w:val="1"/>
          <w:color w:val="auto"/>
        </w:rPr>
      </w:pPr>
      <w:r>
        <w:rPr>
          <w:rFonts w:ascii="Arial" w:cs="Arial" w:eastAsia="Arial" w:hAnsi="Arial"/>
          <w:sz w:val="22"/>
          <w:szCs w:val="22"/>
          <w:color w:val="auto"/>
        </w:rPr>
        <w:t>Release of Aircraft from Lien of Aircraft Security Agreement.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Upon the satisfaction of the requirements for the release of any Aircraft from the Lien of this Aircraft Security Agreement pursuant to this Aircraft Security Agreement, (i) such Aircraft, all proceeds, the Warranty Rights in respect of such Aircraft and all rights relating to the foregoing shall be free and clear of the Lien of this Aircraft Security Agreement and of all rights and interests of the Trustee (and the other beneficiaries hereof), (ii) the Trustee shall execute and deliver to the Grantor an appropriate instrument releasing such properties, rights, interests and privileges from the Lien of this Aircraft Security Agreement and assigning to the Grantor all claims against third Persons for damage to or loss of such Aircraft, and (iii) the Trustee will take such actions as may be required to be taken by the Trustee to cancel or release any International Interest of the Trustee registered with the International Registry in relation to such Aircraft.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25" w:name="page526"/>
    <w:bookmarkEnd w:id="525"/>
    <w:p>
      <w:pPr>
        <w:ind w:left="904" w:hanging="904"/>
        <w:spacing w:after="0"/>
        <w:tabs>
          <w:tab w:leader="none" w:pos="904" w:val="left"/>
        </w:tabs>
        <w:numPr>
          <w:ilvl w:val="0"/>
          <w:numId w:val="694"/>
        </w:numPr>
        <w:rPr>
          <w:rFonts w:ascii="Arial" w:cs="Arial" w:eastAsia="Arial" w:hAnsi="Arial"/>
          <w:sz w:val="22"/>
          <w:szCs w:val="22"/>
          <w:b w:val="1"/>
          <w:bCs w:val="1"/>
          <w:color w:val="auto"/>
        </w:rPr>
      </w:pPr>
      <w:r>
        <w:rPr>
          <w:rFonts w:ascii="Arial" w:cs="Arial" w:eastAsia="Arial" w:hAnsi="Arial"/>
          <w:sz w:val="22"/>
          <w:szCs w:val="22"/>
          <w:color w:val="auto"/>
        </w:rPr>
        <w:t>Non-Lender Secured Parties.</w:t>
      </w:r>
    </w:p>
    <w:p>
      <w:pPr>
        <w:spacing w:after="0" w:line="179" w:lineRule="exact"/>
        <w:rPr>
          <w:sz w:val="20"/>
          <w:szCs w:val="20"/>
          <w:color w:val="auto"/>
        </w:rPr>
      </w:pPr>
    </w:p>
    <w:p>
      <w:pPr>
        <w:ind w:left="864" w:hanging="864"/>
        <w:spacing w:after="0"/>
        <w:tabs>
          <w:tab w:leader="none" w:pos="864" w:val="left"/>
        </w:tabs>
        <w:numPr>
          <w:ilvl w:val="0"/>
          <w:numId w:val="695"/>
        </w:numPr>
        <w:rPr>
          <w:rFonts w:ascii="Arial" w:cs="Arial" w:eastAsia="Arial" w:hAnsi="Arial"/>
          <w:sz w:val="22"/>
          <w:szCs w:val="22"/>
          <w:b w:val="1"/>
          <w:bCs w:val="1"/>
          <w:color w:val="auto"/>
        </w:rPr>
      </w:pPr>
      <w:r>
        <w:rPr>
          <w:rFonts w:ascii="Arial" w:cs="Arial" w:eastAsia="Arial" w:hAnsi="Arial"/>
          <w:sz w:val="22"/>
          <w:szCs w:val="22"/>
          <w:u w:val="single" w:color="auto"/>
          <w:color w:val="auto"/>
        </w:rPr>
        <w:t>Rights to Collateral</w:t>
      </w:r>
      <w:r>
        <w:rPr>
          <w:rFonts w:ascii="Arial" w:cs="Arial" w:eastAsia="Arial" w:hAnsi="Arial"/>
          <w:sz w:val="22"/>
          <w:szCs w:val="22"/>
          <w:color w:val="auto"/>
        </w:rPr>
        <w:t xml:space="preserve"> .</w:t>
      </w:r>
    </w:p>
    <w:p>
      <w:pPr>
        <w:spacing w:after="0" w:line="179" w:lineRule="exact"/>
        <w:rPr>
          <w:rFonts w:ascii="Arial" w:cs="Arial" w:eastAsia="Arial" w:hAnsi="Arial"/>
          <w:sz w:val="22"/>
          <w:szCs w:val="22"/>
          <w:b w:val="1"/>
          <w:bCs w:val="1"/>
          <w:color w:val="auto"/>
        </w:rPr>
      </w:pPr>
    </w:p>
    <w:p>
      <w:pPr>
        <w:jc w:val="both"/>
        <w:ind w:left="4" w:firstLine="644"/>
        <w:spacing w:after="0" w:line="241" w:lineRule="auto"/>
        <w:tabs>
          <w:tab w:leader="none" w:pos="1517" w:val="left"/>
        </w:tabs>
        <w:numPr>
          <w:ilvl w:val="1"/>
          <w:numId w:val="695"/>
        </w:numPr>
        <w:rPr>
          <w:rFonts w:ascii="Arial" w:cs="Arial" w:eastAsia="Arial" w:hAnsi="Arial"/>
          <w:sz w:val="19"/>
          <w:szCs w:val="19"/>
          <w:color w:val="auto"/>
        </w:rPr>
      </w:pPr>
      <w:r>
        <w:rPr>
          <w:rFonts w:ascii="Arial" w:cs="Arial" w:eastAsia="Arial" w:hAnsi="Arial"/>
          <w:sz w:val="19"/>
          <w:szCs w:val="19"/>
          <w:color w:val="auto"/>
        </w:rPr>
        <w:t xml:space="preserve">The Non-Lender Secured Parties shall not have any right whatsoever to do any of the following: (A) exercise any rights or remedies with respect to the Aircraft Collateral or to direct the Trustee to do the same, including, without limitation, the right to (1) enforce any Liens or sell or otherwise foreclose on any portion of the Aircraft Collateral, (2) request any action, institute any proceedings, exercise any voting rights, give any instructions, make any election or make collections with respect to all or any portion of the Aircraft Collateral or (3) release the Grantor under this Aircraft Security Agreement or release any Aircraft Collateral from the Liens of any Collateral Document or consent to or otherwise approve any such release; (B) demand, accept or obtain any Lien on any Aircraft Collateral (except for Liens arising under, and subject to the terms of, this Aircraft Security Agreement); (C) vote in any Bankruptcy Case or similar proceeding in respect of Parent or any of its Subsidiaries (any such proceeding, for purposes of this clause (i), a “ </w:t>
      </w:r>
      <w:r>
        <w:rPr>
          <w:rFonts w:ascii="Arial" w:cs="Arial" w:eastAsia="Arial" w:hAnsi="Arial"/>
          <w:sz w:val="19"/>
          <w:szCs w:val="19"/>
          <w:u w:val="single" w:color="auto"/>
          <w:color w:val="auto"/>
        </w:rPr>
        <w:t>Bankruptcy</w:t>
      </w:r>
      <w:r>
        <w:rPr>
          <w:rFonts w:ascii="Arial" w:cs="Arial" w:eastAsia="Arial" w:hAnsi="Arial"/>
          <w:sz w:val="19"/>
          <w:szCs w:val="19"/>
          <w:color w:val="auto"/>
        </w:rPr>
        <w:t xml:space="preserve"> ”) with respect to, or take any other actions concerning the Aircraft Collateral; (D) receive any proceeds from any sale, transfer or other disposition of any of the Aircraft Collateral (except in accordance with this Aircraft Security Agreement); (E) oppose any sale, transfer or other disposition of the Aircraft Collateral; (F) object to any debtor-in-possession financing in any Bankruptcy which is provided by one or more Lenders among others (including on a priming basis under Section 364(d) of the Bankruptcy Code); (G) object to the use of cash collateral in respect of the Aircraft Collateral in any Bankruptcy; or (H) seek, or object to the Lenders, the Administrative Agent, the Collateral Agent or the Trustee seeking on an equal and ratable basis, any adequate protection or relief from the automatic stay with respect to the Aircraft Collateral in any Bankruptcy.</w:t>
      </w:r>
    </w:p>
    <w:p>
      <w:pPr>
        <w:spacing w:after="0" w:line="377" w:lineRule="exact"/>
        <w:rPr>
          <w:rFonts w:ascii="Arial" w:cs="Arial" w:eastAsia="Arial" w:hAnsi="Arial"/>
          <w:sz w:val="19"/>
          <w:szCs w:val="19"/>
          <w:color w:val="auto"/>
        </w:rPr>
      </w:pPr>
    </w:p>
    <w:p>
      <w:pPr>
        <w:jc w:val="both"/>
        <w:ind w:left="4" w:firstLine="644"/>
        <w:spacing w:after="0" w:line="241" w:lineRule="auto"/>
        <w:tabs>
          <w:tab w:leader="none" w:pos="1529" w:val="left"/>
        </w:tabs>
        <w:numPr>
          <w:ilvl w:val="1"/>
          <w:numId w:val="695"/>
        </w:numPr>
        <w:rPr>
          <w:rFonts w:ascii="Arial" w:cs="Arial" w:eastAsia="Arial" w:hAnsi="Arial"/>
          <w:sz w:val="19"/>
          <w:szCs w:val="19"/>
          <w:color w:val="auto"/>
        </w:rPr>
      </w:pPr>
      <w:r>
        <w:rPr>
          <w:rFonts w:ascii="Arial" w:cs="Arial" w:eastAsia="Arial" w:hAnsi="Arial"/>
          <w:sz w:val="19"/>
          <w:szCs w:val="19"/>
          <w:color w:val="auto"/>
        </w:rPr>
        <w:t>Each Non-Lender Secured Party, by its acceptance of the benefits of this Aircraft Security Agreement and the other Collateral Documents, agrees that in exercising rights and remedies with respect to the Aircraft Collateral, the Trustee, the Collateral Agent and the Lenders, with the consent of the Collateral Agent, may enforce the provisions of the Collateral Documents and exercise remedies thereunder and under any other Loan Documents (or refrain from enforcing rights and exercising remedies), all in such order and in such manner as they may determine in the exercise of their sole business judgment and subject to the terms of any Intercreditor Agreement and any Other Intercreditor Agreement. Such exercise and enforcement shall include, without limitation, the rights to collect, sell, dispose of or otherwise realize upon all or any part of the Collateral, to incur expenses in connection with such collection, sale, disposition or other realization and to exercise all the rights and remedies of a secured lender under the UCC. The Non-Lender Secured Parties by their acceptance of the benefits of this Aircraft Security Agreement and the other Collateral Documents hereby agree not to contest or otherwise challenge any such collection, sale, disposition or other realization of or upon all or any of the Aircraft Collateral. Whether or not a Bankruptcy Case has been commenced, the Non-Lender Secured Parties shall be deemed to have consented to any sale or other disposition of any property, business or assets of Parent or any of its Subsidiaries and the release of any or all of the Aircraft Collateral from the Liens of any Collateral Document in connection therewith.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744"/>
        <w:spacing w:after="0"/>
        <w:rPr>
          <w:sz w:val="20"/>
          <w:szCs w:val="20"/>
          <w:color w:val="auto"/>
        </w:rPr>
      </w:pPr>
      <w:r>
        <w:rPr>
          <w:rFonts w:ascii="Arial" w:cs="Arial" w:eastAsia="Arial" w:hAnsi="Arial"/>
          <w:sz w:val="22"/>
          <w:szCs w:val="22"/>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67310</wp:posOffset>
            </wp:positionV>
            <wp:extent cx="7132320"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52" w:right="339" w:bottom="1440" w:gutter="0" w:footer="0" w:header="0"/>
        </w:sectPr>
      </w:pPr>
    </w:p>
    <w:bookmarkStart w:id="526" w:name="page527"/>
    <w:bookmarkEnd w:id="526"/>
    <w:p>
      <w:pPr>
        <w:jc w:val="both"/>
        <w:ind w:left="660" w:firstLine="644"/>
        <w:spacing w:after="0" w:line="244" w:lineRule="auto"/>
        <w:tabs>
          <w:tab w:leader="none" w:pos="2160" w:val="left"/>
        </w:tabs>
        <w:numPr>
          <w:ilvl w:val="1"/>
          <w:numId w:val="696"/>
        </w:numPr>
        <w:rPr>
          <w:rFonts w:ascii="Arial" w:cs="Arial" w:eastAsia="Arial" w:hAnsi="Arial"/>
          <w:sz w:val="19"/>
          <w:szCs w:val="19"/>
          <w:color w:val="auto"/>
        </w:rPr>
      </w:pPr>
      <w:r>
        <w:rPr>
          <w:rFonts w:ascii="Arial" w:cs="Arial" w:eastAsia="Arial" w:hAnsi="Arial"/>
          <w:sz w:val="19"/>
          <w:szCs w:val="19"/>
          <w:color w:val="auto"/>
        </w:rPr>
        <w:t>Notwithstanding any provision of this Section 7.05(a), the Non- Lender Secured Parties shall be entitled, subject to any Intercreditor Agreement and any Other Intercreditor Agreement, to file any necessary responsive or defensive pleadings in opposition to any motion, claim, adversary proceeding or other pleadings (A) in order to prevent any Person from seeking to foreclose on the Aircraft Collateral or supersede the Non-Lender Secured Parties’ claim thereto or (B) in opposition to any motion, claim, adversary proceeding or other pleading made by any Person objecting to or otherwise seeking the disallowance of the claims of the Non-Lender Secured Parties. Each Non-Lender Secured Party, by its acceptance of the benefits of this Aircraft Security Agreement, agrees to be bound by and to comply with any Intercreditor Agreement and any Other Intercreditor Agreement and authorizes the Trustee to enter into the Intercreditor Agreements and Other Intercreditor Agreements on its behalf.</w:t>
      </w:r>
    </w:p>
    <w:p>
      <w:pPr>
        <w:spacing w:after="0" w:line="160" w:lineRule="exact"/>
        <w:rPr>
          <w:rFonts w:ascii="Arial" w:cs="Arial" w:eastAsia="Arial" w:hAnsi="Arial"/>
          <w:sz w:val="19"/>
          <w:szCs w:val="19"/>
          <w:color w:val="auto"/>
        </w:rPr>
      </w:pPr>
    </w:p>
    <w:p>
      <w:pPr>
        <w:jc w:val="both"/>
        <w:ind w:left="660" w:firstLine="644"/>
        <w:spacing w:after="0" w:line="216" w:lineRule="auto"/>
        <w:tabs>
          <w:tab w:leader="none" w:pos="2185" w:val="left"/>
        </w:tabs>
        <w:numPr>
          <w:ilvl w:val="1"/>
          <w:numId w:val="696"/>
        </w:numPr>
        <w:rPr>
          <w:rFonts w:ascii="Arial" w:cs="Arial" w:eastAsia="Arial" w:hAnsi="Arial"/>
          <w:sz w:val="22"/>
          <w:szCs w:val="22"/>
          <w:color w:val="auto"/>
        </w:rPr>
      </w:pPr>
      <w:r>
        <w:rPr>
          <w:rFonts w:ascii="Arial" w:cs="Arial" w:eastAsia="Arial" w:hAnsi="Arial"/>
          <w:sz w:val="22"/>
          <w:szCs w:val="22"/>
          <w:color w:val="auto"/>
        </w:rPr>
        <w:t>Each Non-Lender Secured Party, by its acceptance of the benefits of this Aircraft Security Agreement, agrees that the Collateral Agent and the Lenders may deal with the Aircraft Collateral, including any exchange, taking or release of Aircraft Collateral, may change or increase the amount of the Obligations, and may release any Grantor from its Obligations hereunder, all without any liability or obligation (except as may be otherwise expressly provided herein) to the Non-Lender Secured Parties.</w:t>
      </w:r>
    </w:p>
    <w:p>
      <w:pPr>
        <w:spacing w:after="0" w:line="157" w:lineRule="exact"/>
        <w:rPr>
          <w:rFonts w:ascii="Arial" w:cs="Arial" w:eastAsia="Arial" w:hAnsi="Arial"/>
          <w:sz w:val="22"/>
          <w:szCs w:val="22"/>
          <w:color w:val="auto"/>
        </w:rPr>
      </w:pPr>
    </w:p>
    <w:p>
      <w:pPr>
        <w:jc w:val="both"/>
        <w:ind w:firstLine="656"/>
        <w:spacing w:after="0" w:line="244" w:lineRule="auto"/>
        <w:tabs>
          <w:tab w:leader="none" w:pos="1539" w:val="left"/>
        </w:tabs>
        <w:numPr>
          <w:ilvl w:val="0"/>
          <w:numId w:val="697"/>
        </w:numPr>
        <w:rPr>
          <w:rFonts w:ascii="Arial" w:cs="Arial" w:eastAsia="Arial" w:hAnsi="Arial"/>
          <w:sz w:val="19"/>
          <w:szCs w:val="19"/>
          <w:b w:val="1"/>
          <w:bCs w:val="1"/>
          <w:color w:val="auto"/>
        </w:rPr>
      </w:pPr>
      <w:r>
        <w:rPr>
          <w:rFonts w:ascii="Arial" w:cs="Arial" w:eastAsia="Arial" w:hAnsi="Arial"/>
          <w:sz w:val="19"/>
          <w:szCs w:val="19"/>
          <w:u w:val="single" w:color="auto"/>
          <w:color w:val="auto"/>
        </w:rPr>
        <w:t>Appointment of Agent</w:t>
      </w:r>
      <w:r>
        <w:rPr>
          <w:rFonts w:ascii="Arial" w:cs="Arial" w:eastAsia="Arial" w:hAnsi="Arial"/>
          <w:sz w:val="19"/>
          <w:szCs w:val="19"/>
          <w:color w:val="auto"/>
        </w:rPr>
        <w:t xml:space="preserve"> . Each Non-Lender Secured Party, by its acceptance of the benefits of this Aircraft Security Agreement and the other Collateral Documents, shall be deemed irrevocably to make, constitute and appoint the Trustee, as agent of the Collateral Agent under the Credit Agreement (and all officers, employees or agents designated by the Trustee) as such Person’s true and lawful agent and attorney-in-fact, and in such capacity, the Trustee shall have the right, with power of substitution for the Non-Lender Secured Parties and in each such Person’s name or otherwise, to effectuate any sale, transfer or other disposition of the Aircraft Collateral. It is understood and agreed that the appointment of the Trustee as the agent and attorney-in-fact of the Non-Lender Secured Parties for the purposes set forth herein is coupled with an interest and is irrevocable. It is understood and agreed that the Trustee has appointed the Administrative Agent as its agent for purposes of perfecting certain of the security interests created hereunder and for otherwise carrying out certain of its obligations hereunder.</w:t>
      </w:r>
    </w:p>
    <w:p>
      <w:pPr>
        <w:spacing w:after="0" w:line="160" w:lineRule="exact"/>
        <w:rPr>
          <w:rFonts w:ascii="Arial" w:cs="Arial" w:eastAsia="Arial" w:hAnsi="Arial"/>
          <w:sz w:val="19"/>
          <w:szCs w:val="19"/>
          <w:b w:val="1"/>
          <w:bCs w:val="1"/>
          <w:color w:val="auto"/>
        </w:rPr>
      </w:pPr>
    </w:p>
    <w:p>
      <w:pPr>
        <w:jc w:val="both"/>
        <w:ind w:firstLine="656"/>
        <w:spacing w:after="0" w:line="243" w:lineRule="auto"/>
        <w:tabs>
          <w:tab w:leader="none" w:pos="1512" w:val="left"/>
        </w:tabs>
        <w:numPr>
          <w:ilvl w:val="0"/>
          <w:numId w:val="697"/>
        </w:numPr>
        <w:rPr>
          <w:rFonts w:ascii="Arial" w:cs="Arial" w:eastAsia="Arial" w:hAnsi="Arial"/>
          <w:sz w:val="19"/>
          <w:szCs w:val="19"/>
          <w:b w:val="1"/>
          <w:bCs w:val="1"/>
          <w:color w:val="auto"/>
        </w:rPr>
      </w:pPr>
      <w:r>
        <w:rPr>
          <w:rFonts w:ascii="Arial" w:cs="Arial" w:eastAsia="Arial" w:hAnsi="Arial"/>
          <w:sz w:val="19"/>
          <w:szCs w:val="19"/>
          <w:u w:val="single" w:color="auto"/>
          <w:color w:val="auto"/>
        </w:rPr>
        <w:t>Waiver of Claims</w:t>
      </w:r>
      <w:r>
        <w:rPr>
          <w:rFonts w:ascii="Arial" w:cs="Arial" w:eastAsia="Arial" w:hAnsi="Arial"/>
          <w:sz w:val="19"/>
          <w:szCs w:val="19"/>
          <w:color w:val="auto"/>
        </w:rPr>
        <w:t xml:space="preserve"> . To the maximum extent permitted by law, each Non-Lender Secured Party waives any claim it might have against the Trustee, the Collateral Agent or the Lenders with respect to, or arising out of, any action or failure to act or any error of judgment, negligence, or mistake or oversight whatsoever on the part of the Trustee, the Collateral Agent or the Lenders or their respective directors, officers, employees or agents with respect to any exercise of rights or remedies under the Loan Documents or any transaction relating to the Aircraft Collateral (including, without limitation, any such exercise described in </w:t>
      </w:r>
      <w:r>
        <w:rPr>
          <w:rFonts w:ascii="Arial" w:cs="Arial" w:eastAsia="Arial" w:hAnsi="Arial"/>
          <w:sz w:val="19"/>
          <w:szCs w:val="19"/>
          <w:u w:val="single" w:color="auto"/>
          <w:color w:val="auto"/>
        </w:rPr>
        <w:t>Section 7.05(a)(ii))</w:t>
      </w:r>
      <w:r>
        <w:rPr>
          <w:rFonts w:ascii="Arial" w:cs="Arial" w:eastAsia="Arial" w:hAnsi="Arial"/>
          <w:sz w:val="19"/>
          <w:szCs w:val="19"/>
          <w:color w:val="auto"/>
        </w:rPr>
        <w:t xml:space="preserve"> , except for any such action or failure to act that constitutes willful misconduct or gross negligence of such Person. To the maximum extent permitted by applicable law, none of the Trustee, the Collateral Agent or any Lender or any of their respective directors, officers, employees or agents shall be liable for failure to demand, collect or realize upon any of the Aircraft Collateral or for any delay in doing so or shall be under any obligation to sell or otherwise dispose of any Aircraft Collateral upon the request of Parent, any Subsidiary of Parent, any Non- Lender Secured Party or any other Person or to take any other action or forbear from doing so whatsoever with regard to the Aircraft Collateral or any part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27" w:name="page528"/>
    <w:bookmarkEnd w:id="527"/>
    <w:p>
      <w:pPr>
        <w:spacing w:after="0"/>
        <w:rPr>
          <w:sz w:val="20"/>
          <w:szCs w:val="20"/>
          <w:color w:val="auto"/>
        </w:rPr>
      </w:pPr>
      <w:r>
        <w:rPr>
          <w:rFonts w:ascii="Arial" w:cs="Arial" w:eastAsia="Arial" w:hAnsi="Arial"/>
          <w:sz w:val="21"/>
          <w:szCs w:val="21"/>
          <w:color w:val="auto"/>
        </w:rPr>
        <w:t>thereof, except for any such action or failure to act that constitutes willful misconduct or gross negligence of such Person.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9" w:lineRule="exact"/>
        <w:rPr>
          <w:sz w:val="20"/>
          <w:szCs w:val="20"/>
          <w:color w:val="auto"/>
        </w:rPr>
      </w:pPr>
    </w:p>
    <w:p>
      <w:pPr>
        <w:jc w:val="both"/>
        <w:ind w:left="660" w:firstLine="644"/>
        <w:spacing w:after="0" w:line="223" w:lineRule="auto"/>
        <w:tabs>
          <w:tab w:leader="none" w:pos="2247" w:val="left"/>
        </w:tabs>
        <w:numPr>
          <w:ilvl w:val="1"/>
          <w:numId w:val="698"/>
        </w:numPr>
        <w:rPr>
          <w:rFonts w:ascii="Arial" w:cs="Arial" w:eastAsia="Arial" w:hAnsi="Arial"/>
          <w:sz w:val="22"/>
          <w:szCs w:val="22"/>
          <w:b w:val="1"/>
          <w:bCs w:val="1"/>
          <w:color w:val="auto"/>
        </w:rPr>
      </w:pPr>
      <w:r>
        <w:rPr>
          <w:rFonts w:ascii="Arial" w:cs="Arial" w:eastAsia="Arial" w:hAnsi="Arial"/>
          <w:sz w:val="22"/>
          <w:szCs w:val="22"/>
          <w:color w:val="auto"/>
        </w:rPr>
        <w:t xml:space="preserve">Termination of this Aircraft Security Agreement. Subject to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7.04</w:t>
      </w:r>
      <w:r>
        <w:rPr>
          <w:rFonts w:ascii="Arial" w:cs="Arial" w:eastAsia="Arial" w:hAnsi="Arial"/>
          <w:sz w:val="22"/>
          <w:szCs w:val="22"/>
          <w:color w:val="auto"/>
        </w:rPr>
        <w:t xml:space="preserve"> (and without in any way limiting provisions regarding any release of the Lien of this Aircraft Security Agreement contained in such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7.04</w:t>
      </w:r>
      <w:r>
        <w:rPr>
          <w:rFonts w:ascii="Arial" w:cs="Arial" w:eastAsia="Arial" w:hAnsi="Arial"/>
          <w:sz w:val="22"/>
          <w:szCs w:val="22"/>
          <w:color w:val="auto"/>
        </w:rPr>
        <w:t xml:space="preserve"> , as applicable):</w:t>
      </w:r>
    </w:p>
    <w:p>
      <w:pPr>
        <w:spacing w:after="0" w:line="158" w:lineRule="exact"/>
        <w:rPr>
          <w:rFonts w:ascii="Arial" w:cs="Arial" w:eastAsia="Arial" w:hAnsi="Arial"/>
          <w:sz w:val="22"/>
          <w:szCs w:val="22"/>
          <w:b w:val="1"/>
          <w:bCs w:val="1"/>
          <w:color w:val="auto"/>
        </w:rPr>
      </w:pPr>
    </w:p>
    <w:p>
      <w:pPr>
        <w:jc w:val="both"/>
        <w:ind w:firstLine="656"/>
        <w:spacing w:after="0" w:line="246" w:lineRule="auto"/>
        <w:tabs>
          <w:tab w:leader="none" w:pos="1512" w:val="left"/>
        </w:tabs>
        <w:numPr>
          <w:ilvl w:val="0"/>
          <w:numId w:val="699"/>
        </w:numPr>
        <w:rPr>
          <w:rFonts w:ascii="Arial" w:cs="Arial" w:eastAsia="Arial" w:hAnsi="Arial"/>
          <w:sz w:val="19"/>
          <w:szCs w:val="19"/>
          <w:b w:val="1"/>
          <w:bCs w:val="1"/>
          <w:color w:val="auto"/>
        </w:rPr>
      </w:pPr>
      <w:r>
        <w:rPr>
          <w:rFonts w:ascii="Arial" w:cs="Arial" w:eastAsia="Arial" w:hAnsi="Arial"/>
          <w:sz w:val="19"/>
          <w:szCs w:val="19"/>
          <w:color w:val="auto"/>
        </w:rPr>
        <w:t>At such time as the Obligations (other than any Obligations owing to a Non-Lender Secured Party) then due and owing shall have been paid in full, the Commitments under the Credit Agreement have been terminated, all Aircraft Collateral shall be automatically released from the Liens created hereby, and this Aircraft Security Agreement and all obligations (other than those expressly stated to survive such termination) of the Trustee and the Grantor shall automatically terminate, all without delivery of any instrument or performance of any act by any party, and all rights to the Aircraft Collateral shall revert to the Grantor. At the request and sole expense of the Grantor following any such termination, the Trustee shall promptly execute, acknowledge and deliver to the Grantor such releases, instruments or other documents and do or cause to be done all other acts, as the Grantor shall reasonably request to evidence such termination.</w:t>
      </w:r>
    </w:p>
    <w:p>
      <w:pPr>
        <w:spacing w:after="0" w:line="152" w:lineRule="exact"/>
        <w:rPr>
          <w:rFonts w:ascii="Arial" w:cs="Arial" w:eastAsia="Arial" w:hAnsi="Arial"/>
          <w:sz w:val="19"/>
          <w:szCs w:val="19"/>
          <w:b w:val="1"/>
          <w:bCs w:val="1"/>
          <w:color w:val="auto"/>
        </w:rPr>
      </w:pPr>
    </w:p>
    <w:p>
      <w:pPr>
        <w:jc w:val="both"/>
        <w:ind w:firstLine="656"/>
        <w:spacing w:after="0" w:line="244" w:lineRule="auto"/>
        <w:tabs>
          <w:tab w:leader="none" w:pos="1512" w:val="left"/>
        </w:tabs>
        <w:numPr>
          <w:ilvl w:val="0"/>
          <w:numId w:val="699"/>
        </w:numPr>
        <w:rPr>
          <w:rFonts w:ascii="Arial" w:cs="Arial" w:eastAsia="Arial" w:hAnsi="Arial"/>
          <w:sz w:val="19"/>
          <w:szCs w:val="19"/>
          <w:b w:val="1"/>
          <w:bCs w:val="1"/>
          <w:color w:val="auto"/>
        </w:rPr>
      </w:pPr>
      <w:r>
        <w:rPr>
          <w:rFonts w:ascii="Arial" w:cs="Arial" w:eastAsia="Arial" w:hAnsi="Arial"/>
          <w:sz w:val="19"/>
          <w:szCs w:val="19"/>
          <w:color w:val="auto"/>
        </w:rPr>
        <w:t>Upon any Permitted Disposition of Aircraft Collateral (whether by way of the sale of Aircraft Collateral or the sale of Capital Stock of the Grantor of such Aircraft Collateral) permitted by the Credit Agreement, the Lien pursuant to this Aircraft Security Agreement on the Aircraft Collateral subject to such sale or other disposition (or in the case of a sale of Capital Stock of the Grantor, the Grantor’s Aircraft Collateral) shall be automatically released. In connection with any other Disposition of Aircraft Collateral (whether by way of the sale of Aircraft Collateral or the sale of Capital Stock of the Grantor of such Aircraft Collateral) permitted under the Credit Agreement, the Trustee shall, upon receipt from the Grantor of a written request for the release of the Aircraft Collateral subject to such sale or other disposition (or in the case of a sale of Capital Stock of the Grantor, the release of the Grantor’s Aircraft Collateral), at the Grantor’s sole cost and expense, execute, acknowledge and deliver to the Grantor such releases, instruments or other documents, and do or cause to be done all other acts, as the Grantor shall reasonably request to evidence or effect the release of the Liens created hereby (if any) on such Aircraft Collateral.</w:t>
      </w:r>
    </w:p>
    <w:p>
      <w:pPr>
        <w:spacing w:after="0" w:line="155" w:lineRule="exact"/>
        <w:rPr>
          <w:sz w:val="20"/>
          <w:szCs w:val="20"/>
          <w:color w:val="auto"/>
        </w:rPr>
      </w:pPr>
    </w:p>
    <w:p>
      <w:pPr>
        <w:jc w:val="both"/>
        <w:ind w:firstLine="656"/>
        <w:spacing w:after="0" w:line="216" w:lineRule="auto"/>
        <w:tabs>
          <w:tab w:leader="none" w:pos="1548" w:val="left"/>
        </w:tabs>
        <w:numPr>
          <w:ilvl w:val="0"/>
          <w:numId w:val="700"/>
        </w:numPr>
        <w:rPr>
          <w:rFonts w:ascii="Arial" w:cs="Arial" w:eastAsia="Arial" w:hAnsi="Arial"/>
          <w:sz w:val="22"/>
          <w:szCs w:val="22"/>
          <w:b w:val="1"/>
          <w:bCs w:val="1"/>
          <w:color w:val="auto"/>
        </w:rPr>
      </w:pPr>
      <w:r>
        <w:rPr>
          <w:rFonts w:ascii="Arial" w:cs="Arial" w:eastAsia="Arial" w:hAnsi="Arial"/>
          <w:sz w:val="22"/>
          <w:szCs w:val="22"/>
          <w:color w:val="auto"/>
        </w:rPr>
        <w:t>No Legal Title to Aircraft Collateral in the Secured Parties. No holder of any Obligation shall have legal title to any part of the Aircraft Collateral. No transfer, by operation of law or otherwise, of any Obligations or other right, title and interest of any Secured Party in and to the Aircraft Collateral or hereunder shall operate to terminate this Aircraft Security Agreement or entitle such holder or any successor or transferee of such holder to an accounting or to the transfer to it of any legal title to any part of the Aircraft Collateral.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28" w:name="page529"/>
    <w:bookmarkEnd w:id="528"/>
    <w:p>
      <w:pPr>
        <w:jc w:val="both"/>
        <w:ind w:firstLine="656"/>
        <w:spacing w:after="0" w:line="249" w:lineRule="auto"/>
        <w:tabs>
          <w:tab w:leader="none" w:pos="1560" w:val="left"/>
        </w:tabs>
        <w:numPr>
          <w:ilvl w:val="0"/>
          <w:numId w:val="701"/>
        </w:numPr>
        <w:rPr>
          <w:rFonts w:ascii="Arial" w:cs="Arial" w:eastAsia="Arial" w:hAnsi="Arial"/>
          <w:sz w:val="19"/>
          <w:szCs w:val="19"/>
          <w:b w:val="1"/>
          <w:bCs w:val="1"/>
          <w:color w:val="auto"/>
        </w:rPr>
      </w:pPr>
      <w:r>
        <w:rPr>
          <w:rFonts w:ascii="Arial" w:cs="Arial" w:eastAsia="Arial" w:hAnsi="Arial"/>
          <w:sz w:val="19"/>
          <w:szCs w:val="19"/>
          <w:color w:val="auto"/>
        </w:rPr>
        <w:t>Sale by the Trustee Is Binding. Any sale or other conveyance of any Aircraft, the related Airframe, any related Engine or any interest therein by the Trustee made pursuant to the terms of this Aircraft Security Agreement shall bind the Secured Parties and the Grantor and shall be effective to transfer or convey all right, title and interest of the Trustee, the Grantor and such Secured Parties in and to such Aircraft, Airframe, Engine or interest therein. No purchaser or other grantee shall be required to inquire as to the authorization, necessity, expediency or regularity of such sale or conveyance or as to the application of any sale or other proceeds with respect thereto by the Trustee or the other Secured Parties.</w:t>
      </w:r>
    </w:p>
    <w:p>
      <w:pPr>
        <w:spacing w:after="0" w:line="151" w:lineRule="exact"/>
        <w:rPr>
          <w:rFonts w:ascii="Arial" w:cs="Arial" w:eastAsia="Arial" w:hAnsi="Arial"/>
          <w:sz w:val="19"/>
          <w:szCs w:val="19"/>
          <w:b w:val="1"/>
          <w:bCs w:val="1"/>
          <w:color w:val="auto"/>
        </w:rPr>
      </w:pPr>
    </w:p>
    <w:p>
      <w:pPr>
        <w:jc w:val="both"/>
        <w:ind w:firstLine="656"/>
        <w:spacing w:after="0" w:line="226" w:lineRule="auto"/>
        <w:tabs>
          <w:tab w:leader="none" w:pos="1587" w:val="left"/>
        </w:tabs>
        <w:numPr>
          <w:ilvl w:val="0"/>
          <w:numId w:val="701"/>
        </w:numPr>
        <w:rPr>
          <w:rFonts w:ascii="Arial" w:cs="Arial" w:eastAsia="Arial" w:hAnsi="Arial"/>
          <w:sz w:val="21"/>
          <w:szCs w:val="21"/>
          <w:b w:val="1"/>
          <w:bCs w:val="1"/>
          <w:color w:val="auto"/>
        </w:rPr>
      </w:pPr>
      <w:r>
        <w:rPr>
          <w:rFonts w:ascii="Arial" w:cs="Arial" w:eastAsia="Arial" w:hAnsi="Arial"/>
          <w:sz w:val="21"/>
          <w:szCs w:val="21"/>
          <w:color w:val="auto"/>
        </w:rPr>
        <w:t>This Aircraft Security Agreement for the Benefit of the Grantor, the Trustee, the Collateral Agent and the Secured Parties. Nothing in this Aircraft Security Agreement, whether express or implied, shall be construed to give any Person other than the Grantor, the Trustee, the Collateral Agent and the other Secured Parties any legal or equitable right, remedy or claim under or in respect of this Aircraft Security Agreement, except that the Persons referred to in the second to last full paragraph of Section 6.01(a) shall be third party beneficiaries of such paragraph.</w:t>
      </w:r>
    </w:p>
    <w:p>
      <w:pPr>
        <w:spacing w:after="0" w:line="159" w:lineRule="exact"/>
        <w:rPr>
          <w:rFonts w:ascii="Arial" w:cs="Arial" w:eastAsia="Arial" w:hAnsi="Arial"/>
          <w:sz w:val="21"/>
          <w:szCs w:val="21"/>
          <w:b w:val="1"/>
          <w:bCs w:val="1"/>
          <w:color w:val="auto"/>
        </w:rPr>
      </w:pPr>
    </w:p>
    <w:p>
      <w:pPr>
        <w:ind w:left="1560" w:hanging="904"/>
        <w:spacing w:after="0"/>
        <w:tabs>
          <w:tab w:leader="none" w:pos="1560" w:val="left"/>
        </w:tabs>
        <w:numPr>
          <w:ilvl w:val="0"/>
          <w:numId w:val="701"/>
        </w:numPr>
        <w:rPr>
          <w:rFonts w:ascii="Arial" w:cs="Arial" w:eastAsia="Arial" w:hAnsi="Arial"/>
          <w:sz w:val="22"/>
          <w:szCs w:val="22"/>
          <w:b w:val="1"/>
          <w:bCs w:val="1"/>
          <w:color w:val="auto"/>
        </w:rPr>
      </w:pPr>
      <w:r>
        <w:rPr>
          <w:rFonts w:ascii="Arial" w:cs="Arial" w:eastAsia="Arial" w:hAnsi="Arial"/>
          <w:sz w:val="22"/>
          <w:szCs w:val="22"/>
          <w:color w:val="auto"/>
        </w:rPr>
        <w:t>Notices.</w:t>
      </w:r>
    </w:p>
    <w:p>
      <w:pPr>
        <w:spacing w:after="0" w:line="179" w:lineRule="exact"/>
        <w:rPr>
          <w:sz w:val="20"/>
          <w:szCs w:val="20"/>
          <w:color w:val="auto"/>
        </w:rPr>
      </w:pPr>
    </w:p>
    <w:p>
      <w:pPr>
        <w:jc w:val="both"/>
        <w:ind w:firstLine="656"/>
        <w:spacing w:after="0" w:line="218" w:lineRule="auto"/>
        <w:tabs>
          <w:tab w:leader="none" w:pos="1539" w:val="left"/>
        </w:tabs>
        <w:numPr>
          <w:ilvl w:val="0"/>
          <w:numId w:val="702"/>
        </w:numPr>
        <w:rPr>
          <w:rFonts w:ascii="Arial" w:cs="Arial" w:eastAsia="Arial" w:hAnsi="Arial"/>
          <w:sz w:val="22"/>
          <w:szCs w:val="22"/>
          <w:b w:val="1"/>
          <w:bCs w:val="1"/>
          <w:color w:val="auto"/>
        </w:rPr>
      </w:pPr>
      <w:r>
        <w:rPr>
          <w:rFonts w:ascii="Arial" w:cs="Arial" w:eastAsia="Arial" w:hAnsi="Arial"/>
          <w:sz w:val="22"/>
          <w:szCs w:val="22"/>
          <w:color w:val="auto"/>
        </w:rPr>
        <w:t>Except in the case of notices and other communications expressly permitted to be given by telephone (and subject to paragraph (b) below), all notices and other communications provided for herein shall be in writing (including by facsimile or electronic mail), and shall be delivered by hand or overnight courier service, mailed by certified or registered mail or sent by facsimile, as follows:</w:t>
      </w:r>
    </w:p>
    <w:p>
      <w:pPr>
        <w:spacing w:after="0" w:line="160" w:lineRule="exact"/>
        <w:rPr>
          <w:rFonts w:ascii="Arial" w:cs="Arial" w:eastAsia="Arial" w:hAnsi="Arial"/>
          <w:sz w:val="22"/>
          <w:szCs w:val="22"/>
          <w:b w:val="1"/>
          <w:bCs w:val="1"/>
          <w:color w:val="auto"/>
        </w:rPr>
      </w:pPr>
    </w:p>
    <w:p>
      <w:pPr>
        <w:jc w:val="both"/>
        <w:ind w:left="660" w:firstLine="644"/>
        <w:spacing w:after="0" w:line="247" w:lineRule="auto"/>
        <w:tabs>
          <w:tab w:leader="none" w:pos="2160" w:val="left"/>
        </w:tabs>
        <w:numPr>
          <w:ilvl w:val="1"/>
          <w:numId w:val="702"/>
        </w:numPr>
        <w:rPr>
          <w:rFonts w:ascii="Arial" w:cs="Arial" w:eastAsia="Arial" w:hAnsi="Arial"/>
          <w:sz w:val="19"/>
          <w:szCs w:val="19"/>
          <w:color w:val="auto"/>
        </w:rPr>
      </w:pPr>
      <w:r>
        <w:rPr>
          <w:rFonts w:ascii="Arial" w:cs="Arial" w:eastAsia="Arial" w:hAnsi="Arial"/>
          <w:sz w:val="19"/>
          <w:szCs w:val="19"/>
          <w:color w:val="auto"/>
        </w:rPr>
        <w:t>if to the Grantor, to it at [ ], Facsimile No.: [ ], email: [ ]; in each case Attention: [ ]; with copies (which shall not constitute notice) to: Latham &amp; Watkins LLP, 885 Third Avenue, New York, NY 10022, facsimile: ###;</w:t>
      </w:r>
    </w:p>
    <w:p>
      <w:pPr>
        <w:ind w:left="660"/>
        <w:spacing w:after="0"/>
        <w:rPr>
          <w:rFonts w:ascii="Arial" w:cs="Arial" w:eastAsia="Arial" w:hAnsi="Arial"/>
          <w:sz w:val="19"/>
          <w:szCs w:val="19"/>
          <w:color w:val="auto"/>
        </w:rPr>
      </w:pPr>
      <w:r>
        <w:rPr>
          <w:rFonts w:ascii="Arial" w:cs="Arial" w:eastAsia="Arial" w:hAnsi="Arial"/>
          <w:sz w:val="22"/>
          <w:szCs w:val="22"/>
          <w:color w:val="auto"/>
        </w:rPr>
        <w:t>Attention: ###; and</w:t>
      </w:r>
    </w:p>
    <w:p>
      <w:pPr>
        <w:spacing w:after="0" w:line="161" w:lineRule="exact"/>
        <w:rPr>
          <w:rFonts w:ascii="Arial" w:cs="Arial" w:eastAsia="Arial" w:hAnsi="Arial"/>
          <w:sz w:val="19"/>
          <w:szCs w:val="19"/>
          <w:color w:val="auto"/>
        </w:rPr>
      </w:pPr>
    </w:p>
    <w:p>
      <w:pPr>
        <w:ind w:left="2160" w:hanging="856"/>
        <w:spacing w:after="0"/>
        <w:tabs>
          <w:tab w:leader="none" w:pos="2160" w:val="left"/>
        </w:tabs>
        <w:numPr>
          <w:ilvl w:val="1"/>
          <w:numId w:val="702"/>
        </w:numPr>
        <w:rPr>
          <w:rFonts w:ascii="Arial" w:cs="Arial" w:eastAsia="Arial" w:hAnsi="Arial"/>
          <w:sz w:val="19"/>
          <w:szCs w:val="19"/>
          <w:color w:val="auto"/>
        </w:rPr>
      </w:pPr>
      <w:r>
        <w:rPr>
          <w:rFonts w:ascii="Arial" w:cs="Arial" w:eastAsia="Arial" w:hAnsi="Arial"/>
          <w:sz w:val="19"/>
          <w:szCs w:val="19"/>
          <w:color w:val="auto"/>
        </w:rPr>
        <w:t>if to the Trustee, to it at [Name of Trustee], [ ], Facsimile No.: [ ]; email:[ ]; in each case Attention: [ ].</w:t>
      </w:r>
    </w:p>
    <w:p>
      <w:pPr>
        <w:spacing w:after="0" w:line="213" w:lineRule="exact"/>
        <w:rPr>
          <w:rFonts w:ascii="Arial" w:cs="Arial" w:eastAsia="Arial" w:hAnsi="Arial"/>
          <w:sz w:val="19"/>
          <w:szCs w:val="19"/>
          <w:color w:val="auto"/>
        </w:rPr>
      </w:pPr>
    </w:p>
    <w:p>
      <w:pPr>
        <w:jc w:val="both"/>
        <w:ind w:firstLine="656"/>
        <w:spacing w:after="0" w:line="223" w:lineRule="auto"/>
        <w:tabs>
          <w:tab w:leader="none" w:pos="1512" w:val="left"/>
        </w:tabs>
        <w:numPr>
          <w:ilvl w:val="0"/>
          <w:numId w:val="702"/>
        </w:numPr>
        <w:rPr>
          <w:rFonts w:ascii="Arial" w:cs="Arial" w:eastAsia="Arial" w:hAnsi="Arial"/>
          <w:sz w:val="22"/>
          <w:szCs w:val="22"/>
          <w:b w:val="1"/>
          <w:bCs w:val="1"/>
          <w:color w:val="auto"/>
        </w:rPr>
      </w:pPr>
      <w:r>
        <w:rPr>
          <w:rFonts w:ascii="Arial" w:cs="Arial" w:eastAsia="Arial" w:hAnsi="Arial"/>
          <w:sz w:val="22"/>
          <w:szCs w:val="22"/>
          <w:color w:val="auto"/>
        </w:rPr>
        <w:t>The Trustee or the Grantor may, in its reasonable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58" w:lineRule="exact"/>
        <w:rPr>
          <w:rFonts w:ascii="Arial" w:cs="Arial" w:eastAsia="Arial" w:hAnsi="Arial"/>
          <w:sz w:val="22"/>
          <w:szCs w:val="22"/>
          <w:b w:val="1"/>
          <w:bCs w:val="1"/>
          <w:color w:val="auto"/>
        </w:rPr>
      </w:pPr>
    </w:p>
    <w:p>
      <w:pPr>
        <w:jc w:val="both"/>
        <w:ind w:firstLine="656"/>
        <w:spacing w:after="0" w:line="268" w:lineRule="auto"/>
        <w:tabs>
          <w:tab w:leader="none" w:pos="1512" w:val="left"/>
        </w:tabs>
        <w:numPr>
          <w:ilvl w:val="0"/>
          <w:numId w:val="702"/>
        </w:numPr>
        <w:rPr>
          <w:rFonts w:ascii="Arial" w:cs="Arial" w:eastAsia="Arial" w:hAnsi="Arial"/>
          <w:sz w:val="19"/>
          <w:szCs w:val="19"/>
          <w:b w:val="1"/>
          <w:bCs w:val="1"/>
          <w:color w:val="auto"/>
        </w:rPr>
      </w:pPr>
      <w:r>
        <w:rPr>
          <w:rFonts w:ascii="Arial" w:cs="Arial" w:eastAsia="Arial" w:hAnsi="Arial"/>
          <w:sz w:val="19"/>
          <w:szCs w:val="19"/>
          <w:color w:val="auto"/>
        </w:rPr>
        <w:t>Any party hereto may change its address or facsimile number for notices and other communications hereunder by notice to the other parties hereto. All notices and other communications given to any party hereto in accordance with the provisions of this Aircraft Security Agreement shall be deemed to have been given on the date of receipt.</w:t>
      </w:r>
    </w:p>
    <w:p>
      <w:pPr>
        <w:spacing w:after="0" w:line="132" w:lineRule="exact"/>
        <w:rPr>
          <w:sz w:val="20"/>
          <w:szCs w:val="20"/>
          <w:color w:val="auto"/>
        </w:rPr>
      </w:pPr>
    </w:p>
    <w:p>
      <w:pPr>
        <w:jc w:val="both"/>
        <w:ind w:firstLine="656"/>
        <w:spacing w:after="0" w:line="216" w:lineRule="auto"/>
        <w:tabs>
          <w:tab w:leader="none" w:pos="1530" w:val="left"/>
        </w:tabs>
        <w:numPr>
          <w:ilvl w:val="0"/>
          <w:numId w:val="703"/>
        </w:numPr>
        <w:rPr>
          <w:rFonts w:ascii="Arial" w:cs="Arial" w:eastAsia="Arial" w:hAnsi="Arial"/>
          <w:sz w:val="22"/>
          <w:szCs w:val="22"/>
          <w:b w:val="1"/>
          <w:bCs w:val="1"/>
          <w:color w:val="auto"/>
        </w:rPr>
      </w:pPr>
      <w:r>
        <w:rPr>
          <w:rFonts w:ascii="Arial" w:cs="Arial" w:eastAsia="Arial" w:hAnsi="Arial"/>
          <w:sz w:val="22"/>
          <w:szCs w:val="22"/>
          <w:color w:val="auto"/>
        </w:rPr>
        <w:t>Severability of Provisions. To the extent permitted by applicable law, any provision of this Aircraft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29" w:name="page530"/>
    <w:bookmarkEnd w:id="529"/>
    <w:p>
      <w:pPr>
        <w:jc w:val="both"/>
        <w:ind w:firstLine="656"/>
        <w:spacing w:after="0" w:line="218" w:lineRule="auto"/>
        <w:tabs>
          <w:tab w:leader="none" w:pos="1585" w:val="left"/>
        </w:tabs>
        <w:numPr>
          <w:ilvl w:val="0"/>
          <w:numId w:val="704"/>
        </w:numPr>
        <w:rPr>
          <w:rFonts w:ascii="Arial" w:cs="Arial" w:eastAsia="Arial" w:hAnsi="Arial"/>
          <w:sz w:val="22"/>
          <w:szCs w:val="22"/>
          <w:b w:val="1"/>
          <w:bCs w:val="1"/>
          <w:color w:val="auto"/>
        </w:rPr>
      </w:pPr>
      <w:r>
        <w:rPr>
          <w:rFonts w:ascii="Arial" w:cs="Arial" w:eastAsia="Arial" w:hAnsi="Arial"/>
          <w:sz w:val="22"/>
          <w:szCs w:val="22"/>
          <w:color w:val="auto"/>
        </w:rPr>
        <w:t>No Oral Modification or Continuing Waivers. Subject to Section 10.08 of the Credit Agreement, no terms or provisions of this Aircraft Security Agreement may be changed, waived, discharged or terminated orally, but only by an instrument in writing signed by the Grantor and the Trustee. Any waiver of the terms hereof shall be effective only in the specific instance and for the specific purpose given.</w:t>
      </w:r>
    </w:p>
    <w:p>
      <w:pPr>
        <w:spacing w:after="0" w:line="160" w:lineRule="exact"/>
        <w:rPr>
          <w:rFonts w:ascii="Arial" w:cs="Arial" w:eastAsia="Arial" w:hAnsi="Arial"/>
          <w:sz w:val="22"/>
          <w:szCs w:val="22"/>
          <w:b w:val="1"/>
          <w:bCs w:val="1"/>
          <w:color w:val="auto"/>
        </w:rPr>
      </w:pPr>
    </w:p>
    <w:p>
      <w:pPr>
        <w:jc w:val="both"/>
        <w:ind w:firstLine="656"/>
        <w:spacing w:after="0" w:line="246" w:lineRule="auto"/>
        <w:tabs>
          <w:tab w:leader="none" w:pos="1572" w:val="left"/>
        </w:tabs>
        <w:numPr>
          <w:ilvl w:val="0"/>
          <w:numId w:val="704"/>
        </w:numPr>
        <w:rPr>
          <w:rFonts w:ascii="Arial" w:cs="Arial" w:eastAsia="Arial" w:hAnsi="Arial"/>
          <w:sz w:val="19"/>
          <w:szCs w:val="19"/>
          <w:b w:val="1"/>
          <w:bCs w:val="1"/>
          <w:color w:val="auto"/>
        </w:rPr>
      </w:pPr>
      <w:r>
        <w:rPr>
          <w:rFonts w:ascii="Arial" w:cs="Arial" w:eastAsia="Arial" w:hAnsi="Arial"/>
          <w:sz w:val="19"/>
          <w:szCs w:val="19"/>
          <w:color w:val="auto"/>
        </w:rPr>
        <w:t xml:space="preserve">Successors and Assigns. This Aircraft Security Agreement shall be binding upon the Grantor and its successors and assigns and shall inure to the benefit of the Trustee, the Collateral Agent and each Secured Party and their respective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Grantor may not transfer or assign any or all of its rights or obligations hereunder without the prior written consent of the Trustee, unless otherwise permitted by the applicable Loan Documents. All agreements, statements, representations and warranties made by the Grantor herein or in any certificate or other instrument delivered by the Grantor or on its behalf under this Aircraft Security Agreement shall be considered to have been relied upon by the Secured Parties and shall survive the execution and delivery of this Aircraft Security Agreement and the other Loan Documents regardless of any investigation made by the Trustee, the Collateral Agent or the Secured Parties or on their behalf.</w:t>
      </w:r>
    </w:p>
    <w:p>
      <w:pPr>
        <w:spacing w:after="0" w:line="152" w:lineRule="exact"/>
        <w:rPr>
          <w:rFonts w:ascii="Arial" w:cs="Arial" w:eastAsia="Arial" w:hAnsi="Arial"/>
          <w:sz w:val="19"/>
          <w:szCs w:val="19"/>
          <w:b w:val="1"/>
          <w:bCs w:val="1"/>
          <w:color w:val="auto"/>
        </w:rPr>
      </w:pPr>
    </w:p>
    <w:p>
      <w:pPr>
        <w:ind w:right="20" w:firstLine="656"/>
        <w:spacing w:after="0" w:line="232" w:lineRule="auto"/>
        <w:tabs>
          <w:tab w:leader="none" w:pos="1501" w:val="left"/>
        </w:tabs>
        <w:numPr>
          <w:ilvl w:val="0"/>
          <w:numId w:val="704"/>
        </w:numPr>
        <w:rPr>
          <w:rFonts w:ascii="Arial" w:cs="Arial" w:eastAsia="Arial" w:hAnsi="Arial"/>
          <w:sz w:val="22"/>
          <w:szCs w:val="22"/>
          <w:b w:val="1"/>
          <w:bCs w:val="1"/>
          <w:color w:val="auto"/>
        </w:rPr>
      </w:pPr>
      <w:r>
        <w:rPr>
          <w:rFonts w:ascii="Arial" w:cs="Arial" w:eastAsia="Arial" w:hAnsi="Arial"/>
          <w:sz w:val="22"/>
          <w:szCs w:val="22"/>
          <w:color w:val="auto"/>
        </w:rPr>
        <w:t>Headings. Section headings used herein are for convenience only and are not to affect the construction or be taken into consideration in interpreting this Aircraft Security Agreement.</w:t>
      </w:r>
    </w:p>
    <w:p>
      <w:pPr>
        <w:spacing w:after="0" w:line="158" w:lineRule="exact"/>
        <w:rPr>
          <w:rFonts w:ascii="Arial" w:cs="Arial" w:eastAsia="Arial" w:hAnsi="Arial"/>
          <w:sz w:val="22"/>
          <w:szCs w:val="22"/>
          <w:b w:val="1"/>
          <w:bCs w:val="1"/>
          <w:color w:val="auto"/>
        </w:rPr>
      </w:pPr>
    </w:p>
    <w:p>
      <w:pPr>
        <w:jc w:val="both"/>
        <w:ind w:firstLine="656"/>
        <w:spacing w:after="0" w:line="252" w:lineRule="auto"/>
        <w:tabs>
          <w:tab w:leader="none" w:pos="1566" w:val="left"/>
        </w:tabs>
        <w:numPr>
          <w:ilvl w:val="0"/>
          <w:numId w:val="704"/>
        </w:numPr>
        <w:rPr>
          <w:rFonts w:ascii="Arial" w:cs="Arial" w:eastAsia="Arial" w:hAnsi="Arial"/>
          <w:sz w:val="19"/>
          <w:szCs w:val="19"/>
          <w:b w:val="1"/>
          <w:bCs w:val="1"/>
          <w:color w:val="auto"/>
        </w:rPr>
      </w:pPr>
      <w:r>
        <w:rPr>
          <w:rFonts w:ascii="Arial" w:cs="Arial" w:eastAsia="Arial" w:hAnsi="Arial"/>
          <w:sz w:val="19"/>
          <w:szCs w:val="19"/>
          <w:color w:val="auto"/>
        </w:rPr>
        <w:t>Normal Commercial Relations. Anything contained in this Aircraft Security Agreement to the contrary notwithstanding, the Trustee, any other Secured Party or any of their affiliates may conduct any banking or other financial transactions, and have banking or other commercial relationships, with the Grantor, fully to the same extent as if this Aircraft Security Agreement were not in effect, including without limitation the making of loans or other extensions of credit to the Grantor for any purpose whatsoever, whether related to any of the transactions contemplated hereby or otherwise.</w:t>
      </w:r>
    </w:p>
    <w:p>
      <w:pPr>
        <w:spacing w:after="0" w:line="148" w:lineRule="exact"/>
        <w:rPr>
          <w:rFonts w:ascii="Arial" w:cs="Arial" w:eastAsia="Arial" w:hAnsi="Arial"/>
          <w:sz w:val="19"/>
          <w:szCs w:val="19"/>
          <w:b w:val="1"/>
          <w:bCs w:val="1"/>
          <w:color w:val="auto"/>
        </w:rPr>
      </w:pPr>
    </w:p>
    <w:p>
      <w:pPr>
        <w:jc w:val="both"/>
        <w:ind w:firstLine="656"/>
        <w:spacing w:after="0" w:line="243" w:lineRule="auto"/>
        <w:tabs>
          <w:tab w:leader="none" w:pos="1585" w:val="left"/>
        </w:tabs>
        <w:numPr>
          <w:ilvl w:val="0"/>
          <w:numId w:val="704"/>
        </w:numPr>
        <w:rPr>
          <w:rFonts w:ascii="Arial" w:cs="Arial" w:eastAsia="Arial" w:hAnsi="Arial"/>
          <w:sz w:val="19"/>
          <w:szCs w:val="19"/>
          <w:b w:val="1"/>
          <w:bCs w:val="1"/>
          <w:color w:val="auto"/>
        </w:rPr>
      </w:pPr>
      <w:r>
        <w:rPr>
          <w:rFonts w:ascii="Arial" w:cs="Arial" w:eastAsia="Arial" w:hAnsi="Arial"/>
          <w:sz w:val="19"/>
          <w:szCs w:val="19"/>
          <w:color w:val="auto"/>
        </w:rPr>
        <w:t>The Grantor’s Performance and Rights. Any obligation imposed on the Grantor herein shall require only that the Grantor perform or cause to be performed such obligation, even if stated as a direct obligation, and the performance of any such obligation by any permitted assignee, lessee or transferee under an assignment, lease or transfer agreement then in effect and in accordance with the provisions of this Aircraft Security Agreement shall constitute performance by the Grantor and, to the extent of such performance, discharge such obligation by the Grantor. Except as otherwise expressly provided herein, any right granted to the Grantor in this Aircraft Security Agreement shall grant the Grantor the right to permit such right to be exercised by any such assignee, lessee or transferee, and, in the case of a lessee, as if the terms hereof were applicable to such lessee were such lessee the Grantor hereunder. The inclusion of specific references to obligations or rights of any such assignee, lessee or transferee in certain provisions of this Aircraft Security Agreement shall not in any way prevent or diminish the application of the provisions of the two sentences immediately preceding with respect to obligations or rights in respect of which specific reference to any such assignee, lessee or transferee has not been made in this Aircraft Security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30" w:name="page531"/>
    <w:bookmarkEnd w:id="530"/>
    <w:p>
      <w:pPr>
        <w:jc w:val="both"/>
        <w:ind w:firstLine="656"/>
        <w:spacing w:after="0" w:line="223" w:lineRule="auto"/>
        <w:tabs>
          <w:tab w:leader="none" w:pos="1548" w:val="left"/>
        </w:tabs>
        <w:numPr>
          <w:ilvl w:val="0"/>
          <w:numId w:val="705"/>
        </w:numPr>
        <w:rPr>
          <w:rFonts w:ascii="Arial" w:cs="Arial" w:eastAsia="Arial" w:hAnsi="Arial"/>
          <w:sz w:val="22"/>
          <w:szCs w:val="22"/>
          <w:b w:val="1"/>
          <w:bCs w:val="1"/>
          <w:color w:val="auto"/>
        </w:rPr>
      </w:pPr>
      <w:r>
        <w:rPr>
          <w:rFonts w:ascii="Arial" w:cs="Arial" w:eastAsia="Arial" w:hAnsi="Arial"/>
          <w:sz w:val="22"/>
          <w:szCs w:val="22"/>
          <w:color w:val="auto"/>
        </w:rPr>
        <w:t>Execution in Counterparts. This Aircraft Security Agreement may be executed in counterparts (and by different parties hereto on different counterparts), each of which shall constitute an original, but all of which when taken together shall constitute a single contract.</w:t>
      </w:r>
    </w:p>
    <w:p>
      <w:pPr>
        <w:spacing w:after="0" w:line="139" w:lineRule="exact"/>
        <w:rPr>
          <w:rFonts w:ascii="Arial" w:cs="Arial" w:eastAsia="Arial" w:hAnsi="Arial"/>
          <w:sz w:val="22"/>
          <w:szCs w:val="22"/>
          <w:b w:val="1"/>
          <w:bCs w:val="1"/>
          <w:color w:val="auto"/>
        </w:rPr>
      </w:pPr>
    </w:p>
    <w:p>
      <w:pPr>
        <w:ind w:left="1660" w:hanging="1004"/>
        <w:spacing w:after="0"/>
        <w:tabs>
          <w:tab w:leader="none" w:pos="1660" w:val="left"/>
        </w:tabs>
        <w:numPr>
          <w:ilvl w:val="0"/>
          <w:numId w:val="705"/>
        </w:numPr>
        <w:rPr>
          <w:rFonts w:ascii="Arial" w:cs="Arial" w:eastAsia="Arial" w:hAnsi="Arial"/>
          <w:sz w:val="22"/>
          <w:szCs w:val="22"/>
          <w:b w:val="1"/>
          <w:bCs w:val="1"/>
          <w:color w:val="auto"/>
        </w:rPr>
      </w:pPr>
      <w:r>
        <w:rPr>
          <w:rFonts w:ascii="Arial" w:cs="Arial" w:eastAsia="Arial" w:hAnsi="Arial"/>
          <w:sz w:val="22"/>
          <w:szCs w:val="22"/>
          <w:color w:val="auto"/>
        </w:rPr>
        <w:t xml:space="preserve">Governing Law. </w:t>
      </w:r>
      <w:r>
        <w:rPr>
          <w:rFonts w:ascii="Arial" w:cs="Arial" w:eastAsia="Arial" w:hAnsi="Arial"/>
          <w:sz w:val="22"/>
          <w:szCs w:val="22"/>
          <w:b w:val="1"/>
          <w:bCs w:val="1"/>
          <w:color w:val="auto"/>
        </w:rPr>
        <w:t>THIS AIRCRAFT SECURITY AGREEMENT HAS BEEN DELIVERED IN THE</w:t>
      </w:r>
    </w:p>
    <w:p>
      <w:pPr>
        <w:jc w:val="both"/>
        <w:spacing w:after="0" w:line="217" w:lineRule="auto"/>
        <w:rPr>
          <w:rFonts w:ascii="Arial" w:cs="Arial" w:eastAsia="Arial" w:hAnsi="Arial"/>
          <w:sz w:val="22"/>
          <w:szCs w:val="22"/>
          <w:b w:val="1"/>
          <w:bCs w:val="1"/>
          <w:color w:val="auto"/>
        </w:rPr>
      </w:pPr>
      <w:r>
        <w:rPr>
          <w:rFonts w:ascii="Arial" w:cs="Arial" w:eastAsia="Arial" w:hAnsi="Arial"/>
          <w:sz w:val="22"/>
          <w:szCs w:val="22"/>
          <w:b w:val="1"/>
          <w:bCs w:val="1"/>
          <w:color w:val="auto"/>
        </w:rPr>
        <w:t>STATE OF NEW YORK AND THIS AIRCRAFT SECURITY AGREEMENT AND THE RIGHTS AND OBLIGATIONS OF THE PARTIES UNDER THIS AIRCRAFT SECURITY AGREEMENT SHALL BE GOVERNED BY, AND CONSTRUED IN ACCORDANCE WITH, THE LAWS OF THE STATE OF NEW YORK.</w:t>
      </w:r>
    </w:p>
    <w:p>
      <w:pPr>
        <w:spacing w:after="0" w:line="140" w:lineRule="exact"/>
        <w:rPr>
          <w:rFonts w:ascii="Arial" w:cs="Arial" w:eastAsia="Arial" w:hAnsi="Arial"/>
          <w:sz w:val="22"/>
          <w:szCs w:val="22"/>
          <w:b w:val="1"/>
          <w:bCs w:val="1"/>
          <w:color w:val="auto"/>
        </w:rPr>
      </w:pPr>
    </w:p>
    <w:p>
      <w:pPr>
        <w:ind w:left="1600" w:hanging="944"/>
        <w:spacing w:after="0"/>
        <w:tabs>
          <w:tab w:leader="none" w:pos="1600" w:val="left"/>
        </w:tabs>
        <w:numPr>
          <w:ilvl w:val="0"/>
          <w:numId w:val="705"/>
        </w:numPr>
        <w:rPr>
          <w:rFonts w:ascii="Arial" w:cs="Arial" w:eastAsia="Arial" w:hAnsi="Arial"/>
          <w:sz w:val="22"/>
          <w:szCs w:val="22"/>
          <w:b w:val="1"/>
          <w:bCs w:val="1"/>
          <w:color w:val="auto"/>
        </w:rPr>
      </w:pPr>
      <w:r>
        <w:rPr>
          <w:rFonts w:ascii="Arial" w:cs="Arial" w:eastAsia="Arial" w:hAnsi="Arial"/>
          <w:sz w:val="22"/>
          <w:szCs w:val="22"/>
          <w:color w:val="auto"/>
        </w:rPr>
        <w:t xml:space="preserve">Waiver of Jury Trial. </w:t>
      </w:r>
      <w:r>
        <w:rPr>
          <w:rFonts w:ascii="Arial" w:cs="Arial" w:eastAsia="Arial" w:hAnsi="Arial"/>
          <w:sz w:val="22"/>
          <w:szCs w:val="22"/>
          <w:b w:val="1"/>
          <w:bCs w:val="1"/>
          <w:color w:val="auto"/>
        </w:rPr>
        <w:t>EACH PARTY HERETO HEREBY WAIVES, TO THE FULLEST EXTENT</w:t>
      </w:r>
    </w:p>
    <w:p>
      <w:pPr>
        <w:jc w:val="both"/>
        <w:spacing w:after="0" w:line="209" w:lineRule="auto"/>
        <w:rPr>
          <w:rFonts w:ascii="Arial" w:cs="Arial" w:eastAsia="Arial" w:hAnsi="Arial"/>
          <w:sz w:val="22"/>
          <w:szCs w:val="22"/>
          <w:b w:val="1"/>
          <w:bCs w:val="1"/>
          <w:color w:val="auto"/>
        </w:rPr>
      </w:pPr>
      <w:r>
        <w:rPr>
          <w:rFonts w:ascii="Arial" w:cs="Arial" w:eastAsia="Arial" w:hAnsi="Arial"/>
          <w:sz w:val="22"/>
          <w:szCs w:val="22"/>
          <w:b w:val="1"/>
          <w:bCs w:val="1"/>
          <w:color w:val="auto"/>
        </w:rPr>
        <w:t>PERMITTED BY APPLICABLE LAW, ANY RIGHT IT MAY HAVE TO A TRIAL BY JURY IN ANY LEGAL PROCEEDING DIRECTLY OR INDIRECTLY ARISING OUT OF OR RELATING TO THIS AIRCRAFT SECURITY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AIRCRAFT SECURITY AGREEMENT BY, AMONG OTHER THINGS, THE MUTUAL WAIVERS AND CERTIFICATIONS IN THIS SECTION 8.14.</w:t>
      </w:r>
    </w:p>
    <w:p>
      <w:pPr>
        <w:spacing w:after="0" w:line="159" w:lineRule="exact"/>
        <w:rPr>
          <w:rFonts w:ascii="Arial" w:cs="Arial" w:eastAsia="Arial" w:hAnsi="Arial"/>
          <w:sz w:val="22"/>
          <w:szCs w:val="22"/>
          <w:b w:val="1"/>
          <w:bCs w:val="1"/>
          <w:color w:val="auto"/>
        </w:rPr>
      </w:pPr>
    </w:p>
    <w:p>
      <w:pPr>
        <w:ind w:left="1580" w:hanging="924"/>
        <w:spacing w:after="0"/>
        <w:tabs>
          <w:tab w:leader="none" w:pos="1580" w:val="left"/>
        </w:tabs>
        <w:numPr>
          <w:ilvl w:val="0"/>
          <w:numId w:val="705"/>
        </w:numPr>
        <w:rPr>
          <w:rFonts w:ascii="Arial" w:cs="Arial" w:eastAsia="Arial" w:hAnsi="Arial"/>
          <w:sz w:val="22"/>
          <w:szCs w:val="22"/>
          <w:b w:val="1"/>
          <w:bCs w:val="1"/>
          <w:color w:val="auto"/>
        </w:rPr>
      </w:pPr>
      <w:r>
        <w:rPr>
          <w:rFonts w:ascii="Arial" w:cs="Arial" w:eastAsia="Arial" w:hAnsi="Arial"/>
          <w:sz w:val="22"/>
          <w:szCs w:val="22"/>
          <w:color w:val="auto"/>
        </w:rPr>
        <w:t>Consent to Jurisdiction and Service of Process.</w:t>
      </w:r>
    </w:p>
    <w:p>
      <w:pPr>
        <w:spacing w:after="0" w:line="179" w:lineRule="exact"/>
        <w:rPr>
          <w:sz w:val="20"/>
          <w:szCs w:val="20"/>
          <w:color w:val="auto"/>
        </w:rPr>
      </w:pPr>
    </w:p>
    <w:p>
      <w:pPr>
        <w:jc w:val="both"/>
        <w:ind w:firstLine="656"/>
        <w:spacing w:after="0" w:line="221" w:lineRule="auto"/>
        <w:tabs>
          <w:tab w:leader="none" w:pos="1512" w:val="left"/>
        </w:tabs>
        <w:numPr>
          <w:ilvl w:val="0"/>
          <w:numId w:val="706"/>
        </w:numPr>
        <w:rPr>
          <w:rFonts w:ascii="Arial" w:cs="Arial" w:eastAsia="Arial" w:hAnsi="Arial"/>
          <w:sz w:val="21"/>
          <w:szCs w:val="21"/>
          <w:b w:val="1"/>
          <w:bCs w:val="1"/>
          <w:color w:val="auto"/>
        </w:rPr>
      </w:pPr>
      <w:r>
        <w:rPr>
          <w:rFonts w:ascii="Arial" w:cs="Arial" w:eastAsia="Arial" w:hAnsi="Arial"/>
          <w:sz w:val="21"/>
          <w:szCs w:val="21"/>
          <w:color w:val="auto"/>
        </w:rPr>
        <w:t>Each party hereto hereby irrevocably and unconditionally submits, for itself and its property in any legal action or proceeding relating to this Aircraft Security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in any action or proceeding arising out of or relating to this Aircraft Security Agreement,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58" w:lineRule="exact"/>
        <w:rPr>
          <w:rFonts w:ascii="Arial" w:cs="Arial" w:eastAsia="Arial" w:hAnsi="Arial"/>
          <w:sz w:val="21"/>
          <w:szCs w:val="21"/>
          <w:b w:val="1"/>
          <w:bCs w:val="1"/>
          <w:color w:val="auto"/>
        </w:rPr>
      </w:pPr>
    </w:p>
    <w:p>
      <w:pPr>
        <w:jc w:val="both"/>
        <w:ind w:firstLine="656"/>
        <w:spacing w:after="0" w:line="216" w:lineRule="auto"/>
        <w:tabs>
          <w:tab w:leader="none" w:pos="1552" w:val="left"/>
        </w:tabs>
        <w:numPr>
          <w:ilvl w:val="0"/>
          <w:numId w:val="706"/>
        </w:numPr>
        <w:rPr>
          <w:rFonts w:ascii="Arial" w:cs="Arial" w:eastAsia="Arial" w:hAnsi="Arial"/>
          <w:sz w:val="22"/>
          <w:szCs w:val="22"/>
          <w:b w:val="1"/>
          <w:bCs w:val="1"/>
          <w:color w:val="auto"/>
        </w:rPr>
      </w:pPr>
      <w:r>
        <w:rPr>
          <w:rFonts w:ascii="Arial" w:cs="Arial" w:eastAsia="Arial" w:hAnsi="Arial"/>
          <w:sz w:val="22"/>
          <w:szCs w:val="22"/>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Aircraft Security Agreement in any court referred to in </w:t>
      </w:r>
      <w:r>
        <w:rPr>
          <w:rFonts w:ascii="Arial" w:cs="Arial" w:eastAsia="Arial" w:hAnsi="Arial"/>
          <w:sz w:val="22"/>
          <w:szCs w:val="22"/>
          <w:u w:val="single" w:color="auto"/>
          <w:color w:val="auto"/>
        </w:rPr>
        <w:t>Section 8.15(a)</w:t>
      </w:r>
      <w:r>
        <w:rPr>
          <w:rFonts w:ascii="Arial" w:cs="Arial" w:eastAsia="Arial" w:hAnsi="Arial"/>
          <w:sz w:val="22"/>
          <w:szCs w:val="22"/>
          <w:color w:val="auto"/>
        </w:rPr>
        <w:t xml:space="preserve"> .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22"/>
          <w:szCs w:val="22"/>
          <w:b w:val="1"/>
          <w:bCs w:val="1"/>
          <w:color w:val="auto"/>
        </w:rPr>
      </w:pPr>
    </w:p>
    <w:p>
      <w:pPr>
        <w:ind w:firstLine="656"/>
        <w:spacing w:after="0" w:line="232" w:lineRule="auto"/>
        <w:tabs>
          <w:tab w:leader="none" w:pos="1512" w:val="left"/>
        </w:tabs>
        <w:numPr>
          <w:ilvl w:val="0"/>
          <w:numId w:val="706"/>
        </w:numPr>
        <w:rPr>
          <w:rFonts w:ascii="Arial" w:cs="Arial" w:eastAsia="Arial" w:hAnsi="Arial"/>
          <w:sz w:val="22"/>
          <w:szCs w:val="22"/>
          <w:b w:val="1"/>
          <w:bCs w:val="1"/>
          <w:color w:val="auto"/>
        </w:rPr>
      </w:pPr>
      <w:r>
        <w:rPr>
          <w:rFonts w:ascii="Arial" w:cs="Arial" w:eastAsia="Arial" w:hAnsi="Arial"/>
          <w:sz w:val="22"/>
          <w:szCs w:val="22"/>
          <w:color w:val="auto"/>
        </w:rPr>
        <w:t xml:space="preserve">Each party hereto hereby irrevocably and unconditionally consents to service of process in the manner provided for notices in </w:t>
      </w:r>
      <w:r>
        <w:rPr>
          <w:rFonts w:ascii="Arial" w:cs="Arial" w:eastAsia="Arial" w:hAnsi="Arial"/>
          <w:sz w:val="22"/>
          <w:szCs w:val="22"/>
          <w:u w:val="single" w:color="auto"/>
          <w:color w:val="auto"/>
        </w:rPr>
        <w:t>Section 8.05</w:t>
      </w:r>
      <w:r>
        <w:rPr>
          <w:rFonts w:ascii="Arial" w:cs="Arial" w:eastAsia="Arial" w:hAnsi="Arial"/>
          <w:sz w:val="22"/>
          <w:szCs w:val="22"/>
          <w:color w:val="auto"/>
        </w:rPr>
        <w:t xml:space="preserve"> . Nothing in this Aircraft Security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31" w:name="page532"/>
    <w:bookmarkEnd w:id="531"/>
    <w:p>
      <w:pPr>
        <w:spacing w:after="0" w:line="232" w:lineRule="auto"/>
        <w:rPr>
          <w:sz w:val="20"/>
          <w:szCs w:val="20"/>
          <w:color w:val="auto"/>
        </w:rPr>
      </w:pPr>
      <w:r>
        <w:rPr>
          <w:rFonts w:ascii="Arial" w:cs="Arial" w:eastAsia="Arial" w:hAnsi="Arial"/>
          <w:sz w:val="22"/>
          <w:szCs w:val="22"/>
          <w:color w:val="auto"/>
        </w:rPr>
        <w:t>Agreement will affect the right of any party to this Aircraft Security Agreement to serve process in any other manner permitted by law.</w:t>
      </w:r>
    </w:p>
    <w:p>
      <w:pPr>
        <w:spacing w:after="0" w:line="159" w:lineRule="exact"/>
        <w:rPr>
          <w:sz w:val="20"/>
          <w:szCs w:val="20"/>
          <w:color w:val="auto"/>
        </w:rPr>
      </w:pPr>
    </w:p>
    <w:p>
      <w:pPr>
        <w:jc w:val="both"/>
        <w:ind w:firstLine="656"/>
        <w:spacing w:after="0" w:line="241" w:lineRule="auto"/>
        <w:tabs>
          <w:tab w:leader="none" w:pos="1516" w:val="left"/>
        </w:tabs>
        <w:numPr>
          <w:ilvl w:val="0"/>
          <w:numId w:val="707"/>
        </w:numPr>
        <w:rPr>
          <w:rFonts w:ascii="Arial" w:cs="Arial" w:eastAsia="Arial" w:hAnsi="Arial"/>
          <w:sz w:val="19"/>
          <w:szCs w:val="19"/>
          <w:b w:val="1"/>
          <w:bCs w:val="1"/>
          <w:color w:val="auto"/>
        </w:rPr>
      </w:pPr>
      <w:r>
        <w:rPr>
          <w:rFonts w:ascii="Arial" w:cs="Arial" w:eastAsia="Arial" w:hAnsi="Arial"/>
          <w:sz w:val="19"/>
          <w:szCs w:val="19"/>
          <w:color w:val="auto"/>
        </w:rPr>
        <w:t xml:space="preserve">Amendments, Etc. This Aircraft Security Agreement may not be amended, modified or waived except with the written consent of the Grantor and the Trustee (who shall act pursuant to and in accordance with the terms of Section 10.08 of the Credit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separately agreed in writing between the Grantor and any Non-Lender Secured Party, no such waiver and no such amendment or modification shall amend, modify or waive </w:t>
      </w:r>
      <w:r>
        <w:rPr>
          <w:rFonts w:ascii="Arial" w:cs="Arial" w:eastAsia="Arial" w:hAnsi="Arial"/>
          <w:sz w:val="19"/>
          <w:szCs w:val="19"/>
          <w:u w:val="single" w:color="auto"/>
          <w:color w:val="auto"/>
        </w:rPr>
        <w:t>Section 3.01(a)</w:t>
      </w:r>
      <w:r>
        <w:rPr>
          <w:rFonts w:ascii="Arial" w:cs="Arial" w:eastAsia="Arial" w:hAnsi="Arial"/>
          <w:sz w:val="19"/>
          <w:szCs w:val="19"/>
          <w:color w:val="auto"/>
        </w:rPr>
        <w:t xml:space="preserve"> (or the definition of “Non-Lender Secured Party” or “Secured Party” to the extent relating thereto) if such waiver, amendment, or modification would directly and adversely affect a Non-Lender Secured Party without the written consent of such affected Non-Lender Secured Party. Any amendment, modification or supplement of or to any provision of this Aircraft Security Agreement, any termination or waiver of any provision of this Aircraft Security Agreement and any consent to any departure by the Grantor from the terms of any provision of this Aircraft Security Agreement shall be effective only in the specific instance and for the specific purpose for which made or given. No notice to or demand upon the Grantor in any instance hereunder shall entitle the Grantor to any other or further notice or demand in similar or other circumstances. For the avoidance of doubt, it is understood and agreed that any amendment, amendment and restatement, waiver, supplement or other modification of or to any Intercreditor Agreement or any Other Intercreditor Agreement that would have the effect, directly or indirectly, through any reference herein to any Intercreditor Agreement or any Other Intercreditor Agreement or otherwise, of waiving, amending, supplementing or otherwise modifying this Aircraft Security Agreement, or any term or provision hereof, or any right or obligation of the Grantor hereunder or in respect hereof, shall not be given such effect except pursuant to a written instrument executed by the Grantor and the Trustee in accordance with this </w:t>
      </w:r>
      <w:r>
        <w:rPr>
          <w:rFonts w:ascii="Arial" w:cs="Arial" w:eastAsia="Arial" w:hAnsi="Arial"/>
          <w:sz w:val="19"/>
          <w:szCs w:val="19"/>
          <w:u w:val="single" w:color="auto"/>
          <w:color w:val="auto"/>
        </w:rPr>
        <w:t>Section 8.16</w:t>
      </w:r>
      <w:r>
        <w:rPr>
          <w:rFonts w:ascii="Arial" w:cs="Arial" w:eastAsia="Arial" w:hAnsi="Arial"/>
          <w:sz w:val="19"/>
          <w:szCs w:val="19"/>
          <w:color w:val="auto"/>
        </w:rPr>
        <w:t xml:space="preserve"> .</w:t>
      </w:r>
    </w:p>
    <w:p>
      <w:pPr>
        <w:spacing w:after="0" w:line="200" w:lineRule="exact"/>
        <w:rPr>
          <w:sz w:val="20"/>
          <w:szCs w:val="20"/>
          <w:color w:val="auto"/>
        </w:rPr>
      </w:pPr>
    </w:p>
    <w:p>
      <w:pPr>
        <w:spacing w:after="0" w:line="205" w:lineRule="exact"/>
        <w:rPr>
          <w:sz w:val="20"/>
          <w:szCs w:val="20"/>
          <w:color w:val="auto"/>
        </w:rPr>
      </w:pPr>
    </w:p>
    <w:p>
      <w:pPr>
        <w:ind w:left="5400" w:right="4440" w:hanging="961"/>
        <w:spacing w:after="0" w:line="673" w:lineRule="auto"/>
        <w:tabs>
          <w:tab w:leader="none" w:pos="4572" w:val="left"/>
        </w:tabs>
        <w:numPr>
          <w:ilvl w:val="0"/>
          <w:numId w:val="708"/>
        </w:numPr>
        <w:rPr>
          <w:rFonts w:ascii="Arial" w:cs="Arial" w:eastAsia="Arial" w:hAnsi="Arial"/>
          <w:sz w:val="22"/>
          <w:szCs w:val="22"/>
          <w:color w:val="auto"/>
        </w:rPr>
      </w:pPr>
      <w:r>
        <w:rPr>
          <w:rFonts w:ascii="Arial" w:cs="Arial" w:eastAsia="Arial" w:hAnsi="Arial"/>
          <w:sz w:val="22"/>
          <w:szCs w:val="22"/>
          <w:i w:val="1"/>
          <w:iCs w:val="1"/>
          <w:color w:val="auto"/>
        </w:rPr>
        <w:t xml:space="preserve">Signature Pages Follow. </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32" w:name="page533"/>
    <w:bookmarkEnd w:id="532"/>
    <w:p>
      <w:pPr>
        <w:ind w:right="240" w:firstLine="648"/>
        <w:spacing w:after="0" w:line="263" w:lineRule="auto"/>
        <w:rPr>
          <w:sz w:val="20"/>
          <w:szCs w:val="20"/>
          <w:color w:val="auto"/>
        </w:rPr>
      </w:pPr>
      <w:r>
        <w:rPr>
          <w:rFonts w:ascii="Arial" w:cs="Arial" w:eastAsia="Arial" w:hAnsi="Arial"/>
          <w:sz w:val="22"/>
          <w:szCs w:val="22"/>
          <w:color w:val="auto"/>
        </w:rPr>
        <w:t>IN WITNESS WHEREOF, the parties hereto have caused this Aircraft Security Agreement to be duly executed by their respective officers thereof duly authorized, as of the date first above written.</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GRANTOR]</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82296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Aircraft Security Agreement</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33" w:name="page534"/>
    <w:bookmarkEnd w:id="533"/>
    <w:p>
      <w:pPr>
        <w:ind w:left="2780"/>
        <w:spacing w:after="0"/>
        <w:rPr>
          <w:sz w:val="20"/>
          <w:szCs w:val="20"/>
          <w:color w:val="auto"/>
        </w:rPr>
      </w:pPr>
      <w:r>
        <w:rPr>
          <w:rFonts w:ascii="Arial" w:cs="Arial" w:eastAsia="Arial" w:hAnsi="Arial"/>
          <w:sz w:val="19"/>
          <w:szCs w:val="19"/>
          <w:color w:val="auto"/>
        </w:rPr>
        <w:t>[NAME OF TRUSTEE], as Trustee</w:t>
      </w:r>
    </w:p>
    <w:p>
      <w:pPr>
        <w:spacing w:after="0" w:line="200" w:lineRule="exact"/>
        <w:rPr>
          <w:sz w:val="20"/>
          <w:szCs w:val="20"/>
          <w:color w:val="auto"/>
        </w:rPr>
      </w:pPr>
    </w:p>
    <w:p>
      <w:pPr>
        <w:spacing w:after="0" w:line="35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2153920</wp:posOffset>
            </wp:positionH>
            <wp:positionV relativeFrom="paragraph">
              <wp:posOffset>-17780</wp:posOffset>
            </wp:positionV>
            <wp:extent cx="82296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67310</wp:posOffset>
            </wp:positionV>
            <wp:extent cx="713232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534" w:name="page535"/>
    <w:bookmarkEnd w:id="534"/>
    <w:p>
      <w:pPr>
        <w:jc w:val="right"/>
        <w:spacing w:after="0"/>
        <w:rPr>
          <w:sz w:val="20"/>
          <w:szCs w:val="20"/>
          <w:color w:val="auto"/>
        </w:rPr>
      </w:pPr>
      <w:r>
        <w:rPr>
          <w:rFonts w:ascii="Arial" w:cs="Arial" w:eastAsia="Arial" w:hAnsi="Arial"/>
          <w:sz w:val="22"/>
          <w:szCs w:val="22"/>
          <w:color w:val="auto"/>
        </w:rPr>
        <w:t>EXHIBIT A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AIRCRAFT SECURITY AGREEMENT</w:t>
      </w:r>
    </w:p>
    <w:p>
      <w:pPr>
        <w:spacing w:after="0" w:line="214" w:lineRule="exact"/>
        <w:rPr>
          <w:sz w:val="20"/>
          <w:szCs w:val="20"/>
          <w:color w:val="auto"/>
        </w:rPr>
      </w:pPr>
    </w:p>
    <w:p>
      <w:pPr>
        <w:ind w:left="2440"/>
        <w:spacing w:after="0"/>
        <w:rPr>
          <w:sz w:val="20"/>
          <w:szCs w:val="20"/>
          <w:color w:val="auto"/>
        </w:rPr>
      </w:pPr>
      <w:r>
        <w:rPr>
          <w:rFonts w:ascii="Arial" w:cs="Arial" w:eastAsia="Arial" w:hAnsi="Arial"/>
          <w:sz w:val="22"/>
          <w:szCs w:val="22"/>
          <w:b w:val="1"/>
          <w:bCs w:val="1"/>
          <w:u w:val="single" w:color="auto"/>
          <w:color w:val="auto"/>
        </w:rPr>
        <w:t>FORM OF AIRCRAFT SECURITY AGREEMENT SUPPLEMENT</w:t>
      </w:r>
    </w:p>
    <w:p>
      <w:pPr>
        <w:spacing w:after="0" w:line="220" w:lineRule="exact"/>
        <w:rPr>
          <w:sz w:val="20"/>
          <w:szCs w:val="20"/>
          <w:color w:val="auto"/>
        </w:rPr>
      </w:pPr>
    </w:p>
    <w:p>
      <w:pPr>
        <w:ind w:left="2760"/>
        <w:spacing w:after="0"/>
        <w:rPr>
          <w:sz w:val="20"/>
          <w:szCs w:val="20"/>
          <w:color w:val="auto"/>
        </w:rPr>
      </w:pPr>
      <w:r>
        <w:rPr>
          <w:rFonts w:ascii="Arial" w:cs="Arial" w:eastAsia="Arial" w:hAnsi="Arial"/>
          <w:sz w:val="22"/>
          <w:szCs w:val="22"/>
          <w:b w:val="1"/>
          <w:bCs w:val="1"/>
          <w:color w:val="auto"/>
        </w:rPr>
        <w:t>AIRCRAFT SECURITY AGREEMENT SUPPLEMENT NO.</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AIRCRAFT SECURITY AGREEMENT SUPPLEMENT NO. __ , dated _____________, ____ (“ </w:t>
      </w:r>
      <w:r>
        <w:rPr>
          <w:rFonts w:ascii="Arial" w:cs="Arial" w:eastAsia="Arial" w:hAnsi="Arial"/>
          <w:sz w:val="21"/>
          <w:szCs w:val="21"/>
          <w:u w:val="single" w:color="auto"/>
          <w:color w:val="auto"/>
        </w:rPr>
        <w:t>Aircraft Security</w:t>
      </w:r>
    </w:p>
    <w:p>
      <w:pPr>
        <w:spacing w:after="0" w:line="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u w:val="single" w:color="auto"/>
          <w:color w:val="auto"/>
        </w:rPr>
        <w:t>Agreement Supplement</w:t>
      </w:r>
      <w:r>
        <w:rPr>
          <w:rFonts w:ascii="Arial" w:cs="Arial" w:eastAsia="Arial" w:hAnsi="Arial"/>
          <w:sz w:val="22"/>
          <w:szCs w:val="22"/>
          <w:color w:val="auto"/>
        </w:rPr>
        <w:t xml:space="preserve"> ”), between [NAME OF GRANTOR] (the “ </w:t>
      </w:r>
      <w:r>
        <w:rPr>
          <w:rFonts w:ascii="Arial" w:cs="Arial" w:eastAsia="Arial" w:hAnsi="Arial"/>
          <w:sz w:val="22"/>
          <w:szCs w:val="22"/>
          <w:u w:val="single" w:color="auto"/>
          <w:color w:val="auto"/>
        </w:rPr>
        <w:t>Grantor</w:t>
      </w:r>
      <w:r>
        <w:rPr>
          <w:rFonts w:ascii="Arial" w:cs="Arial" w:eastAsia="Arial" w:hAnsi="Arial"/>
          <w:sz w:val="22"/>
          <w:szCs w:val="22"/>
          <w:color w:val="auto"/>
        </w:rPr>
        <w:t xml:space="preserve"> ”) and [NAME OF TRUSTEE], as Trustee under the Aircraft Security Agreement (each as hereinafter defined).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WHEREAS, the Aircraft Security Agreement, dated as of __________, 20__ (the “ </w:t>
      </w:r>
      <w:r>
        <w:rPr>
          <w:rFonts w:ascii="Arial" w:cs="Arial" w:eastAsia="Arial" w:hAnsi="Arial"/>
          <w:sz w:val="21"/>
          <w:szCs w:val="21"/>
          <w:u w:val="single" w:color="auto"/>
          <w:color w:val="auto"/>
        </w:rPr>
        <w:t>Aircraft Security Agreement</w:t>
      </w:r>
      <w:r>
        <w:rPr>
          <w:rFonts w:ascii="Arial" w:cs="Arial" w:eastAsia="Arial" w:hAnsi="Arial"/>
          <w:sz w:val="21"/>
          <w:szCs w:val="21"/>
          <w:color w:val="auto"/>
        </w:rPr>
        <w:t xml:space="preserve"> ”;</w:t>
      </w:r>
    </w:p>
    <w:p>
      <w:pPr>
        <w:spacing w:after="0" w:line="33"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 xml:space="preserve">capitalized terms used herein without definition shall have the meanings specified therefor in Annex A to the Aircraft Security Agreement), between the Grantor and [Name of Trustee], as security trustee (the “ </w:t>
      </w:r>
      <w:r>
        <w:rPr>
          <w:rFonts w:ascii="Arial" w:cs="Arial" w:eastAsia="Arial" w:hAnsi="Arial"/>
          <w:sz w:val="22"/>
          <w:szCs w:val="22"/>
          <w:u w:val="single" w:color="auto"/>
          <w:color w:val="auto"/>
        </w:rPr>
        <w:t>Trustee</w:t>
      </w:r>
      <w:r>
        <w:rPr>
          <w:rFonts w:ascii="Arial" w:cs="Arial" w:eastAsia="Arial" w:hAnsi="Arial"/>
          <w:sz w:val="22"/>
          <w:szCs w:val="22"/>
          <w:color w:val="auto"/>
        </w:rPr>
        <w:t xml:space="preserve"> ”), provides for the execution and delivery of supplements thereto substantially in the form hereof which shall particularly describe an Aircraft, and shall specifically grant a security interest in such Aircraft to the Trustee; and</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[WHEREAS, the Aircraft Security Agreement relates to the Airframes and Engines described in Annex A attached hereto and made a part hereof, and a counterpart of the Aircraft Security Agreement Supplement is attached to and made a part of this Aircraft Security Agreement;] </w:t>
      </w:r>
      <w:r>
        <w:rPr>
          <w:rFonts w:ascii="Arial" w:cs="Arial" w:eastAsia="Arial" w:hAnsi="Arial"/>
          <w:sz w:val="28"/>
          <w:szCs w:val="28"/>
          <w:color w:val="auto"/>
          <w:vertAlign w:val="superscript"/>
        </w:rPr>
        <w:t>1</w:t>
      </w:r>
    </w:p>
    <w:p>
      <w:pPr>
        <w:spacing w:after="0" w:line="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Grantor has, as provided in the Aircraft Security Agreement, heretofore executed and delivered to the Trustee Aircraft Security Agreement Supplement(s) for the purpose of specifically subjecting to the Lien of the Aircraft Security Agreement certain airframes and/or engines therein described, which Aircraft Security Agreement Supplement(s) is/are dated and has/have been duly recorded with the FAA as set forth below, to wit:</w:t>
      </w:r>
    </w:p>
    <w:p>
      <w:pPr>
        <w:spacing w:after="0" w:line="248" w:lineRule="exact"/>
        <w:rPr>
          <w:sz w:val="20"/>
          <w:szCs w:val="20"/>
          <w:color w:val="auto"/>
        </w:rPr>
      </w:pPr>
    </w:p>
    <w:p>
      <w:pPr>
        <w:ind w:left="7460"/>
        <w:spacing w:after="0"/>
        <w:rPr>
          <w:sz w:val="20"/>
          <w:szCs w:val="20"/>
          <w:color w:val="auto"/>
        </w:rPr>
      </w:pPr>
      <w:r>
        <w:rPr>
          <w:rFonts w:ascii="Arial" w:cs="Arial" w:eastAsia="Arial" w:hAnsi="Arial"/>
          <w:sz w:val="22"/>
          <w:szCs w:val="22"/>
          <w:u w:val="single" w:color="auto"/>
          <w:color w:val="auto"/>
        </w:rPr>
        <w:t>Conveyance No.]</w:t>
      </w:r>
      <w:r>
        <w:rPr>
          <w:rFonts w:ascii="Arial" w:cs="Arial" w:eastAsia="Arial" w:hAnsi="Arial"/>
          <w:sz w:val="22"/>
          <w:szCs w:val="22"/>
          <w:color w:val="auto"/>
        </w:rPr>
        <w:t xml:space="preserve"> </w:t>
      </w:r>
      <w:r>
        <w:rPr>
          <w:rFonts w:ascii="Arial" w:cs="Arial" w:eastAsia="Arial" w:hAnsi="Arial"/>
          <w:sz w:val="28"/>
          <w:szCs w:val="28"/>
          <w:color w:val="auto"/>
          <w:vertAlign w:val="superscript"/>
        </w:rPr>
        <w:t>2</w:t>
      </w:r>
    </w:p>
    <w:p>
      <w:pPr>
        <w:ind w:left="180"/>
        <w:spacing w:after="0"/>
        <w:tabs>
          <w:tab w:leader="none" w:pos="3620" w:val="left"/>
        </w:tabs>
        <w:rPr>
          <w:sz w:val="20"/>
          <w:szCs w:val="20"/>
          <w:color w:val="auto"/>
        </w:rPr>
      </w:pPr>
      <w:r>
        <w:rPr>
          <w:rFonts w:ascii="Arial" w:cs="Arial" w:eastAsia="Arial" w:hAnsi="Arial"/>
          <w:sz w:val="22"/>
          <w:szCs w:val="22"/>
          <w:u w:val="single" w:color="auto"/>
          <w:color w:val="auto"/>
        </w:rPr>
        <w:t>Date</w:t>
      </w:r>
      <w:r>
        <w:rPr>
          <w:sz w:val="20"/>
          <w:szCs w:val="20"/>
          <w:color w:val="auto"/>
        </w:rPr>
        <w:tab/>
      </w:r>
      <w:r>
        <w:rPr>
          <w:rFonts w:ascii="Arial" w:cs="Arial" w:eastAsia="Arial" w:hAnsi="Arial"/>
          <w:sz w:val="22"/>
          <w:szCs w:val="22"/>
          <w:u w:val="single" w:color="auto"/>
          <w:color w:val="auto"/>
        </w:rPr>
        <w:t>Recordation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1315720</wp:posOffset>
            </wp:positionV>
            <wp:extent cx="6858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Use for Aircraft Security Agreement Supplement No. 1 only.</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Use for all Aircraft Security Agreement Supplements other than Aircraft Security Agreement Supplement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226060</wp:posOffset>
            </wp:positionV>
            <wp:extent cx="7132320"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563" w:right="339" w:bottom="1440" w:gutter="0" w:footer="0" w:header="0"/>
          <w:type w:val="continuous"/>
        </w:sectPr>
      </w:pPr>
    </w:p>
    <w:bookmarkStart w:id="535" w:name="page536"/>
    <w:bookmarkEnd w:id="535"/>
    <w:p>
      <w:pPr>
        <w:jc w:val="both"/>
        <w:ind w:firstLine="648"/>
        <w:spacing w:after="0" w:line="288" w:lineRule="auto"/>
        <w:rPr>
          <w:sz w:val="20"/>
          <w:szCs w:val="20"/>
          <w:color w:val="auto"/>
        </w:rPr>
      </w:pPr>
      <w:r>
        <w:rPr>
          <w:rFonts w:ascii="Arial" w:cs="Arial" w:eastAsia="Arial" w:hAnsi="Arial"/>
          <w:sz w:val="19"/>
          <w:szCs w:val="19"/>
          <w:color w:val="auto"/>
        </w:rPr>
        <w:t xml:space="preserve">NOW, THEREFORE, to secure all of the Obligations, and in consideration of the premises, the mutual agreements set forth herein and other good and valuable consideration, the receipt and sufficiency of which are hereby acknowledged, the Grantor hereby pledges, grants and creates a security interest and mortgage in favor of the Trustee for its benefit and the benefit of the other Secured Parties in all estate, right, title and interest of the Grantor in, to and under the Aircraft, including the Airframe[s] and Engines described in Annex A attached hereto, whether or not any such Engine may from time to time be installed on [any][the][the related Airframe, any other] Airframe or any other airframe or any other aircraft, and any and all Parts relating thereto, and, to the extent provided in the Aircraft Security Agreement, all substitutions and replacements of, and additions, improvements, accessions and accumulations to, [the][each such] Aircraft, including the Airframe, the Engines and any and all Parts (in each case other than any substitutions, replacements, additions, improvements, accessions and accumulations that constitute items excluded from the definition of Parts by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thereof) relating thereto;</w:t>
      </w:r>
    </w:p>
    <w:p>
      <w:pPr>
        <w:spacing w:after="0" w:line="15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TO HAVE AND TO HOLD all and singular the aforesaid property unto the Trustee, and its successors and permitted assigns, in trust for its benefit and the benefit of other Secured Parties, except as otherwise provided in the Aircraft Security Agreement, and for the uses and purposes and subject to the terms and provisions set forth in the Aircraft Security Agreement.</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Aircraft Security Agreement Supplement shall be construed as supplemental to the Aircraft Security Agreement and shall form a part thereof, and the Aircraft Security Agreement is hereby incorporated by reference herein and is hereby ratified, approved and confirmed.</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THIS AIRCRAFT SECURITY AGREEMENT SUPPLEMENT HAS BEEN DELIVERED IN THE STATE OF NEW YORK AND THIS AIRCRAFT SECURITY AGREEMENT SUPPLEMENT AND THE RIGHTS AND OBLIGATIONS OF THE PARTIES UNDER THIS AIRCRAFT SECURITY AGREEMENT SUPPLEMENT SHALL BE GOVERNED BY, AND CONSTRUED IN ACCORDANCE WITH, THE LAWS OF THE STATE OF NEW YORK.</w:t>
      </w:r>
    </w:p>
    <w:p>
      <w:pPr>
        <w:spacing w:after="0" w:line="186" w:lineRule="exact"/>
        <w:rPr>
          <w:sz w:val="20"/>
          <w:szCs w:val="20"/>
          <w:color w:val="auto"/>
        </w:rPr>
      </w:pPr>
    </w:p>
    <w:p>
      <w:pPr>
        <w:ind w:left="4560" w:hanging="121"/>
        <w:spacing w:after="0"/>
        <w:tabs>
          <w:tab w:leader="none" w:pos="4560" w:val="left"/>
        </w:tabs>
        <w:numPr>
          <w:ilvl w:val="0"/>
          <w:numId w:val="709"/>
        </w:numPr>
        <w:rPr>
          <w:rFonts w:ascii="Arial" w:cs="Arial" w:eastAsia="Arial" w:hAnsi="Arial"/>
          <w:sz w:val="22"/>
          <w:szCs w:val="22"/>
          <w:color w:val="auto"/>
        </w:rPr>
      </w:pPr>
      <w:r>
        <w:rPr>
          <w:rFonts w:ascii="Arial" w:cs="Arial" w:eastAsia="Arial" w:hAnsi="Arial"/>
          <w:sz w:val="22"/>
          <w:szCs w:val="22"/>
          <w:i w:val="1"/>
          <w:iCs w:val="1"/>
          <w:color w:val="auto"/>
        </w:rPr>
        <w:t xml:space="preserve">Signature Pages Follow. </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7" w:lineRule="exact"/>
        <w:rPr>
          <w:rFonts w:ascii="Arial" w:cs="Arial" w:eastAsia="Arial" w:hAnsi="Arial"/>
          <w:sz w:val="22"/>
          <w:szCs w:val="22"/>
          <w:color w:val="auto"/>
        </w:rPr>
      </w:pPr>
    </w:p>
    <w:p>
      <w:pPr>
        <w:ind w:left="5400"/>
        <w:spacing w:after="0"/>
        <w:rPr>
          <w:rFonts w:ascii="Arial" w:cs="Arial" w:eastAsia="Arial" w:hAnsi="Arial"/>
          <w:sz w:val="22"/>
          <w:szCs w:val="22"/>
          <w:color w:val="auto"/>
        </w:rPr>
      </w:pPr>
      <w:r>
        <w:rPr>
          <w:rFonts w:ascii="Arial" w:cs="Arial" w:eastAsia="Arial" w:hAnsi="Arial"/>
          <w:sz w:val="22"/>
          <w:szCs w:val="22"/>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36" w:name="page537"/>
    <w:bookmarkEnd w:id="536"/>
    <w:p>
      <w:pPr>
        <w:ind w:firstLine="648"/>
        <w:spacing w:after="0" w:line="263" w:lineRule="auto"/>
        <w:rPr>
          <w:sz w:val="20"/>
          <w:szCs w:val="20"/>
          <w:color w:val="auto"/>
        </w:rPr>
      </w:pPr>
      <w:r>
        <w:rPr>
          <w:rFonts w:ascii="Arial" w:cs="Arial" w:eastAsia="Arial" w:hAnsi="Arial"/>
          <w:sz w:val="22"/>
          <w:szCs w:val="22"/>
          <w:color w:val="auto"/>
        </w:rPr>
        <w:t>IN WITNESS WHEREOF, the undersigned have caused this Aircraft Security Agreement Supplement No. __ to be duly executed by their respective duly authorized officers, on the date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OF GRANTOR]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82296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[NAME OF TRUSTEE], as Trustee</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82296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37" w:name="page538"/>
    <w:bookmarkEnd w:id="537"/>
    <w:p>
      <w:pPr>
        <w:jc w:val="right"/>
        <w:spacing w:after="0"/>
        <w:rPr>
          <w:sz w:val="20"/>
          <w:szCs w:val="20"/>
          <w:color w:val="auto"/>
        </w:rPr>
      </w:pPr>
      <w:r>
        <w:rPr>
          <w:rFonts w:ascii="Arial" w:cs="Arial" w:eastAsia="Arial" w:hAnsi="Arial"/>
          <w:sz w:val="22"/>
          <w:szCs w:val="22"/>
          <w:color w:val="auto"/>
        </w:rPr>
        <w:t>Annex A to</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Aircraft Security Agreement Supplement No. __</w:t>
      </w:r>
    </w:p>
    <w:p>
      <w:pPr>
        <w:spacing w:after="0" w:line="220"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DESCRIPTION OF AIRFRAME[S] AND ENGINES</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AIRFRAME</w:t>
      </w:r>
    </w:p>
    <w:p>
      <w:pPr>
        <w:spacing w:after="0" w:line="375"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Generic Manufacturer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1"/>
              </w:rPr>
              <w:t>Manufacturer’s Serial</w:t>
            </w:r>
          </w:p>
        </w:tc>
      </w:tr>
      <w:tr>
        <w:trPr>
          <w:trHeight w:val="230"/>
        </w:trPr>
        <w:tc>
          <w:tcPr>
            <w:tcW w:w="1980" w:type="dxa"/>
            <w:vAlign w:val="bottom"/>
            <w:gridSpan w:val="2"/>
          </w:tcPr>
          <w:p>
            <w:pPr>
              <w:ind w:left="460"/>
              <w:spacing w:after="0"/>
              <w:rPr>
                <w:sz w:val="20"/>
                <w:szCs w:val="20"/>
                <w:color w:val="auto"/>
              </w:rPr>
            </w:pPr>
            <w:r>
              <w:rPr>
                <w:rFonts w:ascii="Arial" w:cs="Arial" w:eastAsia="Arial" w:hAnsi="Arial"/>
                <w:sz w:val="18"/>
                <w:szCs w:val="18"/>
                <w:color w:val="auto"/>
              </w:rPr>
              <w:t>Manufacturer</w:t>
            </w:r>
          </w:p>
        </w:tc>
        <w:tc>
          <w:tcPr>
            <w:tcW w:w="1900" w:type="dxa"/>
            <w:vAlign w:val="bottom"/>
            <w:gridSpan w:val="2"/>
          </w:tcPr>
          <w:p>
            <w:pPr>
              <w:ind w:left="660"/>
              <w:spacing w:after="0"/>
              <w:rPr>
                <w:sz w:val="20"/>
                <w:szCs w:val="20"/>
                <w:color w:val="auto"/>
              </w:rPr>
            </w:pPr>
            <w:r>
              <w:rPr>
                <w:rFonts w:ascii="Arial" w:cs="Arial" w:eastAsia="Arial" w:hAnsi="Arial"/>
                <w:sz w:val="18"/>
                <w:szCs w:val="18"/>
                <w:color w:val="auto"/>
              </w:rPr>
              <w:t>Model</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Model</w:t>
            </w: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rPr>
              <w:t>FAA Registration No.</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No.</w:t>
            </w:r>
          </w:p>
        </w:tc>
      </w:tr>
      <w:tr>
        <w:trPr>
          <w:trHeight w:val="27"/>
        </w:trPr>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ENGINES</w:t>
      </w:r>
    </w:p>
    <w:p>
      <w:pPr>
        <w:spacing w:after="0" w:line="375"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Generic Manufacturer and</w:t>
            </w:r>
          </w:p>
        </w:tc>
        <w:tc>
          <w:tcPr>
            <w:tcW w:w="2280" w:type="dxa"/>
            <w:vAlign w:val="bottom"/>
          </w:tcPr>
          <w:p>
            <w:pPr>
              <w:spacing w:after="0"/>
              <w:rPr>
                <w:sz w:val="18"/>
                <w:szCs w:val="18"/>
                <w:color w:val="auto"/>
              </w:rPr>
            </w:pPr>
          </w:p>
        </w:tc>
      </w:tr>
      <w:tr>
        <w:trPr>
          <w:trHeight w:val="230"/>
        </w:trPr>
        <w:tc>
          <w:tcPr>
            <w:tcW w:w="2280" w:type="dxa"/>
            <w:vAlign w:val="bottom"/>
            <w:gridSpan w:val="2"/>
          </w:tcPr>
          <w:p>
            <w:pPr>
              <w:ind w:left="600"/>
              <w:spacing w:after="0"/>
              <w:rPr>
                <w:sz w:val="20"/>
                <w:szCs w:val="20"/>
                <w:color w:val="auto"/>
              </w:rPr>
            </w:pPr>
            <w:r>
              <w:rPr>
                <w:rFonts w:ascii="Arial" w:cs="Arial" w:eastAsia="Arial" w:hAnsi="Arial"/>
                <w:sz w:val="18"/>
                <w:szCs w:val="18"/>
                <w:color w:val="auto"/>
              </w:rPr>
              <w:t>Manufacturer</w:t>
            </w:r>
          </w:p>
        </w:tc>
        <w:tc>
          <w:tcPr>
            <w:tcW w:w="2260" w:type="dxa"/>
            <w:vAlign w:val="bottom"/>
            <w:gridSpan w:val="2"/>
          </w:tcPr>
          <w:p>
            <w:pPr>
              <w:ind w:left="840"/>
              <w:spacing w:after="0"/>
              <w:rPr>
                <w:sz w:val="20"/>
                <w:szCs w:val="20"/>
                <w:color w:val="auto"/>
              </w:rPr>
            </w:pPr>
            <w:r>
              <w:rPr>
                <w:rFonts w:ascii="Arial" w:cs="Arial" w:eastAsia="Arial" w:hAnsi="Arial"/>
                <w:sz w:val="18"/>
                <w:szCs w:val="18"/>
                <w:color w:val="auto"/>
              </w:rPr>
              <w:t>Model</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Model</w:t>
            </w:r>
          </w:p>
        </w:tc>
        <w:tc>
          <w:tcPr>
            <w:tcW w:w="2280" w:type="dxa"/>
            <w:vAlign w:val="bottom"/>
          </w:tcPr>
          <w:p>
            <w:pPr>
              <w:ind w:left="200"/>
              <w:spacing w:after="0"/>
              <w:rPr>
                <w:sz w:val="20"/>
                <w:szCs w:val="20"/>
                <w:color w:val="auto"/>
              </w:rPr>
            </w:pPr>
            <w:r>
              <w:rPr>
                <w:rFonts w:ascii="Arial" w:cs="Arial" w:eastAsia="Arial" w:hAnsi="Arial"/>
                <w:sz w:val="18"/>
                <w:szCs w:val="18"/>
                <w:color w:val="auto"/>
              </w:rPr>
              <w:t>Manufacturer’s Serial No.</w:t>
            </w:r>
          </w:p>
        </w:tc>
      </w:tr>
      <w:tr>
        <w:trPr>
          <w:trHeight w:val="27"/>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Engine has 550 or more rated takeoff horsepower or the equivalent of such horsepower and is a jet propulsion aircraft engine having at least 1750 pounds of thrust or the equivalent of such thrust.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38" w:name="page539"/>
    <w:bookmarkEnd w:id="538"/>
    <w:p>
      <w:pPr>
        <w:jc w:val="right"/>
        <w:spacing w:after="0"/>
        <w:rPr>
          <w:sz w:val="20"/>
          <w:szCs w:val="20"/>
          <w:color w:val="auto"/>
        </w:rPr>
      </w:pPr>
      <w:r>
        <w:rPr>
          <w:rFonts w:ascii="Arial" w:cs="Arial" w:eastAsia="Arial" w:hAnsi="Arial"/>
          <w:sz w:val="22"/>
          <w:szCs w:val="22"/>
          <w:color w:val="auto"/>
        </w:rPr>
        <w:t>EXHIBIT B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AIRCRAFT SECURITY AGREEMENT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LIST OF PERMITTED COUNTRIES</w:t>
      </w:r>
    </w:p>
    <w:p>
      <w:pPr>
        <w:sectPr>
          <w:pgSz w:w="11900" w:h="16838" w:orient="portrait"/>
          <w:cols w:equalWidth="0" w:num="1">
            <w:col w:w="11240"/>
          </w:cols>
          <w:pgMar w:left="320" w:top="563" w:right="339" w:bottom="1440" w:gutter="0" w:footer="0" w:header="0"/>
        </w:sectPr>
      </w:pPr>
    </w:p>
    <w:p>
      <w:pPr>
        <w:spacing w:after="0" w:line="3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Austria*</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Bahamas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Barbados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Belgium</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Bermuda Islands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Brazil</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British Virgin Islands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Cayman Islands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Chile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Czech Republic</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Denmark*</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Ecuador</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Finland*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Greece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Hong Kong</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Hungary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Iceland*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Jamaica</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Kuwait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Liechtenstein*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Monaco*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 Antilles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Portugal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Republic of China (Taiwan)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Sweden*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Trinidad and Tobago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470" w:lineRule="exact"/>
        <w:rPr>
          <w:sz w:val="20"/>
          <w:szCs w:val="20"/>
          <w:color w:val="auto"/>
        </w:rPr>
      </w:pPr>
    </w:p>
    <w:p>
      <w:pPr>
        <w:sectPr>
          <w:pgSz w:w="11900" w:h="16838" w:orient="portrait"/>
          <w:cols w:equalWidth="0" w:num="2">
            <w:col w:w="4940" w:space="720"/>
            <w:col w:w="5580"/>
          </w:cols>
          <w:pgMar w:left="320" w:top="563" w:right="339" w:bottom="1440" w:gutter="0" w:footer="0" w:header="0"/>
          <w:type w:val="continuous"/>
        </w:sect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*Country of domicile for a manufacturer (or its Affiliate) referred to in </w:t>
      </w:r>
      <w:r>
        <w:rPr>
          <w:rFonts w:ascii="Arial" w:cs="Arial" w:eastAsia="Arial" w:hAnsi="Arial"/>
          <w:sz w:val="19"/>
          <w:szCs w:val="19"/>
          <w:u w:val="single" w:color="auto"/>
          <w:color w:val="auto"/>
        </w:rPr>
        <w:t>Section 6.01(a)(ix)</w:t>
      </w:r>
      <w:r>
        <w:rPr>
          <w:rFonts w:ascii="Arial" w:cs="Arial" w:eastAsia="Arial" w:hAnsi="Arial"/>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539" w:name="page540"/>
    <w:bookmarkEnd w:id="539"/>
    <w:p>
      <w:pPr>
        <w:jc w:val="right"/>
        <w:spacing w:after="0"/>
        <w:rPr>
          <w:sz w:val="20"/>
          <w:szCs w:val="20"/>
          <w:color w:val="auto"/>
        </w:rPr>
      </w:pPr>
      <w:r>
        <w:rPr>
          <w:rFonts w:ascii="Arial" w:cs="Arial" w:eastAsia="Arial" w:hAnsi="Arial"/>
          <w:sz w:val="22"/>
          <w:szCs w:val="22"/>
          <w:b w:val="1"/>
          <w:bCs w:val="1"/>
          <w:color w:val="auto"/>
        </w:rPr>
        <w:t>Annex A</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to Aircraft Security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Agent</w:t>
      </w:r>
      <w:r>
        <w:rPr>
          <w:rFonts w:ascii="Arial" w:cs="Arial" w:eastAsia="Arial" w:hAnsi="Arial"/>
          <w:sz w:val="22"/>
          <w:szCs w:val="22"/>
          <w:color w:val="auto"/>
        </w:rPr>
        <w:t xml:space="preserve"> ” shall have the meaning specified in the Intercreditor Agreement.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Aircraft</w:t>
      </w:r>
      <w:r>
        <w:rPr>
          <w:rFonts w:ascii="Arial" w:cs="Arial" w:eastAsia="Arial" w:hAnsi="Arial"/>
          <w:sz w:val="22"/>
          <w:szCs w:val="22"/>
          <w:color w:val="auto"/>
        </w:rPr>
        <w:t xml:space="preserve"> ” shall mean any aircraft that the Grantor has elected to subject to the Lien of the Aircraft Security Agreement as Additional Collateral or Qualified Replacement Assets, other than the initial Aircraft so subjected or any Replacement Aircraft.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Collateral</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Collateral Documents</w:t>
      </w:r>
      <w:r>
        <w:rPr>
          <w:rFonts w:ascii="Arial" w:cs="Arial" w:eastAsia="Arial" w:hAnsi="Arial"/>
          <w:sz w:val="22"/>
          <w:szCs w:val="22"/>
          <w:color w:val="auto"/>
        </w:rPr>
        <w:t xml:space="preserve"> ” shall have the meaning specified in the Intercreditor Agreement.</w:t>
      </w:r>
    </w:p>
    <w:p>
      <w:pPr>
        <w:spacing w:after="0" w:line="179" w:lineRule="exact"/>
        <w:rPr>
          <w:sz w:val="20"/>
          <w:szCs w:val="20"/>
          <w:color w:val="auto"/>
        </w:rPr>
      </w:pPr>
    </w:p>
    <w:p>
      <w:pPr>
        <w:ind w:left="660" w:right="1040"/>
        <w:spacing w:after="0" w:line="42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Additional Credit Facility Secured Parties</w:t>
      </w:r>
      <w:r>
        <w:rPr>
          <w:rFonts w:ascii="Arial" w:cs="Arial" w:eastAsia="Arial" w:hAnsi="Arial"/>
          <w:sz w:val="21"/>
          <w:szCs w:val="21"/>
          <w:color w:val="auto"/>
        </w:rPr>
        <w:t xml:space="preserve"> ” shall have the meaning specified in the Intercreditor Agreement. “ </w:t>
      </w:r>
      <w:r>
        <w:rPr>
          <w:rFonts w:ascii="Arial" w:cs="Arial" w:eastAsia="Arial" w:hAnsi="Arial"/>
          <w:sz w:val="21"/>
          <w:szCs w:val="21"/>
          <w:u w:val="single" w:color="auto"/>
          <w:color w:val="auto"/>
        </w:rPr>
        <w:t>Additional Obligations</w:t>
      </w:r>
      <w:r>
        <w:rPr>
          <w:rFonts w:ascii="Arial" w:cs="Arial" w:eastAsia="Arial" w:hAnsi="Arial"/>
          <w:sz w:val="21"/>
          <w:szCs w:val="21"/>
          <w:color w:val="auto"/>
        </w:rPr>
        <w:t xml:space="preserve"> ” shall have the meaning specified in the Intercreditor Agreement.</w:t>
      </w:r>
    </w:p>
    <w:p>
      <w:pPr>
        <w:ind w:left="660" w:right="3340"/>
        <w:spacing w:after="0" w:line="4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xml:space="preserve"> ” shall have the meaning specified in the Credit Agreement. “ </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 shall have the meaning specified in the Credit Agreement.</w:t>
      </w:r>
    </w:p>
    <w:p>
      <w:pPr>
        <w:jc w:val="both"/>
        <w:ind w:firstLine="648"/>
        <w:spacing w:after="0" w:line="219"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Aircraft</w:t>
      </w:r>
      <w:r>
        <w:rPr>
          <w:rFonts w:ascii="Arial" w:cs="Arial" w:eastAsia="Arial" w:hAnsi="Arial"/>
          <w:sz w:val="21"/>
          <w:szCs w:val="21"/>
          <w:color w:val="auto"/>
        </w:rPr>
        <w:t xml:space="preserve"> ” shall mean each Airframe (or any Replacement Airframe substituted for such Airframe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6.04</w:t>
      </w:r>
      <w:r>
        <w:rPr>
          <w:rFonts w:ascii="Arial" w:cs="Arial" w:eastAsia="Arial" w:hAnsi="Arial"/>
          <w:sz w:val="21"/>
          <w:szCs w:val="21"/>
          <w:color w:val="auto"/>
        </w:rPr>
        <w:t xml:space="preserve"> of the Aircraft Security Agreement or any airframe constituting part of an Additional Aircraft that has been subjected to the Lien of the Aircraft Security Agreement pursuant to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of the Aircraft Security Agreement) together with the two related Engines described in </w:t>
      </w:r>
      <w:r>
        <w:rPr>
          <w:rFonts w:ascii="Arial" w:cs="Arial" w:eastAsia="Arial" w:hAnsi="Arial"/>
          <w:sz w:val="21"/>
          <w:szCs w:val="21"/>
          <w:b w:val="1"/>
          <w:bCs w:val="1"/>
          <w:color w:val="auto"/>
        </w:rPr>
        <w:t>Annex A</w:t>
      </w:r>
      <w:r>
        <w:rPr>
          <w:rFonts w:ascii="Arial" w:cs="Arial" w:eastAsia="Arial" w:hAnsi="Arial"/>
          <w:sz w:val="21"/>
          <w:szCs w:val="21"/>
          <w:color w:val="auto"/>
        </w:rPr>
        <w:t xml:space="preserve"> to the Aircraft Security Agreement Supplement originally executed and delivered under the Aircraft Security Agreement relating to such Airframe or Replacement Airframe (or any Replacement Engine that may from time to time be substituted for any of such Engines pursuant to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of the Aircraft Security Agreement or any engines subjected to the Lien of the Aircraft Security Agreement in connection with an Additional Aircraft that has been subjected to the Lien of the Aircraft Security Agreement pursuant to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of the Aircraft Security Agreement)), whether or not any of such initial or substituted Engines may from time to time be installed on such Airframe or Replacement Airframe or any other airframe or aircraft. The term “ </w:t>
      </w:r>
      <w:r>
        <w:rPr>
          <w:rFonts w:ascii="Arial" w:cs="Arial" w:eastAsia="Arial" w:hAnsi="Arial"/>
          <w:sz w:val="21"/>
          <w:szCs w:val="21"/>
          <w:u w:val="single" w:color="auto"/>
          <w:color w:val="auto"/>
        </w:rPr>
        <w:t>Aircraft</w:t>
      </w:r>
      <w:r>
        <w:rPr>
          <w:rFonts w:ascii="Arial" w:cs="Arial" w:eastAsia="Arial" w:hAnsi="Arial"/>
          <w:sz w:val="21"/>
          <w:szCs w:val="21"/>
          <w:color w:val="auto"/>
        </w:rPr>
        <w:t xml:space="preserve"> ” shall include any Replacement Aircraft or Additional Aircraft that has been subjected to the Lien of the Aircraft Security Agreement pursuant to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of the Aircraft Security Agreement. The term “ </w:t>
      </w:r>
      <w:r>
        <w:rPr>
          <w:rFonts w:ascii="Arial" w:cs="Arial" w:eastAsia="Arial" w:hAnsi="Arial"/>
          <w:sz w:val="21"/>
          <w:szCs w:val="21"/>
          <w:u w:val="single" w:color="auto"/>
          <w:color w:val="auto"/>
        </w:rPr>
        <w:t>Aircraft</w:t>
      </w:r>
      <w:r>
        <w:rPr>
          <w:rFonts w:ascii="Arial" w:cs="Arial" w:eastAsia="Arial" w:hAnsi="Arial"/>
          <w:sz w:val="21"/>
          <w:szCs w:val="21"/>
          <w:color w:val="auto"/>
        </w:rPr>
        <w:t xml:space="preserve"> ” shall not include any Aircraft after the Lien of the Aircraft Security Agreement shall have been terminated with respect thereto.</w:t>
      </w:r>
    </w:p>
    <w:p>
      <w:pPr>
        <w:spacing w:after="0" w:line="15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Aircraft Closing Date</w:t>
      </w:r>
      <w:r>
        <w:rPr>
          <w:rFonts w:ascii="Arial" w:cs="Arial" w:eastAsia="Arial" w:hAnsi="Arial"/>
          <w:sz w:val="22"/>
          <w:szCs w:val="22"/>
          <w:color w:val="auto"/>
        </w:rPr>
        <w:t xml:space="preserve"> ” shall mean with respect to any aircraft, the date such aircraft is subjected to the Lien of the Aircraft Security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Aircraft Collateral</w:t>
      </w:r>
      <w:r>
        <w:rPr>
          <w:rFonts w:ascii="Arial" w:cs="Arial" w:eastAsia="Arial" w:hAnsi="Arial"/>
          <w:sz w:val="21"/>
          <w:szCs w:val="21"/>
          <w:color w:val="auto"/>
        </w:rPr>
        <w:t xml:space="preserve"> ” shall have the meaning specified in the granting clause of the Aircraft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0" w:name="page541"/>
    <w:bookmarkEnd w:id="540"/>
    <w:p>
      <w:pPr>
        <w:jc w:val="both"/>
        <w:ind w:firstLine="648"/>
        <w:spacing w:after="0" w:line="226"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Aircraft Protocol</w:t>
      </w:r>
      <w:r>
        <w:rPr>
          <w:rFonts w:ascii="Arial" w:cs="Arial" w:eastAsia="Arial" w:hAnsi="Arial"/>
          <w:sz w:val="21"/>
          <w:szCs w:val="21"/>
          <w:color w:val="auto"/>
        </w:rPr>
        <w:t xml:space="preserve"> ” shall mean the official English language text of the Protocol to the Convention on International Interests in Mobile Equipment on Matters Specific to Aircraft Equipment, adopted on November 16, 2001, at a diplomatic conference in Cape Town, South Africa, and all amendments, supplements, and revisions thereto (and from and after the effective date of the Cape Town Treaty in the relevant country, means when referring to the Aircraft Protocol with respect to that country, the Aircraft Protocol as in effect in such country, unless otherwise indicated).</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Aircraft Security Agreement</w:t>
      </w:r>
      <w:r>
        <w:rPr>
          <w:rFonts w:ascii="Arial" w:cs="Arial" w:eastAsia="Arial" w:hAnsi="Arial"/>
          <w:sz w:val="22"/>
          <w:szCs w:val="22"/>
          <w:color w:val="auto"/>
        </w:rPr>
        <w:t xml:space="preserve"> ” shall mean the Aircraft Security Agreement, dated as of [•], between the Grantor and the Trustee acting on behalf of the Collateral Agent, as the same may be amended, supplemented or otherwise modified from time to time in accordance with its terms, including supplementation by an Aircraft Security Agreement Supplement pursuant to the Aircraft Security Agreement.</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Aircraft Security Agreement Supplement</w:t>
      </w:r>
      <w:r>
        <w:rPr>
          <w:rFonts w:ascii="Arial" w:cs="Arial" w:eastAsia="Arial" w:hAnsi="Arial"/>
          <w:sz w:val="22"/>
          <w:szCs w:val="22"/>
          <w:color w:val="auto"/>
        </w:rPr>
        <w:t xml:space="preserve"> ” shall mean a supplement to the Aircraft Security Agreement executed and delivered thereunder, substantially in the form of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to the Aircraft Security Agreement, which shall describe any Aircraft and any Replacement Airframe and/or Replacement Engine included in the property subject to the Lien of the Aircraft Security Agreement.</w:t>
      </w:r>
    </w:p>
    <w:p>
      <w:pPr>
        <w:spacing w:after="0" w:line="15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Airframe</w:t>
      </w:r>
      <w:r>
        <w:rPr>
          <w:rFonts w:ascii="Arial" w:cs="Arial" w:eastAsia="Arial" w:hAnsi="Arial"/>
          <w:sz w:val="19"/>
          <w:szCs w:val="19"/>
          <w:color w:val="auto"/>
        </w:rPr>
        <w:t xml:space="preserve"> ” shall mean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each airframe further described in </w:t>
      </w:r>
      <w:r>
        <w:rPr>
          <w:rFonts w:ascii="Arial" w:cs="Arial" w:eastAsia="Arial" w:hAnsi="Arial"/>
          <w:sz w:val="19"/>
          <w:szCs w:val="19"/>
          <w:b w:val="1"/>
          <w:bCs w:val="1"/>
          <w:color w:val="auto"/>
        </w:rPr>
        <w:t>Annex A</w:t>
      </w:r>
      <w:r>
        <w:rPr>
          <w:rFonts w:ascii="Arial" w:cs="Arial" w:eastAsia="Arial" w:hAnsi="Arial"/>
          <w:sz w:val="19"/>
          <w:szCs w:val="19"/>
          <w:color w:val="auto"/>
        </w:rPr>
        <w:t xml:space="preserve"> to an Aircraft Security Agreement Supplement originally executed and delivered in respect of such airframe under the Aircraft Security Agreement (except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the related Engines or engines from time to time installed thereon and any and all Parts related to such Engine or engines and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items installed or incorporated in or attached to such aircraft from time to time that are excluded from the definition of Parts by </w:t>
      </w:r>
      <w:r>
        <w:rPr>
          <w:rFonts w:ascii="Arial" w:cs="Arial" w:eastAsia="Arial" w:hAnsi="Arial"/>
          <w:sz w:val="19"/>
          <w:szCs w:val="19"/>
          <w:u w:val="single" w:color="auto"/>
          <w:color w:val="auto"/>
        </w:rPr>
        <w:t>clauses</w:t>
      </w:r>
    </w:p>
    <w:p>
      <w:pPr>
        <w:spacing w:after="0" w:line="3" w:lineRule="exact"/>
        <w:rPr>
          <w:sz w:val="20"/>
          <w:szCs w:val="20"/>
          <w:color w:val="auto"/>
        </w:rPr>
      </w:pPr>
    </w:p>
    <w:p>
      <w:pPr>
        <w:jc w:val="both"/>
        <w:ind w:firstLine="8"/>
        <w:spacing w:after="0" w:line="219" w:lineRule="auto"/>
        <w:tabs>
          <w:tab w:leader="none" w:pos="306" w:val="left"/>
        </w:tabs>
        <w:numPr>
          <w:ilvl w:val="0"/>
          <w:numId w:val="711"/>
        </w:numPr>
        <w:rPr>
          <w:rFonts w:ascii="Arial" w:cs="Arial" w:eastAsia="Arial" w:hAnsi="Arial"/>
          <w:sz w:val="21"/>
          <w:szCs w:val="21"/>
          <w:u w:val="single" w:color="auto"/>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xml:space="preserve"> thereof) and ( </w:t>
      </w:r>
      <w:r>
        <w:rPr>
          <w:rFonts w:ascii="Arial" w:cs="Arial" w:eastAsia="Arial" w:hAnsi="Arial"/>
          <w:sz w:val="21"/>
          <w:szCs w:val="21"/>
          <w:u w:val="single" w:color="auto"/>
          <w:color w:val="auto"/>
        </w:rPr>
        <w:t>b</w:t>
      </w:r>
      <w:r>
        <w:rPr>
          <w:rFonts w:ascii="Arial" w:cs="Arial" w:eastAsia="Arial" w:hAnsi="Arial"/>
          <w:sz w:val="21"/>
          <w:szCs w:val="21"/>
          <w:color w:val="auto"/>
        </w:rPr>
        <w:t xml:space="preserve"> ) any and all related Parts. The term “ </w:t>
      </w:r>
      <w:r>
        <w:rPr>
          <w:rFonts w:ascii="Arial" w:cs="Arial" w:eastAsia="Arial" w:hAnsi="Arial"/>
          <w:sz w:val="21"/>
          <w:szCs w:val="21"/>
          <w:u w:val="single" w:color="auto"/>
          <w:color w:val="auto"/>
        </w:rPr>
        <w:t>Airframe</w:t>
      </w:r>
      <w:r>
        <w:rPr>
          <w:rFonts w:ascii="Arial" w:cs="Arial" w:eastAsia="Arial" w:hAnsi="Arial"/>
          <w:sz w:val="21"/>
          <w:szCs w:val="21"/>
          <w:color w:val="auto"/>
        </w:rPr>
        <w:t xml:space="preserve"> ” shall include any Replacement Airframe that may from time to time be substituted for any Airframe pursuant to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of the Aircraft Security Agreement or any airframe subjected to the Lien of the Aircraft Security Agreement in connection with an Additional Aircraft that has been subjected to the Lien of the Aircraft Security Agreement pursuant to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of the Aircraft Security Agreement. At such time as a Replacement Airframe shall be so substituted and the Airframe for which such substitution is made shall be released from the Lien of the Aircraft Security Agreement, such replaced Airframe shall cease to be an Airframe under the Aircraft Security Agreement. The term “ </w:t>
      </w:r>
      <w:r>
        <w:rPr>
          <w:rFonts w:ascii="Arial" w:cs="Arial" w:eastAsia="Arial" w:hAnsi="Arial"/>
          <w:sz w:val="21"/>
          <w:szCs w:val="21"/>
          <w:u w:val="single" w:color="auto"/>
          <w:color w:val="auto"/>
        </w:rPr>
        <w:t>Airframe</w:t>
      </w:r>
      <w:r>
        <w:rPr>
          <w:rFonts w:ascii="Arial" w:cs="Arial" w:eastAsia="Arial" w:hAnsi="Arial"/>
          <w:sz w:val="21"/>
          <w:szCs w:val="21"/>
          <w:color w:val="auto"/>
        </w:rPr>
        <w:t xml:space="preserve"> ” shall not include any Airframe after the Lien of the Aircraft Security Agreement shall have been terminated with respect thereto.</w:t>
      </w:r>
    </w:p>
    <w:p>
      <w:pPr>
        <w:spacing w:after="0" w:line="163" w:lineRule="exact"/>
        <w:rPr>
          <w:rFonts w:ascii="Arial" w:cs="Arial" w:eastAsia="Arial" w:hAnsi="Arial"/>
          <w:sz w:val="21"/>
          <w:szCs w:val="21"/>
          <w:u w:val="single" w:color="auto"/>
          <w:color w:val="auto"/>
        </w:rPr>
      </w:pPr>
    </w:p>
    <w:p>
      <w:pPr>
        <w:ind w:left="660"/>
        <w:spacing w:after="0"/>
        <w:rPr>
          <w:rFonts w:ascii="Arial" w:cs="Arial" w:eastAsia="Arial" w:hAnsi="Arial"/>
          <w:sz w:val="21"/>
          <w:szCs w:val="21"/>
          <w:u w:val="single" w:color="auto"/>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Appraisal</w:t>
      </w:r>
      <w:r>
        <w:rPr>
          <w:rFonts w:ascii="Arial" w:cs="Arial" w:eastAsia="Arial" w:hAnsi="Arial"/>
          <w:sz w:val="22"/>
          <w:szCs w:val="22"/>
          <w:color w:val="auto"/>
        </w:rPr>
        <w:t xml:space="preserve"> ” shall have the meaning specified in the Credit Agreement.</w:t>
      </w:r>
    </w:p>
    <w:p>
      <w:pPr>
        <w:spacing w:after="0" w:line="179" w:lineRule="exact"/>
        <w:rPr>
          <w:rFonts w:ascii="Arial" w:cs="Arial" w:eastAsia="Arial" w:hAnsi="Arial"/>
          <w:sz w:val="21"/>
          <w:szCs w:val="21"/>
          <w:u w:val="single" w:color="auto"/>
          <w:color w:val="auto"/>
        </w:rPr>
      </w:pPr>
    </w:p>
    <w:p>
      <w:pPr>
        <w:ind w:left="660"/>
        <w:spacing w:after="0"/>
        <w:rPr>
          <w:rFonts w:ascii="Arial" w:cs="Arial" w:eastAsia="Arial" w:hAnsi="Arial"/>
          <w:sz w:val="21"/>
          <w:szCs w:val="21"/>
          <w:u w:val="single" w:color="auto"/>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Appraised Value</w:t>
      </w:r>
      <w:r>
        <w:rPr>
          <w:rFonts w:ascii="Arial" w:cs="Arial" w:eastAsia="Arial" w:hAnsi="Arial"/>
          <w:sz w:val="22"/>
          <w:szCs w:val="22"/>
          <w:color w:val="auto"/>
        </w:rPr>
        <w:t xml:space="preserve"> ” shall have the meaning specified in the Credit Agreement.</w:t>
      </w:r>
    </w:p>
    <w:p>
      <w:pPr>
        <w:spacing w:after="0" w:line="179" w:lineRule="exact"/>
        <w:rPr>
          <w:rFonts w:ascii="Arial" w:cs="Arial" w:eastAsia="Arial" w:hAnsi="Arial"/>
          <w:sz w:val="21"/>
          <w:szCs w:val="21"/>
          <w:u w:val="single" w:color="auto"/>
          <w:color w:val="auto"/>
        </w:rPr>
      </w:pPr>
    </w:p>
    <w:p>
      <w:pPr>
        <w:ind w:firstLine="648"/>
        <w:spacing w:after="0" w:line="232" w:lineRule="auto"/>
        <w:rPr>
          <w:rFonts w:ascii="Arial" w:cs="Arial" w:eastAsia="Arial" w:hAnsi="Arial"/>
          <w:sz w:val="21"/>
          <w:szCs w:val="21"/>
          <w:u w:val="single" w:color="auto"/>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Banking Product Provider</w:t>
      </w:r>
      <w:r>
        <w:rPr>
          <w:rFonts w:ascii="Arial" w:cs="Arial" w:eastAsia="Arial" w:hAnsi="Arial"/>
          <w:sz w:val="22"/>
          <w:szCs w:val="22"/>
          <w:color w:val="auto"/>
        </w:rPr>
        <w:t xml:space="preserve"> ” shall mean any Person that has entered into a Designated Banking Product Agreement with Parent or the Grantor.</w:t>
      </w:r>
    </w:p>
    <w:p>
      <w:pPr>
        <w:spacing w:after="0" w:line="158" w:lineRule="exact"/>
        <w:rPr>
          <w:rFonts w:ascii="Arial" w:cs="Arial" w:eastAsia="Arial" w:hAnsi="Arial"/>
          <w:sz w:val="21"/>
          <w:szCs w:val="21"/>
          <w:u w:val="single" w:color="auto"/>
          <w:color w:val="auto"/>
        </w:rPr>
      </w:pPr>
    </w:p>
    <w:p>
      <w:pPr>
        <w:jc w:val="both"/>
        <w:ind w:firstLine="648"/>
        <w:spacing w:after="0" w:line="257" w:lineRule="auto"/>
        <w:rPr>
          <w:rFonts w:ascii="Arial" w:cs="Arial" w:eastAsia="Arial" w:hAnsi="Arial"/>
          <w:sz w:val="21"/>
          <w:szCs w:val="21"/>
          <w:u w:val="single" w:color="auto"/>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Bankruptcy Case</w:t>
      </w:r>
      <w:r>
        <w:rPr>
          <w:rFonts w:ascii="Arial" w:cs="Arial" w:eastAsia="Arial" w:hAnsi="Arial"/>
          <w:sz w:val="19"/>
          <w:szCs w:val="19"/>
          <w:color w:val="auto"/>
        </w:rPr>
        <w:t xml:space="preserve"> ” shall mean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pursuant to or within the meaning of Bankruptcy Law,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a voluntary case commenced by Parent or any of its Subsidiaries,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an involuntary case in which Parent or any of its Subsidiaries consent to the entry of an order for relief against it,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an appointment consented to by Parent or any of its Subsidiaries of a custodian of it or for all or substantially all of its property, (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 the making of a general assignment for the benefit of its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41" w:name="page542"/>
    <w:bookmarkEnd w:id="541"/>
    <w:p>
      <w:pPr>
        <w:jc w:val="both"/>
        <w:spacing w:after="0" w:line="252" w:lineRule="auto"/>
        <w:rPr>
          <w:sz w:val="20"/>
          <w:szCs w:val="20"/>
          <w:color w:val="auto"/>
        </w:rPr>
      </w:pPr>
      <w:r>
        <w:rPr>
          <w:rFonts w:ascii="Arial" w:cs="Arial" w:eastAsia="Arial" w:hAnsi="Arial"/>
          <w:sz w:val="19"/>
          <w:szCs w:val="19"/>
          <w:color w:val="auto"/>
        </w:rPr>
        <w:t xml:space="preserve">by Parent or any of its Subsidiaries or ( </w:t>
      </w:r>
      <w:r>
        <w:rPr>
          <w:rFonts w:ascii="Arial" w:cs="Arial" w:eastAsia="Arial" w:hAnsi="Arial"/>
          <w:sz w:val="19"/>
          <w:szCs w:val="19"/>
          <w:u w:val="single" w:color="auto"/>
          <w:color w:val="auto"/>
        </w:rPr>
        <w:t>v</w:t>
      </w:r>
      <w:r>
        <w:rPr>
          <w:rFonts w:ascii="Arial" w:cs="Arial" w:eastAsia="Arial" w:hAnsi="Arial"/>
          <w:sz w:val="19"/>
          <w:szCs w:val="19"/>
          <w:color w:val="auto"/>
        </w:rPr>
        <w:t xml:space="preserve"> ) the admission in writing of Parent’s or any of its Subsidiaries’ inability generally to pay its debts or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an order or decree under any Bankruptcy Law entered by a court of competent jurisdiction that ( </w:t>
      </w:r>
      <w:r>
        <w:rPr>
          <w:rFonts w:ascii="Arial" w:cs="Arial" w:eastAsia="Arial" w:hAnsi="Arial"/>
          <w:sz w:val="19"/>
          <w:szCs w:val="19"/>
          <w:u w:val="single" w:color="auto"/>
          <w:color w:val="auto"/>
        </w:rPr>
        <w:t>i</w:t>
      </w:r>
      <w:r>
        <w:rPr>
          <w:rFonts w:ascii="Arial" w:cs="Arial" w:eastAsia="Arial" w:hAnsi="Arial"/>
          <w:sz w:val="19"/>
          <w:szCs w:val="19"/>
          <w:color w:val="auto"/>
        </w:rPr>
        <w:t xml:space="preserve"> ) is for relief against Parent or any of its Subsidiaries in an involuntary case, (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 appoints a custodian of Parent or any of its Subsidiaries for all or substantially all of the property of Parent or any of its Subsidiaries, (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 orders the liquidation of Parent or any of its Subsidiaries, and in each case of this clause (b) the order or decree remains unstayed and in effect for 60 consecutive days.</w:t>
      </w:r>
    </w:p>
    <w:p>
      <w:pPr>
        <w:spacing w:after="0" w:line="14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 shall mean the United States Bankruptcy Code, 11 United States Code §§101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 as amended, or any successor statutes thereto.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Cape Town Convention</w:t>
      </w:r>
      <w:r>
        <w:rPr>
          <w:rFonts w:ascii="Arial" w:cs="Arial" w:eastAsia="Arial" w:hAnsi="Arial"/>
          <w:sz w:val="22"/>
          <w:szCs w:val="22"/>
          <w:color w:val="auto"/>
        </w:rPr>
        <w:t xml:space="preserve"> ” shall mean the official English language text of the Convention on International Interests in Mobile Equipment, adopted on November 16, 2001, at a diplomatic conference in Cape Town, South Africa, and all amendments, supplements, and revisions thereto (and from and after the effective date of the Cape Town Treaty in the relevant country, means when referring to the Cape Town Convention with respect to that country, the Cape Town Convention as in effect in such country, unless otherwise indicated).</w:t>
      </w:r>
    </w:p>
    <w:p>
      <w:pPr>
        <w:spacing w:after="0" w:line="157"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Cape Town Treaty</w:t>
      </w:r>
      <w:r>
        <w:rPr>
          <w:rFonts w:ascii="Arial" w:cs="Arial" w:eastAsia="Arial" w:hAnsi="Arial"/>
          <w:sz w:val="19"/>
          <w:szCs w:val="19"/>
          <w:color w:val="auto"/>
        </w:rPr>
        <w:t xml:space="preserve"> ” shall mean, collectively, the official English language text of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the Convention on International Interests in Mobile Equipment, and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the Protocol to the Convention on International Interests in Mobile Equipment on Matters Specific to Aircraft Equipment, in each case adopted on November 16, 2001, at a diplomatic conference in Cape Town, South Africa, and from and after the effective date of the Cape Town Treaty in the relevant country, means when referring to the Cape Town Treaty with respect to that country, the Cape Town Treaty as in effect in such country, unless otherwise indicated, and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 all rules and regulations adopted pursuant thereto and, in the case of each of the foregoing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w:t>
      </w:r>
    </w:p>
    <w:p>
      <w:pPr>
        <w:spacing w:after="0" w:line="3" w:lineRule="exact"/>
        <w:rPr>
          <w:sz w:val="20"/>
          <w:szCs w:val="20"/>
          <w:color w:val="auto"/>
        </w:rPr>
      </w:pPr>
    </w:p>
    <w:p>
      <w:pPr>
        <w:ind w:left="300" w:hanging="292"/>
        <w:spacing w:after="0"/>
        <w:tabs>
          <w:tab w:leader="none" w:pos="300" w:val="left"/>
        </w:tabs>
        <w:numPr>
          <w:ilvl w:val="0"/>
          <w:numId w:val="712"/>
        </w:numPr>
        <w:rPr>
          <w:rFonts w:ascii="Arial" w:cs="Arial" w:eastAsia="Arial" w:hAnsi="Arial"/>
          <w:sz w:val="22"/>
          <w:szCs w:val="22"/>
          <w:u w:val="single" w:color="auto"/>
          <w:color w:val="auto"/>
        </w:rPr>
      </w:pPr>
      <w:r>
        <w:rPr>
          <w:rFonts w:ascii="Arial" w:cs="Arial" w:eastAsia="Arial" w:hAnsi="Arial"/>
          <w:sz w:val="22"/>
          <w:szCs w:val="22"/>
          <w:color w:val="auto"/>
        </w:rPr>
        <w:t>, all amendments, supplements, and revisions thereto.</w:t>
      </w:r>
    </w:p>
    <w:p>
      <w:pPr>
        <w:spacing w:after="0" w:line="161" w:lineRule="exact"/>
        <w:rPr>
          <w:rFonts w:ascii="Arial" w:cs="Arial" w:eastAsia="Arial" w:hAnsi="Arial"/>
          <w:sz w:val="22"/>
          <w:szCs w:val="22"/>
          <w:u w:val="single" w:color="auto"/>
          <w:color w:val="auto"/>
        </w:rPr>
      </w:pPr>
    </w:p>
    <w:p>
      <w:pPr>
        <w:ind w:left="660"/>
        <w:spacing w:after="0"/>
        <w:rPr>
          <w:rFonts w:ascii="Arial" w:cs="Arial" w:eastAsia="Arial" w:hAnsi="Arial"/>
          <w:sz w:val="22"/>
          <w:szCs w:val="22"/>
          <w:u w:val="single" w:color="auto"/>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Capital Stock</w:t>
      </w:r>
      <w:r>
        <w:rPr>
          <w:rFonts w:ascii="Arial" w:cs="Arial" w:eastAsia="Arial" w:hAnsi="Arial"/>
          <w:sz w:val="22"/>
          <w:szCs w:val="22"/>
          <w:color w:val="auto"/>
        </w:rPr>
        <w:t xml:space="preserve"> ” shall have the meaning specified in the Credit Agreement.</w:t>
      </w:r>
    </w:p>
    <w:p>
      <w:pPr>
        <w:spacing w:after="0" w:line="179" w:lineRule="exact"/>
        <w:rPr>
          <w:rFonts w:ascii="Arial" w:cs="Arial" w:eastAsia="Arial" w:hAnsi="Arial"/>
          <w:sz w:val="22"/>
          <w:szCs w:val="22"/>
          <w:u w:val="single" w:color="auto"/>
          <w:color w:val="auto"/>
        </w:rPr>
      </w:pPr>
    </w:p>
    <w:p>
      <w:pPr>
        <w:jc w:val="both"/>
        <w:ind w:firstLine="648"/>
        <w:spacing w:after="0" w:line="223" w:lineRule="auto"/>
        <w:rPr>
          <w:rFonts w:ascii="Arial" w:cs="Arial" w:eastAsia="Arial" w:hAnsi="Arial"/>
          <w:sz w:val="22"/>
          <w:szCs w:val="22"/>
          <w:u w:val="single" w:color="auto"/>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Certificated Air Carrier</w:t>
      </w:r>
      <w:r>
        <w:rPr>
          <w:rFonts w:ascii="Arial" w:cs="Arial" w:eastAsia="Arial" w:hAnsi="Arial"/>
          <w:sz w:val="22"/>
          <w:szCs w:val="22"/>
          <w:color w:val="auto"/>
        </w:rPr>
        <w:t xml:space="preserve"> ” shall mean an air carrier holding an air carrier operating certificate issued by the Secretary of Transportation pursuant to Chapter 447 of Title 49 of the United States Code for aircraft capable of carrying ten or more individuals or 6,000 pounds or more of cargo.</w:t>
      </w:r>
    </w:p>
    <w:p>
      <w:pPr>
        <w:spacing w:after="0" w:line="158" w:lineRule="exact"/>
        <w:rPr>
          <w:rFonts w:ascii="Arial" w:cs="Arial" w:eastAsia="Arial" w:hAnsi="Arial"/>
          <w:sz w:val="22"/>
          <w:szCs w:val="22"/>
          <w:u w:val="single" w:color="auto"/>
          <w:color w:val="auto"/>
        </w:rPr>
      </w:pPr>
    </w:p>
    <w:p>
      <w:pPr>
        <w:ind w:firstLine="648"/>
        <w:spacing w:after="0" w:line="247" w:lineRule="auto"/>
        <w:rPr>
          <w:rFonts w:ascii="Arial" w:cs="Arial" w:eastAsia="Arial" w:hAnsi="Arial"/>
          <w:sz w:val="22"/>
          <w:szCs w:val="22"/>
          <w:u w:val="single" w:color="auto"/>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Citizen of the United States</w:t>
      </w:r>
      <w:r>
        <w:rPr>
          <w:rFonts w:ascii="Arial" w:cs="Arial" w:eastAsia="Arial" w:hAnsi="Arial"/>
          <w:sz w:val="21"/>
          <w:szCs w:val="21"/>
          <w:color w:val="auto"/>
        </w:rPr>
        <w:t xml:space="preserve"> ” shall have the meaning specified for such term in Section 40102(a)(15) of Title 49 of the United States Code or any similar legislation of the United States enacted in substitution or replacement therefor.</w:t>
      </w:r>
    </w:p>
    <w:p>
      <w:pPr>
        <w:spacing w:after="0" w:line="150" w:lineRule="exact"/>
        <w:rPr>
          <w:rFonts w:ascii="Arial" w:cs="Arial" w:eastAsia="Arial" w:hAnsi="Arial"/>
          <w:sz w:val="22"/>
          <w:szCs w:val="22"/>
          <w:u w:val="single" w:color="auto"/>
          <w:color w:val="auto"/>
        </w:rPr>
      </w:pPr>
    </w:p>
    <w:p>
      <w:pPr>
        <w:ind w:left="660"/>
        <w:spacing w:after="0"/>
        <w:rPr>
          <w:rFonts w:ascii="Arial" w:cs="Arial" w:eastAsia="Arial" w:hAnsi="Arial"/>
          <w:sz w:val="22"/>
          <w:szCs w:val="22"/>
          <w:u w:val="single" w:color="auto"/>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Collateral Agent</w:t>
      </w:r>
      <w:r>
        <w:rPr>
          <w:rFonts w:ascii="Arial" w:cs="Arial" w:eastAsia="Arial" w:hAnsi="Arial"/>
          <w:sz w:val="22"/>
          <w:szCs w:val="22"/>
          <w:color w:val="auto"/>
        </w:rPr>
        <w:t xml:space="preserve"> ” shall have the meaning specified in the Credit Agreement.</w:t>
      </w:r>
    </w:p>
    <w:p>
      <w:pPr>
        <w:spacing w:after="0" w:line="179" w:lineRule="exact"/>
        <w:rPr>
          <w:rFonts w:ascii="Arial" w:cs="Arial" w:eastAsia="Arial" w:hAnsi="Arial"/>
          <w:sz w:val="22"/>
          <w:szCs w:val="22"/>
          <w:u w:val="single" w:color="auto"/>
          <w:color w:val="auto"/>
        </w:rPr>
      </w:pPr>
    </w:p>
    <w:p>
      <w:pPr>
        <w:ind w:left="660" w:right="3320"/>
        <w:spacing w:after="0" w:line="536" w:lineRule="auto"/>
        <w:rPr>
          <w:rFonts w:ascii="Arial" w:cs="Arial" w:eastAsia="Arial" w:hAnsi="Arial"/>
          <w:sz w:val="22"/>
          <w:szCs w:val="22"/>
          <w:u w:val="single" w:color="auto"/>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 shall have the meaning specified in the Credit Agreement. “ </w:t>
      </w:r>
      <w:r>
        <w:rPr>
          <w:rFonts w:ascii="Arial" w:cs="Arial" w:eastAsia="Arial" w:hAnsi="Arial"/>
          <w:sz w:val="19"/>
          <w:szCs w:val="19"/>
          <w:u w:val="single" w:color="auto"/>
          <w:color w:val="auto"/>
        </w:rPr>
        <w:t>Commitments</w:t>
      </w:r>
      <w:r>
        <w:rPr>
          <w:rFonts w:ascii="Arial" w:cs="Arial" w:eastAsia="Arial" w:hAnsi="Arial"/>
          <w:sz w:val="19"/>
          <w:szCs w:val="19"/>
          <w:color w:val="auto"/>
        </w:rPr>
        <w:t xml:space="preserve"> ” shall have the meaning specified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42" w:name="page543"/>
    <w:bookmarkEnd w:id="542"/>
    <w:p>
      <w:pPr>
        <w:jc w:val="both"/>
        <w:ind w:firstLine="648"/>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Compulsory Acquisition</w:t>
      </w:r>
      <w:r>
        <w:rPr>
          <w:rFonts w:ascii="Arial" w:cs="Arial" w:eastAsia="Arial" w:hAnsi="Arial"/>
          <w:sz w:val="19"/>
          <w:szCs w:val="19"/>
          <w:color w:val="auto"/>
        </w:rPr>
        <w:t xml:space="preserve"> ” shall mean requisition of title or other compulsory acquisition, capture, seizure, deprivation, confiscation or detention for any reason of an Aircraft or the related Airframe or any related Engine by any government that results in the loss of title or use of such Aircraft, such Airframe or any such Engine by the Grantor (or any Permitted Lessee) for a period in excess of 180 consecutive days, but shall exclude requisition for use not involving requisition of title.</w:t>
      </w:r>
    </w:p>
    <w:p>
      <w:pPr>
        <w:spacing w:after="0" w:line="144"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CRAF Program</w:t>
      </w:r>
      <w:r>
        <w:rPr>
          <w:rFonts w:ascii="Arial" w:cs="Arial" w:eastAsia="Arial" w:hAnsi="Arial"/>
          <w:sz w:val="22"/>
          <w:szCs w:val="22"/>
          <w:color w:val="auto"/>
        </w:rPr>
        <w:t xml:space="preserve"> ” shall mean the Civil Reserve Air Fleet Program authorized under 10 U.S.C. Section 9511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 or any similar or substitute program under the laws of the United States.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 xml:space="preserve"> ” shall have the meaning specified in the recitals to the Aircraft Security Agreement.</w:t>
      </w:r>
    </w:p>
    <w:p>
      <w:pPr>
        <w:spacing w:after="0" w:line="17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Department of Transportation</w:t>
      </w:r>
      <w:r>
        <w:rPr>
          <w:rFonts w:ascii="Arial" w:cs="Arial" w:eastAsia="Arial" w:hAnsi="Arial"/>
          <w:sz w:val="22"/>
          <w:szCs w:val="22"/>
          <w:color w:val="auto"/>
        </w:rPr>
        <w:t xml:space="preserve"> ” shall mean the United States Department of Transportation and any agency or instrumentality of the United States government succeeding to its functions.</w:t>
      </w:r>
    </w:p>
    <w:p>
      <w:pPr>
        <w:spacing w:after="0" w:line="158" w:lineRule="exact"/>
        <w:rPr>
          <w:sz w:val="20"/>
          <w:szCs w:val="20"/>
          <w:color w:val="auto"/>
        </w:rPr>
      </w:pPr>
    </w:p>
    <w:p>
      <w:pPr>
        <w:ind w:left="660" w:right="1720"/>
        <w:spacing w:after="0" w:line="4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Designated Banking Product Agreement</w:t>
      </w:r>
      <w:r>
        <w:rPr>
          <w:rFonts w:ascii="Arial" w:cs="Arial" w:eastAsia="Arial" w:hAnsi="Arial"/>
          <w:sz w:val="19"/>
          <w:szCs w:val="19"/>
          <w:color w:val="auto"/>
        </w:rPr>
        <w:t xml:space="preserve"> ” shall have the meaning provided in the Credit Agreement. “ </w:t>
      </w:r>
      <w:r>
        <w:rPr>
          <w:rFonts w:ascii="Arial" w:cs="Arial" w:eastAsia="Arial" w:hAnsi="Arial"/>
          <w:sz w:val="19"/>
          <w:szCs w:val="19"/>
          <w:u w:val="single" w:color="auto"/>
          <w:color w:val="auto"/>
        </w:rPr>
        <w:t>Designated Hedging Agreement</w:t>
      </w:r>
      <w:r>
        <w:rPr>
          <w:rFonts w:ascii="Arial" w:cs="Arial" w:eastAsia="Arial" w:hAnsi="Arial"/>
          <w:sz w:val="19"/>
          <w:szCs w:val="19"/>
          <w:color w:val="auto"/>
        </w:rPr>
        <w:t xml:space="preserve"> ” shall have the meaning provided in the Credit Agreement.</w:t>
      </w:r>
    </w:p>
    <w:p>
      <w:pPr>
        <w:ind w:left="660" w:right="1520"/>
        <w:spacing w:after="0" w:line="40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Discharge of Additional Obligations</w:t>
      </w:r>
      <w:r>
        <w:rPr>
          <w:rFonts w:ascii="Arial" w:cs="Arial" w:eastAsia="Arial" w:hAnsi="Arial"/>
          <w:sz w:val="22"/>
          <w:szCs w:val="22"/>
          <w:color w:val="auto"/>
        </w:rPr>
        <w:t xml:space="preserve"> ” shall have the meaning specified in the Intercreditor Agreement. “ </w:t>
      </w:r>
      <w:r>
        <w:rPr>
          <w:rFonts w:ascii="Arial" w:cs="Arial" w:eastAsia="Arial" w:hAnsi="Arial"/>
          <w:sz w:val="22"/>
          <w:szCs w:val="22"/>
          <w:u w:val="single" w:color="auto"/>
          <w:color w:val="auto"/>
        </w:rPr>
        <w:t>Disposition</w:t>
      </w:r>
      <w:r>
        <w:rPr>
          <w:rFonts w:ascii="Arial" w:cs="Arial" w:eastAsia="Arial" w:hAnsi="Arial"/>
          <w:sz w:val="22"/>
          <w:szCs w:val="22"/>
          <w:color w:val="auto"/>
        </w:rPr>
        <w:t xml:space="preserve"> ” shall have the meaning specified in the Credit Agreement.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Dollars</w:t>
      </w:r>
      <w:r>
        <w:rPr>
          <w:rFonts w:ascii="Arial" w:cs="Arial" w:eastAsia="Arial" w:hAnsi="Arial"/>
          <w:sz w:val="22"/>
          <w:szCs w:val="22"/>
          <w:color w:val="auto"/>
        </w:rPr>
        <w:t xml:space="preserve"> ” and “ </w:t>
      </w:r>
      <w:r>
        <w:rPr>
          <w:rFonts w:ascii="Arial" w:cs="Arial" w:eastAsia="Arial" w:hAnsi="Arial"/>
          <w:sz w:val="22"/>
          <w:szCs w:val="22"/>
          <w:u w:val="single" w:color="auto"/>
          <w:color w:val="auto"/>
        </w:rPr>
        <w:t>$</w:t>
      </w:r>
      <w:r>
        <w:rPr>
          <w:rFonts w:ascii="Arial" w:cs="Arial" w:eastAsia="Arial" w:hAnsi="Arial"/>
          <w:sz w:val="22"/>
          <w:szCs w:val="22"/>
          <w:color w:val="auto"/>
        </w:rPr>
        <w:t xml:space="preserve"> ”shall mean the lawful currency of the United States.</w:t>
      </w:r>
    </w:p>
    <w:p>
      <w:pPr>
        <w:spacing w:after="0" w:line="179" w:lineRule="exact"/>
        <w:rPr>
          <w:sz w:val="20"/>
          <w:szCs w:val="20"/>
          <w:color w:val="auto"/>
        </w:rPr>
      </w:pPr>
    </w:p>
    <w:p>
      <w:pPr>
        <w:ind w:left="660" w:right="1060"/>
        <w:spacing w:after="0" w:line="4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EASA</w:t>
      </w:r>
      <w:r>
        <w:rPr>
          <w:rFonts w:ascii="Arial" w:cs="Arial" w:eastAsia="Arial" w:hAnsi="Arial"/>
          <w:sz w:val="19"/>
          <w:szCs w:val="19"/>
          <w:color w:val="auto"/>
        </w:rPr>
        <w:t xml:space="preserve"> ” shall mean the European Aviation Safety Agency of the European Union and any successor agency. “ </w:t>
      </w:r>
      <w:r>
        <w:rPr>
          <w:rFonts w:ascii="Arial" w:cs="Arial" w:eastAsia="Arial" w:hAnsi="Arial"/>
          <w:sz w:val="19"/>
          <w:szCs w:val="19"/>
          <w:u w:val="single" w:color="auto"/>
          <w:color w:val="auto"/>
        </w:rPr>
        <w:t>Election Notice</w:t>
      </w:r>
      <w:r>
        <w:rPr>
          <w:rFonts w:ascii="Arial" w:cs="Arial" w:eastAsia="Arial" w:hAnsi="Arial"/>
          <w:sz w:val="19"/>
          <w:szCs w:val="19"/>
          <w:color w:val="auto"/>
        </w:rPr>
        <w:t xml:space="preserve"> ” shall have the meaning specified in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of the Aircraft Security Agreement.</w:t>
      </w:r>
    </w:p>
    <w:p>
      <w:pPr>
        <w:jc w:val="both"/>
        <w:ind w:firstLine="648"/>
        <w:spacing w:after="0" w:line="220"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Engine</w:t>
      </w:r>
      <w:r>
        <w:rPr>
          <w:rFonts w:ascii="Arial" w:cs="Arial" w:eastAsia="Arial" w:hAnsi="Arial"/>
          <w:sz w:val="21"/>
          <w:szCs w:val="21"/>
          <w:color w:val="auto"/>
        </w:rPr>
        <w:t xml:space="preserve"> ” shall mean, with respect to any Aircraft, ( </w:t>
      </w:r>
      <w:r>
        <w:rPr>
          <w:rFonts w:ascii="Arial" w:cs="Arial" w:eastAsia="Arial" w:hAnsi="Arial"/>
          <w:sz w:val="21"/>
          <w:szCs w:val="21"/>
          <w:u w:val="single" w:color="auto"/>
          <w:color w:val="auto"/>
        </w:rPr>
        <w:t>a</w:t>
      </w:r>
      <w:r>
        <w:rPr>
          <w:rFonts w:ascii="Arial" w:cs="Arial" w:eastAsia="Arial" w:hAnsi="Arial"/>
          <w:sz w:val="21"/>
          <w:szCs w:val="21"/>
          <w:color w:val="auto"/>
        </w:rPr>
        <w:t xml:space="preserve"> ) each of the two engines listed by manufacturer’s serial number and further described in </w:t>
      </w:r>
      <w:r>
        <w:rPr>
          <w:rFonts w:ascii="Arial" w:cs="Arial" w:eastAsia="Arial" w:hAnsi="Arial"/>
          <w:sz w:val="21"/>
          <w:szCs w:val="21"/>
          <w:b w:val="1"/>
          <w:bCs w:val="1"/>
          <w:color w:val="auto"/>
        </w:rPr>
        <w:t>Annex A</w:t>
      </w:r>
      <w:r>
        <w:rPr>
          <w:rFonts w:ascii="Arial" w:cs="Arial" w:eastAsia="Arial" w:hAnsi="Arial"/>
          <w:sz w:val="21"/>
          <w:szCs w:val="21"/>
          <w:color w:val="auto"/>
        </w:rPr>
        <w:t xml:space="preserve"> to the applicable Aircraft Security Agreement Supplement originally executed and delivered under the Aircraft Security Agreement, whether or not from time to time installed on the related Airframe or installed on any other airframe or on any other aircraft, and ( </w:t>
      </w:r>
      <w:r>
        <w:rPr>
          <w:rFonts w:ascii="Arial" w:cs="Arial" w:eastAsia="Arial" w:hAnsi="Arial"/>
          <w:sz w:val="21"/>
          <w:szCs w:val="21"/>
          <w:u w:val="single" w:color="auto"/>
          <w:color w:val="auto"/>
        </w:rPr>
        <w:t>b</w:t>
      </w:r>
      <w:r>
        <w:rPr>
          <w:rFonts w:ascii="Arial" w:cs="Arial" w:eastAsia="Arial" w:hAnsi="Arial"/>
          <w:sz w:val="21"/>
          <w:szCs w:val="21"/>
          <w:color w:val="auto"/>
        </w:rPr>
        <w:t xml:space="preserve"> ) any Replacement Engine that may from time to time be substituted for an Engine pursuant to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6.04</w:t>
      </w:r>
      <w:r>
        <w:rPr>
          <w:rFonts w:ascii="Arial" w:cs="Arial" w:eastAsia="Arial" w:hAnsi="Arial"/>
          <w:sz w:val="21"/>
          <w:szCs w:val="21"/>
          <w:color w:val="auto"/>
        </w:rPr>
        <w:t xml:space="preserve"> of the Aircraft Security Agreement or any engines subjected to the Lien of the Aircraft Security Agreement in connection with an Additional Aircraft that has been subjected to the Lien of the Aircraft Security Agreement pursuant to </w:t>
      </w:r>
      <w:r>
        <w:rPr>
          <w:rFonts w:ascii="Arial" w:cs="Arial" w:eastAsia="Arial" w:hAnsi="Arial"/>
          <w:sz w:val="21"/>
          <w:szCs w:val="21"/>
          <w:u w:val="single" w:color="auto"/>
          <w:color w:val="auto"/>
        </w:rPr>
        <w:t>Section 7.03</w:t>
      </w:r>
      <w:r>
        <w:rPr>
          <w:rFonts w:ascii="Arial" w:cs="Arial" w:eastAsia="Arial" w:hAnsi="Arial"/>
          <w:sz w:val="21"/>
          <w:szCs w:val="21"/>
          <w:color w:val="auto"/>
        </w:rPr>
        <w:t xml:space="preserve"> of the Aircraft Security Agreement; together in each case with any and all related Parts, but excluding items installed or incorporated in or attached to any such engine from time to time that are excluded from the definition of Parts. At such time as a Replacement Engine shall be so substituted and the Engine for which substitution is made shall be released from the Lien of the Aircraft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43" w:name="page544"/>
    <w:bookmarkEnd w:id="543"/>
    <w:p>
      <w:pPr>
        <w:spacing w:after="0" w:line="298" w:lineRule="auto"/>
        <w:rPr>
          <w:sz w:val="20"/>
          <w:szCs w:val="20"/>
          <w:color w:val="auto"/>
        </w:rPr>
      </w:pPr>
      <w:r>
        <w:rPr>
          <w:rFonts w:ascii="Arial" w:cs="Arial" w:eastAsia="Arial" w:hAnsi="Arial"/>
          <w:sz w:val="19"/>
          <w:szCs w:val="19"/>
          <w:color w:val="auto"/>
        </w:rPr>
        <w:t xml:space="preserve">Agreement, such replaced Engine shall cease to be an Engine under the Aircraft Security Agreement. The term “ </w:t>
      </w:r>
      <w:r>
        <w:rPr>
          <w:rFonts w:ascii="Arial" w:cs="Arial" w:eastAsia="Arial" w:hAnsi="Arial"/>
          <w:sz w:val="19"/>
          <w:szCs w:val="19"/>
          <w:u w:val="single" w:color="auto"/>
          <w:color w:val="auto"/>
        </w:rPr>
        <w:t>Engine</w:t>
      </w:r>
      <w:r>
        <w:rPr>
          <w:rFonts w:ascii="Arial" w:cs="Arial" w:eastAsia="Arial" w:hAnsi="Arial"/>
          <w:sz w:val="19"/>
          <w:szCs w:val="19"/>
          <w:color w:val="auto"/>
        </w:rPr>
        <w:t xml:space="preserve"> ” shall not include any Engine after the Lien of the Aircraft Security Agreement shall have been terminated with respect thereto.</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Event of Loss</w:t>
      </w:r>
      <w:r>
        <w:rPr>
          <w:rFonts w:ascii="Arial" w:cs="Arial" w:eastAsia="Arial" w:hAnsi="Arial"/>
          <w:sz w:val="22"/>
          <w:szCs w:val="22"/>
          <w:color w:val="auto"/>
        </w:rPr>
        <w:t xml:space="preserve"> ” shall mean, as of any date of determination, with respect to any Aircraft, Airframe or Engine, any of the following events with respect to such property:</w:t>
      </w:r>
    </w:p>
    <w:p>
      <w:pPr>
        <w:spacing w:after="0" w:line="185" w:lineRule="exact"/>
        <w:rPr>
          <w:sz w:val="20"/>
          <w:szCs w:val="20"/>
          <w:color w:val="auto"/>
        </w:rPr>
      </w:pPr>
    </w:p>
    <w:p>
      <w:pPr>
        <w:ind w:left="660" w:hanging="652"/>
        <w:spacing w:after="0" w:line="263" w:lineRule="auto"/>
        <w:tabs>
          <w:tab w:leader="none" w:pos="660" w:val="left"/>
        </w:tabs>
        <w:numPr>
          <w:ilvl w:val="0"/>
          <w:numId w:val="714"/>
        </w:numPr>
        <w:rPr>
          <w:rFonts w:ascii="Arial" w:cs="Arial" w:eastAsia="Arial" w:hAnsi="Arial"/>
          <w:sz w:val="22"/>
          <w:szCs w:val="22"/>
          <w:color w:val="auto"/>
        </w:rPr>
      </w:pPr>
      <w:r>
        <w:rPr>
          <w:rFonts w:ascii="Arial" w:cs="Arial" w:eastAsia="Arial" w:hAnsi="Arial"/>
          <w:sz w:val="22"/>
          <w:szCs w:val="22"/>
          <w:color w:val="auto"/>
        </w:rPr>
        <w:t>the loss of such property or of the use thereof due to destruction, damage beyond repair or rendition of such property permanently unfit for normal use for any reason whatsoever;</w:t>
      </w:r>
    </w:p>
    <w:p>
      <w:pPr>
        <w:spacing w:after="0" w:line="174" w:lineRule="exact"/>
        <w:rPr>
          <w:rFonts w:ascii="Arial" w:cs="Arial" w:eastAsia="Arial" w:hAnsi="Arial"/>
          <w:sz w:val="22"/>
          <w:szCs w:val="22"/>
          <w:color w:val="auto"/>
        </w:rPr>
      </w:pPr>
    </w:p>
    <w:p>
      <w:pPr>
        <w:ind w:left="660" w:hanging="652"/>
        <w:spacing w:after="0" w:line="263" w:lineRule="auto"/>
        <w:tabs>
          <w:tab w:leader="none" w:pos="660" w:val="left"/>
        </w:tabs>
        <w:numPr>
          <w:ilvl w:val="0"/>
          <w:numId w:val="714"/>
        </w:numPr>
        <w:rPr>
          <w:rFonts w:ascii="Arial" w:cs="Arial" w:eastAsia="Arial" w:hAnsi="Arial"/>
          <w:sz w:val="22"/>
          <w:szCs w:val="22"/>
          <w:color w:val="auto"/>
        </w:rPr>
      </w:pPr>
      <w:r>
        <w:rPr>
          <w:rFonts w:ascii="Arial" w:cs="Arial" w:eastAsia="Arial" w:hAnsi="Arial"/>
          <w:sz w:val="22"/>
          <w:szCs w:val="22"/>
          <w:color w:val="auto"/>
        </w:rPr>
        <w:t>any damage to such property which results in an insurance settlement with respect to such property on the basis of a total loss, a compromised total loss or a constructive total loss;</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714"/>
        </w:numPr>
        <w:rPr>
          <w:rFonts w:ascii="Arial" w:cs="Arial" w:eastAsia="Arial" w:hAnsi="Arial"/>
          <w:sz w:val="22"/>
          <w:szCs w:val="22"/>
          <w:color w:val="auto"/>
        </w:rPr>
      </w:pPr>
      <w:r>
        <w:rPr>
          <w:rFonts w:ascii="Arial" w:cs="Arial" w:eastAsia="Arial" w:hAnsi="Arial"/>
          <w:sz w:val="22"/>
          <w:szCs w:val="22"/>
          <w:color w:val="auto"/>
        </w:rPr>
        <w:t>the theft, hijacking or disappearance of such property for a period in excess of 180 consecutive days;</w:t>
      </w:r>
    </w:p>
    <w:p>
      <w:pPr>
        <w:spacing w:after="0" w:line="219" w:lineRule="exact"/>
        <w:rPr>
          <w:rFonts w:ascii="Arial" w:cs="Arial" w:eastAsia="Arial" w:hAnsi="Arial"/>
          <w:sz w:val="22"/>
          <w:szCs w:val="22"/>
          <w:color w:val="auto"/>
        </w:rPr>
      </w:pPr>
    </w:p>
    <w:p>
      <w:pPr>
        <w:jc w:val="both"/>
        <w:ind w:left="660" w:hanging="652"/>
        <w:spacing w:after="0" w:line="253" w:lineRule="auto"/>
        <w:tabs>
          <w:tab w:leader="none" w:pos="660" w:val="left"/>
        </w:tabs>
        <w:numPr>
          <w:ilvl w:val="0"/>
          <w:numId w:val="714"/>
        </w:numPr>
        <w:rPr>
          <w:rFonts w:ascii="Arial" w:cs="Arial" w:eastAsia="Arial" w:hAnsi="Arial"/>
          <w:sz w:val="22"/>
          <w:szCs w:val="22"/>
          <w:color w:val="auto"/>
        </w:rPr>
      </w:pPr>
      <w:r>
        <w:rPr>
          <w:rFonts w:ascii="Arial" w:cs="Arial" w:eastAsia="Arial" w:hAnsi="Arial"/>
          <w:sz w:val="22"/>
          <w:szCs w:val="22"/>
          <w:color w:val="auto"/>
        </w:rPr>
        <w:t>the requisition for use of such property by any government (other than a requisition for use by a Government or the government of the country of registry of the Aircraft) that shall have resulted in the loss of possession of such property by the Grantor (or any Permitted Lessee) for a period in excess of 12 consecutive months;</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714"/>
        </w:numPr>
        <w:rPr>
          <w:rFonts w:ascii="Arial" w:cs="Arial" w:eastAsia="Arial" w:hAnsi="Arial"/>
          <w:sz w:val="22"/>
          <w:szCs w:val="22"/>
          <w:color w:val="auto"/>
        </w:rPr>
      </w:pPr>
      <w:r>
        <w:rPr>
          <w:rFonts w:ascii="Arial" w:cs="Arial" w:eastAsia="Arial" w:hAnsi="Arial"/>
          <w:sz w:val="22"/>
          <w:szCs w:val="22"/>
          <w:color w:val="auto"/>
        </w:rPr>
        <w:t>any Compulsory Acquisition;</w:t>
      </w:r>
    </w:p>
    <w:p>
      <w:pPr>
        <w:spacing w:after="0" w:line="219" w:lineRule="exact"/>
        <w:rPr>
          <w:rFonts w:ascii="Arial" w:cs="Arial" w:eastAsia="Arial" w:hAnsi="Arial"/>
          <w:sz w:val="22"/>
          <w:szCs w:val="22"/>
          <w:color w:val="auto"/>
        </w:rPr>
      </w:pPr>
    </w:p>
    <w:p>
      <w:pPr>
        <w:jc w:val="both"/>
        <w:ind w:left="660" w:hanging="652"/>
        <w:spacing w:after="0" w:line="297" w:lineRule="auto"/>
        <w:tabs>
          <w:tab w:leader="none" w:pos="660" w:val="left"/>
        </w:tabs>
        <w:numPr>
          <w:ilvl w:val="0"/>
          <w:numId w:val="714"/>
        </w:numPr>
        <w:rPr>
          <w:rFonts w:ascii="Arial" w:cs="Arial" w:eastAsia="Arial" w:hAnsi="Arial"/>
          <w:sz w:val="19"/>
          <w:szCs w:val="19"/>
          <w:color w:val="auto"/>
        </w:rPr>
      </w:pPr>
      <w:r>
        <w:rPr>
          <w:rFonts w:ascii="Arial" w:cs="Arial" w:eastAsia="Arial" w:hAnsi="Arial"/>
          <w:sz w:val="19"/>
          <w:szCs w:val="19"/>
          <w:color w:val="auto"/>
        </w:rPr>
        <w:t>as a result of any law, rule, regulation, order or other action by the FAA or other government of the country of registry, the use of such Aircraft or Airframe in the normal business of air transportation shall have been prohibited by virtue of a condition affecting all aircraft of the same type for a period of 18 consecutive months, unless the Grantor shall be diligently carrying forward all steps that are necessary or desirable to permit the normal use of such Aircraft or Airframe or, in any event, if such use shall have been prohibited for a period of three consecutive years; and</w:t>
      </w:r>
    </w:p>
    <w:p>
      <w:pPr>
        <w:spacing w:after="0" w:line="146" w:lineRule="exact"/>
        <w:rPr>
          <w:rFonts w:ascii="Arial" w:cs="Arial" w:eastAsia="Arial" w:hAnsi="Arial"/>
          <w:sz w:val="19"/>
          <w:szCs w:val="19"/>
          <w:color w:val="auto"/>
        </w:rPr>
      </w:pPr>
    </w:p>
    <w:p>
      <w:pPr>
        <w:jc w:val="both"/>
        <w:ind w:left="660" w:hanging="652"/>
        <w:spacing w:after="0" w:line="253" w:lineRule="auto"/>
        <w:tabs>
          <w:tab w:leader="none" w:pos="660" w:val="left"/>
        </w:tabs>
        <w:numPr>
          <w:ilvl w:val="0"/>
          <w:numId w:val="714"/>
        </w:numPr>
        <w:rPr>
          <w:rFonts w:ascii="Arial" w:cs="Arial" w:eastAsia="Arial" w:hAnsi="Arial"/>
          <w:sz w:val="22"/>
          <w:szCs w:val="22"/>
          <w:color w:val="auto"/>
        </w:rPr>
      </w:pPr>
      <w:r>
        <w:rPr>
          <w:rFonts w:ascii="Arial" w:cs="Arial" w:eastAsia="Arial" w:hAnsi="Arial"/>
          <w:sz w:val="22"/>
          <w:szCs w:val="22"/>
          <w:color w:val="auto"/>
        </w:rPr>
        <w:t xml:space="preserve">with respect to any such Engine only, any divestiture of title to or interest in such Engine or any event with respect to such Engine that is deemed to be an Event of Loss with respect to such Engine pursuant to </w:t>
      </w:r>
      <w:r>
        <w:rPr>
          <w:rFonts w:ascii="Arial" w:cs="Arial" w:eastAsia="Arial" w:hAnsi="Arial"/>
          <w:sz w:val="22"/>
          <w:szCs w:val="22"/>
          <w:u w:val="single" w:color="auto"/>
          <w:color w:val="auto"/>
        </w:rPr>
        <w:t>Section 6.01(a)(vii)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6.04(d)</w:t>
      </w:r>
      <w:r>
        <w:rPr>
          <w:rFonts w:ascii="Arial" w:cs="Arial" w:eastAsia="Arial" w:hAnsi="Arial"/>
          <w:sz w:val="22"/>
          <w:szCs w:val="22"/>
          <w:color w:val="auto"/>
        </w:rPr>
        <w:t xml:space="preserve"> of the Aircraft Security Agreement.</w:t>
      </w:r>
    </w:p>
    <w:p>
      <w:pPr>
        <w:spacing w:after="0" w:line="185" w:lineRule="exact"/>
        <w:rPr>
          <w:sz w:val="20"/>
          <w:szCs w:val="20"/>
          <w:color w:val="auto"/>
        </w:rPr>
      </w:pPr>
    </w:p>
    <w:p>
      <w:pPr>
        <w:ind w:right="500"/>
        <w:spacing w:after="0" w:line="253" w:lineRule="auto"/>
        <w:rPr>
          <w:sz w:val="20"/>
          <w:szCs w:val="20"/>
          <w:color w:val="auto"/>
        </w:rPr>
      </w:pPr>
      <w:r>
        <w:rPr>
          <w:rFonts w:ascii="Arial" w:cs="Arial" w:eastAsia="Arial" w:hAnsi="Arial"/>
          <w:sz w:val="22"/>
          <w:szCs w:val="22"/>
          <w:color w:val="auto"/>
        </w:rPr>
        <w:t xml:space="preserve">An Event of Loss with respect to an Aircraft shall be deemed to have occurred if an Event of Loss occurs with respect to the related Airframe unless the Grantor elects to substitute a Replacement Airframe pursuant to </w:t>
      </w:r>
      <w:r>
        <w:rPr>
          <w:rFonts w:ascii="Arial" w:cs="Arial" w:eastAsia="Arial" w:hAnsi="Arial"/>
          <w:sz w:val="22"/>
          <w:szCs w:val="22"/>
          <w:u w:val="single" w:color="auto"/>
          <w:color w:val="auto"/>
        </w:rPr>
        <w:t>Section 6.04(a)</w:t>
      </w:r>
      <w:r>
        <w:rPr>
          <w:rFonts w:ascii="Arial" w:cs="Arial" w:eastAsia="Arial" w:hAnsi="Arial"/>
          <w:sz w:val="22"/>
          <w:szCs w:val="22"/>
          <w:color w:val="auto"/>
        </w:rPr>
        <w:t xml:space="preserve"> of the Aircraft Security Agreement.</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FAA</w:t>
      </w:r>
      <w:r>
        <w:rPr>
          <w:rFonts w:ascii="Arial" w:cs="Arial" w:eastAsia="Arial" w:hAnsi="Arial"/>
          <w:sz w:val="22"/>
          <w:szCs w:val="22"/>
          <w:color w:val="auto"/>
        </w:rPr>
        <w:t xml:space="preserve"> ” shall mean the United States Federal Aviation Administration and any agency or instrumentality of the United States government succeeding to its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44" w:name="page545"/>
    <w:bookmarkEnd w:id="544"/>
    <w:p>
      <w:pPr>
        <w:ind w:right="20"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Government</w:t>
      </w:r>
      <w:r>
        <w:rPr>
          <w:rFonts w:ascii="Arial" w:cs="Arial" w:eastAsia="Arial" w:hAnsi="Arial"/>
          <w:sz w:val="22"/>
          <w:szCs w:val="22"/>
          <w:color w:val="auto"/>
        </w:rPr>
        <w:t xml:space="preserve"> ” shall mean the government of any of Canada, France, Germany, Japan, The Netherlands, Sweden, Switzerland, the United Kingdom or the United States and any instrumentality or agency thereof.</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Grantor</w:t>
      </w:r>
      <w:r>
        <w:rPr>
          <w:rFonts w:ascii="Arial" w:cs="Arial" w:eastAsia="Arial" w:hAnsi="Arial"/>
          <w:sz w:val="22"/>
          <w:szCs w:val="22"/>
          <w:color w:val="auto"/>
        </w:rPr>
        <w:t xml:space="preserve"> ” shall have the meaning specified in the preamble to the Aircraft Security Agreement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Hedging Provider</w:t>
      </w:r>
      <w:r>
        <w:rPr>
          <w:rFonts w:ascii="Arial" w:cs="Arial" w:eastAsia="Arial" w:hAnsi="Arial"/>
          <w:sz w:val="22"/>
          <w:szCs w:val="22"/>
          <w:color w:val="auto"/>
        </w:rPr>
        <w:t xml:space="preserve"> ” shall mean any Person that has entered into a Designated Hedging Agreement with Parent or the Grantor.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International Interest</w:t>
      </w:r>
      <w:r>
        <w:rPr>
          <w:rFonts w:ascii="Arial" w:cs="Arial" w:eastAsia="Arial" w:hAnsi="Arial"/>
          <w:sz w:val="19"/>
          <w:szCs w:val="19"/>
          <w:color w:val="auto"/>
        </w:rPr>
        <w:t xml:space="preserve"> ” shall have the meaning ascribed to the defined term “international interest” under the Cape Town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Treaty.</w:t>
      </w:r>
    </w:p>
    <w:p>
      <w:pPr>
        <w:spacing w:after="0" w:line="161" w:lineRule="exact"/>
        <w:rPr>
          <w:sz w:val="20"/>
          <w:szCs w:val="20"/>
          <w:color w:val="auto"/>
        </w:rPr>
      </w:pPr>
    </w:p>
    <w:p>
      <w:pPr>
        <w:ind w:left="660" w:right="1200"/>
        <w:spacing w:after="0" w:line="40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International Registry</w:t>
      </w:r>
      <w:r>
        <w:rPr>
          <w:rFonts w:ascii="Arial" w:cs="Arial" w:eastAsia="Arial" w:hAnsi="Arial"/>
          <w:sz w:val="22"/>
          <w:szCs w:val="22"/>
          <w:color w:val="auto"/>
        </w:rPr>
        <w:t xml:space="preserve"> ” shall mean the international registry established pursuant to the Cape Town Treaty. “ </w:t>
      </w:r>
      <w:r>
        <w:rPr>
          <w:rFonts w:ascii="Arial" w:cs="Arial" w:eastAsia="Arial" w:hAnsi="Arial"/>
          <w:sz w:val="22"/>
          <w:szCs w:val="22"/>
          <w:u w:val="single" w:color="auto"/>
          <w:color w:val="auto"/>
        </w:rPr>
        <w:t>JAA</w:t>
      </w:r>
      <w:r>
        <w:rPr>
          <w:rFonts w:ascii="Arial" w:cs="Arial" w:eastAsia="Arial" w:hAnsi="Arial"/>
          <w:sz w:val="22"/>
          <w:szCs w:val="22"/>
          <w:color w:val="auto"/>
        </w:rPr>
        <w:t xml:space="preserve"> ” shall mean the Joint Aviation Authorities and any successor authority.</w:t>
      </w:r>
    </w:p>
    <w:p>
      <w:pPr>
        <w:spacing w:after="0" w:line="1" w:lineRule="exact"/>
        <w:rPr>
          <w:sz w:val="20"/>
          <w:szCs w:val="20"/>
          <w:color w:val="auto"/>
        </w:rPr>
      </w:pPr>
    </w:p>
    <w:p>
      <w:pPr>
        <w:ind w:left="660" w:right="1200"/>
        <w:spacing w:after="0" w:line="40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Lease</w:t>
      </w:r>
      <w:r>
        <w:rPr>
          <w:rFonts w:ascii="Arial" w:cs="Arial" w:eastAsia="Arial" w:hAnsi="Arial"/>
          <w:sz w:val="22"/>
          <w:szCs w:val="22"/>
          <w:color w:val="auto"/>
        </w:rPr>
        <w:t xml:space="preserve"> ” shall mean any lease permitted by the terms of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of the Aircraft Security Agreement. “ </w:t>
      </w:r>
      <w:r>
        <w:rPr>
          <w:rFonts w:ascii="Arial" w:cs="Arial" w:eastAsia="Arial" w:hAnsi="Arial"/>
          <w:sz w:val="22"/>
          <w:szCs w:val="22"/>
          <w:u w:val="single" w:color="auto"/>
          <w:color w:val="auto"/>
        </w:rPr>
        <w:t>Lender</w:t>
      </w:r>
      <w:r>
        <w:rPr>
          <w:rFonts w:ascii="Arial" w:cs="Arial" w:eastAsia="Arial" w:hAnsi="Arial"/>
          <w:sz w:val="22"/>
          <w:szCs w:val="22"/>
          <w:color w:val="auto"/>
        </w:rPr>
        <w:t xml:space="preserve"> ” shall have the meaning specified in the recitals of the Credit Agreement.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Loan Documents</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jc w:val="both"/>
        <w:ind w:right="20" w:firstLine="648"/>
        <w:spacing w:after="0" w:line="234"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Non-Lender Secured Parties</w:t>
      </w:r>
      <w:r>
        <w:rPr>
          <w:rFonts w:ascii="Arial" w:cs="Arial" w:eastAsia="Arial" w:hAnsi="Arial"/>
          <w:sz w:val="21"/>
          <w:szCs w:val="21"/>
          <w:color w:val="auto"/>
        </w:rPr>
        <w:t xml:space="preserve"> ” shall mean, collectively, all Banking Product Providers and Hedging Providers and their respective successors, assigns and transferees. For the avoidance of doubt, “Non-Lender Secured Parties” shall exclude Banking Product Providers and Hedging Providers in their capacities as Lenders, if applicable.</w:t>
      </w:r>
    </w:p>
    <w:p>
      <w:pPr>
        <w:spacing w:after="0" w:line="157"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 shall have the meaning specified in the Credit Agreement. For the avoidance of doubt, “Obligations” does not include any Indebtedness or other obligations under any Pari Passu Notes (as defined in the Credit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jc w:val="both"/>
        <w:ind w:left="660" w:right="2520"/>
        <w:spacing w:after="0" w:line="4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Other Intercreditor Agreement</w:t>
      </w:r>
      <w:r>
        <w:rPr>
          <w:rFonts w:ascii="Arial" w:cs="Arial" w:eastAsia="Arial" w:hAnsi="Arial"/>
          <w:sz w:val="19"/>
          <w:szCs w:val="19"/>
          <w:color w:val="auto"/>
        </w:rPr>
        <w:t xml:space="preserve"> ” shall have the meaning specified in the Credit Agreement. “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 shall have the meaning specified in the recitals to the Aircraft Security Agreement.</w:t>
      </w:r>
    </w:p>
    <w:p>
      <w:pPr>
        <w:ind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Parts</w:t>
      </w:r>
      <w:r>
        <w:rPr>
          <w:rFonts w:ascii="Arial" w:cs="Arial" w:eastAsia="Arial" w:hAnsi="Arial"/>
          <w:sz w:val="22"/>
          <w:szCs w:val="22"/>
          <w:color w:val="auto"/>
        </w:rPr>
        <w:t xml:space="preserve"> ” shall mean, with respect to any Aircraft or the related Airframe or any related Engine, as applicable, any and all appliances, parts, instruments, appurtenances, accessories, furnishings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45" w:name="page546"/>
    <w:bookmarkEnd w:id="545"/>
    <w:p>
      <w:pPr>
        <w:jc w:val="both"/>
        <w:spacing w:after="0" w:line="214" w:lineRule="auto"/>
        <w:rPr>
          <w:sz w:val="20"/>
          <w:szCs w:val="20"/>
          <w:color w:val="auto"/>
        </w:rPr>
      </w:pPr>
      <w:r>
        <w:rPr>
          <w:rFonts w:ascii="Arial" w:cs="Arial" w:eastAsia="Arial" w:hAnsi="Arial"/>
          <w:sz w:val="22"/>
          <w:szCs w:val="22"/>
          <w:color w:val="auto"/>
        </w:rPr>
        <w:t xml:space="preserve">and other equipment of whatever nature (other than ( </w:t>
      </w:r>
      <w:r>
        <w:rPr>
          <w:rFonts w:ascii="Arial" w:cs="Arial" w:eastAsia="Arial" w:hAnsi="Arial"/>
          <w:sz w:val="22"/>
          <w:szCs w:val="22"/>
          <w:u w:val="single" w:color="auto"/>
          <w:color w:val="auto"/>
        </w:rPr>
        <w:t>a</w:t>
      </w:r>
      <w:r>
        <w:rPr>
          <w:rFonts w:ascii="Arial" w:cs="Arial" w:eastAsia="Arial" w:hAnsi="Arial"/>
          <w:sz w:val="22"/>
          <w:szCs w:val="22"/>
          <w:color w:val="auto"/>
        </w:rPr>
        <w:t xml:space="preserve"> ) any such complete Engines or engines, ( </w:t>
      </w:r>
      <w:r>
        <w:rPr>
          <w:rFonts w:ascii="Arial" w:cs="Arial" w:eastAsia="Arial" w:hAnsi="Arial"/>
          <w:sz w:val="22"/>
          <w:szCs w:val="22"/>
          <w:u w:val="single" w:color="auto"/>
          <w:color w:val="auto"/>
        </w:rPr>
        <w:t>b</w:t>
      </w:r>
      <w:r>
        <w:rPr>
          <w:rFonts w:ascii="Arial" w:cs="Arial" w:eastAsia="Arial" w:hAnsi="Arial"/>
          <w:sz w:val="22"/>
          <w:szCs w:val="22"/>
          <w:color w:val="auto"/>
        </w:rPr>
        <w:t xml:space="preserve"> ) any items leased by the Grantor or any Permitted Lessee, ( </w:t>
      </w:r>
      <w:r>
        <w:rPr>
          <w:rFonts w:ascii="Arial" w:cs="Arial" w:eastAsia="Arial" w:hAnsi="Arial"/>
          <w:sz w:val="22"/>
          <w:szCs w:val="22"/>
          <w:u w:val="single" w:color="auto"/>
          <w:color w:val="auto"/>
        </w:rPr>
        <w:t>c</w:t>
      </w:r>
      <w:r>
        <w:rPr>
          <w:rFonts w:ascii="Arial" w:cs="Arial" w:eastAsia="Arial" w:hAnsi="Arial"/>
          <w:sz w:val="22"/>
          <w:szCs w:val="22"/>
          <w:color w:val="auto"/>
        </w:rPr>
        <w:t xml:space="preserve"> ) cargo containers and ( </w:t>
      </w:r>
      <w:r>
        <w:rPr>
          <w:rFonts w:ascii="Arial" w:cs="Arial" w:eastAsia="Arial" w:hAnsi="Arial"/>
          <w:sz w:val="22"/>
          <w:szCs w:val="22"/>
          <w:u w:val="single" w:color="auto"/>
          <w:color w:val="auto"/>
        </w:rPr>
        <w:t>d</w:t>
      </w:r>
      <w:r>
        <w:rPr>
          <w:rFonts w:ascii="Arial" w:cs="Arial" w:eastAsia="Arial" w:hAnsi="Arial"/>
          <w:sz w:val="22"/>
          <w:szCs w:val="22"/>
          <w:color w:val="auto"/>
        </w:rPr>
        <w:t xml:space="preserve"> ) components or systems installed on or affixed to such Airframe that are used to provide individual telecommunications or electronic entertainment to passengers aboard such Aircraft) so long as the same shall be incorporated or installed in or attached to such Airframe or such Engine or so long as the same shall be subject to the Lien of the Aircraft Security Agreement in accordance with the terms of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thereof after removal from such Airframe or such Engine.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Disposition</w:t>
      </w:r>
      <w:r>
        <w:rPr>
          <w:rFonts w:ascii="Arial" w:cs="Arial" w:eastAsia="Arial" w:hAnsi="Arial"/>
          <w:sz w:val="22"/>
          <w:szCs w:val="22"/>
          <w:color w:val="auto"/>
        </w:rPr>
        <w:t xml:space="preserve"> ” shall have the meaning specified in the Credit Agreement.</w:t>
      </w:r>
    </w:p>
    <w:p>
      <w:pPr>
        <w:spacing w:after="0" w:line="17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Permitted Lessee</w:t>
      </w:r>
      <w:r>
        <w:rPr>
          <w:rFonts w:ascii="Arial" w:cs="Arial" w:eastAsia="Arial" w:hAnsi="Arial"/>
          <w:sz w:val="22"/>
          <w:szCs w:val="22"/>
          <w:color w:val="auto"/>
        </w:rPr>
        <w:t xml:space="preserve"> ” shall mean any Person to whom the Grantor is permitted to lease any Airframe or any Engine pursuant to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of the Aircraft Security Agreement.</w:t>
      </w:r>
    </w:p>
    <w:p>
      <w:pPr>
        <w:spacing w:after="0" w:line="158" w:lineRule="exact"/>
        <w:rPr>
          <w:sz w:val="20"/>
          <w:szCs w:val="20"/>
          <w:color w:val="auto"/>
        </w:rPr>
      </w:pPr>
    </w:p>
    <w:p>
      <w:pPr>
        <w:ind w:left="660" w:right="3840"/>
        <w:spacing w:after="0" w:line="4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 shall have the meaning specified in the Credit Agreement. “ </w:t>
      </w:r>
      <w:r>
        <w:rPr>
          <w:rFonts w:ascii="Arial" w:cs="Arial" w:eastAsia="Arial" w:hAnsi="Arial"/>
          <w:sz w:val="19"/>
          <w:szCs w:val="19"/>
          <w:u w:val="single" w:color="auto"/>
          <w:color w:val="auto"/>
        </w:rPr>
        <w:t>Person</w:t>
      </w:r>
      <w:r>
        <w:rPr>
          <w:rFonts w:ascii="Arial" w:cs="Arial" w:eastAsia="Arial" w:hAnsi="Arial"/>
          <w:sz w:val="19"/>
          <w:szCs w:val="19"/>
          <w:color w:val="auto"/>
        </w:rPr>
        <w:t xml:space="preserve"> ” shall have the meaning specified in the Credit Agreement.</w:t>
      </w:r>
    </w:p>
    <w:p>
      <w:pPr>
        <w:ind w:firstLine="648"/>
        <w:spacing w:after="0" w:line="232"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Prospective International Interest</w:t>
      </w:r>
      <w:r>
        <w:rPr>
          <w:rFonts w:ascii="Arial" w:cs="Arial" w:eastAsia="Arial" w:hAnsi="Arial"/>
          <w:sz w:val="22"/>
          <w:szCs w:val="22"/>
          <w:color w:val="auto"/>
        </w:rPr>
        <w:t xml:space="preserve"> ” shall have the meaning ascribed to the defined term “prospective international interest” under the Cape Town Treaty.</w:t>
      </w:r>
    </w:p>
    <w:p>
      <w:pPr>
        <w:spacing w:after="0" w:line="158" w:lineRule="exact"/>
        <w:rPr>
          <w:sz w:val="20"/>
          <w:szCs w:val="20"/>
          <w:color w:val="auto"/>
        </w:rPr>
      </w:pPr>
    </w:p>
    <w:p>
      <w:pPr>
        <w:ind w:left="660" w:right="2600"/>
        <w:spacing w:after="0" w:line="4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Qualified Replacement Assets</w:t>
      </w:r>
      <w:r>
        <w:rPr>
          <w:rFonts w:ascii="Arial" w:cs="Arial" w:eastAsia="Arial" w:hAnsi="Arial"/>
          <w:sz w:val="19"/>
          <w:szCs w:val="19"/>
          <w:color w:val="auto"/>
        </w:rPr>
        <w:t xml:space="preserve"> ” shall have the meaning specified in the Credit Agreement. “ </w:t>
      </w:r>
      <w:r>
        <w:rPr>
          <w:rFonts w:ascii="Arial" w:cs="Arial" w:eastAsia="Arial" w:hAnsi="Arial"/>
          <w:sz w:val="19"/>
          <w:szCs w:val="19"/>
          <w:u w:val="single" w:color="auto"/>
          <w:color w:val="auto"/>
        </w:rPr>
        <w:t>Replacement Aircraft</w:t>
      </w:r>
      <w:r>
        <w:rPr>
          <w:rFonts w:ascii="Arial" w:cs="Arial" w:eastAsia="Arial" w:hAnsi="Arial"/>
          <w:sz w:val="19"/>
          <w:szCs w:val="19"/>
          <w:color w:val="auto"/>
        </w:rPr>
        <w:t xml:space="preserve"> ” shall mean an Aircraft of which a Replacement Airframe is part.</w:t>
      </w:r>
    </w:p>
    <w:p>
      <w:pPr>
        <w:jc w:val="both"/>
        <w:ind w:firstLine="648"/>
        <w:spacing w:after="0" w:line="24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Replacement Airframe</w:t>
      </w:r>
      <w:r>
        <w:rPr>
          <w:rFonts w:ascii="Arial" w:cs="Arial" w:eastAsia="Arial" w:hAnsi="Arial"/>
          <w:sz w:val="19"/>
          <w:szCs w:val="19"/>
          <w:color w:val="auto"/>
        </w:rPr>
        <w:t xml:space="preserve"> ” shall mean, with respect to any Aircraft to be replaced pursuant to </w:t>
      </w:r>
      <w:r>
        <w:rPr>
          <w:rFonts w:ascii="Arial" w:cs="Arial" w:eastAsia="Arial" w:hAnsi="Arial"/>
          <w:sz w:val="19"/>
          <w:szCs w:val="19"/>
          <w:u w:val="single" w:color="auto"/>
          <w:color w:val="auto"/>
        </w:rPr>
        <w:t>Section 6.04(a)</w:t>
      </w:r>
      <w:r>
        <w:rPr>
          <w:rFonts w:ascii="Arial" w:cs="Arial" w:eastAsia="Arial" w:hAnsi="Arial"/>
          <w:sz w:val="19"/>
          <w:szCs w:val="19"/>
          <w:color w:val="auto"/>
        </w:rPr>
        <w:t xml:space="preserve"> of the Aircraft Security Agreement, an aircraft of the same make and model as such Aircraft or a comparable or improved model of the manufacturer of such Aircraft (except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Engines or engines from time to time installed thereon and any and all Parts related to such Engine or engines and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items installed or incorporated in or attached to such airframe from time to time that are excluded from the definition of Parts by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xml:space="preserve"> thereof), that shall have been made subject to the Lien of the Aircraft Security Agreement pursuant to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thereof, together with all Parts relating to such aircraft.</w:t>
      </w:r>
    </w:p>
    <w:p>
      <w:pPr>
        <w:spacing w:after="0" w:line="15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Replacement Engine</w:t>
      </w:r>
      <w:r>
        <w:rPr>
          <w:rFonts w:ascii="Arial" w:cs="Arial" w:eastAsia="Arial" w:hAnsi="Arial"/>
          <w:sz w:val="19"/>
          <w:szCs w:val="19"/>
          <w:color w:val="auto"/>
        </w:rPr>
        <w:t xml:space="preserve"> ” shall mean, with respect to any Engine to be replaced pursuant to </w:t>
      </w:r>
      <w:r>
        <w:rPr>
          <w:rFonts w:ascii="Arial" w:cs="Arial" w:eastAsia="Arial" w:hAnsi="Arial"/>
          <w:sz w:val="19"/>
          <w:szCs w:val="19"/>
          <w:u w:val="single" w:color="auto"/>
          <w:color w:val="auto"/>
        </w:rPr>
        <w:t>Section 6.03(d)</w:t>
      </w:r>
      <w:r>
        <w:rPr>
          <w:rFonts w:ascii="Arial" w:cs="Arial" w:eastAsia="Arial" w:hAnsi="Arial"/>
          <w:sz w:val="19"/>
          <w:szCs w:val="19"/>
          <w:color w:val="auto"/>
        </w:rPr>
        <w:t xml:space="preserve"> ,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6.04(b)</w:t>
      </w:r>
      <w:r>
        <w:rPr>
          <w:rFonts w:ascii="Arial" w:cs="Arial" w:eastAsia="Arial" w:hAnsi="Arial"/>
          <w:sz w:val="19"/>
          <w:szCs w:val="19"/>
          <w:color w:val="auto"/>
        </w:rPr>
        <w:t xml:space="preserve"> of the Aircraft Security Agreement, an engine of the same make and model as such Engine (or an engine of the same or another manufacturer of a comparable or an improved model and suitable for installation and use on the related Airframe with the other related Engine (or any other Replacement Engine being substituted simultaneously therewith)) that shall have been made subject to the Lien of the Aircraft Security Agreement pursuant to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thereof, together with all Parts relating to such engine, but excluding items installed or incorporated in or attached to any such engine from time to time that are excluded from the definition of Parts.</w:t>
      </w:r>
    </w:p>
    <w:p>
      <w:pPr>
        <w:spacing w:after="0" w:line="153" w:lineRule="exact"/>
        <w:rPr>
          <w:sz w:val="20"/>
          <w:szCs w:val="20"/>
          <w:color w:val="auto"/>
        </w:rPr>
      </w:pPr>
    </w:p>
    <w:p>
      <w:pPr>
        <w:ind w:left="660" w:right="3480"/>
        <w:spacing w:after="0" w:line="53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 shall have the meaning specified in the Credit Agreement. “ </w:t>
      </w:r>
      <w:r>
        <w:rPr>
          <w:rFonts w:ascii="Arial" w:cs="Arial" w:eastAsia="Arial" w:hAnsi="Arial"/>
          <w:sz w:val="19"/>
          <w:szCs w:val="19"/>
          <w:u w:val="single" w:color="auto"/>
          <w:color w:val="auto"/>
        </w:rPr>
        <w:t>Secured Parties</w:t>
      </w:r>
      <w:r>
        <w:rPr>
          <w:rFonts w:ascii="Arial" w:cs="Arial" w:eastAsia="Arial" w:hAnsi="Arial"/>
          <w:sz w:val="19"/>
          <w:szCs w:val="19"/>
          <w:color w:val="auto"/>
        </w:rPr>
        <w:t xml:space="preserve"> ” shall have the meaning specified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46" w:name="page547"/>
    <w:bookmarkEnd w:id="546"/>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Obligations</w:t>
      </w:r>
      <w:r>
        <w:rPr>
          <w:rFonts w:ascii="Arial" w:cs="Arial" w:eastAsia="Arial" w:hAnsi="Arial"/>
          <w:sz w:val="22"/>
          <w:szCs w:val="22"/>
          <w:color w:val="auto"/>
        </w:rPr>
        <w:t xml:space="preserve"> ” shall have the meaning specified in the Intercreditor Agreement.</w:t>
      </w:r>
    </w:p>
    <w:p>
      <w:pPr>
        <w:spacing w:after="0" w:line="179" w:lineRule="exact"/>
        <w:rPr>
          <w:sz w:val="20"/>
          <w:szCs w:val="20"/>
          <w:color w:val="auto"/>
        </w:rPr>
      </w:pPr>
    </w:p>
    <w:p>
      <w:pPr>
        <w:ind w:left="660" w:right="2060"/>
        <w:spacing w:after="0" w:line="40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Representative</w:t>
      </w:r>
      <w:r>
        <w:rPr>
          <w:rFonts w:ascii="Arial" w:cs="Arial" w:eastAsia="Arial" w:hAnsi="Arial"/>
          <w:sz w:val="22"/>
          <w:szCs w:val="22"/>
          <w:color w:val="auto"/>
        </w:rPr>
        <w:t xml:space="preserve"> ” shall have the meaning specified in the Intercreditor Agreement. “ </w:t>
      </w: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 shall have the meaning specified in the Credit Agreement.</w:t>
      </w:r>
    </w:p>
    <w:p>
      <w:pPr>
        <w:spacing w:after="0" w:line="1" w:lineRule="exact"/>
        <w:rPr>
          <w:sz w:val="20"/>
          <w:szCs w:val="20"/>
          <w:color w:val="auto"/>
        </w:rPr>
      </w:pPr>
    </w:p>
    <w:p>
      <w:pPr>
        <w:ind w:left="660" w:right="1180"/>
        <w:spacing w:after="0" w:line="409"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Substitution Date</w:t>
      </w:r>
      <w:r>
        <w:rPr>
          <w:rFonts w:ascii="Arial" w:cs="Arial" w:eastAsia="Arial" w:hAnsi="Arial"/>
          <w:sz w:val="22"/>
          <w:szCs w:val="22"/>
          <w:color w:val="auto"/>
        </w:rPr>
        <w:t xml:space="preserve"> ” shall have the meaning specified in </w:t>
      </w:r>
      <w:r>
        <w:rPr>
          <w:rFonts w:ascii="Arial" w:cs="Arial" w:eastAsia="Arial" w:hAnsi="Arial"/>
          <w:sz w:val="22"/>
          <w:szCs w:val="22"/>
          <w:u w:val="single" w:color="auto"/>
          <w:color w:val="auto"/>
        </w:rPr>
        <w:t>Section 6.04(a)</w:t>
      </w:r>
      <w:r>
        <w:rPr>
          <w:rFonts w:ascii="Arial" w:cs="Arial" w:eastAsia="Arial" w:hAnsi="Arial"/>
          <w:sz w:val="22"/>
          <w:szCs w:val="22"/>
          <w:color w:val="auto"/>
        </w:rPr>
        <w:t xml:space="preserve"> of the Aircraft Security Agreement. “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 shall have the meaning specified in the Credit Agreement.</w:t>
      </w:r>
    </w:p>
    <w:p>
      <w:pPr>
        <w:spacing w:after="0" w:line="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Transportation Code</w:t>
      </w:r>
      <w:r>
        <w:rPr>
          <w:rFonts w:ascii="Arial" w:cs="Arial" w:eastAsia="Arial" w:hAnsi="Arial"/>
          <w:sz w:val="22"/>
          <w:szCs w:val="22"/>
          <w:color w:val="auto"/>
        </w:rPr>
        <w:t xml:space="preserve"> ” shall mean that portion of Title 49 of the United States Code comprising those provisions formerly referred to as the Federal Aviation Act of 1958, as amended, or any subsequent legislation that amends, supplements or supersedes such provisions.</w:t>
      </w:r>
    </w:p>
    <w:p>
      <w:pPr>
        <w:spacing w:after="0" w:line="158" w:lineRule="exact"/>
        <w:rPr>
          <w:sz w:val="20"/>
          <w:szCs w:val="20"/>
          <w:color w:val="auto"/>
        </w:rPr>
      </w:pPr>
    </w:p>
    <w:p>
      <w:pPr>
        <w:ind w:left="660" w:right="2260"/>
        <w:spacing w:after="0" w:line="47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Trustee</w:t>
      </w:r>
      <w:r>
        <w:rPr>
          <w:rFonts w:ascii="Arial" w:cs="Arial" w:eastAsia="Arial" w:hAnsi="Arial"/>
          <w:sz w:val="19"/>
          <w:szCs w:val="19"/>
          <w:color w:val="auto"/>
        </w:rPr>
        <w:t xml:space="preserve"> ” shall have the meaning specified in the preamble to the Aircraft Security Agreement. “ </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 shall mean the Uniform Commercial Code as in effect in any applicable jurisdiction.</w:t>
      </w: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United States</w:t>
      </w:r>
      <w:r>
        <w:rPr>
          <w:rFonts w:ascii="Arial" w:cs="Arial" w:eastAsia="Arial" w:hAnsi="Arial"/>
          <w:sz w:val="22"/>
          <w:szCs w:val="22"/>
          <w:color w:val="auto"/>
        </w:rPr>
        <w:t xml:space="preserve"> ” shall mean the United States of America.</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Warranty Rights</w:t>
      </w:r>
      <w:r>
        <w:rPr>
          <w:rFonts w:ascii="Arial" w:cs="Arial" w:eastAsia="Arial" w:hAnsi="Arial"/>
          <w:sz w:val="19"/>
          <w:szCs w:val="19"/>
          <w:color w:val="auto"/>
        </w:rPr>
        <w:t xml:space="preserve"> ” shall mean, with respect to any Aircraft, the rights of the Grantor under any warranty or indemnity, express or implied, regarding title, materials, workmanship, design and patent infringement, or related matters in respect of such Aircraft, in each case to the extent that: ( </w:t>
      </w:r>
      <w:r>
        <w:rPr>
          <w:rFonts w:ascii="Arial" w:cs="Arial" w:eastAsia="Arial" w:hAnsi="Arial"/>
          <w:sz w:val="19"/>
          <w:szCs w:val="19"/>
          <w:u w:val="single" w:color="auto"/>
          <w:color w:val="auto"/>
        </w:rPr>
        <w:t>a</w:t>
      </w:r>
      <w:r>
        <w:rPr>
          <w:rFonts w:ascii="Arial" w:cs="Arial" w:eastAsia="Arial" w:hAnsi="Arial"/>
          <w:sz w:val="19"/>
          <w:szCs w:val="19"/>
          <w:color w:val="auto"/>
        </w:rPr>
        <w:t xml:space="preserve"> ) such rights relate to such Aircraft (and not to any other properties or assets), ( </w:t>
      </w:r>
      <w:r>
        <w:rPr>
          <w:rFonts w:ascii="Arial" w:cs="Arial" w:eastAsia="Arial" w:hAnsi="Arial"/>
          <w:sz w:val="19"/>
          <w:szCs w:val="19"/>
          <w:u w:val="single" w:color="auto"/>
          <w:color w:val="auto"/>
        </w:rPr>
        <w:t>b</w:t>
      </w:r>
      <w:r>
        <w:rPr>
          <w:rFonts w:ascii="Arial" w:cs="Arial" w:eastAsia="Arial" w:hAnsi="Arial"/>
          <w:sz w:val="19"/>
          <w:szCs w:val="19"/>
          <w:color w:val="auto"/>
        </w:rPr>
        <w:t xml:space="preserve"> ) such rights are assignable at no additional expense to the Grantor, and ( </w:t>
      </w:r>
      <w:r>
        <w:rPr>
          <w:rFonts w:ascii="Arial" w:cs="Arial" w:eastAsia="Arial" w:hAnsi="Arial"/>
          <w:sz w:val="19"/>
          <w:szCs w:val="19"/>
          <w:u w:val="single" w:color="auto"/>
          <w:color w:val="auto"/>
        </w:rPr>
        <w:t>c</w:t>
      </w:r>
      <w:r>
        <w:rPr>
          <w:rFonts w:ascii="Arial" w:cs="Arial" w:eastAsia="Arial" w:hAnsi="Arial"/>
          <w:sz w:val="19"/>
          <w:szCs w:val="19"/>
          <w:color w:val="auto"/>
        </w:rPr>
        <w:t xml:space="preserve"> ) such assignment does not require the consent of any Person and does not violate any contract or agreement binding upon the Grantor relating to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47" w:name="page548"/>
    <w:bookmarkEnd w:id="547"/>
    <w:p>
      <w:pPr>
        <w:jc w:val="right"/>
        <w:spacing w:after="0"/>
        <w:rPr>
          <w:sz w:val="20"/>
          <w:szCs w:val="20"/>
          <w:color w:val="auto"/>
        </w:rPr>
      </w:pPr>
      <w:r>
        <w:rPr>
          <w:rFonts w:ascii="Arial" w:cs="Arial" w:eastAsia="Arial" w:hAnsi="Arial"/>
          <w:sz w:val="22"/>
          <w:szCs w:val="22"/>
          <w:color w:val="auto"/>
        </w:rPr>
        <w:t>EXHIBIT G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Description of Security Agreement for Spare Engines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The Aircraft Security Agreement(s), which may be entered into in the future by a Grantor to pledge any spare engine to a trustee (the “ </w:t>
      </w:r>
      <w:r>
        <w:rPr>
          <w:rFonts w:ascii="Arial" w:cs="Arial" w:eastAsia="Arial" w:hAnsi="Arial"/>
          <w:sz w:val="22"/>
          <w:szCs w:val="22"/>
          <w:u w:val="single" w:color="auto"/>
          <w:color w:val="auto"/>
        </w:rPr>
        <w:t>Security Trustee</w:t>
      </w:r>
      <w:r>
        <w:rPr>
          <w:rFonts w:ascii="Arial" w:cs="Arial" w:eastAsia="Arial" w:hAnsi="Arial"/>
          <w:sz w:val="22"/>
          <w:szCs w:val="22"/>
          <w:color w:val="auto"/>
        </w:rPr>
        <w:t xml:space="preserve"> ”) acting on behalf of the Collateral Agent, as Additional Collateral or Qualified Replacement Assets will contain terms to the following effect with respect to such spare engine.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Maintenance and operation</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The Grantor will be obligated at its expense to maintain, service, repair, and overhaul such spare engine (or cause the same to be done) so as to keep it in such condition as necessary to maintain the airworthiness certificate for the aircraft upon which such spare engine is installed (the “ </w:t>
      </w:r>
      <w:r>
        <w:rPr>
          <w:rFonts w:ascii="Arial" w:cs="Arial" w:eastAsia="Arial" w:hAnsi="Arial"/>
          <w:sz w:val="19"/>
          <w:szCs w:val="19"/>
          <w:u w:val="single" w:color="auto"/>
          <w:color w:val="auto"/>
        </w:rPr>
        <w:t>Related Aircraft</w:t>
      </w:r>
      <w:r>
        <w:rPr>
          <w:rFonts w:ascii="Arial" w:cs="Arial" w:eastAsia="Arial" w:hAnsi="Arial"/>
          <w:sz w:val="19"/>
          <w:szCs w:val="19"/>
          <w:color w:val="auto"/>
        </w:rPr>
        <w:t xml:space="preserve"> ”) in good standing at all times (other than during temporary periods of storage, maintenance, testing or modification or during periods of grounding by applicable governmental authorities).</w:t>
      </w:r>
    </w:p>
    <w:p>
      <w:pPr>
        <w:spacing w:after="0" w:line="14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Grantor will agree that such spare engine shall not be maintained, used, serviced, repaired, overhauled or operated, in violation of any law, rule or regulation of any government having jurisdiction over the Related Aircraft, or in violation of any airworthiness certificate, license or registration relating to the Related Aircraft issued by such government, except to the extent the Grantor (or any lessee) is contesting in good faith the validity or application of any such law, rule or regulation or airworthiness certificate, license or registration in any manner that does not involve any material risk of sale, forfeiture or loss of such spare engine or impair the lien of the Aircraft Security Agreement with respect to such spare engine.</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The Grantor must make (or cause to be made) all alterations, modifications, and additions to such spare engine necessary to meet the applicable requirements of the FAA or any other applicable governmental authority of another jurisdiction in which the Related Aircraft may then be registered;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Grantor (or any lessee) may in good faith contest the validity or application of any such requirement in any manner that does not involve, among other things, a material risk of sale, forfeiture or loss of such spare engine, and does not adversely affect the Security Trustee’s interest in such spare engine under (and as defined in) the Aircraft Security Agreement. The Grantor (or any lessee) may add further parts and make other alterations, modifications and additions to such spare engine as the Grantor (or any such lessee) may deem desirable in the proper conduct of its business, including removal (without replacement) of parts, so long as such alterations, modifications, additions, or removals do not materially diminish the value or utility of such spare engine below its value or utility immediately prior to such alteration, modification, addition, or removal (assuming such spare engine was maintained in accordance with the Aircraft Security Agreement), except that the value (but not the utility) of such spare engine may be reduced from time to time by the value of any parts which have been removed that the Grantor (or any such lessee) deems obsolete or no longer suitable or appropriate for use on such spare engine. All parts (with certain exceptions) incorporated or installed in or added to such spare engine as a result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48" w:name="page549"/>
    <w:bookmarkEnd w:id="548"/>
    <w:p>
      <w:pPr>
        <w:jc w:val="both"/>
        <w:spacing w:after="0" w:line="294" w:lineRule="auto"/>
        <w:rPr>
          <w:sz w:val="20"/>
          <w:szCs w:val="20"/>
          <w:color w:val="auto"/>
        </w:rPr>
      </w:pPr>
      <w:r>
        <w:rPr>
          <w:rFonts w:ascii="Arial" w:cs="Arial" w:eastAsia="Arial" w:hAnsi="Arial"/>
          <w:sz w:val="19"/>
          <w:szCs w:val="19"/>
          <w:color w:val="auto"/>
        </w:rPr>
        <w:t>alterations, modifications or additions will be subject to the lien of the Aircraft Security Agreement. The Grantor (or any lessee) will be permitted to remove (without replacement) parts that are in addition to, and not in replacement of or substitution for, any part originally incorporated or installed in or attached to such spare engine at the time of delivery thereof to the Grantor, as well as any part that is not required to be incorporated or installed in or attached to such spare engine pursuant to applicable requirements of the FAA or the applicable aviation authority of any other jurisdiction in which the Related Aircraft may then be registered, or any part that can be removed without materially diminishing the requisite value or utility of such spare engine.</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set forth above, the Grantor will be obligated to replace or cause to be replaced all parts that are incorporated or installed in or attached to such spare engine and become worn out, lost, stolen, destroyed, seized, confiscated, damaged beyond repair or permanently rendered unfit for use. Any such replacement parts will become subject to the lien of the Aircraft Security Agreement in lieu of the part replaced.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Registration, leasing and possession</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The Grantor will be required to record the Aircraft Security Agreement with the FAA. In addition, the Grantor will register the “international interests” created pursuant to the Aircraft Security Agreement under the Cape Town Convention on International Interests in Mobile Equipment and the related Aircraft Equipment Protocol (the “ </w:t>
      </w:r>
      <w:r>
        <w:rPr>
          <w:rFonts w:ascii="Arial" w:cs="Arial" w:eastAsia="Arial" w:hAnsi="Arial"/>
          <w:sz w:val="19"/>
          <w:szCs w:val="19"/>
          <w:u w:val="single" w:color="auto"/>
          <w:color w:val="auto"/>
        </w:rPr>
        <w:t>Cape Town Treaty</w:t>
      </w:r>
      <w:r>
        <w:rPr>
          <w:rFonts w:ascii="Arial" w:cs="Arial" w:eastAsia="Arial" w:hAnsi="Arial"/>
          <w:sz w:val="19"/>
          <w:szCs w:val="19"/>
          <w:color w:val="auto"/>
        </w:rPr>
        <w:t xml:space="preserve"> ”). The Grantor will be permitted, subject to certain limitations, to lease such spare engine to any United States certificated air carrier, to certain foreign air carriers or to certain manufacturers of airframes or engines (or their affiliates acting under an unconditional guarantee of such manufacturer). In addition, subject to certain limitations, the Grantor will be permitted to transfer possession of such spare engine, other than by lease, including transfers of possession by the Grantor or any lessee in connection with certain interchange and pooling arrangements, “wet leases,” and transfers in connection with maintenance or modifications and transfers to the government of the United States, Canada, France, Germany, Japan, The Netherlands, Sweden, Switzerland and the United Kingdom or any instrumentality or agency thereof. There will be no general geographical restriction on the Grantor’s (or any lessee’s) ability to operate such spare engine.</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Insurance</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With respect to such spare engine, the Grantor will maintain insurance, against such risks, including fire and other risks, as is prudent and customary for United States based passenger airlines of similar size insuring similar assets.</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With respect to such spare engine, the Grantor will maintain public liability insurance against claims for personal injury or death or property damage occurring upon, in, about, or in connection with the use of such spare engine in such amounts and with such deductibles as is prudent and customary for United States-based passenger airlines of similar size insuring against similar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49" w:name="page550"/>
    <w:bookmarkEnd w:id="549"/>
    <w:p>
      <w:pPr>
        <w:ind w:left="660"/>
        <w:spacing w:after="0"/>
        <w:rPr>
          <w:sz w:val="20"/>
          <w:szCs w:val="20"/>
          <w:color w:val="auto"/>
        </w:rPr>
      </w:pPr>
      <w:r>
        <w:rPr>
          <w:rFonts w:ascii="Arial" w:cs="Arial" w:eastAsia="Arial" w:hAnsi="Arial"/>
          <w:sz w:val="22"/>
          <w:szCs w:val="22"/>
          <w:b w:val="1"/>
          <w:bCs w:val="1"/>
          <w:i w:val="1"/>
          <w:iCs w:val="1"/>
          <w:color w:val="auto"/>
        </w:rPr>
        <w:t>Events of loss</w:t>
      </w:r>
    </w:p>
    <w:p>
      <w:pPr>
        <w:spacing w:after="0" w:line="22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If an Event of Loss occurs with respect to such spare engine, the Grantor may elect within 90 days after such occurrence to substitute (such substitution to be completed by the first business day after 120 days following the occurrence of such Event of Loss), as replacement for such spare engine an engine of the same model as such spare engine to be replaced or a comparable or improved model. In connection with such replacement, the Grantor shall provide (x) an Appraisal of the replacement engine demonstrating that the Appraised Value of such replacement engine is no less than the Appraised Value of such spare engine, (y) opinions of counsel as to the due recordation of a supplement to the Aircraft Security Agreement relating to such replacement engine, the registration of such replacement engine with the International Registry under the Cape Town Treaty and the validity and perfection of the security interest granted to the Security Trustee in the replacement engine. Following the replacement of such spare engine with a replacement engine as provided above, such spare engine will be released from the Collateral.</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Grantor elects not to replace such spare engine, as applicable, then upon compliance with Section 2.12 or Section 6.04 of the Credit Agreement, such spare engine will be released from the Collateral.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An “ </w:t>
      </w:r>
      <w:r>
        <w:rPr>
          <w:rFonts w:ascii="Arial" w:cs="Arial" w:eastAsia="Arial" w:hAnsi="Arial"/>
          <w:sz w:val="19"/>
          <w:szCs w:val="19"/>
          <w:b w:val="1"/>
          <w:bCs w:val="1"/>
          <w:i w:val="1"/>
          <w:iCs w:val="1"/>
          <w:color w:val="auto"/>
        </w:rPr>
        <w:t>Event of Loss</w:t>
      </w:r>
      <w:r>
        <w:rPr>
          <w:rFonts w:ascii="Arial" w:cs="Arial" w:eastAsia="Arial" w:hAnsi="Arial"/>
          <w:sz w:val="19"/>
          <w:szCs w:val="19"/>
          <w:color w:val="auto"/>
        </w:rPr>
        <w:t xml:space="preserve"> ” with respect to such spare engine, means any of the following events with respect to such spare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engine:</w:t>
      </w:r>
    </w:p>
    <w:p>
      <w:pPr>
        <w:spacing w:after="0" w:line="202" w:lineRule="exact"/>
        <w:rPr>
          <w:sz w:val="20"/>
          <w:szCs w:val="20"/>
          <w:color w:val="auto"/>
        </w:rPr>
      </w:pPr>
    </w:p>
    <w:p>
      <w:pPr>
        <w:ind w:left="980" w:hanging="324"/>
        <w:spacing w:after="0" w:line="263" w:lineRule="auto"/>
        <w:tabs>
          <w:tab w:leader="none" w:pos="980" w:val="left"/>
        </w:tabs>
        <w:numPr>
          <w:ilvl w:val="0"/>
          <w:numId w:val="719"/>
        </w:numPr>
        <w:rPr>
          <w:rFonts w:ascii="Arial" w:cs="Arial" w:eastAsia="Arial" w:hAnsi="Arial"/>
          <w:sz w:val="17"/>
          <w:szCs w:val="17"/>
          <w:color w:val="auto"/>
        </w:rPr>
      </w:pPr>
      <w:r>
        <w:rPr>
          <w:rFonts w:ascii="Arial" w:cs="Arial" w:eastAsia="Arial" w:hAnsi="Arial"/>
          <w:sz w:val="21"/>
          <w:szCs w:val="21"/>
          <w:color w:val="auto"/>
        </w:rPr>
        <w:t>the loss of such spare engine or of the use thereof due to destruction, damage to such spare engine beyond repair or rendition of such spare engine permanently unfit for normal use for any reason whatsoever;</w:t>
      </w:r>
    </w:p>
    <w:p>
      <w:pPr>
        <w:spacing w:after="0" w:line="1" w:lineRule="exact"/>
        <w:rPr>
          <w:rFonts w:ascii="Arial" w:cs="Arial" w:eastAsia="Arial" w:hAnsi="Arial"/>
          <w:sz w:val="17"/>
          <w:szCs w:val="17"/>
          <w:color w:val="auto"/>
        </w:rPr>
      </w:pPr>
    </w:p>
    <w:p>
      <w:pPr>
        <w:ind w:left="980" w:hanging="324"/>
        <w:spacing w:after="0" w:line="243" w:lineRule="auto"/>
        <w:tabs>
          <w:tab w:leader="none" w:pos="980" w:val="left"/>
        </w:tabs>
        <w:numPr>
          <w:ilvl w:val="0"/>
          <w:numId w:val="719"/>
        </w:numPr>
        <w:rPr>
          <w:rFonts w:ascii="Arial" w:cs="Arial" w:eastAsia="Arial" w:hAnsi="Arial"/>
          <w:sz w:val="18"/>
          <w:szCs w:val="18"/>
          <w:color w:val="auto"/>
        </w:rPr>
      </w:pPr>
      <w:r>
        <w:rPr>
          <w:rFonts w:ascii="Arial" w:cs="Arial" w:eastAsia="Arial" w:hAnsi="Arial"/>
          <w:sz w:val="22"/>
          <w:szCs w:val="22"/>
          <w:color w:val="auto"/>
        </w:rPr>
        <w:t>any damage to such spare engine that results in an insurance settlement with respect to such spare engine on the basis of a total loss or a compromised or constructive total loss;</w:t>
      </w:r>
    </w:p>
    <w:p>
      <w:pPr>
        <w:ind w:left="980" w:hanging="324"/>
        <w:spacing w:after="0"/>
        <w:tabs>
          <w:tab w:leader="none" w:pos="980" w:val="left"/>
        </w:tabs>
        <w:numPr>
          <w:ilvl w:val="0"/>
          <w:numId w:val="719"/>
        </w:numPr>
        <w:rPr>
          <w:rFonts w:ascii="Arial" w:cs="Arial" w:eastAsia="Arial" w:hAnsi="Arial"/>
          <w:sz w:val="18"/>
          <w:szCs w:val="18"/>
          <w:color w:val="auto"/>
        </w:rPr>
      </w:pPr>
      <w:r>
        <w:rPr>
          <w:rFonts w:ascii="Arial" w:cs="Arial" w:eastAsia="Arial" w:hAnsi="Arial"/>
          <w:sz w:val="22"/>
          <w:szCs w:val="22"/>
          <w:color w:val="auto"/>
        </w:rPr>
        <w:t>the theft, hijacking or disappearance of such spare engine for a period exceeding 180 consecutive days;</w:t>
      </w:r>
    </w:p>
    <w:p>
      <w:pPr>
        <w:spacing w:after="0" w:line="3"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719"/>
        </w:numPr>
        <w:rPr>
          <w:rFonts w:ascii="Arial" w:cs="Arial" w:eastAsia="Arial" w:hAnsi="Arial"/>
          <w:sz w:val="16"/>
          <w:szCs w:val="16"/>
          <w:color w:val="auto"/>
        </w:rPr>
      </w:pPr>
      <w:r>
        <w:rPr>
          <w:rFonts w:ascii="Arial" w:cs="Arial" w:eastAsia="Arial" w:hAnsi="Arial"/>
          <w:sz w:val="19"/>
          <w:szCs w:val="19"/>
          <w:color w:val="auto"/>
        </w:rPr>
        <w:t>the requisition for use of such spare engine by any government (other than a requisition for use by the government of Canada, France, Germany, Japan, The Netherlands, Sweden, Switzerland, the United Kingdom or the United States or the government of the country of registry of the Related Aircraft) that results in the loss of possession of such spare engine by the Grantor (or any lessee) for a period exceeding 12 consecutive months;</w:t>
      </w:r>
    </w:p>
    <w:p>
      <w:pPr>
        <w:spacing w:after="0" w:line="2" w:lineRule="exact"/>
        <w:rPr>
          <w:rFonts w:ascii="Arial" w:cs="Arial" w:eastAsia="Arial" w:hAnsi="Arial"/>
          <w:sz w:val="16"/>
          <w:szCs w:val="16"/>
          <w:color w:val="auto"/>
        </w:rPr>
      </w:pPr>
    </w:p>
    <w:p>
      <w:pPr>
        <w:jc w:val="both"/>
        <w:ind w:left="980" w:hanging="324"/>
        <w:spacing w:after="0" w:line="244" w:lineRule="auto"/>
        <w:tabs>
          <w:tab w:leader="none" w:pos="980" w:val="left"/>
        </w:tabs>
        <w:numPr>
          <w:ilvl w:val="0"/>
          <w:numId w:val="719"/>
        </w:numPr>
        <w:rPr>
          <w:rFonts w:ascii="Arial" w:cs="Arial" w:eastAsia="Arial" w:hAnsi="Arial"/>
          <w:sz w:val="18"/>
          <w:szCs w:val="18"/>
          <w:color w:val="auto"/>
        </w:rPr>
      </w:pPr>
      <w:r>
        <w:rPr>
          <w:rFonts w:ascii="Arial" w:cs="Arial" w:eastAsia="Arial" w:hAnsi="Arial"/>
          <w:sz w:val="22"/>
          <w:szCs w:val="22"/>
          <w:color w:val="auto"/>
        </w:rPr>
        <w:t>any requisition of title or other compulsory acquisition, capture, seizure, deprivation, confiscation or detention (excluding requisition for use not involving a requisition of title) for any reason of such spare engine by any government that results in the loss of title or use of such spare engine by the Grantor (or any lessee) for a period in excess of 180 consecutive days; and any divestiture of title to or interest in such spare engine or, in certain circumstances, the installation of such spare engine on an airframe that is subject to a conditional sale or other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50" w:name="page551"/>
    <w:bookmarkEnd w:id="550"/>
    <w:p>
      <w:pPr>
        <w:ind w:left="660"/>
        <w:spacing w:after="0"/>
        <w:rPr>
          <w:sz w:val="20"/>
          <w:szCs w:val="20"/>
          <w:color w:val="auto"/>
        </w:rPr>
      </w:pPr>
      <w:r>
        <w:rPr>
          <w:rFonts w:ascii="Arial" w:cs="Arial" w:eastAsia="Arial" w:hAnsi="Arial"/>
          <w:sz w:val="22"/>
          <w:szCs w:val="22"/>
          <w:b w:val="1"/>
          <w:bCs w:val="1"/>
          <w:i w:val="1"/>
          <w:iCs w:val="1"/>
          <w:color w:val="auto"/>
        </w:rPr>
        <w:t>Remedies</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Aircraft Security Agreement will provide that, if an Event of Default under the Credit Agreement has occurred and is continuing, the Security Trustee may exercise certain rights or remedies available to it under the Aircraft Security Agreement or under applicable law. Such remedies include the right to take possession of such spare engine, subject to the Aircraft Security Agreement, and to sell such spare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13232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51" w:name="page552"/>
    <w:bookmarkEnd w:id="551"/>
    <w:p>
      <w:pPr>
        <w:jc w:val="right"/>
        <w:spacing w:after="0"/>
        <w:rPr>
          <w:sz w:val="20"/>
          <w:szCs w:val="20"/>
          <w:color w:val="auto"/>
        </w:rPr>
      </w:pPr>
      <w:r>
        <w:rPr>
          <w:rFonts w:ascii="Arial" w:cs="Arial" w:eastAsia="Arial" w:hAnsi="Arial"/>
          <w:sz w:val="22"/>
          <w:szCs w:val="22"/>
          <w:color w:val="auto"/>
        </w:rPr>
        <w:t>EXHIBIT H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OFFICER’S CERTIFICATE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Collateral Coverage Ratio Certificate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AMERICAN AIRLINES, INC.</w:t>
      </w:r>
    </w:p>
    <w:p>
      <w:pPr>
        <w:spacing w:after="0" w:line="22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Reference is made to the Credit and Guaranty Agreement, dated as of March 18, 2020 (as may be amended, restated, amended and restated, supplemented or otherwise modified from time to time, the “ </w:t>
      </w:r>
      <w:r>
        <w:rPr>
          <w:rFonts w:ascii="Arial" w:cs="Arial" w:eastAsia="Arial" w:hAnsi="Arial"/>
          <w:sz w:val="21"/>
          <w:szCs w:val="21"/>
          <w:u w:val="single" w:color="auto"/>
          <w:color w:val="auto"/>
        </w:rPr>
        <w:t>Credit Agreement</w:t>
      </w:r>
      <w:r>
        <w:rPr>
          <w:rFonts w:ascii="Arial" w:cs="Arial" w:eastAsia="Arial" w:hAnsi="Arial"/>
          <w:sz w:val="21"/>
          <w:szCs w:val="21"/>
          <w:color w:val="auto"/>
        </w:rPr>
        <w:t xml:space="preserve"> ”; capitalized terms used herein but not defined are being used as defined therein), by and among AMERICAN AIRLINES, INC., a Delaware corporation (the “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 American Airlines Group Inc., a Delaware corporation (“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 the direct and indirect Domestic Subsidiaries of Parent from time to time party thereto other than the Borrower, each of the several banks and other financial institutions or entities from time to time party thereto as a lender (the “ </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 Citibank N.A., as administrative agent for the Lenders and as collateral agent for the Secured Parties.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20"/>
          <w:szCs w:val="20"/>
          <w:color w:val="auto"/>
        </w:rPr>
        <w:t xml:space="preserve">[This certificate is being delivered pursuant to Section 4.02(d) of the Credit Agreement. The undersigned hereby certifies, on behalf of the Borrower, that the Collateral Coverage Ratio as of [insert applicable date of Loan], giving pro forma effect to any Loans made on such date, is [ ] to 1.0 with respect to Collateral secured pursuant to the First Lien SGR Security Agreement, and [ ] to 1.0 with respect to Collateral secured pursuant to the Second Lien SGR Security Agreement.] </w:t>
      </w:r>
      <w:r>
        <w:rPr>
          <w:rFonts w:ascii="Arial" w:cs="Arial" w:eastAsia="Arial" w:hAnsi="Arial"/>
          <w:sz w:val="26"/>
          <w:szCs w:val="26"/>
          <w:color w:val="auto"/>
          <w:vertAlign w:val="superscript"/>
        </w:rPr>
        <w:t>1</w:t>
      </w:r>
    </w:p>
    <w:p>
      <w:pPr>
        <w:spacing w:after="0" w:line="6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[This certificate is being delivered in connection with a Disposition of Collateral pursuant to Section 6.04(ii)(D) of the Credit Agreement. The undersigned hereby certifies, on behalf of the Borrower, that the Collateral Coverage Ratio as of [insert applicable date of Disposition of Collateral], giving pro forma effect to such Disposition of Collateral and any actions taken pursuant to Section 6.04(ii)(B)(II), is [ ] to 1.0 with respect to Collateral secured pursuant to the First Lien SGR Security Agreement, and [ ] to 1.0 with respect to Collateral secured pursuant to the Second Lien SGR Security Agreement. and that the Collateral includes at least one category of Core Collateral after giving effect to such Disposition and any actions taken pursuant to clause 6.04(B)(II)] </w:t>
      </w:r>
      <w:r>
        <w:rPr>
          <w:rFonts w:ascii="Arial" w:cs="Arial" w:eastAsia="Arial" w:hAnsi="Arial"/>
          <w:sz w:val="28"/>
          <w:szCs w:val="28"/>
          <w:color w:val="auto"/>
          <w:vertAlign w:val="superscript"/>
        </w:rPr>
        <w:t>2</w:t>
      </w:r>
    </w:p>
    <w:p>
      <w:pPr>
        <w:spacing w:after="0" w:line="1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certificate is being delivered pursuant to Section 6.09(a) of the Credit Agreement. The undersigned hereby certifies, on behalf of the Borrower, that the Collateral Coverage Ratio as of [insert applicable Reference Date] is [ ] to 1.0 with respect to Collateral secured pursuant to the First Lien SGR Security Agreement, and [ ] to 1.0 with respect to Collateral secured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450215</wp:posOffset>
            </wp:positionV>
            <wp:extent cx="68580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For Collateral Coverage Ratio Certificate delivered pursuant to Section 4.02(d) of the Credit Agreement.</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For Collateral Coverage Ratio Certificate delivered pursuant to Sections 5.01(i) and 6.04(ii)(D)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226060</wp:posOffset>
            </wp:positionV>
            <wp:extent cx="7132320"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563" w:right="339" w:bottom="1440" w:gutter="0" w:footer="0" w:header="0"/>
          <w:type w:val="continuous"/>
        </w:sectPr>
      </w:pPr>
    </w:p>
    <w:bookmarkStart w:id="552" w:name="page553"/>
    <w:bookmarkEnd w:id="552"/>
    <w:p>
      <w:pPr>
        <w:spacing w:after="0"/>
        <w:rPr>
          <w:sz w:val="20"/>
          <w:szCs w:val="20"/>
          <w:color w:val="auto"/>
        </w:rPr>
      </w:pPr>
      <w:r>
        <w:rPr>
          <w:rFonts w:ascii="Arial" w:cs="Arial" w:eastAsia="Arial" w:hAnsi="Arial"/>
          <w:sz w:val="21"/>
          <w:szCs w:val="21"/>
          <w:color w:val="auto"/>
        </w:rPr>
        <w:t xml:space="preserve">the Second Lien SGR Security Agreement. [and that the Collateral includes at least one category of Core Collateral]] </w:t>
      </w:r>
      <w:r>
        <w:rPr>
          <w:rFonts w:ascii="Arial" w:cs="Arial" w:eastAsia="Arial" w:hAnsi="Arial"/>
          <w:sz w:val="27"/>
          <w:szCs w:val="27"/>
          <w:color w:val="auto"/>
          <w:vertAlign w:val="superscript"/>
        </w:rPr>
        <w:t>3</w:t>
      </w:r>
    </w:p>
    <w:p>
      <w:pPr>
        <w:spacing w:after="0" w:line="17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[This certificate is being delivered in connection with a release of Collateral pursuant to Section 6.09(c) of the Credit Agreement. The undersigned hereby certifies, on behalf of the Borrower, that (A) no Event of Default has occurred and is continuing, (B) the Collateral Coverage Ratio as of the date hereof, giving pro forma effect to such release and any actions taken pursuant to Section 6.09(c)(B)(y), is [ ] to 1.0 with respect to Collateral secured pursuant to the First Lien SGR Security Agreement, and [ ] to 1.0 with respect to Collateral secured pursuant to the Second Lien SGR Security Agreement and (C) [no Core Collateral Failure has occurred as a result of such Borrower Release]/[the Borrower shall grant a security interest in additional assets pledged as Additional Collateral such that the Collateral would include at least one category of Core Collateral].] </w:t>
      </w:r>
      <w:r>
        <w:rPr>
          <w:rFonts w:ascii="Arial" w:cs="Arial" w:eastAsia="Arial" w:hAnsi="Arial"/>
          <w:sz w:val="28"/>
          <w:szCs w:val="28"/>
          <w:color w:val="auto"/>
          <w:vertAlign w:val="superscript"/>
        </w:rPr>
        <w:t>4</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certificate is being delivered in connection with a Permitted Disposition of Leased Collateral pursuant to clause (6)</w:t>
      </w:r>
    </w:p>
    <w:p>
      <w:pPr>
        <w:spacing w:after="0" w:line="56" w:lineRule="exact"/>
        <w:rPr>
          <w:sz w:val="20"/>
          <w:szCs w:val="20"/>
          <w:color w:val="auto"/>
        </w:rPr>
      </w:pPr>
    </w:p>
    <w:p>
      <w:pPr>
        <w:jc w:val="both"/>
        <w:ind w:firstLine="8"/>
        <w:spacing w:after="0" w:line="249" w:lineRule="auto"/>
        <w:tabs>
          <w:tab w:leader="none" w:pos="361" w:val="left"/>
        </w:tabs>
        <w:numPr>
          <w:ilvl w:val="0"/>
          <w:numId w:val="720"/>
        </w:numPr>
        <w:rPr>
          <w:rFonts w:ascii="Arial" w:cs="Arial" w:eastAsia="Arial" w:hAnsi="Arial"/>
          <w:sz w:val="22"/>
          <w:szCs w:val="22"/>
          <w:color w:val="auto"/>
        </w:rPr>
      </w:pPr>
      <w:r>
        <w:rPr>
          <w:rFonts w:ascii="Arial" w:cs="Arial" w:eastAsia="Arial" w:hAnsi="Arial"/>
          <w:sz w:val="22"/>
          <w:szCs w:val="22"/>
          <w:color w:val="auto"/>
        </w:rPr>
        <w:t xml:space="preserve">of the definition of Permitted Disposition. The undersigned hereby certifies, on behalf of the Borrower, that the Collateral Coverage Ratio as of the date hereof, giving pro forma effect to such Permitted Disposition, is [ ] to 1.0 with respect to Collateral secured pursuant to the First Lien SGR Security Agreement, and [ ] to 1.0 with respect to Collateral secured pursuant to the Second Lien SGR Security Agreement.] </w:t>
      </w:r>
      <w:r>
        <w:rPr>
          <w:rFonts w:ascii="Arial" w:cs="Arial" w:eastAsia="Arial" w:hAnsi="Arial"/>
          <w:sz w:val="28"/>
          <w:szCs w:val="28"/>
          <w:color w:val="auto"/>
          <w:vertAlign w:val="superscript"/>
        </w:rPr>
        <w:t>5</w:t>
      </w:r>
    </w:p>
    <w:p>
      <w:pPr>
        <w:spacing w:after="0" w:line="103"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Annex A sets forth the calculation of the Collateral Coverage Ratio with respect to Collateral secured pursuant to the First Lien SGR Security Agreement and Collateral secured pursuant to the Second Lien SGR Security Agreement.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1524635</wp:posOffset>
            </wp:positionV>
            <wp:extent cx="68580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For Collateral Coverage Ratio Certificate delivered pursuant to Sections 5.01(f) and 6.09(a) of the Credit Agreement.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For Collateral Coverage Ratio Certificate delivered pursuant to Section 6.09(c) of the Credit Agreement.</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For Collateral Coverage Ratio Certificate delivered pursuant to clause 6(B) of the definition of Permitted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474980</wp:posOffset>
            </wp:positionV>
            <wp:extent cx="713232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552" w:right="339" w:bottom="1440" w:gutter="0" w:footer="0" w:header="0"/>
          <w:type w:val="continuous"/>
        </w:sectPr>
      </w:pPr>
    </w:p>
    <w:bookmarkStart w:id="553" w:name="page554"/>
    <w:bookmarkEnd w:id="553"/>
    <w:p>
      <w:pPr>
        <w:spacing w:after="0"/>
        <w:tabs>
          <w:tab w:leader="none" w:pos="6840" w:val="left"/>
        </w:tabs>
        <w:rPr>
          <w:sz w:val="20"/>
          <w:szCs w:val="20"/>
          <w:color w:val="auto"/>
        </w:rPr>
      </w:pPr>
      <w:r>
        <w:rPr>
          <w:rFonts w:ascii="Arial" w:cs="Arial" w:eastAsia="Arial" w:hAnsi="Arial"/>
          <w:sz w:val="19"/>
          <w:szCs w:val="19"/>
          <w:color w:val="auto"/>
        </w:rPr>
        <w:t>IN WITNESS WHEREOF, the undersigned has hereunto set his name as of [</w:t>
      </w:r>
      <w:r>
        <w:rPr>
          <w:sz w:val="20"/>
          <w:szCs w:val="20"/>
          <w:color w:val="auto"/>
        </w:rPr>
        <w:tab/>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AMERICAN AIRLINES, INC.</w:t>
      </w:r>
    </w:p>
    <w:p>
      <w:pPr>
        <w:spacing w:after="0" w:line="200" w:lineRule="exact"/>
        <w:rPr>
          <w:sz w:val="20"/>
          <w:szCs w:val="20"/>
          <w:color w:val="auto"/>
        </w:rPr>
      </w:pPr>
    </w:p>
    <w:p>
      <w:pPr>
        <w:spacing w:after="0" w:line="236"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______________________________</w:t>
      </w:r>
    </w:p>
    <w:p>
      <w:pPr>
        <w:spacing w:after="0" w:line="5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2319"/>
        <w:spacing w:after="0"/>
        <w:rPr>
          <w:sz w:val="20"/>
          <w:szCs w:val="20"/>
          <w:color w:val="auto"/>
        </w:rPr>
      </w:pPr>
      <w:r>
        <w:rPr>
          <w:rFonts w:ascii="Arial" w:cs="Arial" w:eastAsia="Arial" w:hAnsi="Arial"/>
          <w:sz w:val="22"/>
          <w:szCs w:val="22"/>
          <w:i w:val="1"/>
          <w:iCs w:val="1"/>
          <w:color w:val="auto"/>
        </w:rPr>
        <w:t>[Officer’s Certificate - Collateral Coverage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864235</wp:posOffset>
            </wp:positionV>
            <wp:extent cx="7132320"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563" w:right="1440" w:bottom="1440" w:gutter="0" w:footer="0" w:header="0"/>
        </w:sectPr>
      </w:pPr>
    </w:p>
    <w:bookmarkStart w:id="554" w:name="page555"/>
    <w:bookmarkEnd w:id="554"/>
    <w:p>
      <w:pPr>
        <w:jc w:val="center"/>
        <w:ind w:right="20"/>
        <w:spacing w:after="0"/>
        <w:rPr>
          <w:sz w:val="20"/>
          <w:szCs w:val="20"/>
          <w:color w:val="auto"/>
        </w:rPr>
      </w:pPr>
      <w:r>
        <w:rPr>
          <w:rFonts w:ascii="Arial" w:cs="Arial" w:eastAsia="Arial" w:hAnsi="Arial"/>
          <w:sz w:val="19"/>
          <w:szCs w:val="19"/>
          <w:u w:val="single" w:color="auto"/>
          <w:color w:val="auto"/>
        </w:rPr>
        <w:t>Collateral Coverage Ratio Calculation with respect to Collateral secured pursuant to the First Lien SGR Security Agreement</w:t>
      </w: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9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b w:val="1"/>
                <w:bCs w:val="1"/>
                <w:color w:val="auto"/>
              </w:rPr>
              <w:t>Appraised Value of Collateral</w:t>
            </w:r>
            <w:r>
              <w:rPr>
                <w:rFonts w:ascii="Arial" w:cs="Arial" w:eastAsia="Arial" w:hAnsi="Arial"/>
                <w:sz w:val="22"/>
                <w:szCs w:val="22"/>
                <w:color w:val="auto"/>
              </w:rPr>
              <w:t xml:space="preserve"> :</w:t>
            </w:r>
          </w:p>
        </w:tc>
        <w:tc>
          <w:tcPr>
            <w:tcW w:w="2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74"/>
        </w:trPr>
        <w:tc>
          <w:tcPr>
            <w:tcW w:w="9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b w:val="1"/>
                <w:bCs w:val="1"/>
                <w:color w:val="auto"/>
              </w:rPr>
              <w:t>Sum (without duplication) of the following</w:t>
            </w:r>
            <w:r>
              <w:rPr>
                <w:rFonts w:ascii="Arial" w:cs="Arial" w:eastAsia="Arial" w:hAnsi="Arial"/>
                <w:sz w:val="22"/>
                <w:szCs w:val="22"/>
                <w:color w:val="auto"/>
              </w:rPr>
              <w:t xml:space="preserve"> :</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84"/>
        </w:trPr>
        <w:tc>
          <w:tcPr>
            <w:tcW w:w="902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(a) [Reserved]</w:t>
            </w:r>
          </w:p>
        </w:tc>
        <w:tc>
          <w:tcPr>
            <w:tcW w:w="2240" w:type="dxa"/>
            <w:vAlign w:val="bottom"/>
            <w:tcBorders>
              <w:bottom w:val="single" w:sz="8" w:color="auto"/>
              <w:right w:val="single" w:sz="8" w:color="auto"/>
            </w:tcBorders>
          </w:tcPr>
          <w:p>
            <w:pPr>
              <w:spacing w:after="0"/>
              <w:rPr>
                <w:sz w:val="24"/>
                <w:szCs w:val="24"/>
                <w:color w:val="auto"/>
              </w:rPr>
            </w:pPr>
          </w:p>
        </w:tc>
      </w:tr>
      <w:tr>
        <w:trPr>
          <w:trHeight w:val="280"/>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i w:val="1"/>
                <w:iCs w:val="1"/>
                <w:color w:val="auto"/>
              </w:rPr>
              <w:t>plus</w:t>
            </w:r>
            <w:r>
              <w:rPr>
                <w:rFonts w:ascii="Arial" w:cs="Arial" w:eastAsia="Arial" w:hAnsi="Arial"/>
                <w:sz w:val="22"/>
                <w:szCs w:val="22"/>
                <w:color w:val="auto"/>
              </w:rPr>
              <w:t xml:space="preserve"> , the aggregate outstanding principal amount of all Term Loans</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w w:val="94"/>
              </w:rPr>
              <w:t xml:space="preserve">(c) </w:t>
            </w:r>
            <w:r>
              <w:rPr>
                <w:rFonts w:ascii="Arial" w:cs="Arial" w:eastAsia="Arial" w:hAnsi="Arial"/>
                <w:sz w:val="22"/>
                <w:szCs w:val="22"/>
                <w:i w:val="1"/>
                <w:iCs w:val="1"/>
                <w:color w:val="auto"/>
                <w:w w:val="94"/>
              </w:rPr>
              <w:t>plus</w:t>
            </w:r>
            <w:r>
              <w:rPr>
                <w:rFonts w:ascii="Arial" w:cs="Arial" w:eastAsia="Arial" w:hAnsi="Arial"/>
                <w:sz w:val="22"/>
                <w:szCs w:val="22"/>
                <w:color w:val="auto"/>
                <w:w w:val="94"/>
              </w:rPr>
              <w:t xml:space="preserve"> , the aggregate outstanding principal amount of all Pari Passu Senior Secured Debt</w:t>
            </w:r>
          </w:p>
        </w:tc>
        <w:tc>
          <w:tcPr>
            <w:tcW w:w="22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9"/>
              </w:rPr>
              <w:t xml:space="preserve">(d) </w:t>
            </w:r>
            <w:r>
              <w:rPr>
                <w:rFonts w:ascii="Arial" w:cs="Arial" w:eastAsia="Arial" w:hAnsi="Arial"/>
                <w:sz w:val="22"/>
                <w:szCs w:val="22"/>
                <w:i w:val="1"/>
                <w:iCs w:val="1"/>
                <w:color w:val="auto"/>
                <w:w w:val="99"/>
              </w:rPr>
              <w:t>plus</w:t>
            </w:r>
            <w:r>
              <w:rPr>
                <w:rFonts w:ascii="Arial" w:cs="Arial" w:eastAsia="Arial" w:hAnsi="Arial"/>
                <w:sz w:val="22"/>
                <w:szCs w:val="22"/>
                <w:color w:val="auto"/>
                <w:w w:val="99"/>
              </w:rPr>
              <w:t xml:space="preserve"> , the aggregate outstanding amount of all Designated Hedging Obligations that</w:t>
            </w:r>
          </w:p>
        </w:tc>
        <w:tc>
          <w:tcPr>
            <w:tcW w:w="22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constitute “Obligations”</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0"/>
              </w:rPr>
              <w:t xml:space="preserve">(e) </w:t>
            </w:r>
            <w:r>
              <w:rPr>
                <w:rFonts w:ascii="Arial" w:cs="Arial" w:eastAsia="Arial" w:hAnsi="Arial"/>
                <w:sz w:val="22"/>
                <w:szCs w:val="22"/>
                <w:i w:val="1"/>
                <w:iCs w:val="1"/>
                <w:color w:val="auto"/>
                <w:w w:val="90"/>
              </w:rPr>
              <w:t>plus</w:t>
            </w:r>
            <w:r>
              <w:rPr>
                <w:rFonts w:ascii="Arial" w:cs="Arial" w:eastAsia="Arial" w:hAnsi="Arial"/>
                <w:sz w:val="22"/>
                <w:szCs w:val="22"/>
                <w:color w:val="auto"/>
                <w:w w:val="90"/>
              </w:rPr>
              <w:t xml:space="preserve"> , the aggregate outstanding amount of all Designated Banking Product Obligations that</w:t>
            </w:r>
          </w:p>
        </w:tc>
        <w:tc>
          <w:tcPr>
            <w:tcW w:w="22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constitute “Obligations”</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84"/>
        </w:trPr>
        <w:tc>
          <w:tcPr>
            <w:tcW w:w="9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Total Obligations (sum of lines (a), (b), (c), (d) and (e))</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r>
        <w:trPr>
          <w:trHeight w:val="291"/>
        </w:trPr>
        <w:tc>
          <w:tcPr>
            <w:tcW w:w="9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Ratio of (1) to (2):</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9"/>
          <w:szCs w:val="19"/>
          <w:u w:val="single" w:color="auto"/>
          <w:color w:val="auto"/>
        </w:rPr>
        <w:t>Collateral Coverage Ratio Calculation with respect to Collateral secured pursuant to the Second Lien SGR Security Agreement</w:t>
      </w: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9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(1) </w:t>
            </w:r>
            <w:r>
              <w:rPr>
                <w:rFonts w:ascii="Arial" w:cs="Arial" w:eastAsia="Arial" w:hAnsi="Arial"/>
                <w:sz w:val="22"/>
                <w:szCs w:val="22"/>
                <w:b w:val="1"/>
                <w:bCs w:val="1"/>
                <w:color w:val="auto"/>
              </w:rPr>
              <w:t>Appraised Value of Collateral</w:t>
            </w:r>
            <w:r>
              <w:rPr>
                <w:rFonts w:ascii="Arial" w:cs="Arial" w:eastAsia="Arial" w:hAnsi="Arial"/>
                <w:sz w:val="22"/>
                <w:szCs w:val="22"/>
                <w:color w:val="auto"/>
              </w:rPr>
              <w:t xml:space="preserve"> :</w:t>
            </w:r>
          </w:p>
        </w:tc>
        <w:tc>
          <w:tcPr>
            <w:tcW w:w="2240" w:type="dxa"/>
            <w:vAlign w:val="bottom"/>
            <w:tcBorders>
              <w:top w:val="single" w:sz="8" w:color="auto"/>
              <w:right w:val="single" w:sz="8" w:color="auto"/>
            </w:tcBorders>
          </w:tcPr>
          <w:p>
            <w:pPr>
              <w:jc w:val="right"/>
              <w:ind w:right="592"/>
              <w:spacing w:after="0"/>
              <w:rPr>
                <w:sz w:val="20"/>
                <w:szCs w:val="20"/>
                <w:color w:val="auto"/>
              </w:rPr>
            </w:pPr>
            <w:r>
              <w:rPr>
                <w:rFonts w:ascii="Arial" w:cs="Arial" w:eastAsia="Arial" w:hAnsi="Arial"/>
                <w:sz w:val="22"/>
                <w:szCs w:val="22"/>
                <w:color w:val="auto"/>
                <w:w w:val="88"/>
              </w:rPr>
              <w:t>$_____________</w:t>
            </w: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74"/>
        </w:trPr>
        <w:tc>
          <w:tcPr>
            <w:tcW w:w="9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b w:val="1"/>
                <w:bCs w:val="1"/>
                <w:color w:val="auto"/>
              </w:rPr>
              <w:t>Sum (without duplication) of the following</w:t>
            </w:r>
            <w:r>
              <w:rPr>
                <w:rFonts w:ascii="Arial" w:cs="Arial" w:eastAsia="Arial" w:hAnsi="Arial"/>
                <w:sz w:val="22"/>
                <w:szCs w:val="22"/>
                <w:color w:val="auto"/>
              </w:rPr>
              <w:t xml:space="preserve"> :</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84"/>
        </w:trPr>
        <w:tc>
          <w:tcPr>
            <w:tcW w:w="902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(a) [Reserved]</w:t>
            </w:r>
          </w:p>
        </w:tc>
        <w:tc>
          <w:tcPr>
            <w:tcW w:w="2240" w:type="dxa"/>
            <w:vAlign w:val="bottom"/>
            <w:tcBorders>
              <w:bottom w:val="single" w:sz="8" w:color="auto"/>
              <w:right w:val="single" w:sz="8" w:color="auto"/>
            </w:tcBorders>
          </w:tcPr>
          <w:p>
            <w:pPr>
              <w:spacing w:after="0"/>
              <w:rPr>
                <w:sz w:val="24"/>
                <w:szCs w:val="24"/>
                <w:color w:val="auto"/>
              </w:rPr>
            </w:pPr>
          </w:p>
        </w:tc>
      </w:tr>
      <w:tr>
        <w:trPr>
          <w:trHeight w:val="280"/>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i w:val="1"/>
                <w:iCs w:val="1"/>
                <w:color w:val="auto"/>
              </w:rPr>
              <w:t>plus</w:t>
            </w:r>
            <w:r>
              <w:rPr>
                <w:rFonts w:ascii="Arial" w:cs="Arial" w:eastAsia="Arial" w:hAnsi="Arial"/>
                <w:sz w:val="22"/>
                <w:szCs w:val="22"/>
                <w:color w:val="auto"/>
              </w:rPr>
              <w:t xml:space="preserve"> , the aggregate outstanding principal amount of all Term Loans</w:t>
            </w:r>
          </w:p>
        </w:tc>
        <w:tc>
          <w:tcPr>
            <w:tcW w:w="2240" w:type="dxa"/>
            <w:vAlign w:val="bottom"/>
            <w:tcBorders>
              <w:right w:val="single" w:sz="8" w:color="auto"/>
            </w:tcBorders>
          </w:tcPr>
          <w:p>
            <w:pPr>
              <w:jc w:val="right"/>
              <w:ind w:right="592"/>
              <w:spacing w:after="0"/>
              <w:rPr>
                <w:sz w:val="20"/>
                <w:szCs w:val="20"/>
                <w:color w:val="auto"/>
              </w:rPr>
            </w:pPr>
            <w:r>
              <w:rPr>
                <w:rFonts w:ascii="Arial" w:cs="Arial" w:eastAsia="Arial" w:hAnsi="Arial"/>
                <w:sz w:val="22"/>
                <w:szCs w:val="22"/>
                <w:color w:val="auto"/>
                <w:w w:val="88"/>
              </w:rPr>
              <w:t>$_____________</w:t>
            </w: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w w:val="94"/>
              </w:rPr>
              <w:t xml:space="preserve">(c) </w:t>
            </w:r>
            <w:r>
              <w:rPr>
                <w:rFonts w:ascii="Arial" w:cs="Arial" w:eastAsia="Arial" w:hAnsi="Arial"/>
                <w:sz w:val="22"/>
                <w:szCs w:val="22"/>
                <w:i w:val="1"/>
                <w:iCs w:val="1"/>
                <w:color w:val="auto"/>
                <w:w w:val="94"/>
              </w:rPr>
              <w:t>plus</w:t>
            </w:r>
            <w:r>
              <w:rPr>
                <w:rFonts w:ascii="Arial" w:cs="Arial" w:eastAsia="Arial" w:hAnsi="Arial"/>
                <w:sz w:val="22"/>
                <w:szCs w:val="22"/>
                <w:color w:val="auto"/>
                <w:w w:val="94"/>
              </w:rPr>
              <w:t xml:space="preserve"> , the aggregate outstanding principal amount of all Pari Passu Senior Secured Debt</w:t>
            </w:r>
          </w:p>
        </w:tc>
        <w:tc>
          <w:tcPr>
            <w:tcW w:w="2240" w:type="dxa"/>
            <w:vAlign w:val="bottom"/>
            <w:tcBorders>
              <w:right w:val="single" w:sz="8" w:color="auto"/>
            </w:tcBorders>
          </w:tcPr>
          <w:p>
            <w:pPr>
              <w:jc w:val="right"/>
              <w:ind w:right="592"/>
              <w:spacing w:after="0"/>
              <w:rPr>
                <w:sz w:val="20"/>
                <w:szCs w:val="20"/>
                <w:color w:val="auto"/>
              </w:rPr>
            </w:pPr>
            <w:r>
              <w:rPr>
                <w:rFonts w:ascii="Arial" w:cs="Arial" w:eastAsia="Arial" w:hAnsi="Arial"/>
                <w:sz w:val="22"/>
                <w:szCs w:val="22"/>
                <w:color w:val="auto"/>
                <w:w w:val="88"/>
              </w:rPr>
              <w:t>$_____________</w:t>
            </w: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9"/>
              </w:rPr>
              <w:t xml:space="preserve">(d) </w:t>
            </w:r>
            <w:r>
              <w:rPr>
                <w:rFonts w:ascii="Arial" w:cs="Arial" w:eastAsia="Arial" w:hAnsi="Arial"/>
                <w:sz w:val="22"/>
                <w:szCs w:val="22"/>
                <w:i w:val="1"/>
                <w:iCs w:val="1"/>
                <w:color w:val="auto"/>
                <w:w w:val="99"/>
              </w:rPr>
              <w:t>plus</w:t>
            </w:r>
            <w:r>
              <w:rPr>
                <w:rFonts w:ascii="Arial" w:cs="Arial" w:eastAsia="Arial" w:hAnsi="Arial"/>
                <w:sz w:val="22"/>
                <w:szCs w:val="22"/>
                <w:color w:val="auto"/>
                <w:w w:val="99"/>
              </w:rPr>
              <w:t xml:space="preserve"> , the aggregate outstanding amount of all Designated Hedging Obligations that</w:t>
            </w:r>
          </w:p>
        </w:tc>
        <w:tc>
          <w:tcPr>
            <w:tcW w:w="2240" w:type="dxa"/>
            <w:vAlign w:val="bottom"/>
            <w:tcBorders>
              <w:right w:val="single" w:sz="8" w:color="auto"/>
            </w:tcBorders>
          </w:tcPr>
          <w:p>
            <w:pPr>
              <w:jc w:val="right"/>
              <w:ind w:right="592"/>
              <w:spacing w:after="0" w:line="242" w:lineRule="exact"/>
              <w:rPr>
                <w:sz w:val="20"/>
                <w:szCs w:val="20"/>
                <w:color w:val="auto"/>
              </w:rPr>
            </w:pPr>
            <w:r>
              <w:rPr>
                <w:rFonts w:ascii="Arial" w:cs="Arial" w:eastAsia="Arial" w:hAnsi="Arial"/>
                <w:sz w:val="22"/>
                <w:szCs w:val="22"/>
                <w:color w:val="auto"/>
                <w:w w:val="88"/>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constitute “Obligations”</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0"/>
              </w:rPr>
              <w:t xml:space="preserve">(e) </w:t>
            </w:r>
            <w:r>
              <w:rPr>
                <w:rFonts w:ascii="Arial" w:cs="Arial" w:eastAsia="Arial" w:hAnsi="Arial"/>
                <w:sz w:val="22"/>
                <w:szCs w:val="22"/>
                <w:i w:val="1"/>
                <w:iCs w:val="1"/>
                <w:color w:val="auto"/>
                <w:w w:val="90"/>
              </w:rPr>
              <w:t>plus</w:t>
            </w:r>
            <w:r>
              <w:rPr>
                <w:rFonts w:ascii="Arial" w:cs="Arial" w:eastAsia="Arial" w:hAnsi="Arial"/>
                <w:sz w:val="22"/>
                <w:szCs w:val="22"/>
                <w:color w:val="auto"/>
                <w:w w:val="90"/>
              </w:rPr>
              <w:t xml:space="preserve"> , the aggregate outstanding amount of all Designated Banking Product Obligations that</w:t>
            </w:r>
          </w:p>
        </w:tc>
        <w:tc>
          <w:tcPr>
            <w:tcW w:w="2240" w:type="dxa"/>
            <w:vAlign w:val="bottom"/>
            <w:tcBorders>
              <w:right w:val="single" w:sz="8" w:color="auto"/>
            </w:tcBorders>
          </w:tcPr>
          <w:p>
            <w:pPr>
              <w:jc w:val="right"/>
              <w:ind w:right="592"/>
              <w:spacing w:after="0" w:line="242" w:lineRule="exact"/>
              <w:rPr>
                <w:sz w:val="20"/>
                <w:szCs w:val="20"/>
                <w:color w:val="auto"/>
              </w:rPr>
            </w:pPr>
            <w:r>
              <w:rPr>
                <w:rFonts w:ascii="Arial" w:cs="Arial" w:eastAsia="Arial" w:hAnsi="Arial"/>
                <w:sz w:val="22"/>
                <w:szCs w:val="22"/>
                <w:color w:val="auto"/>
                <w:w w:val="88"/>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constitute “Obligations”</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0"/>
              </w:rPr>
              <w:t xml:space="preserve">(f) </w:t>
            </w:r>
            <w:r>
              <w:rPr>
                <w:rFonts w:ascii="Arial" w:cs="Arial" w:eastAsia="Arial" w:hAnsi="Arial"/>
                <w:sz w:val="22"/>
                <w:szCs w:val="22"/>
                <w:i w:val="1"/>
                <w:iCs w:val="1"/>
                <w:color w:val="auto"/>
                <w:w w:val="90"/>
              </w:rPr>
              <w:t>plus</w:t>
            </w:r>
            <w:r>
              <w:rPr>
                <w:rFonts w:ascii="Arial" w:cs="Arial" w:eastAsia="Arial" w:hAnsi="Arial"/>
                <w:sz w:val="22"/>
                <w:szCs w:val="22"/>
                <w:color w:val="auto"/>
                <w:w w:val="90"/>
              </w:rPr>
              <w:t xml:space="preserve"> , the outstanding Total Revolving Extensions of Credit (other than LC Exposure that has</w:t>
            </w:r>
          </w:p>
        </w:tc>
        <w:tc>
          <w:tcPr>
            <w:tcW w:w="2240" w:type="dxa"/>
            <w:vAlign w:val="bottom"/>
            <w:tcBorders>
              <w:right w:val="single" w:sz="8" w:color="auto"/>
            </w:tcBorders>
          </w:tcPr>
          <w:p>
            <w:pPr>
              <w:jc w:val="right"/>
              <w:ind w:right="592"/>
              <w:spacing w:after="0" w:line="242" w:lineRule="exact"/>
              <w:rPr>
                <w:sz w:val="20"/>
                <w:szCs w:val="20"/>
                <w:color w:val="auto"/>
              </w:rPr>
            </w:pPr>
            <w:r>
              <w:rPr>
                <w:rFonts w:ascii="Arial" w:cs="Arial" w:eastAsia="Arial" w:hAnsi="Arial"/>
                <w:sz w:val="22"/>
                <w:szCs w:val="22"/>
                <w:color w:val="auto"/>
                <w:w w:val="88"/>
              </w:rPr>
              <w:t>$_____________</w:t>
            </w:r>
          </w:p>
        </w:tc>
      </w:tr>
      <w:tr>
        <w:trPr>
          <w:trHeight w:val="243"/>
        </w:trPr>
        <w:tc>
          <w:tcPr>
            <w:tcW w:w="9020" w:type="dxa"/>
            <w:vAlign w:val="bottom"/>
            <w:tcBorders>
              <w:left w:val="single" w:sz="8" w:color="auto"/>
              <w:right w:val="single" w:sz="8" w:color="auto"/>
            </w:tcBorders>
          </w:tcPr>
          <w:p>
            <w:pPr>
              <w:ind w:left="620"/>
              <w:spacing w:after="0" w:line="243" w:lineRule="exact"/>
              <w:rPr>
                <w:sz w:val="20"/>
                <w:szCs w:val="20"/>
                <w:color w:val="auto"/>
              </w:rPr>
            </w:pPr>
            <w:r>
              <w:rPr>
                <w:rFonts w:ascii="Arial" w:cs="Arial" w:eastAsia="Arial" w:hAnsi="Arial"/>
                <w:sz w:val="22"/>
                <w:szCs w:val="22"/>
                <w:color w:val="auto"/>
                <w:w w:val="91"/>
              </w:rPr>
              <w:t>been Cash Collateralized in accordance with Section 2.02(j) of the First Lien LHR Agreement)</w:t>
            </w:r>
          </w:p>
        </w:tc>
        <w:tc>
          <w:tcPr>
            <w:tcW w:w="2240" w:type="dxa"/>
            <w:vAlign w:val="bottom"/>
            <w:tcBorders>
              <w:right w:val="single" w:sz="8" w:color="auto"/>
            </w:tcBorders>
          </w:tcPr>
          <w:p>
            <w:pPr>
              <w:spacing w:after="0"/>
              <w:rPr>
                <w:sz w:val="21"/>
                <w:szCs w:val="21"/>
                <w:color w:val="auto"/>
              </w:rPr>
            </w:pP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under the First Lien LHR Agreement</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311"/>
        </w:trPr>
        <w:tc>
          <w:tcPr>
            <w:tcW w:w="90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63" w:right="319" w:bottom="1440" w:gutter="0" w:footer="0" w:header="0"/>
        </w:sectPr>
      </w:pPr>
    </w:p>
    <w:bookmarkStart w:id="555" w:name="page556"/>
    <w:bookmarkEnd w:id="555"/>
    <w:tbl>
      <w:tblPr>
        <w:tblLayout w:type="fixed"/>
        <w:tblInd w:w="10" w:type="dxa"/>
        <w:tblCellMar>
          <w:top w:w="0" w:type="dxa"/>
          <w:left w:w="0" w:type="dxa"/>
          <w:bottom w:w="0" w:type="dxa"/>
          <w:right w:w="0" w:type="dxa"/>
        </w:tblCellMar>
      </w:tblPr>
      <w:tr>
        <w:trPr>
          <w:trHeight w:val="262"/>
        </w:trPr>
        <w:tc>
          <w:tcPr>
            <w:tcW w:w="902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w w:val="94"/>
              </w:rPr>
              <w:t xml:space="preserve">(g) </w:t>
            </w:r>
            <w:r>
              <w:rPr>
                <w:rFonts w:ascii="Arial" w:cs="Arial" w:eastAsia="Arial" w:hAnsi="Arial"/>
                <w:sz w:val="22"/>
                <w:szCs w:val="22"/>
                <w:i w:val="1"/>
                <w:iCs w:val="1"/>
                <w:color w:val="auto"/>
                <w:w w:val="94"/>
              </w:rPr>
              <w:t>plus</w:t>
            </w:r>
            <w:r>
              <w:rPr>
                <w:rFonts w:ascii="Arial" w:cs="Arial" w:eastAsia="Arial" w:hAnsi="Arial"/>
                <w:sz w:val="22"/>
                <w:szCs w:val="22"/>
                <w:color w:val="auto"/>
                <w:w w:val="94"/>
              </w:rPr>
              <w:t xml:space="preserve"> , the aggregate outstanding principal amount of all Term Loans under the First Lien</w:t>
            </w:r>
          </w:p>
        </w:tc>
        <w:tc>
          <w:tcPr>
            <w:tcW w:w="22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LHR Agreement</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3"/>
              </w:rPr>
              <w:t xml:space="preserve">(h) </w:t>
            </w:r>
            <w:r>
              <w:rPr>
                <w:rFonts w:ascii="Arial" w:cs="Arial" w:eastAsia="Arial" w:hAnsi="Arial"/>
                <w:sz w:val="22"/>
                <w:szCs w:val="22"/>
                <w:i w:val="1"/>
                <w:iCs w:val="1"/>
                <w:color w:val="auto"/>
                <w:w w:val="93"/>
              </w:rPr>
              <w:t>plus</w:t>
            </w:r>
            <w:r>
              <w:rPr>
                <w:rFonts w:ascii="Arial" w:cs="Arial" w:eastAsia="Arial" w:hAnsi="Arial"/>
                <w:sz w:val="22"/>
                <w:szCs w:val="22"/>
                <w:color w:val="auto"/>
                <w:w w:val="93"/>
              </w:rPr>
              <w:t xml:space="preserve"> , the aggregate outstanding principal amount of all Pari Passu Senior Secured Debt</w:t>
            </w:r>
          </w:p>
        </w:tc>
        <w:tc>
          <w:tcPr>
            <w:tcW w:w="22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under the First Lien LHR Agreement</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9"/>
              </w:rPr>
              <w:t xml:space="preserve">(i) </w:t>
            </w:r>
            <w:r>
              <w:rPr>
                <w:rFonts w:ascii="Arial" w:cs="Arial" w:eastAsia="Arial" w:hAnsi="Arial"/>
                <w:sz w:val="22"/>
                <w:szCs w:val="22"/>
                <w:i w:val="1"/>
                <w:iCs w:val="1"/>
                <w:color w:val="auto"/>
                <w:w w:val="99"/>
              </w:rPr>
              <w:t>plus</w:t>
            </w:r>
            <w:r>
              <w:rPr>
                <w:rFonts w:ascii="Arial" w:cs="Arial" w:eastAsia="Arial" w:hAnsi="Arial"/>
                <w:sz w:val="22"/>
                <w:szCs w:val="22"/>
                <w:color w:val="auto"/>
                <w:w w:val="99"/>
              </w:rPr>
              <w:t xml:space="preserve"> , the aggregate outstanding amount of all Designated Hedging Obligations that</w:t>
            </w:r>
          </w:p>
        </w:tc>
        <w:tc>
          <w:tcPr>
            <w:tcW w:w="22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constitute “Obligations” under the First Lien LHR Agreement</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42"/>
        </w:trPr>
        <w:tc>
          <w:tcPr>
            <w:tcW w:w="9020" w:type="dxa"/>
            <w:vAlign w:val="bottom"/>
            <w:tcBorders>
              <w:left w:val="single" w:sz="8" w:color="auto"/>
              <w:right w:val="single" w:sz="8" w:color="auto"/>
            </w:tcBorders>
          </w:tcPr>
          <w:p>
            <w:pPr>
              <w:ind w:left="620"/>
              <w:spacing w:after="0" w:line="242" w:lineRule="exact"/>
              <w:rPr>
                <w:sz w:val="20"/>
                <w:szCs w:val="20"/>
                <w:color w:val="auto"/>
              </w:rPr>
            </w:pPr>
            <w:r>
              <w:rPr>
                <w:rFonts w:ascii="Arial" w:cs="Arial" w:eastAsia="Arial" w:hAnsi="Arial"/>
                <w:sz w:val="22"/>
                <w:szCs w:val="22"/>
                <w:color w:val="auto"/>
                <w:w w:val="91"/>
              </w:rPr>
              <w:t xml:space="preserve">(j) </w:t>
            </w:r>
            <w:r>
              <w:rPr>
                <w:rFonts w:ascii="Arial" w:cs="Arial" w:eastAsia="Arial" w:hAnsi="Arial"/>
                <w:sz w:val="22"/>
                <w:szCs w:val="22"/>
                <w:i w:val="1"/>
                <w:iCs w:val="1"/>
                <w:color w:val="auto"/>
                <w:w w:val="91"/>
              </w:rPr>
              <w:t>plus</w:t>
            </w:r>
            <w:r>
              <w:rPr>
                <w:rFonts w:ascii="Arial" w:cs="Arial" w:eastAsia="Arial" w:hAnsi="Arial"/>
                <w:sz w:val="22"/>
                <w:szCs w:val="22"/>
                <w:color w:val="auto"/>
                <w:w w:val="91"/>
              </w:rPr>
              <w:t xml:space="preserve"> , the aggregate outstanding amount of all Designated Banking Product Obligations that</w:t>
            </w:r>
          </w:p>
        </w:tc>
        <w:tc>
          <w:tcPr>
            <w:tcW w:w="2240" w:type="dxa"/>
            <w:vAlign w:val="bottom"/>
            <w:tcBorders>
              <w:right w:val="single" w:sz="8" w:color="auto"/>
            </w:tcBorders>
          </w:tcPr>
          <w:p>
            <w:pPr>
              <w:ind w:left="20"/>
              <w:spacing w:after="0" w:line="242" w:lineRule="exact"/>
              <w:rPr>
                <w:sz w:val="20"/>
                <w:szCs w:val="20"/>
                <w:color w:val="auto"/>
              </w:rPr>
            </w:pPr>
            <w:r>
              <w:rPr>
                <w:rFonts w:ascii="Arial" w:cs="Arial" w:eastAsia="Arial" w:hAnsi="Arial"/>
                <w:sz w:val="22"/>
                <w:szCs w:val="22"/>
                <w:color w:val="auto"/>
              </w:rPr>
              <w:t>$_____________</w:t>
            </w:r>
          </w:p>
        </w:tc>
      </w:tr>
      <w:tr>
        <w:trPr>
          <w:trHeight w:val="274"/>
        </w:trPr>
        <w:tc>
          <w:tcPr>
            <w:tcW w:w="90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constitute “Obligations” under the First Lien LHR Agreement</w:t>
            </w:r>
          </w:p>
        </w:tc>
        <w:tc>
          <w:tcPr>
            <w:tcW w:w="2240" w:type="dxa"/>
            <w:vAlign w:val="bottom"/>
            <w:tcBorders>
              <w:right w:val="single" w:sz="8" w:color="auto"/>
            </w:tcBorders>
          </w:tcPr>
          <w:p>
            <w:pPr>
              <w:spacing w:after="0"/>
              <w:rPr>
                <w:sz w:val="23"/>
                <w:szCs w:val="23"/>
                <w:color w:val="auto"/>
              </w:rPr>
            </w:pPr>
          </w:p>
        </w:tc>
      </w:tr>
      <w:tr>
        <w:trPr>
          <w:trHeight w:val="233"/>
        </w:trPr>
        <w:tc>
          <w:tcPr>
            <w:tcW w:w="90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84"/>
        </w:trPr>
        <w:tc>
          <w:tcPr>
            <w:tcW w:w="9020" w:type="dxa"/>
            <w:vAlign w:val="bottom"/>
            <w:tcBorders>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22"/>
                <w:szCs w:val="22"/>
                <w:color w:val="auto"/>
              </w:rPr>
              <w:t>Total Obligations (sum of lines (a), (b), (c), (d), (e), (f), (g), (h), (i) and (j))</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r>
        <w:trPr>
          <w:trHeight w:val="291"/>
        </w:trPr>
        <w:tc>
          <w:tcPr>
            <w:tcW w:w="90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Ratio of (1) to (2):</w:t>
            </w:r>
          </w:p>
        </w:tc>
        <w:tc>
          <w:tcPr>
            <w:tcW w:w="2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_____________</w:t>
            </w:r>
          </w:p>
        </w:tc>
      </w:tr>
      <w:tr>
        <w:trPr>
          <w:trHeight w:val="533"/>
        </w:trPr>
        <w:tc>
          <w:tcPr>
            <w:tcW w:w="90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6" w:right="319" w:bottom="1440" w:gutter="0" w:footer="0" w:header="0"/>
        </w:sectPr>
      </w:pPr>
    </w:p>
    <w:bookmarkStart w:id="556" w:name="page557"/>
    <w:bookmarkEnd w:id="556"/>
    <w:p>
      <w:pPr>
        <w:jc w:val="right"/>
        <w:spacing w:after="0"/>
        <w:rPr>
          <w:sz w:val="20"/>
          <w:szCs w:val="20"/>
          <w:color w:val="auto"/>
        </w:rPr>
      </w:pPr>
      <w:r>
        <w:rPr>
          <w:rFonts w:ascii="Arial" w:cs="Arial" w:eastAsia="Arial" w:hAnsi="Arial"/>
          <w:sz w:val="22"/>
          <w:szCs w:val="22"/>
          <w:color w:val="auto"/>
        </w:rPr>
        <w:t>EXHIBIT I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Form of Intercreditor Agreement</w:t>
      </w:r>
    </w:p>
    <w:p>
      <w:pPr>
        <w:spacing w:after="0" w:line="200" w:lineRule="exact"/>
        <w:rPr>
          <w:sz w:val="20"/>
          <w:szCs w:val="20"/>
          <w:color w:val="auto"/>
        </w:rPr>
      </w:pPr>
    </w:p>
    <w:p>
      <w:pPr>
        <w:spacing w:after="0" w:line="236"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341630</wp:posOffset>
            </wp:positionV>
            <wp:extent cx="7132320"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557" w:name="page558"/>
    <w:bookmarkEnd w:id="557"/>
    <w:p>
      <w:pPr>
        <w:jc w:val="right"/>
        <w:spacing w:after="0"/>
        <w:rPr>
          <w:sz w:val="20"/>
          <w:szCs w:val="20"/>
          <w:color w:val="auto"/>
        </w:rPr>
      </w:pPr>
      <w:r>
        <w:rPr>
          <w:rFonts w:ascii="Arial" w:cs="Arial" w:eastAsia="Arial" w:hAnsi="Arial"/>
          <w:sz w:val="22"/>
          <w:szCs w:val="22"/>
          <w:color w:val="auto"/>
        </w:rPr>
        <w:t>EXHIBIT I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AND GUARANTY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[Form of]</w:t>
      </w:r>
    </w:p>
    <w:p>
      <w:pPr>
        <w:spacing w:after="0" w:line="2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INTERCREDITOR AGREEMENT</w:t>
      </w:r>
    </w:p>
    <w:p>
      <w:pPr>
        <w:spacing w:after="0" w:line="200" w:lineRule="exact"/>
        <w:rPr>
          <w:sz w:val="20"/>
          <w:szCs w:val="20"/>
          <w:color w:val="auto"/>
        </w:rPr>
      </w:pPr>
    </w:p>
    <w:p>
      <w:pPr>
        <w:spacing w:after="0" w:line="236" w:lineRule="exact"/>
        <w:rPr>
          <w:sz w:val="20"/>
          <w:szCs w:val="20"/>
          <w:color w:val="auto"/>
        </w:rPr>
      </w:pPr>
    </w:p>
    <w:p>
      <w:pPr>
        <w:ind w:left="3780"/>
        <w:spacing w:after="0"/>
        <w:tabs>
          <w:tab w:leader="none" w:pos="5140" w:val="left"/>
        </w:tabs>
        <w:rPr>
          <w:sz w:val="20"/>
          <w:szCs w:val="20"/>
          <w:color w:val="auto"/>
        </w:rPr>
      </w:pPr>
      <w:r>
        <w:rPr>
          <w:rFonts w:ascii="Arial" w:cs="Arial" w:eastAsia="Arial" w:hAnsi="Arial"/>
          <w:sz w:val="22"/>
          <w:szCs w:val="22"/>
          <w:b w:val="1"/>
          <w:bCs w:val="1"/>
          <w:color w:val="auto"/>
        </w:rPr>
        <w:t xml:space="preserve">dated as of </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40" w:hanging="343"/>
        <w:spacing w:after="0"/>
        <w:tabs>
          <w:tab w:leader="none" w:pos="4640" w:val="left"/>
        </w:tabs>
        <w:numPr>
          <w:ilvl w:val="0"/>
          <w:numId w:val="721"/>
        </w:numPr>
        <w:rPr>
          <w:rFonts w:ascii="Arial" w:cs="Arial" w:eastAsia="Arial" w:hAnsi="Arial"/>
          <w:sz w:val="22"/>
          <w:szCs w:val="22"/>
          <w:color w:val="auto"/>
        </w:rPr>
      </w:pPr>
      <w:r>
        <w:rPr>
          <w:rFonts w:ascii="Arial" w:cs="Arial" w:eastAsia="Arial" w:hAnsi="Arial"/>
          <w:sz w:val="22"/>
          <w:szCs w:val="22"/>
          <w:color w:val="auto"/>
        </w:rPr>
        <w:t>]</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as Original First Lien Agent,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40" w:hanging="343"/>
        <w:spacing w:after="0"/>
        <w:tabs>
          <w:tab w:leader="none" w:pos="4640" w:val="left"/>
        </w:tabs>
        <w:numPr>
          <w:ilvl w:val="0"/>
          <w:numId w:val="722"/>
        </w:numPr>
        <w:rPr>
          <w:rFonts w:ascii="Arial" w:cs="Arial" w:eastAsia="Arial" w:hAnsi="Arial"/>
          <w:sz w:val="22"/>
          <w:szCs w:val="22"/>
          <w:color w:val="auto"/>
        </w:rPr>
      </w:pPr>
      <w:r>
        <w:rPr>
          <w:rFonts w:ascii="Arial" w:cs="Arial" w:eastAsia="Arial" w:hAnsi="Arial"/>
          <w:sz w:val="22"/>
          <w:szCs w:val="22"/>
          <w:color w:val="auto"/>
        </w:rPr>
        <w:t>]</w:t>
      </w:r>
    </w:p>
    <w:p>
      <w:pPr>
        <w:spacing w:after="0" w:line="5" w:lineRule="exact"/>
        <w:rPr>
          <w:sz w:val="20"/>
          <w:szCs w:val="20"/>
          <w:color w:val="auto"/>
        </w:rPr>
      </w:pPr>
    </w:p>
    <w:p>
      <w:pPr>
        <w:ind w:left="2840"/>
        <w:spacing w:after="0"/>
        <w:tabs>
          <w:tab w:leader="none" w:pos="3400" w:val="left"/>
        </w:tabs>
        <w:rPr>
          <w:sz w:val="20"/>
          <w:szCs w:val="20"/>
          <w:color w:val="auto"/>
        </w:rPr>
      </w:pPr>
      <w:r>
        <w:rPr>
          <w:rFonts w:ascii="Arial" w:cs="Arial" w:eastAsia="Arial" w:hAnsi="Arial"/>
          <w:sz w:val="22"/>
          <w:szCs w:val="22"/>
          <w:b w:val="1"/>
          <w:bCs w:val="1"/>
          <w:color w:val="auto"/>
        </w:rPr>
        <w:t xml:space="preserve">as </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xml:space="preserve">]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w:t>
      </w:r>
      <w:r>
        <w:rPr>
          <w:rFonts w:ascii="Arial" w:cs="Arial" w:eastAsia="Arial" w:hAnsi="Arial"/>
          <w:sz w:val="19"/>
          <w:szCs w:val="19"/>
          <w:b w:val="1"/>
          <w:bCs w:val="1"/>
          <w:color w:val="auto"/>
        </w:rPr>
        <w:t>[First/Second</w:t>
      </w:r>
      <w:r>
        <w:rPr>
          <w:rFonts w:ascii="Arial" w:cs="Arial" w:eastAsia="Arial" w:hAnsi="Arial"/>
          <w:sz w:val="19"/>
          <w:szCs w:val="19"/>
          <w:color w:val="auto"/>
        </w:rPr>
        <w:t xml:space="preserve"> ]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w:t>
      </w:r>
      <w:r>
        <w:rPr>
          <w:rFonts w:ascii="Arial" w:cs="Arial" w:eastAsia="Arial" w:hAnsi="Arial"/>
          <w:sz w:val="19"/>
          <w:szCs w:val="19"/>
          <w:b w:val="1"/>
          <w:bCs w:val="1"/>
          <w:color w:val="auto"/>
        </w:rPr>
        <w:t>Lien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756285</wp:posOffset>
            </wp:positionV>
            <wp:extent cx="7132320"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558" w:name="page559"/>
    <w:bookmarkEnd w:id="558"/>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Page</w:t>
      </w:r>
    </w:p>
    <w:p>
      <w:pPr>
        <w:spacing w:after="0" w:line="374" w:lineRule="exact"/>
        <w:rPr>
          <w:sz w:val="20"/>
          <w:szCs w:val="20"/>
          <w:color w:val="auto"/>
        </w:rPr>
      </w:pPr>
    </w:p>
    <w:p>
      <w:pPr>
        <w:spacing w:after="0"/>
        <w:tabs>
          <w:tab w:leader="dot" w:pos="8200" w:val="left"/>
        </w:tabs>
        <w:rPr>
          <w:sz w:val="20"/>
          <w:szCs w:val="20"/>
          <w:color w:val="auto"/>
        </w:rPr>
      </w:pPr>
      <w:r>
        <w:rPr>
          <w:rFonts w:ascii="Arial" w:cs="Arial" w:eastAsia="Arial" w:hAnsi="Arial"/>
          <w:sz w:val="22"/>
          <w:szCs w:val="22"/>
          <w:color w:val="auto"/>
        </w:rPr>
        <w:t>Article I. DEFINITIONS</w:t>
      </w:r>
      <w:r>
        <w:rPr>
          <w:sz w:val="20"/>
          <w:szCs w:val="20"/>
          <w:color w:val="auto"/>
        </w:rPr>
        <w:tab/>
      </w:r>
      <w:r>
        <w:rPr>
          <w:rFonts w:ascii="Arial" w:cs="Arial" w:eastAsia="Arial" w:hAnsi="Arial"/>
          <w:sz w:val="17"/>
          <w:szCs w:val="17"/>
          <w:color w:val="auto"/>
        </w:rPr>
        <w:t>2</w:t>
      </w:r>
    </w:p>
    <w:p>
      <w:pPr>
        <w:spacing w:after="0" w:line="368" w:lineRule="exact"/>
        <w:rPr>
          <w:sz w:val="20"/>
          <w:szCs w:val="20"/>
          <w:color w:val="auto"/>
        </w:rPr>
      </w:pPr>
    </w:p>
    <w:p>
      <w:pPr>
        <w:spacing w:after="0"/>
        <w:tabs>
          <w:tab w:leader="none" w:pos="2220" w:val="left"/>
          <w:tab w:leader="dot" w:pos="878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22"/>
          <w:szCs w:val="22"/>
          <w:color w:val="auto"/>
        </w:rPr>
        <w:t>UCC Definitions</w:t>
      </w:r>
      <w:r>
        <w:rPr>
          <w:sz w:val="20"/>
          <w:szCs w:val="20"/>
          <w:color w:val="auto"/>
        </w:rPr>
        <w:tab/>
      </w:r>
      <w:r>
        <w:rPr>
          <w:rFonts w:ascii="Arial" w:cs="Arial" w:eastAsia="Arial" w:hAnsi="Arial"/>
          <w:sz w:val="17"/>
          <w:szCs w:val="17"/>
          <w:color w:val="auto"/>
        </w:rPr>
        <w:t>2</w:t>
      </w:r>
    </w:p>
    <w:p>
      <w:pPr>
        <w:spacing w:after="0" w:line="44" w:lineRule="exact"/>
        <w:rPr>
          <w:sz w:val="20"/>
          <w:szCs w:val="20"/>
          <w:color w:val="auto"/>
        </w:rPr>
      </w:pPr>
    </w:p>
    <w:p>
      <w:pPr>
        <w:spacing w:after="0"/>
        <w:tabs>
          <w:tab w:leader="none" w:pos="2220" w:val="left"/>
          <w:tab w:leader="dot" w:pos="87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22"/>
          <w:szCs w:val="22"/>
          <w:color w:val="auto"/>
        </w:rPr>
        <w:t>Other Definitions</w:t>
      </w:r>
      <w:r>
        <w:rPr>
          <w:sz w:val="20"/>
          <w:szCs w:val="20"/>
          <w:color w:val="auto"/>
        </w:rPr>
        <w:tab/>
      </w:r>
      <w:r>
        <w:rPr>
          <w:rFonts w:ascii="Arial" w:cs="Arial" w:eastAsia="Arial" w:hAnsi="Arial"/>
          <w:sz w:val="21"/>
          <w:szCs w:val="21"/>
          <w:color w:val="auto"/>
        </w:rPr>
        <w:t>2</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22"/>
          <w:szCs w:val="22"/>
          <w:color w:val="auto"/>
        </w:rPr>
        <w:t>Rules of Construction</w:t>
      </w:r>
      <w:r>
        <w:rPr>
          <w:sz w:val="20"/>
          <w:szCs w:val="20"/>
          <w:color w:val="auto"/>
        </w:rPr>
        <w:tab/>
      </w:r>
      <w:r>
        <w:rPr>
          <w:rFonts w:ascii="Arial" w:cs="Arial" w:eastAsia="Arial" w:hAnsi="Arial"/>
          <w:sz w:val="19"/>
          <w:szCs w:val="19"/>
          <w:color w:val="auto"/>
        </w:rPr>
        <w:t>24</w:t>
      </w:r>
    </w:p>
    <w:p>
      <w:pPr>
        <w:spacing w:after="0" w:line="395" w:lineRule="exact"/>
        <w:rPr>
          <w:sz w:val="20"/>
          <w:szCs w:val="20"/>
          <w:color w:val="auto"/>
        </w:rPr>
      </w:pPr>
    </w:p>
    <w:p>
      <w:pPr>
        <w:spacing w:after="0"/>
        <w:tabs>
          <w:tab w:leader="dot" w:pos="8120" w:val="left"/>
        </w:tabs>
        <w:rPr>
          <w:sz w:val="20"/>
          <w:szCs w:val="20"/>
          <w:color w:val="auto"/>
        </w:rPr>
      </w:pPr>
      <w:r>
        <w:rPr>
          <w:rFonts w:ascii="Arial" w:cs="Arial" w:eastAsia="Arial" w:hAnsi="Arial"/>
          <w:sz w:val="22"/>
          <w:szCs w:val="22"/>
          <w:color w:val="auto"/>
        </w:rPr>
        <w:t>Article II. LIEN PRIORITY</w:t>
      </w:r>
      <w:r>
        <w:rPr>
          <w:sz w:val="20"/>
          <w:szCs w:val="20"/>
          <w:color w:val="auto"/>
        </w:rPr>
        <w:tab/>
      </w:r>
      <w:r>
        <w:rPr>
          <w:rFonts w:ascii="Arial" w:cs="Arial" w:eastAsia="Arial" w:hAnsi="Arial"/>
          <w:sz w:val="19"/>
          <w:szCs w:val="19"/>
          <w:color w:val="auto"/>
        </w:rPr>
        <w:t>24</w:t>
      </w:r>
    </w:p>
    <w:p>
      <w:pPr>
        <w:spacing w:after="0" w:line="368"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22"/>
          <w:szCs w:val="22"/>
          <w:color w:val="auto"/>
        </w:rPr>
        <w:t>Lien Priority</w:t>
      </w:r>
      <w:r>
        <w:rPr>
          <w:sz w:val="20"/>
          <w:szCs w:val="20"/>
          <w:color w:val="auto"/>
        </w:rPr>
        <w:tab/>
      </w:r>
      <w:r>
        <w:rPr>
          <w:rFonts w:ascii="Arial" w:cs="Arial" w:eastAsia="Arial" w:hAnsi="Arial"/>
          <w:sz w:val="17"/>
          <w:szCs w:val="17"/>
          <w:color w:val="auto"/>
        </w:rPr>
        <w:t>24</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22"/>
          <w:szCs w:val="22"/>
          <w:color w:val="auto"/>
        </w:rPr>
        <w:t>Waiver of Right to Contest Liens</w:t>
      </w:r>
      <w:r>
        <w:rPr>
          <w:sz w:val="20"/>
          <w:szCs w:val="20"/>
          <w:color w:val="auto"/>
        </w:rPr>
        <w:tab/>
      </w:r>
      <w:r>
        <w:rPr>
          <w:rFonts w:ascii="Arial" w:cs="Arial" w:eastAsia="Arial" w:hAnsi="Arial"/>
          <w:sz w:val="19"/>
          <w:szCs w:val="19"/>
          <w:color w:val="auto"/>
        </w:rPr>
        <w:t>28</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22"/>
          <w:szCs w:val="22"/>
          <w:color w:val="auto"/>
        </w:rPr>
        <w:t>Remedies Standstill</w:t>
      </w:r>
      <w:r>
        <w:rPr>
          <w:sz w:val="20"/>
          <w:szCs w:val="20"/>
          <w:color w:val="auto"/>
        </w:rPr>
        <w:tab/>
      </w:r>
      <w:r>
        <w:rPr>
          <w:rFonts w:ascii="Arial" w:cs="Arial" w:eastAsia="Arial" w:hAnsi="Arial"/>
          <w:sz w:val="19"/>
          <w:szCs w:val="19"/>
          <w:color w:val="auto"/>
        </w:rPr>
        <w:t>30</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22"/>
          <w:szCs w:val="22"/>
          <w:color w:val="auto"/>
        </w:rPr>
        <w:t>Exercise of Rights</w:t>
      </w:r>
      <w:r>
        <w:rPr>
          <w:sz w:val="20"/>
          <w:szCs w:val="20"/>
          <w:color w:val="auto"/>
        </w:rPr>
        <w:tab/>
      </w:r>
      <w:r>
        <w:rPr>
          <w:rFonts w:ascii="Arial" w:cs="Arial" w:eastAsia="Arial" w:hAnsi="Arial"/>
          <w:sz w:val="19"/>
          <w:szCs w:val="19"/>
          <w:color w:val="auto"/>
        </w:rPr>
        <w:t>33</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22"/>
          <w:szCs w:val="22"/>
          <w:color w:val="auto"/>
        </w:rPr>
        <w:t>No New Liens</w:t>
      </w:r>
      <w:r>
        <w:rPr>
          <w:sz w:val="20"/>
          <w:szCs w:val="20"/>
          <w:color w:val="auto"/>
        </w:rPr>
        <w:tab/>
      </w:r>
      <w:r>
        <w:rPr>
          <w:rFonts w:ascii="Arial" w:cs="Arial" w:eastAsia="Arial" w:hAnsi="Arial"/>
          <w:sz w:val="19"/>
          <w:szCs w:val="19"/>
          <w:color w:val="auto"/>
        </w:rPr>
        <w:t>35</w:t>
      </w:r>
    </w:p>
    <w:p>
      <w:pPr>
        <w:spacing w:after="0" w:line="44" w:lineRule="exact"/>
        <w:rPr>
          <w:sz w:val="20"/>
          <w:szCs w:val="20"/>
          <w:color w:val="auto"/>
        </w:rPr>
      </w:pPr>
    </w:p>
    <w:p>
      <w:pPr>
        <w:spacing w:after="0"/>
        <w:tabs>
          <w:tab w:leader="none" w:pos="2220" w:val="left"/>
          <w:tab w:leader="dot" w:pos="872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22"/>
          <w:szCs w:val="22"/>
          <w:color w:val="auto"/>
        </w:rPr>
        <w:t>Waiver of Marshalling</w:t>
      </w:r>
      <w:r>
        <w:rPr>
          <w:sz w:val="20"/>
          <w:szCs w:val="20"/>
          <w:color w:val="auto"/>
        </w:rPr>
        <w:tab/>
      </w:r>
      <w:r>
        <w:rPr>
          <w:rFonts w:ascii="Arial" w:cs="Arial" w:eastAsia="Arial" w:hAnsi="Arial"/>
          <w:sz w:val="19"/>
          <w:szCs w:val="19"/>
          <w:color w:val="auto"/>
        </w:rPr>
        <w:t>37</w:t>
      </w:r>
    </w:p>
    <w:p>
      <w:pPr>
        <w:spacing w:after="0" w:line="395" w:lineRule="exact"/>
        <w:rPr>
          <w:sz w:val="20"/>
          <w:szCs w:val="20"/>
          <w:color w:val="auto"/>
        </w:rPr>
      </w:pPr>
    </w:p>
    <w:p>
      <w:pPr>
        <w:spacing w:after="0"/>
        <w:tabs>
          <w:tab w:leader="dot" w:pos="8180" w:val="left"/>
        </w:tabs>
        <w:rPr>
          <w:sz w:val="20"/>
          <w:szCs w:val="20"/>
          <w:color w:val="auto"/>
        </w:rPr>
      </w:pPr>
      <w:r>
        <w:rPr>
          <w:rFonts w:ascii="Arial" w:cs="Arial" w:eastAsia="Arial" w:hAnsi="Arial"/>
          <w:sz w:val="22"/>
          <w:szCs w:val="22"/>
          <w:color w:val="auto"/>
        </w:rPr>
        <w:t>Article III. ACTIONS OF THE PARTIES</w:t>
      </w:r>
      <w:r>
        <w:rPr>
          <w:sz w:val="20"/>
          <w:szCs w:val="20"/>
          <w:color w:val="auto"/>
        </w:rPr>
        <w:tab/>
      </w:r>
      <w:r>
        <w:rPr>
          <w:rFonts w:ascii="Arial" w:cs="Arial" w:eastAsia="Arial" w:hAnsi="Arial"/>
          <w:sz w:val="19"/>
          <w:szCs w:val="19"/>
          <w:color w:val="auto"/>
        </w:rPr>
        <w:t>37</w:t>
      </w:r>
    </w:p>
    <w:p>
      <w:pPr>
        <w:spacing w:after="0" w:line="368" w:lineRule="exact"/>
        <w:rPr>
          <w:sz w:val="20"/>
          <w:szCs w:val="20"/>
          <w:color w:val="auto"/>
        </w:rPr>
      </w:pPr>
    </w:p>
    <w:p>
      <w:pPr>
        <w:spacing w:after="0"/>
        <w:tabs>
          <w:tab w:leader="none" w:pos="2220" w:val="left"/>
          <w:tab w:leader="dot" w:pos="87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22"/>
          <w:szCs w:val="22"/>
          <w:color w:val="auto"/>
        </w:rPr>
        <w:t>Sharing of Information and Access</w:t>
      </w:r>
      <w:r>
        <w:rPr>
          <w:sz w:val="20"/>
          <w:szCs w:val="20"/>
          <w:color w:val="auto"/>
        </w:rPr>
        <w:tab/>
      </w:r>
      <w:r>
        <w:rPr>
          <w:rFonts w:ascii="Arial" w:cs="Arial" w:eastAsia="Arial" w:hAnsi="Arial"/>
          <w:sz w:val="19"/>
          <w:szCs w:val="19"/>
          <w:color w:val="auto"/>
        </w:rPr>
        <w:t>38</w:t>
      </w:r>
    </w:p>
    <w:p>
      <w:pPr>
        <w:spacing w:after="0" w:line="44" w:lineRule="exact"/>
        <w:rPr>
          <w:sz w:val="20"/>
          <w:szCs w:val="20"/>
          <w:color w:val="auto"/>
        </w:rPr>
      </w:pPr>
    </w:p>
    <w:p>
      <w:pPr>
        <w:spacing w:after="0"/>
        <w:tabs>
          <w:tab w:leader="none" w:pos="2220" w:val="left"/>
          <w:tab w:leader="dot" w:pos="864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22"/>
          <w:szCs w:val="22"/>
          <w:color w:val="auto"/>
        </w:rPr>
        <w:t>Insurance</w:t>
      </w:r>
      <w:r>
        <w:rPr>
          <w:sz w:val="20"/>
          <w:szCs w:val="20"/>
          <w:color w:val="auto"/>
        </w:rPr>
        <w:tab/>
      </w:r>
      <w:r>
        <w:rPr>
          <w:rFonts w:ascii="Arial" w:cs="Arial" w:eastAsia="Arial" w:hAnsi="Arial"/>
          <w:sz w:val="17"/>
          <w:szCs w:val="17"/>
          <w:color w:val="auto"/>
        </w:rPr>
        <w:t>38</w:t>
      </w:r>
    </w:p>
    <w:p>
      <w:pPr>
        <w:spacing w:after="0" w:line="44" w:lineRule="exact"/>
        <w:rPr>
          <w:sz w:val="20"/>
          <w:szCs w:val="20"/>
          <w:color w:val="auto"/>
        </w:rPr>
      </w:pPr>
    </w:p>
    <w:p>
      <w:pPr>
        <w:spacing w:after="0"/>
        <w:tabs>
          <w:tab w:leader="none" w:pos="2220" w:val="left"/>
          <w:tab w:leader="dot" w:pos="87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22"/>
          <w:szCs w:val="22"/>
          <w:color w:val="auto"/>
        </w:rPr>
        <w:t>No Additional Rights for the Loan Parties Hereunder</w:t>
      </w:r>
      <w:r>
        <w:rPr>
          <w:sz w:val="20"/>
          <w:szCs w:val="20"/>
          <w:color w:val="auto"/>
        </w:rPr>
        <w:tab/>
      </w:r>
      <w:r>
        <w:rPr>
          <w:rFonts w:ascii="Arial" w:cs="Arial" w:eastAsia="Arial" w:hAnsi="Arial"/>
          <w:sz w:val="17"/>
          <w:szCs w:val="17"/>
          <w:color w:val="auto"/>
        </w:rPr>
        <w:t>38</w:t>
      </w:r>
    </w:p>
    <w:p>
      <w:pPr>
        <w:spacing w:after="0" w:line="395" w:lineRule="exact"/>
        <w:rPr>
          <w:sz w:val="20"/>
          <w:szCs w:val="20"/>
          <w:color w:val="auto"/>
        </w:rPr>
      </w:pPr>
    </w:p>
    <w:p>
      <w:pPr>
        <w:spacing w:after="0"/>
        <w:tabs>
          <w:tab w:leader="dot" w:pos="8160" w:val="left"/>
        </w:tabs>
        <w:rPr>
          <w:sz w:val="20"/>
          <w:szCs w:val="20"/>
          <w:color w:val="auto"/>
        </w:rPr>
      </w:pPr>
      <w:r>
        <w:rPr>
          <w:rFonts w:ascii="Arial" w:cs="Arial" w:eastAsia="Arial" w:hAnsi="Arial"/>
          <w:sz w:val="22"/>
          <w:szCs w:val="22"/>
          <w:color w:val="auto"/>
        </w:rPr>
        <w:t>Article VI. APPLICATION OF PROCEEDS</w:t>
      </w:r>
      <w:r>
        <w:rPr>
          <w:sz w:val="20"/>
          <w:szCs w:val="20"/>
          <w:color w:val="auto"/>
        </w:rPr>
        <w:tab/>
      </w:r>
      <w:r>
        <w:rPr>
          <w:rFonts w:ascii="Arial" w:cs="Arial" w:eastAsia="Arial" w:hAnsi="Arial"/>
          <w:sz w:val="19"/>
          <w:szCs w:val="19"/>
          <w:color w:val="auto"/>
        </w:rPr>
        <w:t>38</w:t>
      </w:r>
    </w:p>
    <w:p>
      <w:pPr>
        <w:spacing w:after="0" w:line="368"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22"/>
          <w:szCs w:val="22"/>
          <w:color w:val="auto"/>
        </w:rPr>
        <w:t>Application of Proceeds</w:t>
      </w:r>
      <w:r>
        <w:rPr>
          <w:sz w:val="20"/>
          <w:szCs w:val="20"/>
          <w:color w:val="auto"/>
        </w:rPr>
        <w:tab/>
      </w:r>
      <w:r>
        <w:rPr>
          <w:rFonts w:ascii="Arial" w:cs="Arial" w:eastAsia="Arial" w:hAnsi="Arial"/>
          <w:sz w:val="17"/>
          <w:szCs w:val="17"/>
          <w:color w:val="auto"/>
        </w:rPr>
        <w:t>38</w:t>
      </w:r>
    </w:p>
    <w:p>
      <w:pPr>
        <w:spacing w:after="0" w:line="44" w:lineRule="exact"/>
        <w:rPr>
          <w:sz w:val="20"/>
          <w:szCs w:val="20"/>
          <w:color w:val="auto"/>
        </w:rPr>
      </w:pPr>
    </w:p>
    <w:p>
      <w:pPr>
        <w:spacing w:after="0"/>
        <w:tabs>
          <w:tab w:leader="none" w:pos="2220" w:val="left"/>
          <w:tab w:leader="dot" w:pos="878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22"/>
          <w:szCs w:val="22"/>
          <w:color w:val="auto"/>
        </w:rPr>
        <w:t>Specific Performance and Other Relief</w:t>
      </w:r>
      <w:r>
        <w:rPr>
          <w:sz w:val="20"/>
          <w:szCs w:val="20"/>
          <w:color w:val="auto"/>
        </w:rPr>
        <w:tab/>
      </w:r>
      <w:r>
        <w:rPr>
          <w:rFonts w:ascii="Arial" w:cs="Arial" w:eastAsia="Arial" w:hAnsi="Arial"/>
          <w:sz w:val="19"/>
          <w:szCs w:val="19"/>
          <w:color w:val="auto"/>
        </w:rPr>
        <w:t>42</w:t>
      </w:r>
    </w:p>
    <w:p>
      <w:pPr>
        <w:spacing w:after="0" w:line="395" w:lineRule="exact"/>
        <w:rPr>
          <w:sz w:val="20"/>
          <w:szCs w:val="20"/>
          <w:color w:val="auto"/>
        </w:rPr>
      </w:pPr>
    </w:p>
    <w:p>
      <w:pPr>
        <w:spacing w:after="0"/>
        <w:tabs>
          <w:tab w:leader="dot" w:pos="8200" w:val="left"/>
        </w:tabs>
        <w:rPr>
          <w:sz w:val="20"/>
          <w:szCs w:val="20"/>
          <w:color w:val="auto"/>
        </w:rPr>
      </w:pPr>
      <w:r>
        <w:rPr>
          <w:rFonts w:ascii="Arial" w:cs="Arial" w:eastAsia="Arial" w:hAnsi="Arial"/>
          <w:sz w:val="22"/>
          <w:szCs w:val="22"/>
          <w:color w:val="auto"/>
        </w:rPr>
        <w:t>Article V. INTERCREDITOR ACKNOWLEDGEMENTS AND WAIVERS</w:t>
      </w:r>
      <w:r>
        <w:rPr>
          <w:sz w:val="20"/>
          <w:szCs w:val="20"/>
          <w:color w:val="auto"/>
        </w:rPr>
        <w:tab/>
      </w:r>
      <w:r>
        <w:rPr>
          <w:rFonts w:ascii="Arial" w:cs="Arial" w:eastAsia="Arial" w:hAnsi="Arial"/>
          <w:sz w:val="19"/>
          <w:szCs w:val="19"/>
          <w:color w:val="auto"/>
        </w:rPr>
        <w:t>42</w:t>
      </w:r>
    </w:p>
    <w:p>
      <w:pPr>
        <w:spacing w:after="0" w:line="368" w:lineRule="exact"/>
        <w:rPr>
          <w:sz w:val="20"/>
          <w:szCs w:val="20"/>
          <w:color w:val="auto"/>
        </w:rPr>
      </w:pPr>
    </w:p>
    <w:p>
      <w:pPr>
        <w:spacing w:after="0"/>
        <w:tabs>
          <w:tab w:leader="none" w:pos="2220" w:val="left"/>
          <w:tab w:leader="dot" w:pos="880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22"/>
          <w:szCs w:val="22"/>
          <w:color w:val="auto"/>
        </w:rPr>
        <w:t>Notice of Acceptance and Other Waivers</w:t>
      </w:r>
      <w:r>
        <w:rPr>
          <w:sz w:val="20"/>
          <w:szCs w:val="20"/>
          <w:color w:val="auto"/>
        </w:rPr>
        <w:tab/>
      </w:r>
      <w:r>
        <w:rPr>
          <w:rFonts w:ascii="Arial" w:cs="Arial" w:eastAsia="Arial" w:hAnsi="Arial"/>
          <w:sz w:val="17"/>
          <w:szCs w:val="17"/>
          <w:color w:val="auto"/>
        </w:rPr>
        <w:t>42</w:t>
      </w:r>
    </w:p>
    <w:p>
      <w:pPr>
        <w:spacing w:after="0" w:line="44" w:lineRule="exact"/>
        <w:rPr>
          <w:sz w:val="20"/>
          <w:szCs w:val="20"/>
          <w:color w:val="auto"/>
        </w:rPr>
      </w:pPr>
    </w:p>
    <w:p>
      <w:pPr>
        <w:spacing w:after="0"/>
        <w:tabs>
          <w:tab w:leader="none" w:pos="222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color w:val="auto"/>
        </w:rPr>
        <w:t>Modifications to Senior Priority Documents and Junior Priority</w:t>
      </w:r>
    </w:p>
    <w:p>
      <w:pPr>
        <w:spacing w:after="0" w:line="8" w:lineRule="exact"/>
        <w:rPr>
          <w:sz w:val="20"/>
          <w:szCs w:val="20"/>
          <w:color w:val="auto"/>
        </w:rPr>
      </w:pPr>
    </w:p>
    <w:p>
      <w:pPr>
        <w:ind w:left="2240"/>
        <w:spacing w:after="0"/>
        <w:tabs>
          <w:tab w:leader="dot" w:pos="8660" w:val="left"/>
        </w:tabs>
        <w:rPr>
          <w:sz w:val="20"/>
          <w:szCs w:val="20"/>
          <w:color w:val="auto"/>
        </w:rPr>
      </w:pPr>
      <w:r>
        <w:rPr>
          <w:rFonts w:ascii="Arial" w:cs="Arial" w:eastAsia="Arial" w:hAnsi="Arial"/>
          <w:sz w:val="22"/>
          <w:szCs w:val="22"/>
          <w:color w:val="auto"/>
        </w:rPr>
        <w:t>Documents</w:t>
      </w:r>
      <w:r>
        <w:rPr>
          <w:sz w:val="20"/>
          <w:szCs w:val="20"/>
          <w:color w:val="auto"/>
        </w:rPr>
        <w:tab/>
      </w:r>
      <w:r>
        <w:rPr>
          <w:rFonts w:ascii="Arial" w:cs="Arial" w:eastAsia="Arial" w:hAnsi="Arial"/>
          <w:sz w:val="19"/>
          <w:szCs w:val="19"/>
          <w:color w:val="auto"/>
        </w:rPr>
        <w:t>43</w:t>
      </w:r>
    </w:p>
    <w:p>
      <w:pPr>
        <w:spacing w:after="0" w:line="26" w:lineRule="exact"/>
        <w:rPr>
          <w:sz w:val="20"/>
          <w:szCs w:val="20"/>
          <w:color w:val="auto"/>
        </w:rPr>
      </w:pPr>
    </w:p>
    <w:p>
      <w:pPr>
        <w:spacing w:after="0"/>
        <w:tabs>
          <w:tab w:leader="none" w:pos="2220" w:val="left"/>
          <w:tab w:leader="dot" w:pos="874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22"/>
          <w:szCs w:val="22"/>
          <w:color w:val="auto"/>
        </w:rPr>
        <w:t>Reinstatement and Continuation of Agreement</w:t>
      </w:r>
      <w:r>
        <w:rPr>
          <w:sz w:val="20"/>
          <w:szCs w:val="20"/>
          <w:color w:val="auto"/>
        </w:rPr>
        <w:tab/>
      </w:r>
      <w:r>
        <w:rPr>
          <w:rFonts w:ascii="Arial" w:cs="Arial" w:eastAsia="Arial" w:hAnsi="Arial"/>
          <w:sz w:val="19"/>
          <w:szCs w:val="19"/>
          <w:color w:val="auto"/>
        </w:rPr>
        <w:t>47</w:t>
      </w:r>
    </w:p>
    <w:p>
      <w:pPr>
        <w:spacing w:after="0" w:line="44" w:lineRule="exact"/>
        <w:rPr>
          <w:sz w:val="20"/>
          <w:szCs w:val="20"/>
          <w:color w:val="auto"/>
        </w:rPr>
      </w:pPr>
    </w:p>
    <w:p>
      <w:pPr>
        <w:spacing w:after="0"/>
        <w:tabs>
          <w:tab w:leader="none" w:pos="2220" w:val="left"/>
          <w:tab w:leader="dot" w:pos="870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22"/>
          <w:szCs w:val="22"/>
          <w:color w:val="auto"/>
        </w:rPr>
        <w:t>Excluded Cash Collateral</w:t>
      </w:r>
      <w:r>
        <w:rPr>
          <w:sz w:val="20"/>
          <w:szCs w:val="20"/>
          <w:color w:val="auto"/>
        </w:rPr>
        <w:tab/>
      </w:r>
      <w:r>
        <w:rPr>
          <w:rFonts w:ascii="Arial" w:cs="Arial" w:eastAsia="Arial" w:hAnsi="Arial"/>
          <w:sz w:val="19"/>
          <w:szCs w:val="19"/>
          <w:color w:val="auto"/>
        </w:rPr>
        <w:t>47</w:t>
      </w:r>
    </w:p>
    <w:p>
      <w:pPr>
        <w:spacing w:after="0" w:line="395" w:lineRule="exact"/>
        <w:rPr>
          <w:sz w:val="20"/>
          <w:szCs w:val="20"/>
          <w:color w:val="auto"/>
        </w:rPr>
      </w:pPr>
    </w:p>
    <w:p>
      <w:pPr>
        <w:spacing w:after="0"/>
        <w:tabs>
          <w:tab w:leader="dot" w:pos="8140" w:val="left"/>
        </w:tabs>
        <w:rPr>
          <w:sz w:val="20"/>
          <w:szCs w:val="20"/>
          <w:color w:val="auto"/>
        </w:rPr>
      </w:pPr>
      <w:r>
        <w:rPr>
          <w:rFonts w:ascii="Arial" w:cs="Arial" w:eastAsia="Arial" w:hAnsi="Arial"/>
          <w:sz w:val="22"/>
          <w:szCs w:val="22"/>
          <w:color w:val="auto"/>
        </w:rPr>
        <w:t>Article VI. INSOLVENCY PROCEEDINGS</w:t>
      </w:r>
      <w:r>
        <w:rPr>
          <w:sz w:val="20"/>
          <w:szCs w:val="20"/>
          <w:color w:val="auto"/>
        </w:rPr>
        <w:tab/>
      </w:r>
      <w:r>
        <w:rPr>
          <w:rFonts w:ascii="Arial" w:cs="Arial" w:eastAsia="Arial" w:hAnsi="Arial"/>
          <w:sz w:val="17"/>
          <w:szCs w:val="17"/>
          <w:color w:val="auto"/>
        </w:rPr>
        <w:t>48</w:t>
      </w:r>
    </w:p>
    <w:p>
      <w:pPr>
        <w:spacing w:after="0" w:line="368"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22"/>
          <w:szCs w:val="22"/>
          <w:color w:val="auto"/>
        </w:rPr>
        <w:t>DIP Financing</w:t>
      </w:r>
      <w:r>
        <w:rPr>
          <w:sz w:val="20"/>
          <w:szCs w:val="20"/>
          <w:color w:val="auto"/>
        </w:rPr>
        <w:tab/>
      </w:r>
      <w:r>
        <w:rPr>
          <w:rFonts w:ascii="Arial" w:cs="Arial" w:eastAsia="Arial" w:hAnsi="Arial"/>
          <w:sz w:val="19"/>
          <w:szCs w:val="19"/>
          <w:color w:val="auto"/>
        </w:rPr>
        <w:t>48</w:t>
      </w:r>
    </w:p>
    <w:p>
      <w:pPr>
        <w:spacing w:after="0" w:line="44" w:lineRule="exact"/>
        <w:rPr>
          <w:sz w:val="20"/>
          <w:szCs w:val="20"/>
          <w:color w:val="auto"/>
        </w:rPr>
      </w:pPr>
    </w:p>
    <w:p>
      <w:pPr>
        <w:spacing w:after="0"/>
        <w:tabs>
          <w:tab w:leader="none" w:pos="2220" w:val="left"/>
          <w:tab w:leader="dot" w:pos="868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22"/>
          <w:szCs w:val="22"/>
          <w:color w:val="auto"/>
        </w:rPr>
        <w:t>Relief from Stay</w:t>
      </w:r>
      <w:r>
        <w:rPr>
          <w:sz w:val="20"/>
          <w:szCs w:val="20"/>
          <w:color w:val="auto"/>
        </w:rPr>
        <w:tab/>
      </w:r>
      <w:r>
        <w:rPr>
          <w:rFonts w:ascii="Arial" w:cs="Arial" w:eastAsia="Arial" w:hAnsi="Arial"/>
          <w:sz w:val="19"/>
          <w:szCs w:val="19"/>
          <w:color w:val="auto"/>
        </w:rPr>
        <w:t>49</w:t>
      </w:r>
    </w:p>
    <w:p>
      <w:pPr>
        <w:spacing w:after="0" w:line="44" w:lineRule="exact"/>
        <w:rPr>
          <w:sz w:val="20"/>
          <w:szCs w:val="20"/>
          <w:color w:val="auto"/>
        </w:rPr>
      </w:pPr>
    </w:p>
    <w:p>
      <w:pPr>
        <w:spacing w:after="0"/>
        <w:tabs>
          <w:tab w:leader="none" w:pos="2220" w:val="left"/>
          <w:tab w:leader="dot" w:pos="8600" w:val="left"/>
        </w:tabs>
        <w:rPr>
          <w:sz w:val="20"/>
          <w:szCs w:val="20"/>
          <w:color w:val="auto"/>
        </w:rPr>
      </w:pPr>
      <w:r>
        <w:rPr>
          <w:rFonts w:ascii="Arial" w:cs="Arial" w:eastAsia="Arial" w:hAnsi="Arial"/>
          <w:sz w:val="22"/>
          <w:szCs w:val="22"/>
          <w:color w:val="auto"/>
        </w:rPr>
        <w:t>Section 6.03.</w:t>
      </w:r>
      <w:r>
        <w:rPr>
          <w:sz w:val="20"/>
          <w:szCs w:val="20"/>
          <w:color w:val="auto"/>
        </w:rPr>
        <w:tab/>
      </w:r>
      <w:r>
        <w:rPr>
          <w:rFonts w:ascii="Arial" w:cs="Arial" w:eastAsia="Arial" w:hAnsi="Arial"/>
          <w:sz w:val="22"/>
          <w:szCs w:val="22"/>
          <w:color w:val="auto"/>
        </w:rPr>
        <w:t>No Contest</w:t>
      </w:r>
      <w:r>
        <w:rPr>
          <w:sz w:val="20"/>
          <w:szCs w:val="20"/>
          <w:color w:val="auto"/>
        </w:rPr>
        <w:tab/>
      </w: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221615</wp:posOffset>
            </wp:positionV>
            <wp:extent cx="7132320"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719" w:right="339" w:bottom="1440" w:gutter="0" w:footer="0" w:header="0"/>
        </w:sectPr>
      </w:pPr>
    </w:p>
    <w:bookmarkStart w:id="559" w:name="page560"/>
    <w:bookmarkEnd w:id="559"/>
    <w:tbl>
      <w:tblPr>
        <w:tblLayout w:type="fixed"/>
        <w:tblInd w:w="40" w:type="dxa"/>
        <w:tblCellMar>
          <w:top w:w="0" w:type="dxa"/>
          <w:left w:w="0" w:type="dxa"/>
          <w:bottom w:w="0" w:type="dxa"/>
          <w:right w:w="0" w:type="dxa"/>
        </w:tblCellMar>
      </w:tblP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Section 6.04.</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Asset Sales.....................................................................................................</w:t>
            </w:r>
          </w:p>
        </w:tc>
        <w:tc>
          <w:tcPr>
            <w:tcW w:w="360" w:type="dxa"/>
            <w:vAlign w:val="bottom"/>
          </w:tcPr>
          <w:p>
            <w:pPr>
              <w:ind w:left="40"/>
              <w:spacing w:after="0"/>
              <w:rPr>
                <w:sz w:val="20"/>
                <w:szCs w:val="20"/>
                <w:color w:val="auto"/>
              </w:rPr>
            </w:pPr>
            <w:r>
              <w:rPr>
                <w:rFonts w:ascii="Arial" w:cs="Arial" w:eastAsia="Arial" w:hAnsi="Arial"/>
                <w:sz w:val="22"/>
                <w:szCs w:val="22"/>
                <w:color w:val="auto"/>
              </w:rPr>
              <w:t>50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6.05.</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6"/>
              </w:rPr>
              <w:t>Separate Grants of Security and Separate Classification................................</w:t>
            </w:r>
          </w:p>
        </w:tc>
        <w:tc>
          <w:tcPr>
            <w:tcW w:w="360" w:type="dxa"/>
            <w:vAlign w:val="bottom"/>
          </w:tcPr>
          <w:p>
            <w:pPr>
              <w:ind w:left="100"/>
              <w:spacing w:after="0"/>
              <w:rPr>
                <w:sz w:val="20"/>
                <w:szCs w:val="20"/>
                <w:color w:val="auto"/>
              </w:rPr>
            </w:pPr>
            <w:r>
              <w:rPr>
                <w:rFonts w:ascii="Arial" w:cs="Arial" w:eastAsia="Arial" w:hAnsi="Arial"/>
                <w:sz w:val="22"/>
                <w:szCs w:val="22"/>
                <w:color w:val="auto"/>
                <w:w w:val="97"/>
              </w:rPr>
              <w:t>50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6.06.</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Enforceability ...............................................................................................</w:t>
            </w:r>
          </w:p>
        </w:tc>
        <w:tc>
          <w:tcPr>
            <w:tcW w:w="360" w:type="dxa"/>
            <w:vAlign w:val="bottom"/>
          </w:tcPr>
          <w:p>
            <w:pPr>
              <w:spacing w:after="0"/>
              <w:rPr>
                <w:sz w:val="20"/>
                <w:szCs w:val="20"/>
                <w:color w:val="auto"/>
              </w:rPr>
            </w:pPr>
            <w:r>
              <w:rPr>
                <w:rFonts w:ascii="Arial" w:cs="Arial" w:eastAsia="Arial" w:hAnsi="Arial"/>
                <w:sz w:val="22"/>
                <w:szCs w:val="22"/>
                <w:color w:val="auto"/>
              </w:rPr>
              <w:t>51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6.07.</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9"/>
              </w:rPr>
              <w:t>Senior Priority Obligations Unconditional.....................................................</w:t>
            </w:r>
          </w:p>
        </w:tc>
        <w:tc>
          <w:tcPr>
            <w:tcW w:w="360" w:type="dxa"/>
            <w:vAlign w:val="bottom"/>
          </w:tcPr>
          <w:p>
            <w:pPr>
              <w:ind w:left="80"/>
              <w:spacing w:after="0"/>
              <w:rPr>
                <w:sz w:val="20"/>
                <w:szCs w:val="20"/>
                <w:color w:val="auto"/>
              </w:rPr>
            </w:pPr>
            <w:r>
              <w:rPr>
                <w:rFonts w:ascii="Arial" w:cs="Arial" w:eastAsia="Arial" w:hAnsi="Arial"/>
                <w:sz w:val="22"/>
                <w:szCs w:val="22"/>
                <w:color w:val="auto"/>
              </w:rPr>
              <w:t>51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6.08.</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9"/>
              </w:rPr>
              <w:t>Junior Priority Obligations Unconditional.....................................................</w:t>
            </w:r>
          </w:p>
        </w:tc>
        <w:tc>
          <w:tcPr>
            <w:tcW w:w="360" w:type="dxa"/>
            <w:vAlign w:val="bottom"/>
          </w:tcPr>
          <w:p>
            <w:pPr>
              <w:ind w:left="60"/>
              <w:spacing w:after="0"/>
              <w:rPr>
                <w:sz w:val="20"/>
                <w:szCs w:val="20"/>
                <w:color w:val="auto"/>
              </w:rPr>
            </w:pPr>
            <w:r>
              <w:rPr>
                <w:rFonts w:ascii="Arial" w:cs="Arial" w:eastAsia="Arial" w:hAnsi="Arial"/>
                <w:sz w:val="22"/>
                <w:szCs w:val="22"/>
                <w:color w:val="auto"/>
              </w:rPr>
              <w:t>51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6.09.</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Adequate Protection......................................................................................</w:t>
            </w:r>
          </w:p>
        </w:tc>
        <w:tc>
          <w:tcPr>
            <w:tcW w:w="360" w:type="dxa"/>
            <w:vAlign w:val="bottom"/>
          </w:tcPr>
          <w:p>
            <w:pPr>
              <w:spacing w:after="0"/>
              <w:rPr>
                <w:sz w:val="20"/>
                <w:szCs w:val="20"/>
                <w:color w:val="auto"/>
              </w:rPr>
            </w:pPr>
            <w:r>
              <w:rPr>
                <w:rFonts w:ascii="Arial" w:cs="Arial" w:eastAsia="Arial" w:hAnsi="Arial"/>
                <w:sz w:val="22"/>
                <w:szCs w:val="22"/>
                <w:color w:val="auto"/>
              </w:rPr>
              <w:t>52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6.10.</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Certain Waivers.............................................................................................</w:t>
            </w:r>
          </w:p>
        </w:tc>
        <w:tc>
          <w:tcPr>
            <w:tcW w:w="360" w:type="dxa"/>
            <w:vAlign w:val="bottom"/>
          </w:tcPr>
          <w:p>
            <w:pPr>
              <w:spacing w:after="0"/>
              <w:rPr>
                <w:sz w:val="20"/>
                <w:szCs w:val="20"/>
                <w:color w:val="auto"/>
              </w:rPr>
            </w:pPr>
            <w:r>
              <w:rPr>
                <w:rFonts w:ascii="Arial" w:cs="Arial" w:eastAsia="Arial" w:hAnsi="Arial"/>
                <w:sz w:val="22"/>
                <w:szCs w:val="22"/>
                <w:color w:val="auto"/>
              </w:rPr>
              <w:t>53</w:t>
            </w:r>
          </w:p>
        </w:tc>
      </w:tr>
      <w:tr>
        <w:trPr>
          <w:trHeight w:val="648"/>
        </w:trPr>
        <w:tc>
          <w:tcPr>
            <w:tcW w:w="8140" w:type="dxa"/>
            <w:vAlign w:val="bottom"/>
            <w:gridSpan w:val="2"/>
          </w:tcPr>
          <w:p>
            <w:pPr>
              <w:spacing w:after="0"/>
              <w:rPr>
                <w:sz w:val="20"/>
                <w:szCs w:val="20"/>
                <w:color w:val="auto"/>
              </w:rPr>
            </w:pPr>
            <w:r>
              <w:rPr>
                <w:rFonts w:ascii="Arial" w:cs="Arial" w:eastAsia="Arial" w:hAnsi="Arial"/>
                <w:sz w:val="22"/>
                <w:szCs w:val="22"/>
                <w:color w:val="auto"/>
                <w:w w:val="90"/>
              </w:rPr>
              <w:t>Article VII. MISCELLANEOUS..................................................................................................</w:t>
            </w:r>
          </w:p>
        </w:tc>
        <w:tc>
          <w:tcPr>
            <w:tcW w:w="520" w:type="dxa"/>
            <w:vAlign w:val="bottom"/>
          </w:tcPr>
          <w:p>
            <w:pPr>
              <w:jc w:val="right"/>
              <w:ind w:right="192"/>
              <w:spacing w:after="0"/>
              <w:rPr>
                <w:sz w:val="20"/>
                <w:szCs w:val="20"/>
                <w:color w:val="auto"/>
              </w:rPr>
            </w:pPr>
            <w:r>
              <w:rPr>
                <w:rFonts w:ascii="Arial" w:cs="Arial" w:eastAsia="Arial" w:hAnsi="Arial"/>
                <w:sz w:val="22"/>
                <w:szCs w:val="22"/>
                <w:color w:val="auto"/>
                <w:w w:val="81"/>
              </w:rPr>
              <w:t>53</w:t>
            </w:r>
          </w:p>
        </w:tc>
        <w:tc>
          <w:tcPr>
            <w:tcW w:w="360" w:type="dxa"/>
            <w:vAlign w:val="bottom"/>
          </w:tcPr>
          <w:p>
            <w:pPr>
              <w:spacing w:after="0"/>
              <w:rPr>
                <w:sz w:val="24"/>
                <w:szCs w:val="24"/>
                <w:color w:val="auto"/>
              </w:rPr>
            </w:pPr>
          </w:p>
        </w:tc>
      </w:tr>
      <w:tr>
        <w:trPr>
          <w:trHeight w:val="621"/>
        </w:trPr>
        <w:tc>
          <w:tcPr>
            <w:tcW w:w="1680" w:type="dxa"/>
            <w:vAlign w:val="bottom"/>
          </w:tcPr>
          <w:p>
            <w:pPr>
              <w:spacing w:after="0"/>
              <w:rPr>
                <w:sz w:val="20"/>
                <w:szCs w:val="20"/>
                <w:color w:val="auto"/>
              </w:rPr>
            </w:pPr>
            <w:r>
              <w:rPr>
                <w:rFonts w:ascii="Arial" w:cs="Arial" w:eastAsia="Arial" w:hAnsi="Arial"/>
                <w:sz w:val="22"/>
                <w:szCs w:val="22"/>
                <w:color w:val="auto"/>
              </w:rPr>
              <w:t>Section 7.01.</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Rights of Subrogation....................................................................................</w:t>
            </w:r>
          </w:p>
        </w:tc>
        <w:tc>
          <w:tcPr>
            <w:tcW w:w="360" w:type="dxa"/>
            <w:vAlign w:val="bottom"/>
          </w:tcPr>
          <w:p>
            <w:pPr>
              <w:ind w:left="40"/>
              <w:spacing w:after="0"/>
              <w:rPr>
                <w:sz w:val="20"/>
                <w:szCs w:val="20"/>
                <w:color w:val="auto"/>
              </w:rPr>
            </w:pPr>
            <w:r>
              <w:rPr>
                <w:rFonts w:ascii="Arial" w:cs="Arial" w:eastAsia="Arial" w:hAnsi="Arial"/>
                <w:sz w:val="22"/>
                <w:szCs w:val="22"/>
                <w:color w:val="auto"/>
              </w:rPr>
              <w:t>53</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7.02.</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Further Assurances........................................................................................</w:t>
            </w:r>
          </w:p>
        </w:tc>
        <w:tc>
          <w:tcPr>
            <w:tcW w:w="360" w:type="dxa"/>
            <w:vAlign w:val="bottom"/>
          </w:tcPr>
          <w:p>
            <w:pPr>
              <w:ind w:left="20"/>
              <w:spacing w:after="0"/>
              <w:rPr>
                <w:sz w:val="20"/>
                <w:szCs w:val="20"/>
                <w:color w:val="auto"/>
              </w:rPr>
            </w:pPr>
            <w:r>
              <w:rPr>
                <w:rFonts w:ascii="Arial" w:cs="Arial" w:eastAsia="Arial" w:hAnsi="Arial"/>
                <w:sz w:val="22"/>
                <w:szCs w:val="22"/>
                <w:color w:val="auto"/>
              </w:rPr>
              <w:t>54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7.03.</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Agent Representations...................................................................................</w:t>
            </w:r>
          </w:p>
        </w:tc>
        <w:tc>
          <w:tcPr>
            <w:tcW w:w="360" w:type="dxa"/>
            <w:vAlign w:val="bottom"/>
          </w:tcPr>
          <w:p>
            <w:pPr>
              <w:ind w:left="40"/>
              <w:spacing w:after="0"/>
              <w:rPr>
                <w:sz w:val="20"/>
                <w:szCs w:val="20"/>
                <w:color w:val="auto"/>
              </w:rPr>
            </w:pPr>
            <w:r>
              <w:rPr>
                <w:rFonts w:ascii="Arial" w:cs="Arial" w:eastAsia="Arial" w:hAnsi="Arial"/>
                <w:sz w:val="22"/>
                <w:szCs w:val="22"/>
                <w:color w:val="auto"/>
              </w:rPr>
              <w:t>54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7.04.</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Amendments..................................................................................................</w:t>
            </w:r>
          </w:p>
        </w:tc>
        <w:tc>
          <w:tcPr>
            <w:tcW w:w="360" w:type="dxa"/>
            <w:vAlign w:val="bottom"/>
          </w:tcPr>
          <w:p>
            <w:pPr>
              <w:ind w:left="40"/>
              <w:spacing w:after="0"/>
              <w:rPr>
                <w:sz w:val="20"/>
                <w:szCs w:val="20"/>
                <w:color w:val="auto"/>
              </w:rPr>
            </w:pPr>
            <w:r>
              <w:rPr>
                <w:rFonts w:ascii="Arial" w:cs="Arial" w:eastAsia="Arial" w:hAnsi="Arial"/>
                <w:sz w:val="22"/>
                <w:szCs w:val="22"/>
                <w:color w:val="auto"/>
              </w:rPr>
              <w:t>54</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7.05.</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Addresses for Notices.....................................................................................</w:t>
            </w:r>
          </w:p>
        </w:tc>
        <w:tc>
          <w:tcPr>
            <w:tcW w:w="360" w:type="dxa"/>
            <w:vAlign w:val="bottom"/>
          </w:tcPr>
          <w:p>
            <w:pPr>
              <w:ind w:left="80"/>
              <w:spacing w:after="0"/>
              <w:rPr>
                <w:sz w:val="20"/>
                <w:szCs w:val="20"/>
                <w:color w:val="auto"/>
              </w:rPr>
            </w:pPr>
            <w:r>
              <w:rPr>
                <w:rFonts w:ascii="Arial" w:cs="Arial" w:eastAsia="Arial" w:hAnsi="Arial"/>
                <w:sz w:val="22"/>
                <w:szCs w:val="22"/>
                <w:color w:val="auto"/>
              </w:rPr>
              <w:t>55</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7.06.</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No Waiver, Cumulative Remedies..................................................................</w:t>
            </w:r>
          </w:p>
        </w:tc>
        <w:tc>
          <w:tcPr>
            <w:tcW w:w="360" w:type="dxa"/>
            <w:vAlign w:val="bottom"/>
          </w:tcPr>
          <w:p>
            <w:pPr>
              <w:ind w:left="100"/>
              <w:spacing w:after="0"/>
              <w:rPr>
                <w:sz w:val="20"/>
                <w:szCs w:val="20"/>
                <w:color w:val="auto"/>
              </w:rPr>
            </w:pPr>
            <w:r>
              <w:rPr>
                <w:rFonts w:ascii="Arial" w:cs="Arial" w:eastAsia="Arial" w:hAnsi="Arial"/>
                <w:sz w:val="22"/>
                <w:szCs w:val="22"/>
                <w:color w:val="auto"/>
                <w:w w:val="97"/>
              </w:rPr>
              <w:t>56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7.07.</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Continuing Agreement, Transfer of Secured Obligations...............................</w:t>
            </w:r>
          </w:p>
        </w:tc>
        <w:tc>
          <w:tcPr>
            <w:tcW w:w="360" w:type="dxa"/>
            <w:vAlign w:val="bottom"/>
          </w:tcPr>
          <w:p>
            <w:pPr>
              <w:ind w:left="120"/>
              <w:spacing w:after="0"/>
              <w:rPr>
                <w:sz w:val="20"/>
                <w:szCs w:val="20"/>
                <w:color w:val="auto"/>
              </w:rPr>
            </w:pPr>
            <w:r>
              <w:rPr>
                <w:rFonts w:ascii="Arial" w:cs="Arial" w:eastAsia="Arial" w:hAnsi="Arial"/>
                <w:sz w:val="22"/>
                <w:szCs w:val="22"/>
                <w:color w:val="auto"/>
                <w:w w:val="89"/>
              </w:rPr>
              <w:t>56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7.08.</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9"/>
              </w:rPr>
              <w:t>GOVERNING LAW......................................................................................</w:t>
            </w:r>
          </w:p>
        </w:tc>
        <w:tc>
          <w:tcPr>
            <w:tcW w:w="360" w:type="dxa"/>
            <w:vAlign w:val="bottom"/>
          </w:tcPr>
          <w:p>
            <w:pPr>
              <w:ind w:left="20"/>
              <w:spacing w:after="0"/>
              <w:rPr>
                <w:sz w:val="20"/>
                <w:szCs w:val="20"/>
                <w:color w:val="auto"/>
              </w:rPr>
            </w:pPr>
            <w:r>
              <w:rPr>
                <w:rFonts w:ascii="Arial" w:cs="Arial" w:eastAsia="Arial" w:hAnsi="Arial"/>
                <w:sz w:val="22"/>
                <w:szCs w:val="22"/>
                <w:color w:val="auto"/>
              </w:rPr>
              <w:t>56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7.09.</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Counterparts .................................................................................................</w:t>
            </w:r>
          </w:p>
        </w:tc>
        <w:tc>
          <w:tcPr>
            <w:tcW w:w="360" w:type="dxa"/>
            <w:vAlign w:val="bottom"/>
          </w:tcPr>
          <w:p>
            <w:pPr>
              <w:spacing w:after="0"/>
              <w:rPr>
                <w:sz w:val="20"/>
                <w:szCs w:val="20"/>
                <w:color w:val="auto"/>
              </w:rPr>
            </w:pPr>
            <w:r>
              <w:rPr>
                <w:rFonts w:ascii="Arial" w:cs="Arial" w:eastAsia="Arial" w:hAnsi="Arial"/>
                <w:sz w:val="22"/>
                <w:szCs w:val="22"/>
                <w:color w:val="auto"/>
              </w:rPr>
              <w:t>57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7.10.</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No Third-Party Beneficiaries.........................................................................</w:t>
            </w:r>
          </w:p>
        </w:tc>
        <w:tc>
          <w:tcPr>
            <w:tcW w:w="360" w:type="dxa"/>
            <w:vAlign w:val="bottom"/>
          </w:tcPr>
          <w:p>
            <w:pPr>
              <w:ind w:left="60"/>
              <w:spacing w:after="0"/>
              <w:rPr>
                <w:sz w:val="20"/>
                <w:szCs w:val="20"/>
                <w:color w:val="auto"/>
              </w:rPr>
            </w:pPr>
            <w:r>
              <w:rPr>
                <w:rFonts w:ascii="Arial" w:cs="Arial" w:eastAsia="Arial" w:hAnsi="Arial"/>
                <w:sz w:val="22"/>
                <w:szCs w:val="22"/>
                <w:color w:val="auto"/>
              </w:rPr>
              <w:t>57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7.11.</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Designation of Additional Indebtedness; Joinder of Additional Agents.........</w:t>
            </w:r>
          </w:p>
        </w:tc>
        <w:tc>
          <w:tcPr>
            <w:tcW w:w="360" w:type="dxa"/>
            <w:vAlign w:val="bottom"/>
          </w:tcPr>
          <w:p>
            <w:pPr>
              <w:ind w:left="140"/>
              <w:spacing w:after="0"/>
              <w:rPr>
                <w:sz w:val="20"/>
                <w:szCs w:val="20"/>
                <w:color w:val="auto"/>
              </w:rPr>
            </w:pPr>
            <w:r>
              <w:rPr>
                <w:rFonts w:ascii="Arial" w:cs="Arial" w:eastAsia="Arial" w:hAnsi="Arial"/>
                <w:sz w:val="22"/>
                <w:szCs w:val="22"/>
                <w:color w:val="auto"/>
                <w:w w:val="81"/>
              </w:rPr>
              <w:t>57</w:t>
            </w: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rPr>
              <w:t>Section 7.12.</w:t>
            </w:r>
          </w:p>
        </w:tc>
        <w:tc>
          <w:tcPr>
            <w:tcW w:w="6460" w:type="dxa"/>
            <w:vAlign w:val="bottom"/>
          </w:tcPr>
          <w:p>
            <w:pPr>
              <w:ind w:left="560"/>
              <w:spacing w:after="0"/>
              <w:rPr>
                <w:sz w:val="20"/>
                <w:szCs w:val="20"/>
                <w:color w:val="auto"/>
              </w:rPr>
            </w:pPr>
            <w:r>
              <w:rPr>
                <w:rFonts w:ascii="Arial" w:cs="Arial" w:eastAsia="Arial" w:hAnsi="Arial"/>
                <w:sz w:val="22"/>
                <w:szCs w:val="22"/>
                <w:color w:val="auto"/>
              </w:rPr>
              <w:t>Senior Priority Representative; Notice of Senior Priority</w:t>
            </w: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74"/>
        </w:trPr>
        <w:tc>
          <w:tcPr>
            <w:tcW w:w="1680" w:type="dxa"/>
            <w:vAlign w:val="bottom"/>
          </w:tcPr>
          <w:p>
            <w:pPr>
              <w:spacing w:after="0"/>
              <w:rPr>
                <w:sz w:val="23"/>
                <w:szCs w:val="23"/>
                <w:color w:val="auto"/>
              </w:rPr>
            </w:pP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Representative Change .................................................................................</w:t>
            </w:r>
          </w:p>
        </w:tc>
        <w:tc>
          <w:tcPr>
            <w:tcW w:w="360" w:type="dxa"/>
            <w:vAlign w:val="bottom"/>
          </w:tcPr>
          <w:p>
            <w:pPr>
              <w:ind w:left="20"/>
              <w:spacing w:after="0"/>
              <w:rPr>
                <w:sz w:val="20"/>
                <w:szCs w:val="20"/>
                <w:color w:val="auto"/>
              </w:rPr>
            </w:pPr>
            <w:r>
              <w:rPr>
                <w:rFonts w:ascii="Arial" w:cs="Arial" w:eastAsia="Arial" w:hAnsi="Arial"/>
                <w:sz w:val="22"/>
                <w:szCs w:val="22"/>
                <w:color w:val="auto"/>
              </w:rPr>
              <w:t>59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7.13.</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[Reserved] ....................................................................................................</w:t>
            </w:r>
          </w:p>
        </w:tc>
        <w:tc>
          <w:tcPr>
            <w:tcW w:w="360" w:type="dxa"/>
            <w:vAlign w:val="bottom"/>
          </w:tcPr>
          <w:p>
            <w:pPr>
              <w:spacing w:after="0"/>
              <w:rPr>
                <w:sz w:val="20"/>
                <w:szCs w:val="20"/>
                <w:color w:val="auto"/>
              </w:rPr>
            </w:pPr>
            <w:r>
              <w:rPr>
                <w:rFonts w:ascii="Arial" w:cs="Arial" w:eastAsia="Arial" w:hAnsi="Arial"/>
                <w:sz w:val="22"/>
                <w:szCs w:val="22"/>
                <w:color w:val="auto"/>
              </w:rPr>
              <w:t>59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7.14.</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Provisions Solely to Define Relative Rights...................................................</w:t>
            </w:r>
          </w:p>
        </w:tc>
        <w:tc>
          <w:tcPr>
            <w:tcW w:w="360" w:type="dxa"/>
            <w:vAlign w:val="bottom"/>
          </w:tcPr>
          <w:p>
            <w:pPr>
              <w:ind w:left="120"/>
              <w:spacing w:after="0"/>
              <w:rPr>
                <w:sz w:val="20"/>
                <w:szCs w:val="20"/>
                <w:color w:val="auto"/>
              </w:rPr>
            </w:pPr>
            <w:r>
              <w:rPr>
                <w:rFonts w:ascii="Arial" w:cs="Arial" w:eastAsia="Arial" w:hAnsi="Arial"/>
                <w:sz w:val="22"/>
                <w:szCs w:val="22"/>
                <w:color w:val="auto"/>
                <w:w w:val="89"/>
              </w:rPr>
              <w:t>59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7.15.</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Headings .......................................................................................................</w:t>
            </w:r>
          </w:p>
        </w:tc>
        <w:tc>
          <w:tcPr>
            <w:tcW w:w="360" w:type="dxa"/>
            <w:vAlign w:val="bottom"/>
          </w:tcPr>
          <w:p>
            <w:pPr>
              <w:ind w:left="20"/>
              <w:spacing w:after="0"/>
              <w:rPr>
                <w:sz w:val="20"/>
                <w:szCs w:val="20"/>
                <w:color w:val="auto"/>
              </w:rPr>
            </w:pPr>
            <w:r>
              <w:rPr>
                <w:rFonts w:ascii="Arial" w:cs="Arial" w:eastAsia="Arial" w:hAnsi="Arial"/>
                <w:sz w:val="22"/>
                <w:szCs w:val="22"/>
                <w:color w:val="auto"/>
              </w:rPr>
              <w:t>59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7.16.</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Severability ...................................................................................................</w:t>
            </w:r>
          </w:p>
        </w:tc>
        <w:tc>
          <w:tcPr>
            <w:tcW w:w="360" w:type="dxa"/>
            <w:vAlign w:val="bottom"/>
          </w:tcPr>
          <w:p>
            <w:pPr>
              <w:ind w:left="40"/>
              <w:spacing w:after="0"/>
              <w:rPr>
                <w:sz w:val="20"/>
                <w:szCs w:val="20"/>
                <w:color w:val="auto"/>
              </w:rPr>
            </w:pPr>
            <w:r>
              <w:rPr>
                <w:rFonts w:ascii="Arial" w:cs="Arial" w:eastAsia="Arial" w:hAnsi="Arial"/>
                <w:sz w:val="22"/>
                <w:szCs w:val="22"/>
                <w:color w:val="auto"/>
              </w:rPr>
              <w:t>59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7.17.</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Attorneys' Fees..............................................................................................</w:t>
            </w:r>
          </w:p>
        </w:tc>
        <w:tc>
          <w:tcPr>
            <w:tcW w:w="360" w:type="dxa"/>
            <w:vAlign w:val="bottom"/>
          </w:tcPr>
          <w:p>
            <w:pPr>
              <w:spacing w:after="0"/>
              <w:rPr>
                <w:sz w:val="20"/>
                <w:szCs w:val="20"/>
                <w:color w:val="auto"/>
              </w:rPr>
            </w:pPr>
            <w:r>
              <w:rPr>
                <w:rFonts w:ascii="Arial" w:cs="Arial" w:eastAsia="Arial" w:hAnsi="Arial"/>
                <w:sz w:val="22"/>
                <w:szCs w:val="22"/>
                <w:color w:val="auto"/>
              </w:rPr>
              <w:t>59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7.18.</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90"/>
              </w:rPr>
              <w:t>VENUE; JURY TRIAL WAIVER..................................................................</w:t>
            </w:r>
          </w:p>
        </w:tc>
        <w:tc>
          <w:tcPr>
            <w:tcW w:w="360" w:type="dxa"/>
            <w:vAlign w:val="bottom"/>
          </w:tcPr>
          <w:p>
            <w:pPr>
              <w:ind w:left="120"/>
              <w:spacing w:after="0"/>
              <w:rPr>
                <w:sz w:val="20"/>
                <w:szCs w:val="20"/>
                <w:color w:val="auto"/>
              </w:rPr>
            </w:pPr>
            <w:r>
              <w:rPr>
                <w:rFonts w:ascii="Arial" w:cs="Arial" w:eastAsia="Arial" w:hAnsi="Arial"/>
                <w:sz w:val="22"/>
                <w:szCs w:val="22"/>
                <w:color w:val="auto"/>
                <w:w w:val="89"/>
              </w:rPr>
              <w:t>59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7.19.</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Intercreditor Agreement................................................................................</w:t>
            </w:r>
          </w:p>
        </w:tc>
        <w:tc>
          <w:tcPr>
            <w:tcW w:w="360" w:type="dxa"/>
            <w:vAlign w:val="bottom"/>
          </w:tcPr>
          <w:p>
            <w:pPr>
              <w:spacing w:after="0"/>
              <w:rPr>
                <w:sz w:val="20"/>
                <w:szCs w:val="20"/>
                <w:color w:val="auto"/>
              </w:rPr>
            </w:pPr>
            <w:r>
              <w:rPr>
                <w:rFonts w:ascii="Arial" w:cs="Arial" w:eastAsia="Arial" w:hAnsi="Arial"/>
                <w:sz w:val="22"/>
                <w:szCs w:val="22"/>
                <w:color w:val="auto"/>
              </w:rPr>
              <w:t>60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7.20.</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No Warranties or Liability..............................................................................</w:t>
            </w:r>
          </w:p>
        </w:tc>
        <w:tc>
          <w:tcPr>
            <w:tcW w:w="360" w:type="dxa"/>
            <w:vAlign w:val="bottom"/>
          </w:tcPr>
          <w:p>
            <w:pPr>
              <w:ind w:left="60"/>
              <w:spacing w:after="0"/>
              <w:rPr>
                <w:sz w:val="20"/>
                <w:szCs w:val="20"/>
                <w:color w:val="auto"/>
              </w:rPr>
            </w:pPr>
            <w:r>
              <w:rPr>
                <w:rFonts w:ascii="Arial" w:cs="Arial" w:eastAsia="Arial" w:hAnsi="Arial"/>
                <w:sz w:val="22"/>
                <w:szCs w:val="22"/>
                <w:color w:val="auto"/>
              </w:rPr>
              <w:t>60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7.21.</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Conflicts .......................................................................................................</w:t>
            </w:r>
          </w:p>
        </w:tc>
        <w:tc>
          <w:tcPr>
            <w:tcW w:w="360" w:type="dxa"/>
            <w:vAlign w:val="bottom"/>
          </w:tcPr>
          <w:p>
            <w:pPr>
              <w:spacing w:after="0"/>
              <w:rPr>
                <w:sz w:val="20"/>
                <w:szCs w:val="20"/>
                <w:color w:val="auto"/>
              </w:rPr>
            </w:pPr>
            <w:r>
              <w:rPr>
                <w:rFonts w:ascii="Arial" w:cs="Arial" w:eastAsia="Arial" w:hAnsi="Arial"/>
                <w:sz w:val="22"/>
                <w:szCs w:val="22"/>
                <w:color w:val="auto"/>
              </w:rPr>
              <w:t>60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7.22.</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8"/>
              </w:rPr>
              <w:t>Information Concerning Financial Condition of the Loan Parties..................</w:t>
            </w:r>
          </w:p>
        </w:tc>
        <w:tc>
          <w:tcPr>
            <w:tcW w:w="360" w:type="dxa"/>
            <w:vAlign w:val="bottom"/>
          </w:tcPr>
          <w:p>
            <w:pPr>
              <w:ind w:left="120"/>
              <w:spacing w:after="0"/>
              <w:rPr>
                <w:sz w:val="20"/>
                <w:szCs w:val="20"/>
                <w:color w:val="auto"/>
              </w:rPr>
            </w:pPr>
            <w:r>
              <w:rPr>
                <w:rFonts w:ascii="Arial" w:cs="Arial" w:eastAsia="Arial" w:hAnsi="Arial"/>
                <w:sz w:val="22"/>
                <w:szCs w:val="22"/>
                <w:color w:val="auto"/>
                <w:w w:val="89"/>
              </w:rPr>
              <w:t>61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7.23.</w:t>
            </w:r>
          </w:p>
        </w:tc>
        <w:tc>
          <w:tcPr>
            <w:tcW w:w="6980" w:type="dxa"/>
            <w:vAlign w:val="bottom"/>
            <w:gridSpan w:val="2"/>
          </w:tcPr>
          <w:p>
            <w:pPr>
              <w:ind w:left="560"/>
              <w:spacing w:after="0"/>
              <w:rPr>
                <w:sz w:val="20"/>
                <w:szCs w:val="20"/>
                <w:color w:val="auto"/>
              </w:rPr>
            </w:pPr>
            <w:r>
              <w:rPr>
                <w:rFonts w:ascii="Arial" w:cs="Arial" w:eastAsia="Arial" w:hAnsi="Arial"/>
                <w:sz w:val="22"/>
                <w:szCs w:val="22"/>
                <w:color w:val="auto"/>
                <w:w w:val="87"/>
              </w:rPr>
              <w:t>Excluded Assets.............................................................................................</w:t>
            </w:r>
          </w:p>
        </w:tc>
        <w:tc>
          <w:tcPr>
            <w:tcW w:w="360" w:type="dxa"/>
            <w:vAlign w:val="bottom"/>
          </w:tcPr>
          <w:p>
            <w:pPr>
              <w:ind w:left="40"/>
              <w:spacing w:after="0"/>
              <w:rPr>
                <w:sz w:val="20"/>
                <w:szCs w:val="20"/>
                <w:color w:val="auto"/>
              </w:rPr>
            </w:pPr>
            <w:r>
              <w:rPr>
                <w:rFonts w:ascii="Arial" w:cs="Arial" w:eastAsia="Arial" w:hAnsi="Arial"/>
                <w:sz w:val="22"/>
                <w:szCs w:val="22"/>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Exhibits:</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7"/>
          <w:szCs w:val="17"/>
          <w:color w:val="auto"/>
        </w:rPr>
        <w:t xml:space="preserve">–– </w:t>
      </w:r>
      <w:r>
        <w:rPr>
          <w:rFonts w:ascii="Arial" w:cs="Arial" w:eastAsia="Arial" w:hAnsi="Arial"/>
          <w:sz w:val="19"/>
          <w:szCs w:val="19"/>
          <w:color w:val="auto"/>
        </w:rPr>
        <w:t>Additional Indebtedness Designation</w:t>
      </w:r>
    </w:p>
    <w:p>
      <w:pPr>
        <w:spacing w:after="0" w:line="4"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7"/>
          <w:szCs w:val="17"/>
          <w:color w:val="auto"/>
        </w:rPr>
        <w:t xml:space="preserve">–– </w:t>
      </w:r>
      <w:r>
        <w:rPr>
          <w:rFonts w:ascii="Arial" w:cs="Arial" w:eastAsia="Arial" w:hAnsi="Arial"/>
          <w:sz w:val="19"/>
          <w:szCs w:val="19"/>
          <w:color w:val="auto"/>
        </w:rPr>
        <w:t>Additional Indebtedness Joinder</w:t>
      </w:r>
    </w:p>
    <w:p>
      <w:pPr>
        <w:spacing w:after="0" w:line="14" w:lineRule="exact"/>
        <w:rPr>
          <w:sz w:val="20"/>
          <w:szCs w:val="20"/>
          <w:color w:val="auto"/>
        </w:rPr>
      </w:pPr>
    </w:p>
    <w:p>
      <w:pPr>
        <w:ind w:right="1719"/>
        <w:spacing w:after="0" w:line="226" w:lineRule="auto"/>
        <w:rPr>
          <w:sz w:val="20"/>
          <w:szCs w:val="20"/>
          <w:color w:val="auto"/>
        </w:rPr>
      </w:pPr>
      <w:r>
        <w:rPr>
          <w:rFonts w:ascii="Arial" w:cs="Arial" w:eastAsia="Arial" w:hAnsi="Arial"/>
          <w:sz w:val="22"/>
          <w:szCs w:val="22"/>
          <w:color w:val="auto"/>
        </w:rPr>
        <w:t xml:space="preserve">Exhibit C </w:t>
      </w:r>
      <w:r>
        <w:rPr>
          <w:rFonts w:ascii="Arial" w:cs="Arial" w:eastAsia="Arial" w:hAnsi="Arial"/>
          <w:sz w:val="18"/>
          <w:szCs w:val="18"/>
          <w:color w:val="auto"/>
        </w:rPr>
        <w:t>––</w:t>
      </w:r>
      <w:r>
        <w:rPr>
          <w:rFonts w:ascii="Arial" w:cs="Arial" w:eastAsia="Arial" w:hAnsi="Arial"/>
          <w:sz w:val="22"/>
          <w:szCs w:val="22"/>
          <w:color w:val="auto"/>
        </w:rPr>
        <w:t xml:space="preserve"> First Lien Credit Agreement or [ ]i[First/Second Lien]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Credit Facility Joinder Exhibit D </w:t>
      </w:r>
      <w:r>
        <w:rPr>
          <w:rFonts w:ascii="Arial" w:cs="Arial" w:eastAsia="Arial" w:hAnsi="Arial"/>
          <w:sz w:val="18"/>
          <w:szCs w:val="18"/>
          <w:color w:val="auto"/>
        </w:rPr>
        <w:t>––</w:t>
      </w:r>
      <w:r>
        <w:rPr>
          <w:rFonts w:ascii="Arial" w:cs="Arial" w:eastAsia="Arial" w:hAnsi="Arial"/>
          <w:sz w:val="22"/>
          <w:szCs w:val="22"/>
          <w:color w:val="auto"/>
        </w:rPr>
        <w:t xml:space="preserve"> Trustee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28" w:right="1440" w:bottom="1440" w:gutter="0" w:footer="0" w:header="0"/>
        </w:sectPr>
      </w:pPr>
    </w:p>
    <w:bookmarkStart w:id="560" w:name="page561"/>
    <w:bookmarkEnd w:id="560"/>
    <w:p>
      <w:pPr>
        <w:jc w:val="center"/>
        <w:spacing w:after="0"/>
        <w:rPr>
          <w:sz w:val="20"/>
          <w:szCs w:val="20"/>
          <w:color w:val="auto"/>
        </w:rPr>
      </w:pPr>
      <w:r>
        <w:rPr>
          <w:rFonts w:ascii="Arial" w:cs="Arial" w:eastAsia="Arial" w:hAnsi="Arial"/>
          <w:sz w:val="22"/>
          <w:szCs w:val="22"/>
          <w:color w:val="auto"/>
        </w:rPr>
        <w:t>INTERCREDITOR AGREEMENT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This Intercreditor Agreement (as amended, restated, supplemented, waived or otherwise modified from time to time pursuant to the terms hereof, this “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 is entered into as of [ ] between [ ], in its capacity as collateral agent (together with its successors and assigns in such capacity from time to time and as further defined herein, the “ </w:t>
      </w:r>
      <w:r>
        <w:rPr>
          <w:rFonts w:ascii="Arial" w:cs="Arial" w:eastAsia="Arial" w:hAnsi="Arial"/>
          <w:sz w:val="19"/>
          <w:szCs w:val="19"/>
          <w:u w:val="single" w:color="auto"/>
          <w:color w:val="auto"/>
        </w:rPr>
        <w:t>Original First Lien Agent</w:t>
      </w:r>
      <w:r>
        <w:rPr>
          <w:rFonts w:ascii="Arial" w:cs="Arial" w:eastAsia="Arial" w:hAnsi="Arial"/>
          <w:sz w:val="19"/>
          <w:szCs w:val="19"/>
          <w:color w:val="auto"/>
        </w:rPr>
        <w:t xml:space="preserve"> ”)</w:t>
      </w:r>
    </w:p>
    <w:tbl>
      <w:tblPr>
        <w:tblLayout w:type="fixed"/>
        <w:tblInd w:w="0" w:type="dxa"/>
        <w:tblCellMar>
          <w:top w:w="0" w:type="dxa"/>
          <w:left w:w="0" w:type="dxa"/>
          <w:bottom w:w="0" w:type="dxa"/>
          <w:right w:w="0" w:type="dxa"/>
        </w:tblCellMar>
      </w:tblPr>
      <w:tr>
        <w:trPr>
          <w:trHeight w:val="229"/>
        </w:trPr>
        <w:tc>
          <w:tcPr>
            <w:tcW w:w="6240" w:type="dxa"/>
            <w:vAlign w:val="bottom"/>
          </w:tcPr>
          <w:p>
            <w:pPr>
              <w:spacing w:after="0" w:line="228" w:lineRule="exact"/>
              <w:rPr>
                <w:sz w:val="20"/>
                <w:szCs w:val="20"/>
                <w:color w:val="auto"/>
              </w:rPr>
            </w:pPr>
            <w:r>
              <w:rPr>
                <w:rFonts w:ascii="Arial" w:cs="Arial" w:eastAsia="Arial" w:hAnsi="Arial"/>
                <w:sz w:val="22"/>
                <w:szCs w:val="22"/>
                <w:color w:val="auto"/>
                <w:w w:val="97"/>
              </w:rPr>
              <w:t>for the Original First Lien Secured Parties referred to below, and [</w:t>
            </w:r>
          </w:p>
        </w:tc>
        <w:tc>
          <w:tcPr>
            <w:tcW w:w="5000" w:type="dxa"/>
            <w:vAlign w:val="bottom"/>
            <w:gridSpan w:val="5"/>
          </w:tcPr>
          <w:p>
            <w:pPr>
              <w:jc w:val="right"/>
              <w:spacing w:after="0" w:line="228" w:lineRule="exact"/>
              <w:rPr>
                <w:sz w:val="20"/>
                <w:szCs w:val="20"/>
                <w:color w:val="auto"/>
              </w:rPr>
            </w:pPr>
            <w:r>
              <w:rPr>
                <w:rFonts w:ascii="Arial" w:cs="Arial" w:eastAsia="Arial" w:hAnsi="Arial"/>
                <w:sz w:val="22"/>
                <w:szCs w:val="22"/>
                <w:color w:val="auto"/>
                <w:w w:val="99"/>
              </w:rPr>
              <w:t>], in its capacity as collateral agent (together with its</w:t>
            </w:r>
          </w:p>
        </w:tc>
      </w:tr>
      <w:tr>
        <w:trPr>
          <w:trHeight w:val="235"/>
        </w:trPr>
        <w:tc>
          <w:tcPr>
            <w:tcW w:w="8440" w:type="dxa"/>
            <w:vAlign w:val="bottom"/>
            <w:gridSpan w:val="2"/>
          </w:tcPr>
          <w:p>
            <w:pPr>
              <w:spacing w:after="0" w:line="234" w:lineRule="exact"/>
              <w:rPr>
                <w:sz w:val="20"/>
                <w:szCs w:val="20"/>
                <w:color w:val="auto"/>
              </w:rPr>
            </w:pPr>
            <w:r>
              <w:rPr>
                <w:rFonts w:ascii="Arial" w:cs="Arial" w:eastAsia="Arial" w:hAnsi="Arial"/>
                <w:sz w:val="22"/>
                <w:szCs w:val="22"/>
                <w:color w:val="auto"/>
                <w:w w:val="91"/>
              </w:rPr>
              <w:t>successors and assigns in such capacity from time to time and as further defined herein, the “[</w:t>
            </w:r>
          </w:p>
        </w:tc>
        <w:tc>
          <w:tcPr>
            <w:tcW w:w="2800" w:type="dxa"/>
            <w:vAlign w:val="bottom"/>
            <w:gridSpan w:val="4"/>
          </w:tcPr>
          <w:p>
            <w:pPr>
              <w:jc w:val="right"/>
              <w:spacing w:after="0" w:line="235" w:lineRule="exact"/>
              <w:rPr>
                <w:sz w:val="20"/>
                <w:szCs w:val="20"/>
                <w:color w:val="auto"/>
              </w:rPr>
            </w:pPr>
            <w:r>
              <w:rPr>
                <w:rFonts w:ascii="Arial" w:cs="Arial" w:eastAsia="Arial" w:hAnsi="Arial"/>
                <w:sz w:val="21"/>
                <w:szCs w:val="21"/>
                <w:color w:val="auto"/>
              </w:rPr>
              <w:t xml:space="preserve">]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Agent</w:t>
            </w:r>
          </w:p>
        </w:tc>
      </w:tr>
      <w:tr>
        <w:trPr>
          <w:trHeight w:val="20"/>
        </w:trPr>
        <w:tc>
          <w:tcPr>
            <w:tcW w:w="8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87"/>
        </w:trPr>
        <w:tc>
          <w:tcPr>
            <w:tcW w:w="8440" w:type="dxa"/>
            <w:vAlign w:val="bottom"/>
            <w:gridSpan w:val="2"/>
          </w:tcPr>
          <w:p>
            <w:pPr>
              <w:spacing w:after="0" w:line="286" w:lineRule="exact"/>
              <w:rPr>
                <w:sz w:val="20"/>
                <w:szCs w:val="20"/>
                <w:color w:val="auto"/>
              </w:rPr>
            </w:pPr>
            <w:r>
              <w:rPr>
                <w:rFonts w:ascii="Arial" w:cs="Arial" w:eastAsia="Arial" w:hAnsi="Arial"/>
                <w:sz w:val="22"/>
                <w:szCs w:val="22"/>
                <w:color w:val="auto"/>
                <w:w w:val="94"/>
              </w:rPr>
              <w:t xml:space="preserve">”) for the [   ] </w:t>
            </w:r>
            <w:r>
              <w:rPr>
                <w:rFonts w:ascii="Arial" w:cs="Arial" w:eastAsia="Arial" w:hAnsi="Arial"/>
                <w:sz w:val="28"/>
                <w:szCs w:val="28"/>
                <w:color w:val="auto"/>
                <w:w w:val="94"/>
                <w:vertAlign w:val="superscript"/>
              </w:rPr>
              <w:t>i</w:t>
            </w:r>
            <w:r>
              <w:rPr>
                <w:rFonts w:ascii="Arial" w:cs="Arial" w:eastAsia="Arial" w:hAnsi="Arial"/>
                <w:sz w:val="22"/>
                <w:szCs w:val="22"/>
                <w:color w:val="auto"/>
                <w:w w:val="94"/>
              </w:rPr>
              <w:t xml:space="preserve"> [First/Second] </w:t>
            </w:r>
            <w:r>
              <w:rPr>
                <w:rFonts w:ascii="Arial" w:cs="Arial" w:eastAsia="Arial" w:hAnsi="Arial"/>
                <w:sz w:val="28"/>
                <w:szCs w:val="28"/>
                <w:color w:val="auto"/>
                <w:w w:val="94"/>
                <w:vertAlign w:val="superscript"/>
              </w:rPr>
              <w:t>ii</w:t>
            </w:r>
            <w:r>
              <w:rPr>
                <w:rFonts w:ascii="Arial" w:cs="Arial" w:eastAsia="Arial" w:hAnsi="Arial"/>
                <w:sz w:val="22"/>
                <w:szCs w:val="22"/>
                <w:color w:val="auto"/>
                <w:w w:val="94"/>
              </w:rPr>
              <w:t xml:space="preserve"> Lien Lenders referred to below party from time to time to the [</w:t>
            </w:r>
          </w:p>
        </w:tc>
        <w:tc>
          <w:tcPr>
            <w:tcW w:w="2800" w:type="dxa"/>
            <w:vAlign w:val="bottom"/>
            <w:gridSpan w:val="4"/>
          </w:tcPr>
          <w:p>
            <w:pPr>
              <w:jc w:val="right"/>
              <w:ind w:right="20"/>
              <w:spacing w:after="0" w:line="286" w:lineRule="exact"/>
              <w:rPr>
                <w:sz w:val="20"/>
                <w:szCs w:val="20"/>
                <w:color w:val="auto"/>
              </w:rPr>
            </w:pPr>
            <w:r>
              <w:rPr>
                <w:rFonts w:ascii="Arial" w:cs="Arial" w:eastAsia="Arial" w:hAnsi="Arial"/>
                <w:sz w:val="22"/>
                <w:szCs w:val="22"/>
                <w:color w:val="auto"/>
                <w:w w:val="96"/>
              </w:rPr>
              <w:t xml:space="preserve">] </w:t>
            </w:r>
            <w:r>
              <w:rPr>
                <w:rFonts w:ascii="Arial" w:cs="Arial" w:eastAsia="Arial" w:hAnsi="Arial"/>
                <w:sz w:val="28"/>
                <w:szCs w:val="28"/>
                <w:color w:val="auto"/>
                <w:w w:val="96"/>
                <w:vertAlign w:val="superscript"/>
              </w:rPr>
              <w:t>i</w:t>
            </w:r>
            <w:r>
              <w:rPr>
                <w:rFonts w:ascii="Arial" w:cs="Arial" w:eastAsia="Arial" w:hAnsi="Arial"/>
                <w:sz w:val="22"/>
                <w:szCs w:val="22"/>
                <w:color w:val="auto"/>
                <w:w w:val="96"/>
              </w:rPr>
              <w:t xml:space="preserve"> [First/Second]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Credit</w:t>
            </w:r>
          </w:p>
        </w:tc>
      </w:tr>
    </w:tbl>
    <w:p>
      <w:pPr>
        <w:spacing w:after="0"/>
        <w:rPr>
          <w:sz w:val="20"/>
          <w:szCs w:val="20"/>
          <w:color w:val="auto"/>
        </w:rPr>
      </w:pPr>
      <w:r>
        <w:rPr>
          <w:rFonts w:ascii="Arial" w:cs="Arial" w:eastAsia="Arial" w:hAnsi="Arial"/>
          <w:sz w:val="22"/>
          <w:szCs w:val="22"/>
          <w:color w:val="auto"/>
        </w:rPr>
        <w:t>Agreement referred to below. Capitalized terms defined in Article I hereof are used in this Agreement as so defined.</w:t>
      </w:r>
    </w:p>
    <w:p>
      <w:pPr>
        <w:spacing w:after="0" w:line="202"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PRELIMINARY STATEMENT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Pursuant to the Original First Lien Credit Agreement, the Original First Lien Credit Agreement Lenders have agreed to make certain loans and other financial accommodations to or for the benefit of the Original First Lien Borrower.</w:t>
      </w:r>
    </w:p>
    <w:p>
      <w:pPr>
        <w:spacing w:after="0" w:line="15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Pursuant to the Original First Lien Credit Agreement, the Original First Lien Guarantors have agreed to guarantee the payment and performance of the Original First Lien Borrower’s obligations under the Original First Lien Documents.</w:t>
      </w:r>
    </w:p>
    <w:p>
      <w:pPr>
        <w:spacing w:after="0" w:line="1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2"/>
          <w:szCs w:val="22"/>
          <w:color w:val="auto"/>
        </w:rPr>
        <w:t xml:space="preserve">Pursuant to the [ ] </w:t>
      </w:r>
      <w:r>
        <w:rPr>
          <w:rFonts w:ascii="Arial" w:cs="Arial" w:eastAsia="Arial" w:hAnsi="Arial"/>
          <w:sz w:val="14"/>
          <w:szCs w:val="14"/>
          <w:color w:val="auto"/>
        </w:rPr>
        <w:t>i</w:t>
      </w:r>
      <w:r>
        <w:rPr>
          <w:rFonts w:ascii="Arial" w:cs="Arial" w:eastAsia="Arial" w:hAnsi="Arial"/>
          <w:sz w:val="22"/>
          <w:szCs w:val="22"/>
          <w:color w:val="auto"/>
        </w:rPr>
        <w:t xml:space="preserve"> [First/Second] </w:t>
      </w:r>
      <w:r>
        <w:rPr>
          <w:rFonts w:ascii="Arial" w:cs="Arial" w:eastAsia="Arial" w:hAnsi="Arial"/>
          <w:sz w:val="14"/>
          <w:szCs w:val="14"/>
          <w:color w:val="auto"/>
        </w:rPr>
        <w:t>ii</w:t>
      </w:r>
      <w:r>
        <w:rPr>
          <w:rFonts w:ascii="Arial" w:cs="Arial" w:eastAsia="Arial" w:hAnsi="Arial"/>
          <w:sz w:val="22"/>
          <w:szCs w:val="22"/>
          <w:color w:val="auto"/>
        </w:rPr>
        <w:t xml:space="preserve"> Lien Credit Facility, [ ] </w:t>
      </w:r>
      <w:r>
        <w:rPr>
          <w:rFonts w:ascii="Arial" w:cs="Arial" w:eastAsia="Arial" w:hAnsi="Arial"/>
          <w:sz w:val="14"/>
          <w:szCs w:val="14"/>
          <w:color w:val="auto"/>
        </w:rPr>
        <w:t>i</w:t>
      </w:r>
      <w:r>
        <w:rPr>
          <w:rFonts w:ascii="Arial" w:cs="Arial" w:eastAsia="Arial" w:hAnsi="Arial"/>
          <w:sz w:val="22"/>
          <w:szCs w:val="22"/>
          <w:color w:val="auto"/>
        </w:rPr>
        <w:t xml:space="preserve"> [First/Second] </w:t>
      </w:r>
      <w:r>
        <w:rPr>
          <w:rFonts w:ascii="Arial" w:cs="Arial" w:eastAsia="Arial" w:hAnsi="Arial"/>
          <w:sz w:val="14"/>
          <w:szCs w:val="14"/>
          <w:color w:val="auto"/>
        </w:rPr>
        <w:t>ii</w:t>
      </w:r>
      <w:r>
        <w:rPr>
          <w:rFonts w:ascii="Arial" w:cs="Arial" w:eastAsia="Arial" w:hAnsi="Arial"/>
          <w:sz w:val="22"/>
          <w:szCs w:val="22"/>
          <w:color w:val="auto"/>
        </w:rPr>
        <w:t xml:space="preserve"> Lien Creditors have agreed to make certain extensions of credit to or for the benefit of the [ ] </w:t>
      </w:r>
      <w:r>
        <w:rPr>
          <w:rFonts w:ascii="Arial" w:cs="Arial" w:eastAsia="Arial" w:hAnsi="Arial"/>
          <w:sz w:val="14"/>
          <w:szCs w:val="14"/>
          <w:color w:val="auto"/>
        </w:rPr>
        <w:t>iii</w:t>
      </w:r>
      <w:r>
        <w:rPr>
          <w:rFonts w:ascii="Arial" w:cs="Arial" w:eastAsia="Arial" w:hAnsi="Arial"/>
          <w:sz w:val="22"/>
          <w:szCs w:val="22"/>
          <w:color w:val="auto"/>
        </w:rPr>
        <w:t xml:space="preserve"> Borrower, as more particularly provided therein.</w:t>
      </w:r>
    </w:p>
    <w:p>
      <w:pPr>
        <w:spacing w:after="0" w:line="154" w:lineRule="exact"/>
        <w:rPr>
          <w:sz w:val="20"/>
          <w:szCs w:val="20"/>
          <w:color w:val="auto"/>
        </w:rPr>
      </w:pPr>
    </w:p>
    <w:p>
      <w:pPr>
        <w:ind w:firstLine="648"/>
        <w:spacing w:after="0" w:line="321" w:lineRule="auto"/>
        <w:rPr>
          <w:sz w:val="20"/>
          <w:szCs w:val="20"/>
          <w:color w:val="auto"/>
        </w:rPr>
      </w:pPr>
      <w:r>
        <w:rPr>
          <w:rFonts w:ascii="Arial" w:cs="Arial" w:eastAsia="Arial" w:hAnsi="Arial"/>
          <w:sz w:val="20"/>
          <w:szCs w:val="20"/>
          <w:color w:val="auto"/>
        </w:rPr>
        <w:t xml:space="preserve">Pursuant to the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Guarantees, the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Guarantors have agreed to guarantee the payment and performance of the [ ] </w:t>
      </w:r>
      <w:r>
        <w:rPr>
          <w:rFonts w:ascii="Arial" w:cs="Arial" w:eastAsia="Arial" w:hAnsi="Arial"/>
          <w:sz w:val="26"/>
          <w:szCs w:val="26"/>
          <w:color w:val="auto"/>
          <w:vertAlign w:val="superscript"/>
        </w:rPr>
        <w:t>iii</w:t>
      </w:r>
      <w:r>
        <w:rPr>
          <w:rFonts w:ascii="Arial" w:cs="Arial" w:eastAsia="Arial" w:hAnsi="Arial"/>
          <w:sz w:val="20"/>
          <w:szCs w:val="20"/>
          <w:color w:val="auto"/>
        </w:rPr>
        <w:t xml:space="preserve"> Borrower’s obligations under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Documents.</w:t>
      </w:r>
    </w:p>
    <w:p>
      <w:pPr>
        <w:spacing w:after="0" w:line="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Pursuant to this Agreement, the Company may, from time to time, designate certain additional obligations of any Loan Party as “ </w:t>
      </w:r>
      <w:r>
        <w:rPr>
          <w:rFonts w:ascii="Arial" w:cs="Arial" w:eastAsia="Arial" w:hAnsi="Arial"/>
          <w:sz w:val="22"/>
          <w:szCs w:val="22"/>
          <w:u w:val="single" w:color="auto"/>
          <w:color w:val="auto"/>
        </w:rPr>
        <w:t>Additional Indebtedness</w:t>
      </w:r>
      <w:r>
        <w:rPr>
          <w:rFonts w:ascii="Arial" w:cs="Arial" w:eastAsia="Arial" w:hAnsi="Arial"/>
          <w:sz w:val="22"/>
          <w:szCs w:val="22"/>
          <w:color w:val="auto"/>
        </w:rPr>
        <w:t xml:space="preserve"> ” by executing and delivering an Additional Indebtedness Designation hereunder and by complying with the procedures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hereof, and the holders of such Additional Indebtedness and any other applicable Additional Credit Facility Secured Party shall thereafter constitute Senior Priority Creditors or Junior Priority Creditors (as so designated by the Company), as the case may be, and any Additional Agent therefor shall thereafter constitute a Senior Priority Agent or Junior Priority Agent (as so designated by the Company), as the case may be, for all purposes under this Agreement.</w:t>
      </w:r>
    </w:p>
    <w:p>
      <w:pPr>
        <w:spacing w:after="0" w:line="186" w:lineRule="exact"/>
        <w:rPr>
          <w:sz w:val="20"/>
          <w:szCs w:val="20"/>
          <w:color w:val="auto"/>
        </w:rPr>
      </w:pPr>
    </w:p>
    <w:p>
      <w:pPr>
        <w:jc w:val="both"/>
        <w:ind w:firstLine="648"/>
        <w:spacing w:after="0" w:line="215" w:lineRule="auto"/>
        <w:rPr>
          <w:sz w:val="20"/>
          <w:szCs w:val="20"/>
          <w:color w:val="auto"/>
        </w:rPr>
      </w:pPr>
      <w:r>
        <w:rPr>
          <w:rFonts w:ascii="Arial" w:cs="Arial" w:eastAsia="Arial" w:hAnsi="Arial"/>
          <w:sz w:val="21"/>
          <w:szCs w:val="21"/>
          <w:color w:val="auto"/>
        </w:rPr>
        <w:t xml:space="preserve">Each of the Original First Lien Agent (on behalf of the Original First Lien Secured Parties) and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Agent (on behalf of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Secured Parties) and, by their acknowledgment hereof, the Original First Lien Loan Parties and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Loan Parties, desire to agree to the relative priority of Liens on the Collateral and certain other rights, priorities and interests as provided herein.</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Accordingly, in consideration of the foregoing and for other good and valuable consideration, receipt of which is hereby acknowledged, the parties hereto agree as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1" w:name="page562"/>
    <w:bookmarkEnd w:id="561"/>
    <w:p>
      <w:pPr>
        <w:jc w:val="center"/>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UCC Definitions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The following terms which are defined in the Uniform Commercial Code are used herein as so defined: Accounts, Chattel Paper, Deposit Accounts, Documents, Financial Assets, Instruments, Investment Property, Money, Security and Security Entitlements.</w:t>
      </w:r>
    </w:p>
    <w:p>
      <w:pPr>
        <w:spacing w:after="0" w:line="17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 xml:space="preserve">Other Definitions </w:t>
      </w:r>
      <w:r>
        <w:rPr>
          <w:rFonts w:ascii="Arial" w:cs="Arial" w:eastAsia="Arial" w:hAnsi="Arial"/>
          <w:sz w:val="19"/>
          <w:szCs w:val="19"/>
          <w:b w:val="1"/>
          <w:bCs w:val="1"/>
          <w:color w:val="auto"/>
        </w:rPr>
        <w:t>.</w:t>
      </w:r>
      <w:r>
        <w:rPr>
          <w:rFonts w:ascii="Arial" w:cs="Arial" w:eastAsia="Arial" w:hAnsi="Arial"/>
          <w:sz w:val="19"/>
          <w:szCs w:val="19"/>
          <w:u w:val="single" w:color="auto"/>
          <w:color w:val="auto"/>
        </w:rPr>
        <w:t xml:space="preserve"> </w:t>
      </w:r>
      <w:r>
        <w:rPr>
          <w:rFonts w:ascii="Arial" w:cs="Arial" w:eastAsia="Arial" w:hAnsi="Arial"/>
          <w:sz w:val="19"/>
          <w:szCs w:val="19"/>
          <w:color w:val="auto"/>
        </w:rPr>
        <w:t>As used in this Agreement, the following terms shall have the meanings set forth</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Agent</w:t>
      </w:r>
      <w:r>
        <w:rPr>
          <w:rFonts w:ascii="Arial" w:cs="Arial" w:eastAsia="Arial" w:hAnsi="Arial"/>
          <w:sz w:val="22"/>
          <w:szCs w:val="22"/>
          <w:color w:val="auto"/>
        </w:rPr>
        <w:t xml:space="preserve"> ” shall mean any one or more administrative agents, collateral agents, security agents, trustees or other representatives for or of any one or more Additional Credit Facility Secured Parties, and shall include any successor thereto, as well as any Person designated as an “Agent” under any Additional Credit Facility.</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Additional Bank Products Affiliate</w:t>
      </w:r>
      <w:r>
        <w:rPr>
          <w:rFonts w:ascii="Arial" w:cs="Arial" w:eastAsia="Arial" w:hAnsi="Arial"/>
          <w:sz w:val="19"/>
          <w:szCs w:val="19"/>
          <w:color w:val="auto"/>
        </w:rPr>
        <w:t xml:space="preserve"> ” shall mean any Person who (a) has entered into a Bank Products Agreement with any Additional Loan Party with the obligations of such Additional Loan Party thereunder being secured by one or more Additional Collateral Documents, (b) was an Additional Agent, an Additional Credit Facility Lender or an Affiliate of an Additional Credit Facility Lender on the date hereof, or at the time of entry into such Bank Products Agreement, or at the time of the designation referred to in the following clause (c), and (c) has been designated by the Company in accordance with the terms of one or more Additional Collateral Documents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Person shall, with respect to any Bank Products Agreement, be at any time a Bank Products Affiliate hereunder with respect to more than one Credit Facility).</w:t>
      </w:r>
    </w:p>
    <w:p>
      <w:pPr>
        <w:spacing w:after="0" w:line="15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Borrower</w:t>
      </w:r>
      <w:r>
        <w:rPr>
          <w:rFonts w:ascii="Arial" w:cs="Arial" w:eastAsia="Arial" w:hAnsi="Arial"/>
          <w:sz w:val="22"/>
          <w:szCs w:val="22"/>
          <w:color w:val="auto"/>
        </w:rPr>
        <w:t xml:space="preserve"> ” shall mean any Additional Loan Party that incurs or issues Additional Indebtedness under any Additional Credit Facility, together with its successors and assigns.</w:t>
      </w:r>
    </w:p>
    <w:p>
      <w:pPr>
        <w:spacing w:after="0" w:line="17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Additional Collateral Documents</w:t>
      </w:r>
      <w:r>
        <w:rPr>
          <w:rFonts w:ascii="Arial" w:cs="Arial" w:eastAsia="Arial" w:hAnsi="Arial"/>
          <w:sz w:val="19"/>
          <w:szCs w:val="19"/>
          <w:color w:val="auto"/>
        </w:rPr>
        <w:t xml:space="preserve"> ” shall mean all “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 as defined in any Additional Credit Facility, and in any event shall include all security agreements, mortgages, deeds of trust, pledges and other collateral documents executed and delivered in connection with any Additional Credit Facility, and any other agreement, document or instrument pursuant to which a Lien is granted securing any Additional Obligations or under which rights or remedies with respect to such Liens are governed, in each case as the same may be amended, modified or supplemented from time to time.</w:t>
      </w:r>
    </w:p>
    <w:p>
      <w:pPr>
        <w:spacing w:after="0" w:line="14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Additional Credit Facilities</w:t>
      </w:r>
      <w:r>
        <w:rPr>
          <w:rFonts w:ascii="Arial" w:cs="Arial" w:eastAsia="Arial" w:hAnsi="Arial"/>
          <w:sz w:val="19"/>
          <w:szCs w:val="19"/>
          <w:color w:val="auto"/>
        </w:rPr>
        <w:t xml:space="preserve"> ” shall mean (a) any one or more agreements, instruments and documents under which any Additional Indebtedness is or may be incurred, including any credit agreements, loan agreements, indentures, guarantees or other financing agreements, in each case as the same may be amended, supplemented, waived or otherwise modified from time to time, together with (b) if designated by the Company, any other agreement (including any credit agreement, loan agreement, indenture or other financing agreement) extending the maturity of, consolidating, restructuring, refunding, replacing or refinancing all or any portion of the Additional Obligations, whether by the same or any other lender, debtholder or group of lenders or debtholders, or the same or any other agent, trustee or representative therefor, or otherwise, and whether or not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2" w:name="page563"/>
    <w:bookmarkEnd w:id="562"/>
    <w:p>
      <w:pPr>
        <w:spacing w:after="0" w:line="263" w:lineRule="auto"/>
        <w:rPr>
          <w:sz w:val="20"/>
          <w:szCs w:val="20"/>
          <w:color w:val="auto"/>
        </w:rPr>
      </w:pPr>
      <w:r>
        <w:rPr>
          <w:rFonts w:ascii="Arial" w:cs="Arial" w:eastAsia="Arial" w:hAnsi="Arial"/>
          <w:sz w:val="22"/>
          <w:szCs w:val="22"/>
          <w:color w:val="auto"/>
        </w:rPr>
        <w:t xml:space="preserve">increasing the amount of any Indebtedness that may be incurred thereunder;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Indebtedness that is Senior Priority Debt incurred under such other agreements meets the requirements of Additional Indebtedness.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Additional Credit Facility Lenders</w:t>
      </w:r>
      <w:r>
        <w:rPr>
          <w:rFonts w:ascii="Arial" w:cs="Arial" w:eastAsia="Arial" w:hAnsi="Arial"/>
          <w:sz w:val="19"/>
          <w:szCs w:val="19"/>
          <w:color w:val="auto"/>
        </w:rPr>
        <w:t xml:space="preserve"> ” shall mean one or more holders of Additional Indebtedness (or commitments therefor) that is or may be incurred under one or more Additional Credit Facilities, together with their successors, assigns and transferees, as well as any Person designated as an “Additional Credit Facility Lender” under any Additional Credit Facility.</w:t>
      </w:r>
    </w:p>
    <w:p>
      <w:pPr>
        <w:spacing w:after="0" w:line="1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Credit Facility Secured Parties</w:t>
      </w:r>
      <w:r>
        <w:rPr>
          <w:rFonts w:ascii="Arial" w:cs="Arial" w:eastAsia="Arial" w:hAnsi="Arial"/>
          <w:sz w:val="22"/>
          <w:szCs w:val="22"/>
          <w:color w:val="auto"/>
        </w:rPr>
        <w:t xml:space="preserve"> ” shall mean all Additional Agents, all Additional Credit Facility Lenders, all Additional Bank Products Affiliates and all Additional Hedging Affiliates, and all successors, assigns, transferees and replacements thereof, as well as any Person designated as an “Additional Credit Facility Secured Party” under any Additional Credit Facility; and with respect to any Additional Agent, shall mean the Additional Credit Facility Secured Party represented by such Additional Agent.</w:t>
      </w:r>
    </w:p>
    <w:p>
      <w:pPr>
        <w:spacing w:after="0" w:line="19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Additional Documents</w:t>
      </w:r>
      <w:r>
        <w:rPr>
          <w:rFonts w:ascii="Arial" w:cs="Arial" w:eastAsia="Arial" w:hAnsi="Arial"/>
          <w:sz w:val="19"/>
          <w:szCs w:val="19"/>
          <w:color w:val="auto"/>
        </w:rPr>
        <w:t xml:space="preserve"> ” shall mean, with respect to any Indebtedness designated as Additional Indebtedness hereunder, any Additional Credit Facilities, any Additional Guarantees, any Additional Collateral Documents, any Bank Products Agreements between any Loan Party and any Additional Bank Products Affiliate, any Hedging Agreements between any Loan Party and any Additional Hedging Affiliate, those other ancillary agreements as to which any Additional Credit Facility Secured Party is a party or a beneficiary and all other agreements, instruments, documents and certificates, now or hereafter executed by or on behalf of any Loan Party or any of its respective Subsidiaries or Affiliates, and delivered to any Additional Agent, in connection with any of the foregoing or any Additional Credit Facility, including any intercreditor or joinder agreement among any of the Additional Credit Facility Secured Parties or among any of the Secured Parties and any Additional Credit Facility Secured Parties, in each case as the same may be amended, supplemented, waived or otherwise modified from time to time.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Effective Date</w:t>
      </w:r>
      <w:r>
        <w:rPr>
          <w:rFonts w:ascii="Arial" w:cs="Arial" w:eastAsia="Arial" w:hAnsi="Arial"/>
          <w:sz w:val="22"/>
          <w:szCs w:val="22"/>
          <w:color w:val="auto"/>
        </w:rPr>
        <w:t xml:space="preserve"> ” shall have the meaning set forth in </w:t>
      </w:r>
      <w:r>
        <w:rPr>
          <w:rFonts w:ascii="Arial" w:cs="Arial" w:eastAsia="Arial" w:hAnsi="Arial"/>
          <w:sz w:val="22"/>
          <w:szCs w:val="22"/>
          <w:u w:val="single" w:color="auto"/>
          <w:color w:val="auto"/>
        </w:rPr>
        <w:t>Section 7.11(b)</w:t>
      </w:r>
      <w:r>
        <w:rPr>
          <w:rFonts w:ascii="Arial" w:cs="Arial" w:eastAsia="Arial" w:hAnsi="Arial"/>
          <w:sz w:val="22"/>
          <w:szCs w:val="22"/>
          <w:color w:val="auto"/>
        </w:rPr>
        <w:t xml:space="preserve"> .</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Guarantees</w:t>
      </w:r>
      <w:r>
        <w:rPr>
          <w:rFonts w:ascii="Arial" w:cs="Arial" w:eastAsia="Arial" w:hAnsi="Arial"/>
          <w:sz w:val="22"/>
          <w:szCs w:val="22"/>
          <w:color w:val="auto"/>
        </w:rPr>
        <w:t xml:space="preserve"> ” shall mean any one or more guarantees of any Additional Obligations of any Additional Loan Party by any other Additional Loan Party in favor of any Additional Credit Facility Secured Party, in each case as the same may be amended, supplemented, waived or otherwise modified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Additional Guarantor</w:t>
      </w:r>
      <w:r>
        <w:rPr>
          <w:rFonts w:ascii="Arial" w:cs="Arial" w:eastAsia="Arial" w:hAnsi="Arial"/>
          <w:sz w:val="19"/>
          <w:szCs w:val="19"/>
          <w:color w:val="auto"/>
        </w:rPr>
        <w:t xml:space="preserve"> ” shall mean any Additional Loan Party that at any time has provided an Additional Guarantee.</w:t>
      </w:r>
    </w:p>
    <w:p>
      <w:pPr>
        <w:spacing w:after="0" w:line="25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Hedging Affiliate</w:t>
      </w:r>
      <w:r>
        <w:rPr>
          <w:rFonts w:ascii="Arial" w:cs="Arial" w:eastAsia="Arial" w:hAnsi="Arial"/>
          <w:sz w:val="22"/>
          <w:szCs w:val="22"/>
          <w:color w:val="auto"/>
        </w:rPr>
        <w:t xml:space="preserve"> ” shall mean any Person who (a) has entered into a Hedging Agreement with any Additional Loan Party with the obligations of such Additional Loan Party thereunder being secured by one or more Additional Collateral Documents, (b) was an Additional Agent, an Additional Credit Facility Lender or an Affiliate of an Additional Credit Facility Lender at the time of entry into such Hedging Agreement, or on or prior to the date hereof, or at the time of the designation referred to in the following clause (c), and (c) has been designated by the Company in accordance with the terms of one or more Additional Collateral Documents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3" w:name="page564"/>
    <w:bookmarkEnd w:id="563"/>
    <w:p>
      <w:pPr>
        <w:ind w:right="20"/>
        <w:spacing w:after="0" w:line="263" w:lineRule="auto"/>
        <w:rPr>
          <w:sz w:val="20"/>
          <w:szCs w:val="20"/>
          <w:color w:val="auto"/>
        </w:rPr>
      </w:pPr>
      <w:r>
        <w:rPr>
          <w:rFonts w:ascii="Arial" w:cs="Arial" w:eastAsia="Arial" w:hAnsi="Arial"/>
          <w:sz w:val="22"/>
          <w:szCs w:val="22"/>
          <w:color w:val="auto"/>
        </w:rPr>
        <w:t>Person shall, with respect to any Hedging Agreement, be at any time a Hedging Affiliate hereunder with respect to more than one Credit Facility).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Indebtedness</w:t>
      </w:r>
      <w:r>
        <w:rPr>
          <w:rFonts w:ascii="Arial" w:cs="Arial" w:eastAsia="Arial" w:hAnsi="Arial"/>
          <w:sz w:val="22"/>
          <w:szCs w:val="22"/>
          <w:color w:val="auto"/>
        </w:rPr>
        <w:t xml:space="preserve"> ” shall mean any Additional Specified Indebtedness that</w:t>
      </w:r>
    </w:p>
    <w:p>
      <w:pPr>
        <w:spacing w:after="0" w:line="220" w:lineRule="exact"/>
        <w:rPr>
          <w:sz w:val="20"/>
          <w:szCs w:val="20"/>
          <w:color w:val="auto"/>
        </w:rPr>
      </w:pPr>
    </w:p>
    <w:p>
      <w:pPr>
        <w:ind w:left="1120" w:hanging="464"/>
        <w:spacing w:after="0"/>
        <w:tabs>
          <w:tab w:leader="none" w:pos="1120" w:val="left"/>
        </w:tabs>
        <w:numPr>
          <w:ilvl w:val="0"/>
          <w:numId w:val="725"/>
        </w:numPr>
        <w:rPr>
          <w:rFonts w:ascii="Arial" w:cs="Arial" w:eastAsia="Arial" w:hAnsi="Arial"/>
          <w:sz w:val="22"/>
          <w:szCs w:val="22"/>
          <w:color w:val="auto"/>
        </w:rPr>
      </w:pPr>
      <w:r>
        <w:rPr>
          <w:rFonts w:ascii="Arial" w:cs="Arial" w:eastAsia="Arial" w:hAnsi="Arial"/>
          <w:sz w:val="22"/>
          <w:szCs w:val="22"/>
          <w:color w:val="auto"/>
        </w:rPr>
        <w:t>is secured by a Lien on Collateral and is permitted to be so secured by:</w:t>
      </w:r>
    </w:p>
    <w:p>
      <w:pPr>
        <w:spacing w:after="0" w:line="219" w:lineRule="exact"/>
        <w:rPr>
          <w:rFonts w:ascii="Arial" w:cs="Arial" w:eastAsia="Arial" w:hAnsi="Arial"/>
          <w:sz w:val="22"/>
          <w:szCs w:val="22"/>
          <w:color w:val="auto"/>
        </w:rPr>
      </w:pPr>
    </w:p>
    <w:p>
      <w:pPr>
        <w:jc w:val="both"/>
        <w:ind w:left="660" w:firstLine="644"/>
        <w:spacing w:after="0" w:line="263" w:lineRule="auto"/>
        <w:tabs>
          <w:tab w:leader="none" w:pos="1740" w:val="left"/>
        </w:tabs>
        <w:numPr>
          <w:ilvl w:val="1"/>
          <w:numId w:val="725"/>
        </w:numPr>
        <w:rPr>
          <w:rFonts w:ascii="Arial" w:cs="Arial" w:eastAsia="Arial" w:hAnsi="Arial"/>
          <w:sz w:val="21"/>
          <w:szCs w:val="21"/>
          <w:color w:val="auto"/>
        </w:rPr>
      </w:pPr>
      <w:r>
        <w:rPr>
          <w:rFonts w:ascii="Arial" w:cs="Arial" w:eastAsia="Arial" w:hAnsi="Arial"/>
          <w:sz w:val="21"/>
          <w:szCs w:val="21"/>
          <w:color w:val="auto"/>
        </w:rPr>
        <w:t xml:space="preserve">prior to the Discharge of Original First Lien Obligations,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of the Initial Original First Lien Credit Agreement (if the Initial Original First Lien Credit Agreement is then in effect) or the corresponding negative covenant restricting Liens contained in any other Original First Lien Credit Agreement then in effect if the Initial Original First Lien Credit Agreement is not then in effect (which covenant is designated in such Original First Lien Credit Agreement as applicable for purposes of this definition);</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322"/>
        </w:trPr>
        <w:tc>
          <w:tcPr>
            <w:tcW w:w="3560" w:type="dxa"/>
            <w:vAlign w:val="bottom"/>
            <w:gridSpan w:val="2"/>
          </w:tcPr>
          <w:p>
            <w:pPr>
              <w:ind w:left="640"/>
              <w:spacing w:after="0"/>
              <w:rPr>
                <w:sz w:val="20"/>
                <w:szCs w:val="20"/>
                <w:color w:val="auto"/>
              </w:rPr>
            </w:pPr>
            <w:r>
              <w:rPr>
                <w:rFonts w:ascii="Arial" w:cs="Arial" w:eastAsia="Arial" w:hAnsi="Arial"/>
                <w:sz w:val="22"/>
                <w:szCs w:val="22"/>
                <w:color w:val="auto"/>
              </w:rPr>
              <w:t>(ii)  prior to the Discharge of [</w:t>
            </w:r>
          </w:p>
        </w:tc>
        <w:tc>
          <w:tcPr>
            <w:tcW w:w="5260" w:type="dxa"/>
            <w:vAlign w:val="bottom"/>
            <w:gridSpan w:val="4"/>
          </w:tcPr>
          <w:p>
            <w:pPr>
              <w:ind w:left="160"/>
              <w:spacing w:after="0"/>
              <w:rPr>
                <w:sz w:val="20"/>
                <w:szCs w:val="20"/>
                <w:color w:val="auto"/>
              </w:rPr>
            </w:pPr>
            <w:r>
              <w:rPr>
                <w:rFonts w:ascii="Arial" w:cs="Arial" w:eastAsia="Arial" w:hAnsi="Arial"/>
                <w:sz w:val="22"/>
                <w:szCs w:val="22"/>
                <w:color w:val="auto"/>
                <w:w w:val="94"/>
              </w:rPr>
              <w:t xml:space="preserve">] </w:t>
            </w:r>
            <w:r>
              <w:rPr>
                <w:rFonts w:ascii="Arial" w:cs="Arial" w:eastAsia="Arial" w:hAnsi="Arial"/>
                <w:sz w:val="28"/>
                <w:szCs w:val="28"/>
                <w:color w:val="auto"/>
                <w:w w:val="94"/>
                <w:vertAlign w:val="superscript"/>
              </w:rPr>
              <w:t>i</w:t>
            </w:r>
            <w:r>
              <w:rPr>
                <w:rFonts w:ascii="Arial" w:cs="Arial" w:eastAsia="Arial" w:hAnsi="Arial"/>
                <w:sz w:val="22"/>
                <w:szCs w:val="22"/>
                <w:color w:val="auto"/>
                <w:w w:val="94"/>
              </w:rPr>
              <w:t xml:space="preserve"> [First/Second] </w:t>
            </w:r>
            <w:r>
              <w:rPr>
                <w:rFonts w:ascii="Arial" w:cs="Arial" w:eastAsia="Arial" w:hAnsi="Arial"/>
                <w:sz w:val="28"/>
                <w:szCs w:val="28"/>
                <w:color w:val="auto"/>
                <w:w w:val="94"/>
                <w:vertAlign w:val="superscript"/>
              </w:rPr>
              <w:t>ii</w:t>
            </w:r>
            <w:r>
              <w:rPr>
                <w:rFonts w:ascii="Arial" w:cs="Arial" w:eastAsia="Arial" w:hAnsi="Arial"/>
                <w:sz w:val="22"/>
                <w:szCs w:val="22"/>
                <w:color w:val="auto"/>
                <w:w w:val="94"/>
              </w:rPr>
              <w:t xml:space="preserve"> Lien Obligations, Section [ ] </w:t>
            </w:r>
            <w:r>
              <w:rPr>
                <w:rFonts w:ascii="Arial" w:cs="Arial" w:eastAsia="Arial" w:hAnsi="Arial"/>
                <w:sz w:val="28"/>
                <w:szCs w:val="28"/>
                <w:color w:val="auto"/>
                <w:w w:val="94"/>
                <w:vertAlign w:val="superscript"/>
              </w:rPr>
              <w:t>iv</w:t>
            </w:r>
            <w:r>
              <w:rPr>
                <w:rFonts w:ascii="Arial" w:cs="Arial" w:eastAsia="Arial" w:hAnsi="Arial"/>
                <w:sz w:val="22"/>
                <w:szCs w:val="22"/>
                <w:color w:val="auto"/>
                <w:w w:val="94"/>
              </w:rPr>
              <w:t xml:space="preserve"> of the [</w:t>
            </w:r>
          </w:p>
        </w:tc>
        <w:tc>
          <w:tcPr>
            <w:tcW w:w="1760" w:type="dxa"/>
            <w:vAlign w:val="bottom"/>
          </w:tcPr>
          <w:p>
            <w:pPr>
              <w:jc w:val="right"/>
              <w:spacing w:after="0"/>
              <w:rPr>
                <w:sz w:val="20"/>
                <w:szCs w:val="20"/>
                <w:color w:val="auto"/>
              </w:rPr>
            </w:pPr>
            <w:r>
              <w:rPr>
                <w:rFonts w:ascii="Arial" w:cs="Arial" w:eastAsia="Arial" w:hAnsi="Arial"/>
                <w:sz w:val="22"/>
                <w:szCs w:val="22"/>
                <w:color w:val="auto"/>
                <w:w w:val="99"/>
              </w:rPr>
              <w:t xml:space="preserve">] </w:t>
            </w:r>
            <w:r>
              <w:rPr>
                <w:rFonts w:ascii="Arial" w:cs="Arial" w:eastAsia="Arial" w:hAnsi="Arial"/>
                <w:sz w:val="28"/>
                <w:szCs w:val="28"/>
                <w:color w:val="auto"/>
                <w:w w:val="99"/>
                <w:vertAlign w:val="superscript"/>
              </w:rPr>
              <w:t>i</w:t>
            </w:r>
            <w:r>
              <w:rPr>
                <w:rFonts w:ascii="Arial" w:cs="Arial" w:eastAsia="Arial" w:hAnsi="Arial"/>
                <w:sz w:val="22"/>
                <w:szCs w:val="22"/>
                <w:color w:val="auto"/>
                <w:w w:val="99"/>
              </w:rPr>
              <w:t xml:space="preserve"> [First/Second] </w:t>
            </w:r>
            <w:r>
              <w:rPr>
                <w:rFonts w:ascii="Arial" w:cs="Arial" w:eastAsia="Arial" w:hAnsi="Arial"/>
                <w:sz w:val="28"/>
                <w:szCs w:val="28"/>
                <w:color w:val="auto"/>
                <w:w w:val="99"/>
                <w:vertAlign w:val="superscript"/>
              </w:rPr>
              <w:t>ii</w:t>
            </w:r>
          </w:p>
        </w:tc>
      </w:tr>
      <w:tr>
        <w:trPr>
          <w:trHeight w:val="20"/>
        </w:trPr>
        <w:tc>
          <w:tcPr>
            <w:tcW w:w="28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258"/>
        </w:trPr>
        <w:tc>
          <w:tcPr>
            <w:tcW w:w="2840" w:type="dxa"/>
            <w:vAlign w:val="bottom"/>
          </w:tcPr>
          <w:p>
            <w:pPr>
              <w:spacing w:after="0"/>
              <w:rPr>
                <w:sz w:val="20"/>
                <w:szCs w:val="20"/>
                <w:color w:val="auto"/>
              </w:rPr>
            </w:pPr>
            <w:r>
              <w:rPr>
                <w:rFonts w:ascii="Arial" w:cs="Arial" w:eastAsia="Arial" w:hAnsi="Arial"/>
                <w:sz w:val="22"/>
                <w:szCs w:val="22"/>
                <w:color w:val="auto"/>
              </w:rPr>
              <w:t>Lien Credit Facility (if the [</w:t>
            </w:r>
          </w:p>
        </w:tc>
        <w:tc>
          <w:tcPr>
            <w:tcW w:w="7740" w:type="dxa"/>
            <w:vAlign w:val="bottom"/>
            <w:gridSpan w:val="6"/>
          </w:tcPr>
          <w:p>
            <w:pPr>
              <w:jc w:val="right"/>
              <w:spacing w:after="0" w:line="258" w:lineRule="exact"/>
              <w:rPr>
                <w:sz w:val="20"/>
                <w:szCs w:val="20"/>
                <w:color w:val="auto"/>
              </w:rPr>
            </w:pPr>
            <w:r>
              <w:rPr>
                <w:rFonts w:ascii="Arial" w:cs="Arial" w:eastAsia="Arial" w:hAnsi="Arial"/>
                <w:sz w:val="22"/>
                <w:szCs w:val="22"/>
                <w:color w:val="auto"/>
                <w:w w:val="94"/>
              </w:rPr>
              <w:t xml:space="preserve">] </w:t>
            </w:r>
            <w:r>
              <w:rPr>
                <w:rFonts w:ascii="Arial" w:cs="Arial" w:eastAsia="Arial" w:hAnsi="Arial"/>
                <w:sz w:val="28"/>
                <w:szCs w:val="28"/>
                <w:color w:val="auto"/>
                <w:w w:val="94"/>
                <w:vertAlign w:val="superscript"/>
              </w:rPr>
              <w:t>i</w:t>
            </w:r>
            <w:r>
              <w:rPr>
                <w:rFonts w:ascii="Arial" w:cs="Arial" w:eastAsia="Arial" w:hAnsi="Arial"/>
                <w:sz w:val="22"/>
                <w:szCs w:val="22"/>
                <w:color w:val="auto"/>
                <w:w w:val="94"/>
              </w:rPr>
              <w:t xml:space="preserve"> [First/Second] </w:t>
            </w:r>
            <w:r>
              <w:rPr>
                <w:rFonts w:ascii="Arial" w:cs="Arial" w:eastAsia="Arial" w:hAnsi="Arial"/>
                <w:sz w:val="28"/>
                <w:szCs w:val="28"/>
                <w:color w:val="auto"/>
                <w:w w:val="94"/>
                <w:vertAlign w:val="superscript"/>
              </w:rPr>
              <w:t>ii</w:t>
            </w:r>
            <w:r>
              <w:rPr>
                <w:rFonts w:ascii="Arial" w:cs="Arial" w:eastAsia="Arial" w:hAnsi="Arial"/>
                <w:sz w:val="22"/>
                <w:szCs w:val="22"/>
                <w:color w:val="auto"/>
                <w:w w:val="94"/>
              </w:rPr>
              <w:t xml:space="preserve"> Lien Credit Facility is then in effect) or the corresponding negative</w:t>
            </w:r>
          </w:p>
        </w:tc>
      </w:tr>
      <w:tr>
        <w:trPr>
          <w:trHeight w:val="257"/>
        </w:trPr>
        <w:tc>
          <w:tcPr>
            <w:tcW w:w="4820" w:type="dxa"/>
            <w:vAlign w:val="bottom"/>
            <w:gridSpan w:val="3"/>
          </w:tcPr>
          <w:p>
            <w:pPr>
              <w:spacing w:after="0"/>
              <w:rPr>
                <w:sz w:val="20"/>
                <w:szCs w:val="20"/>
                <w:color w:val="auto"/>
              </w:rPr>
            </w:pPr>
            <w:r>
              <w:rPr>
                <w:rFonts w:ascii="Arial" w:cs="Arial" w:eastAsia="Arial" w:hAnsi="Arial"/>
                <w:sz w:val="22"/>
                <w:szCs w:val="22"/>
                <w:color w:val="auto"/>
                <w:w w:val="99"/>
              </w:rPr>
              <w:t>covenant restricting Liens contained in any other [</w:t>
            </w:r>
          </w:p>
        </w:tc>
        <w:tc>
          <w:tcPr>
            <w:tcW w:w="5760" w:type="dxa"/>
            <w:vAlign w:val="bottom"/>
            <w:gridSpan w:val="4"/>
          </w:tcPr>
          <w:p>
            <w:pPr>
              <w:jc w:val="right"/>
              <w:spacing w:after="0" w:line="257" w:lineRule="exact"/>
              <w:rPr>
                <w:sz w:val="20"/>
                <w:szCs w:val="20"/>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then in effect (which</w:t>
            </w:r>
          </w:p>
        </w:tc>
      </w:tr>
      <w:tr>
        <w:trPr>
          <w:trHeight w:val="267"/>
        </w:trPr>
        <w:tc>
          <w:tcPr>
            <w:tcW w:w="2840" w:type="dxa"/>
            <w:vAlign w:val="bottom"/>
          </w:tcPr>
          <w:p>
            <w:pPr>
              <w:spacing w:after="0"/>
              <w:rPr>
                <w:sz w:val="20"/>
                <w:szCs w:val="20"/>
                <w:color w:val="auto"/>
              </w:rPr>
            </w:pPr>
            <w:r>
              <w:rPr>
                <w:rFonts w:ascii="Arial" w:cs="Arial" w:eastAsia="Arial" w:hAnsi="Arial"/>
                <w:sz w:val="22"/>
                <w:szCs w:val="22"/>
                <w:color w:val="auto"/>
                <w:w w:val="90"/>
              </w:rPr>
              <w:t>covenant is designated in such [</w:t>
            </w:r>
          </w:p>
        </w:tc>
        <w:tc>
          <w:tcPr>
            <w:tcW w:w="7740" w:type="dxa"/>
            <w:vAlign w:val="bottom"/>
            <w:gridSpan w:val="6"/>
          </w:tcPr>
          <w:p>
            <w:pPr>
              <w:jc w:val="right"/>
              <w:spacing w:after="0" w:line="267" w:lineRule="exact"/>
              <w:rPr>
                <w:sz w:val="20"/>
                <w:szCs w:val="20"/>
                <w:color w:val="auto"/>
              </w:rPr>
            </w:pPr>
            <w:r>
              <w:rPr>
                <w:rFonts w:ascii="Arial" w:cs="Arial" w:eastAsia="Arial" w:hAnsi="Arial"/>
                <w:sz w:val="22"/>
                <w:szCs w:val="22"/>
                <w:color w:val="auto"/>
                <w:w w:val="96"/>
              </w:rPr>
              <w:t xml:space="preserve">] </w:t>
            </w:r>
            <w:r>
              <w:rPr>
                <w:rFonts w:ascii="Arial" w:cs="Arial" w:eastAsia="Arial" w:hAnsi="Arial"/>
                <w:sz w:val="28"/>
                <w:szCs w:val="28"/>
                <w:color w:val="auto"/>
                <w:w w:val="96"/>
                <w:vertAlign w:val="superscript"/>
              </w:rPr>
              <w:t>i</w:t>
            </w:r>
            <w:r>
              <w:rPr>
                <w:rFonts w:ascii="Arial" w:cs="Arial" w:eastAsia="Arial" w:hAnsi="Arial"/>
                <w:sz w:val="22"/>
                <w:szCs w:val="22"/>
                <w:color w:val="auto"/>
                <w:w w:val="96"/>
              </w:rPr>
              <w:t xml:space="preserve"> [First/Second]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Credit Facility as applicable for purposes of this definition);</w:t>
            </w:r>
          </w:p>
        </w:tc>
      </w:tr>
      <w:tr>
        <w:trPr>
          <w:trHeight w:val="274"/>
        </w:trPr>
        <w:tc>
          <w:tcPr>
            <w:tcW w:w="2840" w:type="dxa"/>
            <w:vAlign w:val="bottom"/>
          </w:tcPr>
          <w:p>
            <w:pPr>
              <w:spacing w:after="0"/>
              <w:rPr>
                <w:sz w:val="20"/>
                <w:szCs w:val="20"/>
                <w:color w:val="auto"/>
              </w:rPr>
            </w:pPr>
            <w:r>
              <w:rPr>
                <w:rFonts w:ascii="Arial" w:cs="Arial" w:eastAsia="Arial" w:hAnsi="Arial"/>
                <w:sz w:val="22"/>
                <w:szCs w:val="22"/>
                <w:color w:val="auto"/>
              </w:rPr>
              <w:t>and</w:t>
            </w:r>
          </w:p>
        </w:tc>
        <w:tc>
          <w:tcPr>
            <w:tcW w:w="7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760" w:type="dxa"/>
            <w:vAlign w:val="bottom"/>
          </w:tcPr>
          <w:p>
            <w:pPr>
              <w:spacing w:after="0"/>
              <w:rPr>
                <w:sz w:val="23"/>
                <w:szCs w:val="23"/>
                <w:color w:val="auto"/>
              </w:rPr>
            </w:pPr>
          </w:p>
        </w:tc>
      </w:tr>
    </w:tbl>
    <w:p>
      <w:pPr>
        <w:spacing w:after="0" w:line="198" w:lineRule="exact"/>
        <w:rPr>
          <w:sz w:val="20"/>
          <w:szCs w:val="20"/>
          <w:color w:val="auto"/>
        </w:rPr>
      </w:pPr>
    </w:p>
    <w:p>
      <w:pPr>
        <w:jc w:val="both"/>
        <w:ind w:left="660" w:firstLine="644"/>
        <w:spacing w:after="0" w:line="253" w:lineRule="auto"/>
        <w:tabs>
          <w:tab w:leader="none" w:pos="1902" w:val="left"/>
        </w:tabs>
        <w:numPr>
          <w:ilvl w:val="1"/>
          <w:numId w:val="726"/>
        </w:numPr>
        <w:rPr>
          <w:rFonts w:ascii="Arial" w:cs="Arial" w:eastAsia="Arial" w:hAnsi="Arial"/>
          <w:sz w:val="22"/>
          <w:szCs w:val="22"/>
          <w:color w:val="auto"/>
        </w:rPr>
      </w:pPr>
      <w:r>
        <w:rPr>
          <w:rFonts w:ascii="Arial" w:cs="Arial" w:eastAsia="Arial" w:hAnsi="Arial"/>
          <w:sz w:val="22"/>
          <w:szCs w:val="22"/>
          <w:color w:val="auto"/>
        </w:rPr>
        <w:t>prior to the Discharge of Additional Obligations, any negative covenant restricting Liens contained in any applicable Additional Credit Facility then in effect (which covenant is designated in such Additional Credit Facility as applicable for purposes of this definition); and</w:t>
      </w:r>
    </w:p>
    <w:p>
      <w:pPr>
        <w:spacing w:after="0" w:line="185" w:lineRule="exact"/>
        <w:rPr>
          <w:rFonts w:ascii="Arial" w:cs="Arial" w:eastAsia="Arial" w:hAnsi="Arial"/>
          <w:sz w:val="22"/>
          <w:szCs w:val="22"/>
          <w:color w:val="auto"/>
        </w:rPr>
      </w:pPr>
    </w:p>
    <w:p>
      <w:pPr>
        <w:ind w:right="20" w:firstLine="656"/>
        <w:spacing w:after="0" w:line="263" w:lineRule="auto"/>
        <w:tabs>
          <w:tab w:leader="none" w:pos="1338" w:val="left"/>
        </w:tabs>
        <w:numPr>
          <w:ilvl w:val="0"/>
          <w:numId w:val="727"/>
        </w:numPr>
        <w:rPr>
          <w:rFonts w:ascii="Arial" w:cs="Arial" w:eastAsia="Arial" w:hAnsi="Arial"/>
          <w:sz w:val="22"/>
          <w:szCs w:val="22"/>
          <w:color w:val="auto"/>
        </w:rPr>
      </w:pPr>
      <w:r>
        <w:rPr>
          <w:rFonts w:ascii="Arial" w:cs="Arial" w:eastAsia="Arial" w:hAnsi="Arial"/>
          <w:sz w:val="22"/>
          <w:szCs w:val="22"/>
          <w:color w:val="auto"/>
        </w:rPr>
        <w:t xml:space="preserve">is designated as “Additional Indebtedness” by the Original First Lien Borrower pursuant to an Additional Indebtedness Designation and in compliance with the procedures set forth in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As used in this definition of “Additional Indebtedness”, the term “Lien” shall have the meaning set forth (x) for purposes of the preceding clause (a)(i), prior to the Discharge of Original First Lien Obligations,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Initial Original First Lien Credit Agreement (if the Initial Original First Lien Credit Agreement is then in effect), or in any other Original First Lien Credit Agreement then in effect (if the Initial Original First Lien Credit Agreement is not then in effect), (y) for purposes of the</w:t>
      </w:r>
    </w:p>
    <w:tbl>
      <w:tblPr>
        <w:tblLayout w:type="fixed"/>
        <w:tblInd w:w="0" w:type="dxa"/>
        <w:tblCellMar>
          <w:top w:w="0" w:type="dxa"/>
          <w:left w:w="0" w:type="dxa"/>
          <w:bottom w:w="0" w:type="dxa"/>
          <w:right w:w="0" w:type="dxa"/>
        </w:tblCellMar>
      </w:tblPr>
      <w:tr>
        <w:trPr>
          <w:trHeight w:val="223"/>
        </w:trPr>
        <w:tc>
          <w:tcPr>
            <w:tcW w:w="5060" w:type="dxa"/>
            <w:vAlign w:val="bottom"/>
            <w:gridSpan w:val="2"/>
          </w:tcPr>
          <w:p>
            <w:pPr>
              <w:spacing w:after="0" w:line="223" w:lineRule="exact"/>
              <w:rPr>
                <w:sz w:val="20"/>
                <w:szCs w:val="20"/>
                <w:color w:val="auto"/>
              </w:rPr>
            </w:pPr>
            <w:r>
              <w:rPr>
                <w:rFonts w:ascii="Arial" w:cs="Arial" w:eastAsia="Arial" w:hAnsi="Arial"/>
                <w:sz w:val="22"/>
                <w:szCs w:val="22"/>
                <w:color w:val="auto"/>
              </w:rPr>
              <w:t>preceding clause (a)(ii), prior to the Discharge of [</w:t>
            </w:r>
          </w:p>
        </w:tc>
        <w:tc>
          <w:tcPr>
            <w:tcW w:w="5800" w:type="dxa"/>
            <w:vAlign w:val="bottom"/>
            <w:gridSpan w:val="3"/>
          </w:tcPr>
          <w:p>
            <w:pPr>
              <w:ind w:left="20"/>
              <w:spacing w:after="0" w:line="223" w:lineRule="exact"/>
              <w:rPr>
                <w:sz w:val="20"/>
                <w:szCs w:val="20"/>
                <w:color w:val="auto"/>
              </w:rPr>
            </w:pPr>
            <w:r>
              <w:rPr>
                <w:rFonts w:ascii="Arial" w:cs="Arial" w:eastAsia="Arial" w:hAnsi="Arial"/>
                <w:sz w:val="19"/>
                <w:szCs w:val="19"/>
                <w:color w:val="auto"/>
              </w:rPr>
              <w:t xml:space="preserve">]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Obligations, in Section [ ] </w:t>
            </w:r>
            <w:r>
              <w:rPr>
                <w:rFonts w:ascii="Arial" w:cs="Arial" w:eastAsia="Arial" w:hAnsi="Arial"/>
                <w:sz w:val="25"/>
                <w:szCs w:val="25"/>
                <w:color w:val="auto"/>
                <w:vertAlign w:val="superscript"/>
              </w:rPr>
              <w:t>v</w:t>
            </w:r>
            <w:r>
              <w:rPr>
                <w:rFonts w:ascii="Arial" w:cs="Arial" w:eastAsia="Arial" w:hAnsi="Arial"/>
                <w:sz w:val="19"/>
                <w:szCs w:val="19"/>
                <w:color w:val="auto"/>
              </w:rPr>
              <w:t xml:space="preserve"> of the [</w:t>
            </w:r>
          </w:p>
        </w:tc>
        <w:tc>
          <w:tcPr>
            <w:tcW w:w="380" w:type="dxa"/>
            <w:vAlign w:val="bottom"/>
          </w:tcPr>
          <w:p>
            <w:pPr>
              <w:jc w:val="right"/>
              <w:spacing w:after="0" w:line="223" w:lineRule="exact"/>
              <w:rPr>
                <w:sz w:val="20"/>
                <w:szCs w:val="20"/>
                <w:color w:val="auto"/>
              </w:rPr>
            </w:pPr>
            <w:r>
              <w:rPr>
                <w:rFonts w:ascii="Arial" w:cs="Arial" w:eastAsia="Arial" w:hAnsi="Arial"/>
                <w:sz w:val="19"/>
                <w:szCs w:val="19"/>
                <w:color w:val="auto"/>
              </w:rPr>
              <w:t xml:space="preserve">] </w:t>
            </w:r>
            <w:r>
              <w:rPr>
                <w:rFonts w:ascii="Arial" w:cs="Arial" w:eastAsia="Arial" w:hAnsi="Arial"/>
                <w:sz w:val="25"/>
                <w:szCs w:val="25"/>
                <w:color w:val="auto"/>
                <w:vertAlign w:val="superscript"/>
              </w:rPr>
              <w:t>i</w:t>
            </w:r>
          </w:p>
        </w:tc>
      </w:tr>
      <w:tr>
        <w:trPr>
          <w:trHeight w:val="20"/>
        </w:trPr>
        <w:tc>
          <w:tcPr>
            <w:tcW w:w="406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8"/>
        </w:trPr>
        <w:tc>
          <w:tcPr>
            <w:tcW w:w="4060" w:type="dxa"/>
            <w:vAlign w:val="bottom"/>
          </w:tcPr>
          <w:p>
            <w:pPr>
              <w:spacing w:after="0" w:line="258" w:lineRule="exact"/>
              <w:rPr>
                <w:sz w:val="20"/>
                <w:szCs w:val="20"/>
                <w:color w:val="auto"/>
              </w:rPr>
            </w:pPr>
            <w:r>
              <w:rPr>
                <w:rFonts w:ascii="Arial" w:cs="Arial" w:eastAsia="Arial" w:hAnsi="Arial"/>
                <w:sz w:val="22"/>
                <w:szCs w:val="22"/>
                <w:color w:val="auto"/>
                <w:w w:val="98"/>
              </w:rPr>
              <w:t xml:space="preserve">[First/Second] </w:t>
            </w:r>
            <w:r>
              <w:rPr>
                <w:rFonts w:ascii="Arial" w:cs="Arial" w:eastAsia="Arial" w:hAnsi="Arial"/>
                <w:sz w:val="28"/>
                <w:szCs w:val="28"/>
                <w:color w:val="auto"/>
                <w:w w:val="98"/>
                <w:vertAlign w:val="superscript"/>
              </w:rPr>
              <w:t>ii</w:t>
            </w:r>
            <w:r>
              <w:rPr>
                <w:rFonts w:ascii="Arial" w:cs="Arial" w:eastAsia="Arial" w:hAnsi="Arial"/>
                <w:sz w:val="22"/>
                <w:szCs w:val="22"/>
                <w:color w:val="auto"/>
                <w:w w:val="98"/>
              </w:rPr>
              <w:t xml:space="preserve"> Lien Credit Facility (if the [</w:t>
            </w:r>
          </w:p>
        </w:tc>
        <w:tc>
          <w:tcPr>
            <w:tcW w:w="6800" w:type="dxa"/>
            <w:vAlign w:val="bottom"/>
            <w:gridSpan w:val="4"/>
          </w:tcPr>
          <w:p>
            <w:pPr>
              <w:ind w:left="180"/>
              <w:spacing w:after="0" w:line="258" w:lineRule="exact"/>
              <w:rPr>
                <w:sz w:val="20"/>
                <w:szCs w:val="20"/>
                <w:color w:val="auto"/>
              </w:rPr>
            </w:pPr>
            <w:r>
              <w:rPr>
                <w:rFonts w:ascii="Arial" w:cs="Arial" w:eastAsia="Arial" w:hAnsi="Arial"/>
                <w:sz w:val="22"/>
                <w:szCs w:val="22"/>
                <w:color w:val="auto"/>
                <w:w w:val="96"/>
              </w:rPr>
              <w:t xml:space="preserve">] </w:t>
            </w:r>
            <w:r>
              <w:rPr>
                <w:rFonts w:ascii="Arial" w:cs="Arial" w:eastAsia="Arial" w:hAnsi="Arial"/>
                <w:sz w:val="28"/>
                <w:szCs w:val="28"/>
                <w:color w:val="auto"/>
                <w:w w:val="96"/>
                <w:vertAlign w:val="superscript"/>
              </w:rPr>
              <w:t>i</w:t>
            </w:r>
            <w:r>
              <w:rPr>
                <w:rFonts w:ascii="Arial" w:cs="Arial" w:eastAsia="Arial" w:hAnsi="Arial"/>
                <w:sz w:val="22"/>
                <w:szCs w:val="22"/>
                <w:color w:val="auto"/>
                <w:w w:val="96"/>
              </w:rPr>
              <w:t xml:space="preserve"> [First/Second]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Credit Facility is then in effect), or in any other [</w:t>
            </w:r>
          </w:p>
        </w:tc>
        <w:tc>
          <w:tcPr>
            <w:tcW w:w="380" w:type="dxa"/>
            <w:vAlign w:val="bottom"/>
          </w:tcPr>
          <w:p>
            <w:pPr>
              <w:jc w:val="right"/>
              <w:spacing w:after="0" w:line="258" w:lineRule="exact"/>
              <w:rPr>
                <w:sz w:val="20"/>
                <w:szCs w:val="20"/>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p>
        </w:tc>
      </w:tr>
      <w:tr>
        <w:trPr>
          <w:trHeight w:val="285"/>
        </w:trPr>
        <w:tc>
          <w:tcPr>
            <w:tcW w:w="5060" w:type="dxa"/>
            <w:vAlign w:val="bottom"/>
            <w:gridSpan w:val="2"/>
          </w:tcPr>
          <w:p>
            <w:pPr>
              <w:spacing w:after="0" w:line="285" w:lineRule="exact"/>
              <w:rPr>
                <w:sz w:val="20"/>
                <w:szCs w:val="20"/>
                <w:color w:val="auto"/>
              </w:rPr>
            </w:pPr>
            <w:r>
              <w:rPr>
                <w:rFonts w:ascii="Arial" w:cs="Arial" w:eastAsia="Arial" w:hAnsi="Arial"/>
                <w:sz w:val="22"/>
                <w:szCs w:val="22"/>
                <w:color w:val="auto"/>
                <w:w w:val="92"/>
              </w:rPr>
              <w:t xml:space="preserve">[First/Second] </w:t>
            </w:r>
            <w:r>
              <w:rPr>
                <w:rFonts w:ascii="Arial" w:cs="Arial" w:eastAsia="Arial" w:hAnsi="Arial"/>
                <w:sz w:val="28"/>
                <w:szCs w:val="28"/>
                <w:color w:val="auto"/>
                <w:w w:val="92"/>
                <w:vertAlign w:val="superscript"/>
              </w:rPr>
              <w:t>ii</w:t>
            </w:r>
            <w:r>
              <w:rPr>
                <w:rFonts w:ascii="Arial" w:cs="Arial" w:eastAsia="Arial" w:hAnsi="Arial"/>
                <w:sz w:val="22"/>
                <w:szCs w:val="22"/>
                <w:color w:val="auto"/>
                <w:w w:val="92"/>
              </w:rPr>
              <w:t xml:space="preserve"> Lien Credit Facility then in effect (if the [</w:t>
            </w:r>
          </w:p>
        </w:tc>
        <w:tc>
          <w:tcPr>
            <w:tcW w:w="6180" w:type="dxa"/>
            <w:vAlign w:val="bottom"/>
            <w:gridSpan w:val="4"/>
          </w:tcPr>
          <w:p>
            <w:pPr>
              <w:jc w:val="right"/>
              <w:spacing w:after="0" w:line="285" w:lineRule="exact"/>
              <w:rPr>
                <w:sz w:val="20"/>
                <w:szCs w:val="20"/>
                <w:color w:val="auto"/>
              </w:rPr>
            </w:pPr>
            <w:r>
              <w:rPr>
                <w:rFonts w:ascii="Arial" w:cs="Arial" w:eastAsia="Arial" w:hAnsi="Arial"/>
                <w:sz w:val="22"/>
                <w:szCs w:val="22"/>
                <w:color w:val="auto"/>
                <w:w w:val="96"/>
              </w:rPr>
              <w:t xml:space="preserve">] </w:t>
            </w:r>
            <w:r>
              <w:rPr>
                <w:rFonts w:ascii="Arial" w:cs="Arial" w:eastAsia="Arial" w:hAnsi="Arial"/>
                <w:sz w:val="28"/>
                <w:szCs w:val="28"/>
                <w:color w:val="auto"/>
                <w:w w:val="96"/>
                <w:vertAlign w:val="superscript"/>
              </w:rPr>
              <w:t>i</w:t>
            </w:r>
            <w:r>
              <w:rPr>
                <w:rFonts w:ascii="Arial" w:cs="Arial" w:eastAsia="Arial" w:hAnsi="Arial"/>
                <w:sz w:val="22"/>
                <w:szCs w:val="22"/>
                <w:color w:val="auto"/>
                <w:w w:val="96"/>
              </w:rPr>
              <w:t xml:space="preserve"> [First/Second]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Credit Facility is not then in effect), and (z)</w:t>
            </w:r>
          </w:p>
        </w:tc>
      </w:tr>
    </w:tbl>
    <w:p>
      <w:pPr>
        <w:jc w:val="both"/>
        <w:spacing w:after="0" w:line="246" w:lineRule="auto"/>
        <w:rPr>
          <w:sz w:val="20"/>
          <w:szCs w:val="20"/>
          <w:color w:val="auto"/>
        </w:rPr>
      </w:pPr>
      <w:r>
        <w:rPr>
          <w:rFonts w:ascii="Arial" w:cs="Arial" w:eastAsia="Arial" w:hAnsi="Arial"/>
          <w:sz w:val="22"/>
          <w:szCs w:val="22"/>
          <w:color w:val="auto"/>
        </w:rPr>
        <w:t>for purposes of the preceding clause (a)(iii), prior to the Discharge of Additional Obligations, in the applicable Additional Credit Facility then in effect.</w:t>
      </w:r>
    </w:p>
    <w:p>
      <w:pPr>
        <w:spacing w:after="0" w:line="19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Indebtedness Designation”</w:t>
      </w:r>
      <w:r>
        <w:rPr>
          <w:rFonts w:ascii="Arial" w:cs="Arial" w:eastAsia="Arial" w:hAnsi="Arial"/>
          <w:sz w:val="22"/>
          <w:szCs w:val="22"/>
          <w:color w:val="auto"/>
        </w:rPr>
        <w:t xml:space="preserve"> shall mean a certificate of the Original First Lien Borrower with respect to Additional Indebtedness, substantially in the form of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A attached hereto.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4" w:name="page565"/>
    <w:bookmarkEnd w:id="564"/>
    <w:p>
      <w:pPr>
        <w:jc w:val="both"/>
        <w:ind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Additional Indebtedness Joinder</w:t>
      </w:r>
      <w:r>
        <w:rPr>
          <w:rFonts w:ascii="Arial" w:cs="Arial" w:eastAsia="Arial" w:hAnsi="Arial"/>
          <w:sz w:val="19"/>
          <w:szCs w:val="19"/>
          <w:color w:val="auto"/>
        </w:rPr>
        <w:t xml:space="preserve"> ” shall mean a joinder agreement executed by one or more Additional Agents in respect of any Additional Indebtedness subject to an Additional Indebtedness Designation on behalf of one or more Additional Credit Facility Secured Parties in respect of such Additional Indebtedness,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w:t>
      </w:r>
    </w:p>
    <w:p>
      <w:pPr>
        <w:spacing w:after="0" w:line="1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Loan Party</w:t>
      </w:r>
      <w:r>
        <w:rPr>
          <w:rFonts w:ascii="Arial" w:cs="Arial" w:eastAsia="Arial" w:hAnsi="Arial"/>
          <w:sz w:val="22"/>
          <w:szCs w:val="22"/>
          <w:color w:val="auto"/>
        </w:rPr>
        <w:t xml:space="preserve"> ” shall mean the Original First Lien Borrower, Holdings (so long as it is a guarantor under any of the Additional Guarantees), each direct or indirect Subsidiary of the Original First Lien Borrower or any of its Affiliates that is or becomes a party to any Additional Document, and any other Person who becomes a guarantor under any of the Additional Guarantees.</w:t>
      </w:r>
    </w:p>
    <w:p>
      <w:pPr>
        <w:spacing w:after="0" w:line="18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Additional Obligations</w:t>
      </w:r>
      <w:r>
        <w:rPr>
          <w:rFonts w:ascii="Arial" w:cs="Arial" w:eastAsia="Arial" w:hAnsi="Arial"/>
          <w:sz w:val="21"/>
          <w:szCs w:val="21"/>
          <w:color w:val="auto"/>
        </w:rPr>
        <w:t xml:space="preserve"> ” shall mean any and all loans and all other obligations, liabilities and indebtedness of every kind, nature and description, whether now existing or hereafter arising, whether arising before, during or after the commencement of any case with respect to any Additional Loan Party under the Bankruptcy Code or any other Insolvency Proceeding, owing by each Additional Loan Party from time to time under any Additional Document to any Additional Agent, any Additional Credit Facility Secured Parties or any of them, including any Additional Bank Products Affiliates or Additional Hedging Affiliates, whether for principal, premium interest (including interest and fees which, but for the filing of a petition in bankruptcy with respect to such Additional Loan Party, would have accrued on any Additional Obligation, whether or not a claim is allowed against such Additional Loan Party for such interest and fees in the related bankruptcy proceeding), reimbursement for amounts drawn under letters of credit, fees, expenses, indemnification or otherwise, and all other amounts owing or due under the terms of the Additional Documents, as amended, restated, modified, renewed, refunded, replaced or refinanced in whole or in part from time to time.</w:t>
      </w:r>
    </w:p>
    <w:p>
      <w:pPr>
        <w:spacing w:after="0" w:line="18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Additional Specified Indebtedness</w:t>
      </w:r>
      <w:r>
        <w:rPr>
          <w:rFonts w:ascii="Arial" w:cs="Arial" w:eastAsia="Arial" w:hAnsi="Arial"/>
          <w:sz w:val="22"/>
          <w:szCs w:val="22"/>
          <w:color w:val="auto"/>
        </w:rPr>
        <w:t xml:space="preserve"> ” shall mean any Indebtedness that is or may from time to time be incurred by any Loan Party in compliance with:</w:t>
      </w:r>
    </w:p>
    <w:p>
      <w:pPr>
        <w:spacing w:after="0" w:line="174" w:lineRule="exact"/>
        <w:rPr>
          <w:sz w:val="20"/>
          <w:szCs w:val="20"/>
          <w:color w:val="auto"/>
        </w:rPr>
      </w:pPr>
    </w:p>
    <w:p>
      <w:pPr>
        <w:jc w:val="both"/>
        <w:ind w:left="660" w:firstLine="644"/>
        <w:spacing w:after="0" w:line="253" w:lineRule="auto"/>
        <w:tabs>
          <w:tab w:leader="none" w:pos="1763" w:val="left"/>
        </w:tabs>
        <w:numPr>
          <w:ilvl w:val="1"/>
          <w:numId w:val="729"/>
        </w:numPr>
        <w:rPr>
          <w:rFonts w:ascii="Arial" w:cs="Arial" w:eastAsia="Arial" w:hAnsi="Arial"/>
          <w:sz w:val="22"/>
          <w:szCs w:val="22"/>
          <w:color w:val="auto"/>
        </w:rPr>
      </w:pPr>
      <w:r>
        <w:rPr>
          <w:rFonts w:ascii="Arial" w:cs="Arial" w:eastAsia="Arial" w:hAnsi="Arial"/>
          <w:sz w:val="22"/>
          <w:szCs w:val="22"/>
          <w:color w:val="auto"/>
        </w:rPr>
        <w:t>prior to the Discharge of Original First Lien Obligations, the Initial Original First Lien Credit Agreement (if the Initial Original First Lien Credit Agreement is then in effect) or any other Original First Lien Credit Agreement then in effect if the Initial Original First Lien Credit Agreement is not then in effect;</w:t>
      </w:r>
    </w:p>
    <w:p>
      <w:pPr>
        <w:sectPr>
          <w:pgSz w:w="11900" w:h="16838" w:orient="portrait"/>
          <w:cols w:equalWidth="0" w:num="1">
            <w:col w:w="11240"/>
          </w:cols>
          <w:pgMar w:left="320" w:top="563" w:right="339" w:bottom="1440" w:gutter="0" w:footer="0" w:header="0"/>
        </w:sectPr>
      </w:pPr>
    </w:p>
    <w:p>
      <w:pPr>
        <w:spacing w:after="0" w:line="175" w:lineRule="exact"/>
        <w:rPr>
          <w:sz w:val="20"/>
          <w:szCs w:val="20"/>
          <w:color w:val="auto"/>
        </w:rPr>
      </w:pPr>
    </w:p>
    <w:p>
      <w:pPr>
        <w:ind w:left="660" w:firstLine="644"/>
        <w:spacing w:after="0" w:line="213" w:lineRule="auto"/>
        <w:tabs>
          <w:tab w:leader="none" w:pos="1853" w:val="left"/>
        </w:tabs>
        <w:numPr>
          <w:ilvl w:val="0"/>
          <w:numId w:val="730"/>
        </w:numPr>
        <w:rPr>
          <w:rFonts w:ascii="Arial" w:cs="Arial" w:eastAsia="Arial" w:hAnsi="Arial"/>
          <w:sz w:val="22"/>
          <w:szCs w:val="22"/>
          <w:color w:val="auto"/>
        </w:rPr>
      </w:pPr>
      <w:r>
        <w:rPr>
          <w:rFonts w:ascii="Arial" w:cs="Arial" w:eastAsia="Arial" w:hAnsi="Arial"/>
          <w:sz w:val="22"/>
          <w:szCs w:val="22"/>
          <w:color w:val="auto"/>
        </w:rPr>
        <w:t xml:space="preserve">prior to the Discharge of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Obligations, the [ Facility (if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is then in effect) or any other [ Facility then in effect; and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left="72" w:right="20" w:hanging="72"/>
        <w:spacing w:after="0" w:line="286" w:lineRule="auto"/>
        <w:tabs>
          <w:tab w:leader="none" w:pos="147" w:val="left"/>
        </w:tabs>
        <w:numPr>
          <w:ilvl w:val="0"/>
          <w:numId w:val="731"/>
        </w:numPr>
        <w:rPr>
          <w:rFonts w:ascii="Arial" w:cs="Arial" w:eastAsia="Arial" w:hAnsi="Arial"/>
          <w:sz w:val="19"/>
          <w:szCs w:val="19"/>
          <w:color w:val="auto"/>
        </w:rPr>
      </w:pP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Credit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Credit</w:t>
      </w:r>
    </w:p>
    <w:p>
      <w:pPr>
        <w:spacing w:after="0" w:line="310" w:lineRule="exact"/>
        <w:rPr>
          <w:sz w:val="20"/>
          <w:szCs w:val="20"/>
          <w:color w:val="auto"/>
        </w:rPr>
      </w:pPr>
    </w:p>
    <w:p>
      <w:pPr>
        <w:sectPr>
          <w:pgSz w:w="11900" w:h="16838" w:orient="portrait"/>
          <w:cols w:equalWidth="0" w:num="2">
            <w:col w:w="8320" w:space="228"/>
            <w:col w:w="2692"/>
          </w:cols>
          <w:pgMar w:left="320" w:top="563" w:right="339" w:bottom="1440" w:gutter="0" w:footer="0" w:header="0"/>
          <w:type w:val="continuous"/>
        </w:sectPr>
      </w:pPr>
    </w:p>
    <w:p>
      <w:pPr>
        <w:jc w:val="center"/>
        <w:ind w:right="-19"/>
        <w:spacing w:after="0"/>
        <w:tabs>
          <w:tab w:leader="none" w:pos="20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prior to the Discharge of Additional Obligations, any Additional Credit Facility then in effect.</w:t>
      </w:r>
    </w:p>
    <w:p>
      <w:pPr>
        <w:spacing w:after="0" w:line="22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As used in this definition of “Additional Specified Indebtedness”, the term “Indebtedness” shall have the meaning set forth (x) for purposes of the preceding clause (i), prior to the Discharge of Original First Lien Obligations,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of the Initial Original First Lien Credit Agreement (if the Initial Original First Lien Credit Agreement is then in effect), or in any other Original First Lien Credit Agreement then in effect (if the Initial Original First Lien Credit Agreement is not then in effect), (y) for purposes of the preceding clause (ii), prior to the Discharge of Initial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565" w:name="page566"/>
    <w:bookmarkEnd w:id="565"/>
    <w:tbl>
      <w:tblPr>
        <w:tblLayout w:type="fixed"/>
        <w:tblInd w:w="0" w:type="dxa"/>
        <w:tblCellMar>
          <w:top w:w="0" w:type="dxa"/>
          <w:left w:w="0" w:type="dxa"/>
          <w:bottom w:w="0" w:type="dxa"/>
          <w:right w:w="0" w:type="dxa"/>
        </w:tblCellMar>
      </w:tblPr>
      <w:tr>
        <w:trPr>
          <w:trHeight w:val="322"/>
        </w:trPr>
        <w:tc>
          <w:tcPr>
            <w:tcW w:w="4660" w:type="dxa"/>
            <w:vAlign w:val="bottom"/>
            <w:gridSpan w:val="3"/>
          </w:tcPr>
          <w:p>
            <w:pPr>
              <w:spacing w:after="0"/>
              <w:rPr>
                <w:sz w:val="20"/>
                <w:szCs w:val="20"/>
                <w:color w:val="auto"/>
              </w:rPr>
            </w:pPr>
            <w:r>
              <w:rPr>
                <w:rFonts w:ascii="Arial" w:cs="Arial" w:eastAsia="Arial" w:hAnsi="Arial"/>
                <w:sz w:val="22"/>
                <w:szCs w:val="22"/>
                <w:color w:val="auto"/>
                <w:w w:val="94"/>
              </w:rPr>
              <w:t xml:space="preserve">Second] </w:t>
            </w:r>
            <w:r>
              <w:rPr>
                <w:rFonts w:ascii="Arial" w:cs="Arial" w:eastAsia="Arial" w:hAnsi="Arial"/>
                <w:sz w:val="28"/>
                <w:szCs w:val="28"/>
                <w:color w:val="auto"/>
                <w:w w:val="94"/>
                <w:vertAlign w:val="superscript"/>
              </w:rPr>
              <w:t>ii</w:t>
            </w:r>
            <w:r>
              <w:rPr>
                <w:rFonts w:ascii="Arial" w:cs="Arial" w:eastAsia="Arial" w:hAnsi="Arial"/>
                <w:sz w:val="22"/>
                <w:szCs w:val="22"/>
                <w:color w:val="auto"/>
                <w:w w:val="94"/>
              </w:rPr>
              <w:t xml:space="preserve"> Lien Obligations, in Section 1.01 of the [</w:t>
            </w:r>
          </w:p>
        </w:tc>
        <w:tc>
          <w:tcPr>
            <w:tcW w:w="4360" w:type="dxa"/>
            <w:vAlign w:val="bottom"/>
          </w:tcPr>
          <w:p>
            <w:pPr>
              <w:ind w:left="120"/>
              <w:spacing w:after="0"/>
              <w:rPr>
                <w:sz w:val="20"/>
                <w:szCs w:val="20"/>
                <w:color w:val="auto"/>
              </w:rPr>
            </w:pPr>
            <w:r>
              <w:rPr>
                <w:rFonts w:ascii="Arial" w:cs="Arial" w:eastAsia="Arial" w:hAnsi="Arial"/>
                <w:sz w:val="22"/>
                <w:szCs w:val="22"/>
                <w:color w:val="auto"/>
                <w:w w:val="97"/>
              </w:rPr>
              <w:t xml:space="preserve">] </w:t>
            </w:r>
            <w:r>
              <w:rPr>
                <w:rFonts w:ascii="Arial" w:cs="Arial" w:eastAsia="Arial" w:hAnsi="Arial"/>
                <w:sz w:val="28"/>
                <w:szCs w:val="28"/>
                <w:color w:val="auto"/>
                <w:w w:val="97"/>
                <w:vertAlign w:val="superscript"/>
              </w:rPr>
              <w:t>i</w:t>
            </w:r>
            <w:r>
              <w:rPr>
                <w:rFonts w:ascii="Arial" w:cs="Arial" w:eastAsia="Arial" w:hAnsi="Arial"/>
                <w:sz w:val="22"/>
                <w:szCs w:val="22"/>
                <w:color w:val="auto"/>
                <w:w w:val="97"/>
              </w:rPr>
              <w:t xml:space="preserve"> [First/Second] </w:t>
            </w:r>
            <w:r>
              <w:rPr>
                <w:rFonts w:ascii="Arial" w:cs="Arial" w:eastAsia="Arial" w:hAnsi="Arial"/>
                <w:sz w:val="28"/>
                <w:szCs w:val="28"/>
                <w:color w:val="auto"/>
                <w:w w:val="97"/>
                <w:vertAlign w:val="superscript"/>
              </w:rPr>
              <w:t>ii</w:t>
            </w:r>
            <w:r>
              <w:rPr>
                <w:rFonts w:ascii="Arial" w:cs="Arial" w:eastAsia="Arial" w:hAnsi="Arial"/>
                <w:sz w:val="22"/>
                <w:szCs w:val="22"/>
                <w:color w:val="auto"/>
                <w:w w:val="97"/>
              </w:rPr>
              <w:t xml:space="preserve"> Lien Credit Facility (if the [</w:t>
            </w:r>
          </w:p>
        </w:tc>
        <w:tc>
          <w:tcPr>
            <w:tcW w:w="2220" w:type="dxa"/>
            <w:vAlign w:val="bottom"/>
            <w:gridSpan w:val="2"/>
          </w:tcPr>
          <w:p>
            <w:pPr>
              <w:jc w:val="right"/>
              <w:spacing w:after="0"/>
              <w:rPr>
                <w:sz w:val="20"/>
                <w:szCs w:val="20"/>
                <w:color w:val="auto"/>
              </w:rPr>
            </w:pPr>
            <w:r>
              <w:rPr>
                <w:rFonts w:ascii="Arial" w:cs="Arial" w:eastAsia="Arial" w:hAnsi="Arial"/>
                <w:sz w:val="22"/>
                <w:szCs w:val="22"/>
                <w:color w:val="auto"/>
                <w:w w:val="98"/>
              </w:rPr>
              <w:t xml:space="preserve">] </w:t>
            </w:r>
            <w:r>
              <w:rPr>
                <w:rFonts w:ascii="Arial" w:cs="Arial" w:eastAsia="Arial" w:hAnsi="Arial"/>
                <w:sz w:val="28"/>
                <w:szCs w:val="28"/>
                <w:color w:val="auto"/>
                <w:w w:val="98"/>
                <w:vertAlign w:val="superscript"/>
              </w:rPr>
              <w:t>i</w:t>
            </w:r>
            <w:r>
              <w:rPr>
                <w:rFonts w:ascii="Arial" w:cs="Arial" w:eastAsia="Arial" w:hAnsi="Arial"/>
                <w:sz w:val="22"/>
                <w:szCs w:val="22"/>
                <w:color w:val="auto"/>
                <w:w w:val="98"/>
              </w:rPr>
              <w:t xml:space="preserve"> [First/Second] </w:t>
            </w:r>
            <w:r>
              <w:rPr>
                <w:rFonts w:ascii="Arial" w:cs="Arial" w:eastAsia="Arial" w:hAnsi="Arial"/>
                <w:sz w:val="28"/>
                <w:szCs w:val="28"/>
                <w:color w:val="auto"/>
                <w:w w:val="98"/>
                <w:vertAlign w:val="superscript"/>
              </w:rPr>
              <w:t>ii</w:t>
            </w:r>
            <w:r>
              <w:rPr>
                <w:rFonts w:ascii="Arial" w:cs="Arial" w:eastAsia="Arial" w:hAnsi="Arial"/>
                <w:sz w:val="22"/>
                <w:szCs w:val="22"/>
                <w:color w:val="auto"/>
                <w:w w:val="98"/>
              </w:rPr>
              <w:t xml:space="preserve"> Lien</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60" w:type="dxa"/>
            <w:vAlign w:val="bottom"/>
            <w:gridSpan w:val="2"/>
            <w:vMerge w:val="restart"/>
          </w:tcPr>
          <w:p>
            <w:pPr>
              <w:ind w:left="320"/>
              <w:spacing w:after="0" w:line="290" w:lineRule="exact"/>
              <w:rPr>
                <w:sz w:val="20"/>
                <w:szCs w:val="20"/>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then in effect (if the [</w:t>
            </w:r>
          </w:p>
        </w:tc>
        <w:tc>
          <w:tcPr>
            <w:tcW w:w="420" w:type="dxa"/>
            <w:vAlign w:val="bottom"/>
            <w:vMerge w:val="restart"/>
          </w:tcPr>
          <w:p>
            <w:pPr>
              <w:jc w:val="right"/>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3"/>
                <w:szCs w:val="13"/>
                <w:color w:val="auto"/>
              </w:rPr>
              <w:t xml:space="preserve"> i</w:t>
            </w:r>
          </w:p>
        </w:tc>
        <w:tc>
          <w:tcPr>
            <w:tcW w:w="0" w:type="dxa"/>
            <w:vAlign w:val="bottom"/>
          </w:tcPr>
          <w:p>
            <w:pPr>
              <w:spacing w:after="0" w:line="20" w:lineRule="exact"/>
              <w:rPr>
                <w:sz w:val="1"/>
                <w:szCs w:val="1"/>
                <w:color w:val="auto"/>
              </w:rPr>
            </w:pPr>
          </w:p>
        </w:tc>
      </w:tr>
      <w:tr>
        <w:trPr>
          <w:trHeight w:val="270"/>
        </w:trPr>
        <w:tc>
          <w:tcPr>
            <w:tcW w:w="4660" w:type="dxa"/>
            <w:vAlign w:val="bottom"/>
            <w:gridSpan w:val="3"/>
          </w:tcPr>
          <w:p>
            <w:pPr>
              <w:spacing w:after="0"/>
              <w:rPr>
                <w:sz w:val="20"/>
                <w:szCs w:val="20"/>
                <w:color w:val="auto"/>
              </w:rPr>
            </w:pPr>
            <w:r>
              <w:rPr>
                <w:rFonts w:ascii="Arial" w:cs="Arial" w:eastAsia="Arial" w:hAnsi="Arial"/>
                <w:sz w:val="22"/>
                <w:szCs w:val="22"/>
                <w:color w:val="auto"/>
              </w:rPr>
              <w:t>Credit Facility is then in effect), or in any other [</w:t>
            </w:r>
          </w:p>
        </w:tc>
        <w:tc>
          <w:tcPr>
            <w:tcW w:w="6160" w:type="dxa"/>
            <w:vAlign w:val="bottom"/>
            <w:gridSpan w:val="2"/>
            <w:vMerge w:val="continue"/>
          </w:tcPr>
          <w:p>
            <w:pPr>
              <w:spacing w:after="0"/>
              <w:rPr>
                <w:sz w:val="23"/>
                <w:szCs w:val="23"/>
                <w:color w:val="auto"/>
              </w:rPr>
            </w:pPr>
          </w:p>
        </w:tc>
        <w:tc>
          <w:tcPr>
            <w:tcW w:w="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jc w:val="both"/>
        <w:spacing w:after="0" w:line="233" w:lineRule="auto"/>
        <w:rPr>
          <w:sz w:val="20"/>
          <w:szCs w:val="20"/>
          <w:color w:val="auto"/>
        </w:rPr>
      </w:pPr>
      <w:r>
        <w:rPr>
          <w:rFonts w:ascii="Arial" w:cs="Arial" w:eastAsia="Arial" w:hAnsi="Arial"/>
          <w:sz w:val="22"/>
          <w:szCs w:val="22"/>
          <w:color w:val="auto"/>
        </w:rPr>
        <w:t xml:space="preserve">[First/Second]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is not then in effect), and (z) for purposes of the preceding clause (iii), prior to the Discharge of Additional Obligations, in the applicable Additional Credit Facility then in effect. In the event that any Indebtedness as defined in any such Credit Document shall not be Indebtedness as defined in any other such Credit Document, but is or may be incurred in compliance with such other Credit Document, such Indebtedness shall constitute Additional Specified Indebtedness for the purposes of such other Credit Document.</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 shall mean, as to any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corresponding meanings.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Agent</w:t>
      </w:r>
      <w:r>
        <w:rPr>
          <w:rFonts w:ascii="Arial" w:cs="Arial" w:eastAsia="Arial" w:hAnsi="Arial"/>
          <w:sz w:val="22"/>
          <w:szCs w:val="22"/>
          <w:color w:val="auto"/>
        </w:rPr>
        <w:t xml:space="preserve"> ” shall mean any Senior Priority Agent or Junior Priority Agent.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 shall have the meaning assigned thereto in the Preamble hereto.</w:t>
      </w:r>
    </w:p>
    <w:p>
      <w:pPr>
        <w:spacing w:after="0" w:line="21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Airport Authority</w:t>
      </w:r>
      <w:r>
        <w:rPr>
          <w:rFonts w:ascii="Arial" w:cs="Arial" w:eastAsia="Arial" w:hAnsi="Arial"/>
          <w:sz w:val="22"/>
          <w:szCs w:val="22"/>
          <w:color w:val="auto"/>
        </w:rPr>
        <w:t xml:space="preserve"> ” shall mean any city or any public or private board or other body or organization chartered or otherwise established for the purpose of administering, operating or managing an airport or related facilities.</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Aircraft Related Equipment</w:t>
      </w:r>
      <w:r>
        <w:rPr>
          <w:rFonts w:ascii="Arial" w:cs="Arial" w:eastAsia="Arial" w:hAnsi="Arial"/>
          <w:sz w:val="19"/>
          <w:szCs w:val="19"/>
          <w:color w:val="auto"/>
        </w:rPr>
        <w:t xml:space="preserve"> ” shall mean aircraft (including engines, airframes, propellers and appliances), engines, propellers, spare parts, aircraft parts, simulators and other training devices, quick engine change kits, passenger loading bridges, other flight or ground service equipment, de-icers, ground support equipment, aircraft cleaning devices, materials handling equipment, passenger walkways and other similar equipment or other operating assets.</w:t>
      </w:r>
    </w:p>
    <w:p>
      <w:pPr>
        <w:spacing w:after="0" w:line="132"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Bank Products Affiliate</w:t>
      </w:r>
      <w:r>
        <w:rPr>
          <w:rFonts w:ascii="Arial" w:cs="Arial" w:eastAsia="Arial" w:hAnsi="Arial"/>
          <w:sz w:val="22"/>
          <w:szCs w:val="22"/>
          <w:color w:val="auto"/>
        </w:rPr>
        <w:t xml:space="preserve"> ” shall mean any Original First Lien Bank Products Affiliate,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Bank Products Affiliate or any Additional Bank Products Affiliate, as applicable.</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Bank Products Agreement</w:t>
      </w:r>
      <w:r>
        <w:rPr>
          <w:rFonts w:ascii="Arial" w:cs="Arial" w:eastAsia="Arial" w:hAnsi="Arial"/>
          <w:sz w:val="22"/>
          <w:szCs w:val="22"/>
          <w:color w:val="auto"/>
        </w:rPr>
        <w:t xml:space="preserve"> ” shall mean any agreement to provide treasury, depository and cash management services, netting services and automated clearing house transfers of funds services,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5" w:right="339" w:bottom="1440" w:gutter="0" w:footer="0" w:header="0"/>
        </w:sectPr>
      </w:pPr>
    </w:p>
    <w:bookmarkStart w:id="566" w:name="page567"/>
    <w:bookmarkEnd w:id="566"/>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 shall mean The Bankruptcy Reform Act of 1978, as heretofore and hereafter amended, and codified as 11 U.S.C. Section 101 et seq.</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Bankruptcy Law</w:t>
      </w:r>
      <w:r>
        <w:rPr>
          <w:rFonts w:ascii="Arial" w:cs="Arial" w:eastAsia="Arial" w:hAnsi="Arial"/>
          <w:sz w:val="19"/>
          <w:szCs w:val="19"/>
          <w:color w:val="auto"/>
        </w:rPr>
        <w:t xml:space="preserve"> ” shall mean the Bankruptcy Code or any similar federal, state or foreign law for the relief of debtors.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240" w:type="dxa"/>
            <w:vAlign w:val="bottom"/>
            <w:gridSpan w:val="3"/>
          </w:tcPr>
          <w:p>
            <w:pPr>
              <w:ind w:left="660"/>
              <w:spacing w:after="0"/>
              <w:rPr>
                <w:sz w:val="20"/>
                <w:szCs w:val="20"/>
                <w:color w:val="auto"/>
              </w:rPr>
            </w:pPr>
            <w:r>
              <w:rPr>
                <w:rFonts w:ascii="Arial" w:cs="Arial" w:eastAsia="Arial" w:hAnsi="Arial"/>
                <w:sz w:val="22"/>
                <w:szCs w:val="22"/>
                <w:color w:val="auto"/>
                <w:w w:val="99"/>
              </w:rPr>
              <w:t>“ Borrower ” shall mean any of the Original First Lien Borrower, the [</w:t>
            </w:r>
          </w:p>
        </w:tc>
        <w:tc>
          <w:tcPr>
            <w:tcW w:w="4000" w:type="dxa"/>
            <w:vAlign w:val="bottom"/>
          </w:tcPr>
          <w:p>
            <w:pPr>
              <w:ind w:left="200"/>
              <w:spacing w:after="0"/>
              <w:rPr>
                <w:sz w:val="20"/>
                <w:szCs w:val="20"/>
                <w:color w:val="auto"/>
              </w:rPr>
            </w:pPr>
            <w:r>
              <w:rPr>
                <w:rFonts w:ascii="Arial" w:cs="Arial" w:eastAsia="Arial" w:hAnsi="Arial"/>
                <w:sz w:val="22"/>
                <w:szCs w:val="22"/>
                <w:color w:val="auto"/>
                <w:w w:val="94"/>
              </w:rPr>
              <w:t xml:space="preserve">] </w:t>
            </w:r>
            <w:r>
              <w:rPr>
                <w:rFonts w:ascii="Arial" w:cs="Arial" w:eastAsia="Arial" w:hAnsi="Arial"/>
                <w:sz w:val="28"/>
                <w:szCs w:val="28"/>
                <w:color w:val="auto"/>
                <w:w w:val="94"/>
                <w:vertAlign w:val="superscript"/>
              </w:rPr>
              <w:t>i</w:t>
            </w:r>
            <w:r>
              <w:rPr>
                <w:rFonts w:ascii="Arial" w:cs="Arial" w:eastAsia="Arial" w:hAnsi="Arial"/>
                <w:sz w:val="22"/>
                <w:szCs w:val="22"/>
                <w:color w:val="auto"/>
                <w:w w:val="94"/>
              </w:rPr>
              <w:t xml:space="preserve"> [First/Second] </w:t>
            </w:r>
            <w:r>
              <w:rPr>
                <w:rFonts w:ascii="Arial" w:cs="Arial" w:eastAsia="Arial" w:hAnsi="Arial"/>
                <w:sz w:val="28"/>
                <w:szCs w:val="28"/>
                <w:color w:val="auto"/>
                <w:w w:val="94"/>
                <w:vertAlign w:val="superscript"/>
              </w:rPr>
              <w:t>ii</w:t>
            </w:r>
            <w:r>
              <w:rPr>
                <w:rFonts w:ascii="Arial" w:cs="Arial" w:eastAsia="Arial" w:hAnsi="Arial"/>
                <w:sz w:val="22"/>
                <w:szCs w:val="22"/>
                <w:color w:val="auto"/>
                <w:w w:val="94"/>
              </w:rPr>
              <w:t xml:space="preserve"> Lien Borrower and any</w:t>
            </w:r>
          </w:p>
        </w:tc>
      </w:tr>
      <w:tr>
        <w:trPr>
          <w:trHeight w:val="20"/>
        </w:trPr>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87"/>
        </w:trPr>
        <w:tc>
          <w:tcPr>
            <w:tcW w:w="7240" w:type="dxa"/>
            <w:vAlign w:val="bottom"/>
            <w:gridSpan w:val="3"/>
          </w:tcPr>
          <w:p>
            <w:pPr>
              <w:spacing w:after="0"/>
              <w:rPr>
                <w:sz w:val="20"/>
                <w:szCs w:val="20"/>
                <w:color w:val="auto"/>
              </w:rPr>
            </w:pPr>
            <w:r>
              <w:rPr>
                <w:rFonts w:ascii="Arial" w:cs="Arial" w:eastAsia="Arial" w:hAnsi="Arial"/>
                <w:sz w:val="22"/>
                <w:szCs w:val="22"/>
                <w:color w:val="auto"/>
              </w:rPr>
              <w:t>Additional Borrower.</w:t>
            </w:r>
          </w:p>
        </w:tc>
        <w:tc>
          <w:tcPr>
            <w:tcW w:w="4000" w:type="dxa"/>
            <w:vAlign w:val="bottom"/>
          </w:tcPr>
          <w:p>
            <w:pPr>
              <w:spacing w:after="0"/>
              <w:rPr>
                <w:sz w:val="24"/>
                <w:szCs w:val="24"/>
                <w:color w:val="auto"/>
              </w:rPr>
            </w:pPr>
          </w:p>
        </w:tc>
      </w:tr>
    </w:tbl>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 shall mean a day other than a Saturday, Sunday or other day on which commercial banks in the City of New York are authorized or required by law to close.</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Capital Lease Obligation”</w:t>
      </w:r>
      <w:r>
        <w:rPr>
          <w:rFonts w:ascii="Arial" w:cs="Arial" w:eastAsia="Arial" w:hAnsi="Arial"/>
          <w:sz w:val="19"/>
          <w:szCs w:val="19"/>
          <w:color w:val="auto"/>
        </w:rPr>
        <w:t xml:space="preserve"> shall mean, at the time any determination is to be made, the amount of the liability in respect of a capital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Capital Stock</w:t>
      </w:r>
      <w:r>
        <w:rPr>
          <w:rFonts w:ascii="Arial" w:cs="Arial" w:eastAsia="Arial" w:hAnsi="Arial"/>
          <w:sz w:val="22"/>
          <w:szCs w:val="22"/>
          <w:color w:val="auto"/>
        </w:rPr>
        <w:t xml:space="preserve"> ” shall mean:</w:t>
      </w:r>
    </w:p>
    <w:p>
      <w:pPr>
        <w:spacing w:after="0" w:line="220" w:lineRule="exact"/>
        <w:rPr>
          <w:sz w:val="20"/>
          <w:szCs w:val="20"/>
          <w:color w:val="auto"/>
        </w:rPr>
      </w:pPr>
    </w:p>
    <w:p>
      <w:pPr>
        <w:ind w:left="1120" w:hanging="464"/>
        <w:spacing w:after="0"/>
        <w:tabs>
          <w:tab w:leader="none" w:pos="1120" w:val="left"/>
        </w:tabs>
        <w:numPr>
          <w:ilvl w:val="0"/>
          <w:numId w:val="736"/>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19" w:lineRule="exact"/>
        <w:rPr>
          <w:rFonts w:ascii="Arial" w:cs="Arial" w:eastAsia="Arial" w:hAnsi="Arial"/>
          <w:sz w:val="22"/>
          <w:szCs w:val="22"/>
          <w:color w:val="auto"/>
        </w:rPr>
      </w:pPr>
    </w:p>
    <w:p>
      <w:pPr>
        <w:ind w:firstLine="656"/>
        <w:spacing w:after="0" w:line="263" w:lineRule="auto"/>
        <w:tabs>
          <w:tab w:leader="none" w:pos="1118" w:val="left"/>
        </w:tabs>
        <w:numPr>
          <w:ilvl w:val="0"/>
          <w:numId w:val="736"/>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74" w:lineRule="exact"/>
        <w:rPr>
          <w:rFonts w:ascii="Arial" w:cs="Arial" w:eastAsia="Arial" w:hAnsi="Arial"/>
          <w:sz w:val="22"/>
          <w:szCs w:val="22"/>
          <w:color w:val="auto"/>
        </w:rPr>
      </w:pPr>
    </w:p>
    <w:p>
      <w:pPr>
        <w:ind w:right="20" w:firstLine="656"/>
        <w:spacing w:after="0" w:line="263" w:lineRule="auto"/>
        <w:tabs>
          <w:tab w:leader="none" w:pos="1267" w:val="left"/>
        </w:tabs>
        <w:numPr>
          <w:ilvl w:val="0"/>
          <w:numId w:val="736"/>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and</w:t>
      </w:r>
    </w:p>
    <w:p>
      <w:pPr>
        <w:spacing w:after="0" w:line="174" w:lineRule="exact"/>
        <w:rPr>
          <w:rFonts w:ascii="Arial" w:cs="Arial" w:eastAsia="Arial" w:hAnsi="Arial"/>
          <w:sz w:val="22"/>
          <w:szCs w:val="22"/>
          <w:color w:val="auto"/>
        </w:rPr>
      </w:pPr>
    </w:p>
    <w:p>
      <w:pPr>
        <w:ind w:firstLine="656"/>
        <w:spacing w:after="0" w:line="263" w:lineRule="auto"/>
        <w:tabs>
          <w:tab w:leader="none" w:pos="1137" w:val="left"/>
        </w:tabs>
        <w:numPr>
          <w:ilvl w:val="0"/>
          <w:numId w:val="736"/>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but excluding from all of the foregoing clauses (1) through (4) any debt securities convertible into Capital Stock, whether or not such debt securities include any right of participation with Capital Stock.</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Cash Collateral</w:t>
      </w:r>
      <w:r>
        <w:rPr>
          <w:rFonts w:ascii="Arial" w:cs="Arial" w:eastAsia="Arial" w:hAnsi="Arial"/>
          <w:sz w:val="22"/>
          <w:szCs w:val="22"/>
          <w:color w:val="auto"/>
        </w:rPr>
        <w:t xml:space="preserve"> ” shall mean any Collateral consisting of Money or Cash Equivalents, any Security Entitlement and any Financial Assets.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Cash Equivalents</w:t>
      </w:r>
      <w:r>
        <w:rPr>
          <w:rFonts w:ascii="Arial" w:cs="Arial" w:eastAsia="Arial" w:hAnsi="Arial"/>
          <w:sz w:val="22"/>
          <w:szCs w:val="22"/>
          <w:color w:val="auto"/>
        </w:rPr>
        <w:t xml:space="preserve"> ” shall mean, as of the date acquired, purchased or made, as applicable:</w:t>
      </w:r>
    </w:p>
    <w:p>
      <w:pPr>
        <w:spacing w:after="0" w:line="220" w:lineRule="exact"/>
        <w:rPr>
          <w:sz w:val="20"/>
          <w:szCs w:val="20"/>
          <w:color w:val="auto"/>
        </w:rPr>
      </w:pPr>
    </w:p>
    <w:p>
      <w:pPr>
        <w:jc w:val="both"/>
        <w:ind w:firstLine="656"/>
        <w:spacing w:after="0" w:line="250" w:lineRule="auto"/>
        <w:tabs>
          <w:tab w:leader="none" w:pos="1241" w:val="left"/>
        </w:tabs>
        <w:numPr>
          <w:ilvl w:val="0"/>
          <w:numId w:val="738"/>
        </w:numPr>
        <w:rPr>
          <w:rFonts w:ascii="Arial" w:cs="Arial" w:eastAsia="Arial" w:hAnsi="Arial"/>
          <w:sz w:val="22"/>
          <w:szCs w:val="22"/>
          <w:color w:val="auto"/>
        </w:rPr>
      </w:pPr>
      <w:r>
        <w:rPr>
          <w:rFonts w:ascii="Arial" w:cs="Arial" w:eastAsia="Arial" w:hAnsi="Arial"/>
          <w:sz w:val="22"/>
          <w:szCs w:val="22"/>
          <w:color w:val="auto"/>
        </w:rPr>
        <w:t>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7" w:name="page568"/>
    <w:bookmarkEnd w:id="567"/>
    <w:p>
      <w:pPr>
        <w:jc w:val="both"/>
        <w:ind w:firstLine="656"/>
        <w:spacing w:after="0" w:line="253" w:lineRule="auto"/>
        <w:tabs>
          <w:tab w:leader="none" w:pos="1182" w:val="left"/>
        </w:tabs>
        <w:numPr>
          <w:ilvl w:val="0"/>
          <w:numId w:val="739"/>
        </w:numPr>
        <w:rPr>
          <w:rFonts w:ascii="Arial" w:cs="Arial" w:eastAsia="Arial" w:hAnsi="Arial"/>
          <w:sz w:val="22"/>
          <w:szCs w:val="22"/>
          <w:color w:val="auto"/>
        </w:rPr>
      </w:pPr>
      <w:r>
        <w:rPr>
          <w:rFonts w:ascii="Arial" w:cs="Arial" w:eastAsia="Arial" w:hAnsi="Arial"/>
          <w:sz w:val="22"/>
          <w:szCs w:val="22"/>
          <w:color w:val="auto"/>
        </w:rPr>
        <w:t>direct obligations issued by any state of the United States of America or any political subdivision of any such state or any instrumentality thereof, in each case maturing within three years after such date and having a rating of at least A- (or the equivalent thereof) from S&amp;P or A3 (or the equivalent thereof) from Moody’s;</w:t>
      </w:r>
    </w:p>
    <w:p>
      <w:pPr>
        <w:spacing w:after="0" w:line="185" w:lineRule="exact"/>
        <w:rPr>
          <w:rFonts w:ascii="Arial" w:cs="Arial" w:eastAsia="Arial" w:hAnsi="Arial"/>
          <w:sz w:val="22"/>
          <w:szCs w:val="22"/>
          <w:color w:val="auto"/>
        </w:rPr>
      </w:pPr>
    </w:p>
    <w:p>
      <w:pPr>
        <w:jc w:val="both"/>
        <w:ind w:firstLine="656"/>
        <w:spacing w:after="0" w:line="265" w:lineRule="auto"/>
        <w:tabs>
          <w:tab w:leader="none" w:pos="1341" w:val="left"/>
        </w:tabs>
        <w:numPr>
          <w:ilvl w:val="0"/>
          <w:numId w:val="739"/>
        </w:numPr>
        <w:rPr>
          <w:rFonts w:ascii="Arial" w:cs="Arial" w:eastAsia="Arial" w:hAnsi="Arial"/>
          <w:sz w:val="21"/>
          <w:szCs w:val="21"/>
          <w:color w:val="auto"/>
        </w:rPr>
      </w:pPr>
      <w:r>
        <w:rPr>
          <w:rFonts w:ascii="Arial" w:cs="Arial" w:eastAsia="Arial" w:hAnsi="Arial"/>
          <w:sz w:val="21"/>
          <w:szCs w:val="21"/>
          <w:color w:val="auto"/>
        </w:rPr>
        <w:t xml:space="preserve">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the security has a maturity or weighted average life of three years or less from such date;</w:t>
      </w:r>
    </w:p>
    <w:p>
      <w:pPr>
        <w:spacing w:after="0" w:line="175" w:lineRule="exact"/>
        <w:rPr>
          <w:rFonts w:ascii="Arial" w:cs="Arial" w:eastAsia="Arial" w:hAnsi="Arial"/>
          <w:sz w:val="21"/>
          <w:szCs w:val="21"/>
          <w:color w:val="auto"/>
        </w:rPr>
      </w:pPr>
    </w:p>
    <w:p>
      <w:pPr>
        <w:ind w:firstLine="656"/>
        <w:spacing w:after="0" w:line="263" w:lineRule="auto"/>
        <w:tabs>
          <w:tab w:leader="none" w:pos="1183" w:val="left"/>
        </w:tabs>
        <w:numPr>
          <w:ilvl w:val="0"/>
          <w:numId w:val="739"/>
        </w:numPr>
        <w:rPr>
          <w:rFonts w:ascii="Arial" w:cs="Arial" w:eastAsia="Arial" w:hAnsi="Arial"/>
          <w:sz w:val="22"/>
          <w:szCs w:val="22"/>
          <w:color w:val="auto"/>
        </w:rPr>
      </w:pPr>
      <w:r>
        <w:rPr>
          <w:rFonts w:ascii="Arial" w:cs="Arial" w:eastAsia="Arial" w:hAnsi="Arial"/>
          <w:sz w:val="22"/>
          <w:szCs w:val="22"/>
          <w:color w:val="auto"/>
        </w:rPr>
        <w:t>investments in commercial paper maturing no more than one year after such date and having, on such date, a rating of at least A-2 from S&amp;P or at least P-2 from Moody’s;</w:t>
      </w:r>
    </w:p>
    <w:p>
      <w:pPr>
        <w:spacing w:after="0" w:line="174" w:lineRule="exact"/>
        <w:rPr>
          <w:rFonts w:ascii="Arial" w:cs="Arial" w:eastAsia="Arial" w:hAnsi="Arial"/>
          <w:sz w:val="22"/>
          <w:szCs w:val="22"/>
          <w:color w:val="auto"/>
        </w:rPr>
      </w:pPr>
    </w:p>
    <w:p>
      <w:pPr>
        <w:jc w:val="both"/>
        <w:ind w:firstLine="656"/>
        <w:spacing w:after="0" w:line="247" w:lineRule="auto"/>
        <w:tabs>
          <w:tab w:leader="none" w:pos="1155" w:val="left"/>
        </w:tabs>
        <w:numPr>
          <w:ilvl w:val="0"/>
          <w:numId w:val="739"/>
        </w:numPr>
        <w:rPr>
          <w:rFonts w:ascii="Arial" w:cs="Arial" w:eastAsia="Arial" w:hAnsi="Arial"/>
          <w:sz w:val="22"/>
          <w:szCs w:val="22"/>
          <w:color w:val="auto"/>
        </w:rPr>
      </w:pPr>
      <w:r>
        <w:rPr>
          <w:rFonts w:ascii="Arial" w:cs="Arial" w:eastAsia="Arial" w:hAnsi="Arial"/>
          <w:sz w:val="22"/>
          <w:szCs w:val="22"/>
          <w:color w:val="auto"/>
        </w:rPr>
        <w:t>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Original First Lien Credit Agreement Lender or by any commercial bank organized under the laws of the United States of America or any state thereof or the District of Columbia that has a combined capital and surplus and undivided profits of not less than $250,000,000;</w:t>
      </w:r>
    </w:p>
    <w:p>
      <w:pPr>
        <w:spacing w:after="0" w:line="192" w:lineRule="exact"/>
        <w:rPr>
          <w:rFonts w:ascii="Arial" w:cs="Arial" w:eastAsia="Arial" w:hAnsi="Arial"/>
          <w:sz w:val="22"/>
          <w:szCs w:val="22"/>
          <w:color w:val="auto"/>
        </w:rPr>
      </w:pPr>
    </w:p>
    <w:p>
      <w:pPr>
        <w:ind w:firstLine="656"/>
        <w:spacing w:after="0" w:line="263" w:lineRule="auto"/>
        <w:tabs>
          <w:tab w:leader="none" w:pos="1217" w:val="left"/>
        </w:tabs>
        <w:numPr>
          <w:ilvl w:val="0"/>
          <w:numId w:val="739"/>
        </w:numPr>
        <w:rPr>
          <w:rFonts w:ascii="Arial" w:cs="Arial" w:eastAsia="Arial" w:hAnsi="Arial"/>
          <w:sz w:val="22"/>
          <w:szCs w:val="22"/>
          <w:color w:val="auto"/>
        </w:rPr>
      </w:pPr>
      <w:r>
        <w:rPr>
          <w:rFonts w:ascii="Arial" w:cs="Arial" w:eastAsia="Arial" w:hAnsi="Arial"/>
          <w:sz w:val="22"/>
          <w:szCs w:val="22"/>
          <w:color w:val="auto"/>
        </w:rPr>
        <w:t>fully collateralized repurchase agreements with counterparties whose long term debt is rated not less than A- by S&amp;P and A3 by Moody’s and with a term of not more than six months from such date;</w:t>
      </w:r>
    </w:p>
    <w:p>
      <w:pPr>
        <w:spacing w:after="0" w:line="174" w:lineRule="exact"/>
        <w:rPr>
          <w:rFonts w:ascii="Arial" w:cs="Arial" w:eastAsia="Arial" w:hAnsi="Arial"/>
          <w:sz w:val="22"/>
          <w:szCs w:val="22"/>
          <w:color w:val="auto"/>
        </w:rPr>
      </w:pPr>
    </w:p>
    <w:p>
      <w:pPr>
        <w:jc w:val="both"/>
        <w:ind w:firstLine="656"/>
        <w:spacing w:after="0" w:line="265" w:lineRule="auto"/>
        <w:tabs>
          <w:tab w:leader="none" w:pos="1329" w:val="left"/>
        </w:tabs>
        <w:numPr>
          <w:ilvl w:val="0"/>
          <w:numId w:val="739"/>
        </w:numPr>
        <w:rPr>
          <w:rFonts w:ascii="Arial" w:cs="Arial" w:eastAsia="Arial" w:hAnsi="Arial"/>
          <w:sz w:val="21"/>
          <w:szCs w:val="21"/>
          <w:color w:val="auto"/>
        </w:rPr>
      </w:pPr>
      <w:r>
        <w:rPr>
          <w:rFonts w:ascii="Arial" w:cs="Arial" w:eastAsia="Arial" w:hAnsi="Arial"/>
          <w:sz w:val="21"/>
          <w:szCs w:val="21"/>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205" w:val="left"/>
        </w:tabs>
        <w:numPr>
          <w:ilvl w:val="0"/>
          <w:numId w:val="739"/>
        </w:numPr>
        <w:rPr>
          <w:rFonts w:ascii="Arial" w:cs="Arial" w:eastAsia="Arial" w:hAnsi="Arial"/>
          <w:sz w:val="22"/>
          <w:szCs w:val="22"/>
          <w:color w:val="auto"/>
        </w:rPr>
      </w:pPr>
      <w:r>
        <w:rPr>
          <w:rFonts w:ascii="Arial" w:cs="Arial" w:eastAsia="Arial" w:hAnsi="Arial"/>
          <w:sz w:val="22"/>
          <w:szCs w:val="22"/>
          <w:color w:val="auto"/>
        </w:rPr>
        <w:t>shares of any money market mutual fund that, as of such date, (a) complies with the criteria set forth in SEC Rule 2a-7 under the Investment Company Act of 1940, as amended and (b) is rated AAA (or the equivalent thereof) by S&amp;P and Aaa (or the equivalent thereof) by Moody’s;</w:t>
      </w:r>
    </w:p>
    <w:p>
      <w:pPr>
        <w:spacing w:after="0" w:line="185" w:lineRule="exact"/>
        <w:rPr>
          <w:rFonts w:ascii="Arial" w:cs="Arial" w:eastAsia="Arial" w:hAnsi="Arial"/>
          <w:sz w:val="22"/>
          <w:szCs w:val="22"/>
          <w:color w:val="auto"/>
        </w:rPr>
      </w:pPr>
    </w:p>
    <w:p>
      <w:pPr>
        <w:ind w:firstLine="656"/>
        <w:spacing w:after="0" w:line="263" w:lineRule="auto"/>
        <w:tabs>
          <w:tab w:leader="none" w:pos="1097" w:val="left"/>
        </w:tabs>
        <w:numPr>
          <w:ilvl w:val="0"/>
          <w:numId w:val="739"/>
        </w:numPr>
        <w:rPr>
          <w:rFonts w:ascii="Arial" w:cs="Arial" w:eastAsia="Arial" w:hAnsi="Arial"/>
          <w:sz w:val="22"/>
          <w:szCs w:val="22"/>
          <w:color w:val="auto"/>
        </w:rPr>
      </w:pPr>
      <w:r>
        <w:rPr>
          <w:rFonts w:ascii="Arial" w:cs="Arial" w:eastAsia="Arial" w:hAnsi="Arial"/>
          <w:sz w:val="22"/>
          <w:szCs w:val="22"/>
          <w:color w:val="auto"/>
        </w:rPr>
        <w:t>auction rate preferred securities that, as of such date, have the highest rating obtainable from either S&amp;P or Moody’s and with a maximum reset date at least every 30 days;</w:t>
      </w:r>
    </w:p>
    <w:p>
      <w:pPr>
        <w:spacing w:after="0" w:line="174" w:lineRule="exact"/>
        <w:rPr>
          <w:rFonts w:ascii="Arial" w:cs="Arial" w:eastAsia="Arial" w:hAnsi="Arial"/>
          <w:sz w:val="22"/>
          <w:szCs w:val="22"/>
          <w:color w:val="auto"/>
        </w:rPr>
      </w:pPr>
    </w:p>
    <w:p>
      <w:pPr>
        <w:ind w:firstLine="656"/>
        <w:spacing w:after="0" w:line="263" w:lineRule="auto"/>
        <w:tabs>
          <w:tab w:leader="none" w:pos="1251" w:val="left"/>
        </w:tabs>
        <w:numPr>
          <w:ilvl w:val="0"/>
          <w:numId w:val="739"/>
        </w:numPr>
        <w:rPr>
          <w:rFonts w:ascii="Arial" w:cs="Arial" w:eastAsia="Arial" w:hAnsi="Arial"/>
          <w:sz w:val="22"/>
          <w:szCs w:val="22"/>
          <w:color w:val="auto"/>
        </w:rPr>
      </w:pPr>
      <w:r>
        <w:rPr>
          <w:rFonts w:ascii="Arial" w:cs="Arial" w:eastAsia="Arial" w:hAnsi="Arial"/>
          <w:sz w:val="22"/>
          <w:szCs w:val="22"/>
          <w:color w:val="auto"/>
        </w:rPr>
        <w:t>investments made pursuant to the Company’s or any of its restricted subsidiaries’ cash equivalents/short-term investment guidelines;</w:t>
      </w:r>
    </w:p>
    <w:p>
      <w:pPr>
        <w:spacing w:after="0" w:line="174" w:lineRule="exact"/>
        <w:rPr>
          <w:rFonts w:ascii="Arial" w:cs="Arial" w:eastAsia="Arial" w:hAnsi="Arial"/>
          <w:sz w:val="22"/>
          <w:szCs w:val="22"/>
          <w:color w:val="auto"/>
        </w:rPr>
      </w:pPr>
    </w:p>
    <w:p>
      <w:pPr>
        <w:ind w:firstLine="656"/>
        <w:spacing w:after="0" w:line="263" w:lineRule="auto"/>
        <w:tabs>
          <w:tab w:leader="none" w:pos="1204" w:val="left"/>
        </w:tabs>
        <w:numPr>
          <w:ilvl w:val="0"/>
          <w:numId w:val="739"/>
        </w:numPr>
        <w:rPr>
          <w:rFonts w:ascii="Arial" w:cs="Arial" w:eastAsia="Arial" w:hAnsi="Arial"/>
          <w:sz w:val="22"/>
          <w:szCs w:val="22"/>
          <w:color w:val="auto"/>
        </w:rPr>
      </w:pPr>
      <w:r>
        <w:rPr>
          <w:rFonts w:ascii="Arial" w:cs="Arial" w:eastAsia="Arial" w:hAnsi="Arial"/>
          <w:sz w:val="22"/>
          <w:szCs w:val="22"/>
          <w:color w:val="auto"/>
        </w:rPr>
        <w:t>deposits available for withdrawal on demand with commercial banks organized in the United States having capital and surplus in excess of $100,000,000;</w:t>
      </w:r>
    </w:p>
    <w:p>
      <w:pPr>
        <w:spacing w:after="0" w:line="174" w:lineRule="exact"/>
        <w:rPr>
          <w:rFonts w:ascii="Arial" w:cs="Arial" w:eastAsia="Arial" w:hAnsi="Arial"/>
          <w:sz w:val="22"/>
          <w:szCs w:val="22"/>
          <w:color w:val="auto"/>
        </w:rPr>
      </w:pPr>
    </w:p>
    <w:p>
      <w:pPr>
        <w:ind w:firstLine="656"/>
        <w:spacing w:after="0" w:line="263" w:lineRule="auto"/>
        <w:tabs>
          <w:tab w:leader="none" w:pos="1389" w:val="left"/>
        </w:tabs>
        <w:numPr>
          <w:ilvl w:val="0"/>
          <w:numId w:val="739"/>
        </w:numPr>
        <w:rPr>
          <w:rFonts w:ascii="Arial" w:cs="Arial" w:eastAsia="Arial" w:hAnsi="Arial"/>
          <w:sz w:val="22"/>
          <w:szCs w:val="22"/>
          <w:color w:val="auto"/>
        </w:rPr>
      </w:pPr>
      <w:r>
        <w:rPr>
          <w:rFonts w:ascii="Arial" w:cs="Arial" w:eastAsia="Arial" w:hAnsi="Arial"/>
          <w:sz w:val="22"/>
          <w:szCs w:val="22"/>
          <w:color w:val="auto"/>
        </w:rPr>
        <w:t>securities with maturities of three years or less from such date issued or fully guaranteed by any state, commonwealth or territory of the United States, by any political subdivision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8" w:name="page569"/>
    <w:bookmarkEnd w:id="568"/>
    <w:p>
      <w:pPr>
        <w:jc w:val="both"/>
        <w:spacing w:after="0" w:line="253" w:lineRule="auto"/>
        <w:rPr>
          <w:sz w:val="20"/>
          <w:szCs w:val="20"/>
          <w:color w:val="auto"/>
        </w:rPr>
      </w:pPr>
      <w:r>
        <w:rPr>
          <w:rFonts w:ascii="Arial" w:cs="Arial" w:eastAsia="Arial" w:hAnsi="Arial"/>
          <w:sz w:val="22"/>
          <w:szCs w:val="22"/>
          <w:color w:val="auto"/>
        </w:rPr>
        <w:t>or taxing authority of any such state, commonwealth or territory or by any foreign government, the securities of which state, commonwealth, territory, political subdivision, taxing authority or foreign government (as the case may be) are rated at least A by S&amp;P or A2 by Moody’s; and</w:t>
      </w:r>
    </w:p>
    <w:p>
      <w:pPr>
        <w:spacing w:after="0" w:line="185" w:lineRule="exact"/>
        <w:rPr>
          <w:sz w:val="20"/>
          <w:szCs w:val="20"/>
          <w:color w:val="auto"/>
        </w:rPr>
      </w:pPr>
    </w:p>
    <w:p>
      <w:pPr>
        <w:ind w:firstLine="656"/>
        <w:spacing w:after="0" w:line="263" w:lineRule="auto"/>
        <w:tabs>
          <w:tab w:leader="none" w:pos="1367" w:val="left"/>
        </w:tabs>
        <w:numPr>
          <w:ilvl w:val="0"/>
          <w:numId w:val="740"/>
        </w:numPr>
        <w:rPr>
          <w:rFonts w:ascii="Arial" w:cs="Arial" w:eastAsia="Arial" w:hAnsi="Arial"/>
          <w:sz w:val="22"/>
          <w:szCs w:val="22"/>
          <w:color w:val="auto"/>
        </w:rPr>
      </w:pPr>
      <w:r>
        <w:rPr>
          <w:rFonts w:ascii="Arial" w:cs="Arial" w:eastAsia="Arial" w:hAnsi="Arial"/>
          <w:sz w:val="22"/>
          <w:szCs w:val="22"/>
          <w:color w:val="auto"/>
        </w:rPr>
        <w:t>any other securities or pools of securities that are classified under GAAP as cash equivalents or short-term investments on a balance sheet as of such date.</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Co-Branded Card Agreement(s)</w:t>
      </w:r>
      <w:r>
        <w:rPr>
          <w:rFonts w:ascii="Arial" w:cs="Arial" w:eastAsia="Arial" w:hAnsi="Arial"/>
          <w:sz w:val="19"/>
          <w:szCs w:val="19"/>
          <w:color w:val="auto"/>
        </w:rPr>
        <w:t xml:space="preserve"> ” shall mean that certain Co-Branded Credit Card Program Agreement, dated as of July, 2016, between American Airlines, Inc. and Barclays Bank Delaware, as amended, restated, supplemented or otherwise modified from time to time, that certain Co-Branded Credit Card Program Agreement, dated as of June 30, 2016, between American Airlines, Inc. and Citibank, N.A. as amended, restated, supplemented or otherwise modified from time to time, and any other similar agreements or agreements related to pre-paid miles entered into by the Parent or any of its Subsidiaries from time to time.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 shall mean all Property now owned or hereafter acquired by any Loan Party in or upon which a Lien is</w:t>
      </w:r>
    </w:p>
    <w:p>
      <w:pPr>
        <w:spacing w:after="0" w:line="39"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 xml:space="preserve">granted or purported to be granted to any Agent under any of the First Lien Collateral Documents,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Collateral Documents or the Additional Collateral Documents, together with all rents, issues, profits, products, and Proceeds thereof to the extent a Lien is granted or purported to be granted therein to the applicable Agent by such applicable documents, in each case other than any Excluded Cash Collateral.</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 shall mean American Airlines, Inc., a Delaware corporation, and any successor in interest thereto.</w:t>
      </w:r>
    </w:p>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Conforming Plan Reorganization”</w:t>
      </w:r>
      <w:r>
        <w:rPr>
          <w:rFonts w:ascii="Arial" w:cs="Arial" w:eastAsia="Arial" w:hAnsi="Arial"/>
          <w:sz w:val="22"/>
          <w:szCs w:val="22"/>
          <w:color w:val="auto"/>
        </w:rPr>
        <w:t xml:space="preserve"> shall mean any Plan of Reorganization whose provisions are consistent with the provisions of this Agreement.</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Control Collateral</w:t>
      </w:r>
      <w:r>
        <w:rPr>
          <w:rFonts w:ascii="Arial" w:cs="Arial" w:eastAsia="Arial" w:hAnsi="Arial"/>
          <w:sz w:val="22"/>
          <w:szCs w:val="22"/>
          <w:color w:val="auto"/>
        </w:rPr>
        <w:t xml:space="preserve"> ” shall mean any Collateral consisting of any certificated Security, Investment Property, Deposit Account, Instruments, Chattel Paper and any other Collateral as to which a Lien may be perfected through possession or control by the secured party, or any agent therefor.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380" w:type="dxa"/>
            <w:vAlign w:val="bottom"/>
            <w:gridSpan w:val="4"/>
          </w:tcPr>
          <w:p>
            <w:pPr>
              <w:ind w:left="660"/>
              <w:spacing w:after="0"/>
              <w:rPr>
                <w:sz w:val="20"/>
                <w:szCs w:val="20"/>
                <w:color w:val="auto"/>
              </w:rPr>
            </w:pPr>
            <w:r>
              <w:rPr>
                <w:rFonts w:ascii="Arial" w:cs="Arial" w:eastAsia="Arial" w:hAnsi="Arial"/>
                <w:sz w:val="22"/>
                <w:szCs w:val="22"/>
                <w:color w:val="auto"/>
                <w:w w:val="95"/>
              </w:rPr>
              <w:t>“ Credit Documents ” shall mean the Original First Lien Documents, the [</w:t>
            </w:r>
          </w:p>
        </w:tc>
        <w:tc>
          <w:tcPr>
            <w:tcW w:w="3860" w:type="dxa"/>
            <w:vAlign w:val="bottom"/>
          </w:tcPr>
          <w:p>
            <w:pPr>
              <w:jc w:val="right"/>
              <w:spacing w:after="0"/>
              <w:rPr>
                <w:sz w:val="20"/>
                <w:szCs w:val="20"/>
                <w:color w:val="auto"/>
              </w:rPr>
            </w:pPr>
            <w:r>
              <w:rPr>
                <w:rFonts w:ascii="Arial" w:cs="Arial" w:eastAsia="Arial" w:hAnsi="Arial"/>
                <w:sz w:val="22"/>
                <w:szCs w:val="22"/>
                <w:color w:val="auto"/>
                <w:w w:val="90"/>
              </w:rPr>
              <w:t xml:space="preserve">] </w:t>
            </w:r>
            <w:r>
              <w:rPr>
                <w:rFonts w:ascii="Arial" w:cs="Arial" w:eastAsia="Arial" w:hAnsi="Arial"/>
                <w:sz w:val="28"/>
                <w:szCs w:val="28"/>
                <w:color w:val="auto"/>
                <w:w w:val="90"/>
                <w:vertAlign w:val="superscript"/>
              </w:rPr>
              <w:t>i</w:t>
            </w:r>
            <w:r>
              <w:rPr>
                <w:rFonts w:ascii="Arial" w:cs="Arial" w:eastAsia="Arial" w:hAnsi="Arial"/>
                <w:sz w:val="22"/>
                <w:szCs w:val="22"/>
                <w:color w:val="auto"/>
                <w:w w:val="90"/>
              </w:rPr>
              <w:t xml:space="preserve"> [First/Second] </w:t>
            </w:r>
            <w:r>
              <w:rPr>
                <w:rFonts w:ascii="Arial" w:cs="Arial" w:eastAsia="Arial" w:hAnsi="Arial"/>
                <w:sz w:val="28"/>
                <w:szCs w:val="28"/>
                <w:color w:val="auto"/>
                <w:w w:val="90"/>
                <w:vertAlign w:val="superscript"/>
              </w:rPr>
              <w:t>ii</w:t>
            </w:r>
            <w:r>
              <w:rPr>
                <w:rFonts w:ascii="Arial" w:cs="Arial" w:eastAsia="Arial" w:hAnsi="Arial"/>
                <w:sz w:val="22"/>
                <w:szCs w:val="22"/>
                <w:color w:val="auto"/>
                <w:w w:val="90"/>
              </w:rPr>
              <w:t xml:space="preserve"> Lien Documents and any</w:t>
            </w:r>
          </w:p>
        </w:tc>
      </w:tr>
      <w:tr>
        <w:trPr>
          <w:trHeight w:val="20"/>
        </w:trPr>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87"/>
        </w:trPr>
        <w:tc>
          <w:tcPr>
            <w:tcW w:w="7380" w:type="dxa"/>
            <w:vAlign w:val="bottom"/>
            <w:gridSpan w:val="4"/>
          </w:tcPr>
          <w:p>
            <w:pPr>
              <w:spacing w:after="0"/>
              <w:rPr>
                <w:sz w:val="20"/>
                <w:szCs w:val="20"/>
                <w:color w:val="auto"/>
              </w:rPr>
            </w:pPr>
            <w:r>
              <w:rPr>
                <w:rFonts w:ascii="Arial" w:cs="Arial" w:eastAsia="Arial" w:hAnsi="Arial"/>
                <w:sz w:val="22"/>
                <w:szCs w:val="22"/>
                <w:color w:val="auto"/>
              </w:rPr>
              <w:t>Additional Documents.</w:t>
            </w:r>
          </w:p>
        </w:tc>
        <w:tc>
          <w:tcPr>
            <w:tcW w:w="3860" w:type="dxa"/>
            <w:vAlign w:val="bottom"/>
          </w:tcPr>
          <w:p>
            <w:pPr>
              <w:spacing w:after="0"/>
              <w:rPr>
                <w:sz w:val="24"/>
                <w:szCs w:val="24"/>
                <w:color w:val="auto"/>
              </w:rPr>
            </w:pPr>
          </w:p>
        </w:tc>
      </w:tr>
      <w:tr>
        <w:trPr>
          <w:trHeight w:val="422"/>
        </w:trPr>
        <w:tc>
          <w:tcPr>
            <w:tcW w:w="7380" w:type="dxa"/>
            <w:vAlign w:val="bottom"/>
            <w:gridSpan w:val="4"/>
          </w:tcPr>
          <w:p>
            <w:pPr>
              <w:ind w:left="660"/>
              <w:spacing w:after="0"/>
              <w:rPr>
                <w:sz w:val="20"/>
                <w:szCs w:val="20"/>
                <w:color w:val="auto"/>
              </w:rPr>
            </w:pPr>
            <w:r>
              <w:rPr>
                <w:rFonts w:ascii="Arial" w:cs="Arial" w:eastAsia="Arial" w:hAnsi="Arial"/>
                <w:sz w:val="22"/>
                <w:szCs w:val="22"/>
                <w:color w:val="auto"/>
                <w:w w:val="92"/>
              </w:rPr>
              <w:t>“ Credit Facility ” shall mean the Original First Lien Credit Agreement, the [</w:t>
            </w:r>
          </w:p>
        </w:tc>
        <w:tc>
          <w:tcPr>
            <w:tcW w:w="3860" w:type="dxa"/>
            <w:vAlign w:val="bottom"/>
          </w:tcPr>
          <w:p>
            <w:pPr>
              <w:jc w:val="right"/>
              <w:spacing w:after="0"/>
              <w:rPr>
                <w:sz w:val="20"/>
                <w:szCs w:val="20"/>
                <w:color w:val="auto"/>
              </w:rPr>
            </w:pPr>
            <w:r>
              <w:rPr>
                <w:rFonts w:ascii="Arial" w:cs="Arial" w:eastAsia="Arial" w:hAnsi="Arial"/>
                <w:sz w:val="22"/>
                <w:szCs w:val="22"/>
                <w:color w:val="auto"/>
                <w:w w:val="99"/>
              </w:rPr>
              <w:t xml:space="preserve">] </w:t>
            </w:r>
            <w:r>
              <w:rPr>
                <w:rFonts w:ascii="Arial" w:cs="Arial" w:eastAsia="Arial" w:hAnsi="Arial"/>
                <w:sz w:val="28"/>
                <w:szCs w:val="28"/>
                <w:color w:val="auto"/>
                <w:w w:val="99"/>
                <w:vertAlign w:val="superscript"/>
              </w:rPr>
              <w:t>i</w:t>
            </w:r>
            <w:r>
              <w:rPr>
                <w:rFonts w:ascii="Arial" w:cs="Arial" w:eastAsia="Arial" w:hAnsi="Arial"/>
                <w:sz w:val="22"/>
                <w:szCs w:val="22"/>
                <w:color w:val="auto"/>
                <w:w w:val="99"/>
              </w:rPr>
              <w:t xml:space="preserve"> [First/Second] </w:t>
            </w:r>
            <w:r>
              <w:rPr>
                <w:rFonts w:ascii="Arial" w:cs="Arial" w:eastAsia="Arial" w:hAnsi="Arial"/>
                <w:sz w:val="28"/>
                <w:szCs w:val="28"/>
                <w:color w:val="auto"/>
                <w:w w:val="99"/>
                <w:vertAlign w:val="superscript"/>
              </w:rPr>
              <w:t>ii</w:t>
            </w:r>
            <w:r>
              <w:rPr>
                <w:rFonts w:ascii="Arial" w:cs="Arial" w:eastAsia="Arial" w:hAnsi="Arial"/>
                <w:sz w:val="22"/>
                <w:szCs w:val="22"/>
                <w:color w:val="auto"/>
                <w:w w:val="99"/>
              </w:rPr>
              <w:t xml:space="preserve"> Lien Credit Facility or</w:t>
            </w:r>
          </w:p>
        </w:tc>
      </w:tr>
      <w:tr>
        <w:trPr>
          <w:trHeight w:val="20"/>
        </w:trPr>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87"/>
        </w:trPr>
        <w:tc>
          <w:tcPr>
            <w:tcW w:w="7380" w:type="dxa"/>
            <w:vAlign w:val="bottom"/>
            <w:gridSpan w:val="4"/>
          </w:tcPr>
          <w:p>
            <w:pPr>
              <w:spacing w:after="0"/>
              <w:rPr>
                <w:sz w:val="20"/>
                <w:szCs w:val="20"/>
                <w:color w:val="auto"/>
              </w:rPr>
            </w:pPr>
            <w:r>
              <w:rPr>
                <w:rFonts w:ascii="Arial" w:cs="Arial" w:eastAsia="Arial" w:hAnsi="Arial"/>
                <w:sz w:val="22"/>
                <w:szCs w:val="22"/>
                <w:color w:val="auto"/>
              </w:rPr>
              <w:t>any Additional Credit Facility, as applicable.</w:t>
            </w:r>
          </w:p>
        </w:tc>
        <w:tc>
          <w:tcPr>
            <w:tcW w:w="386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Creditor</w:t>
      </w:r>
      <w:r>
        <w:rPr>
          <w:rFonts w:ascii="Arial" w:cs="Arial" w:eastAsia="Arial" w:hAnsi="Arial"/>
          <w:sz w:val="22"/>
          <w:szCs w:val="22"/>
          <w:color w:val="auto"/>
        </w:rPr>
        <w:t xml:space="preserve"> ” shall mean any Senior Priority Creditor or Junior Priority Creditor.</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Designated Agent</w:t>
      </w:r>
      <w:r>
        <w:rPr>
          <w:rFonts w:ascii="Arial" w:cs="Arial" w:eastAsia="Arial" w:hAnsi="Arial"/>
          <w:sz w:val="21"/>
          <w:szCs w:val="21"/>
          <w:color w:val="auto"/>
        </w:rPr>
        <w:t xml:space="preserve"> ” shall mean any Additional Agent, any Original First Lien Agent under any Original First Lien</w:t>
      </w:r>
    </w:p>
    <w:p>
      <w:pPr>
        <w:spacing w:after="0" w:line="227" w:lineRule="auto"/>
        <w:tabs>
          <w:tab w:leader="none" w:pos="7700" w:val="left"/>
        </w:tabs>
        <w:rPr>
          <w:sz w:val="20"/>
          <w:szCs w:val="20"/>
          <w:color w:val="auto"/>
        </w:rPr>
      </w:pPr>
      <w:r>
        <w:rPr>
          <w:rFonts w:ascii="Arial" w:cs="Arial" w:eastAsia="Arial" w:hAnsi="Arial"/>
          <w:sz w:val="22"/>
          <w:szCs w:val="22"/>
          <w:color w:val="auto"/>
        </w:rPr>
        <w:t>Credit Agreement other than the Initial Original First Lien Credit Agreement, or any [</w:t>
      </w:r>
      <w:r>
        <w:rPr>
          <w:sz w:val="20"/>
          <w:szCs w:val="20"/>
          <w:color w:val="auto"/>
        </w:rPr>
        <w:tab/>
      </w:r>
      <w:r>
        <w:rPr>
          <w:rFonts w:ascii="Arial" w:cs="Arial" w:eastAsia="Arial" w:hAnsi="Arial"/>
          <w:sz w:val="19"/>
          <w:szCs w:val="19"/>
          <w:color w:val="auto"/>
        </w:rPr>
        <w:t xml:space="preserve">]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Agent under any</w:t>
      </w:r>
    </w:p>
    <w:p>
      <w:pPr>
        <w:spacing w:after="0" w:line="1" w:lineRule="exact"/>
        <w:rPr>
          <w:sz w:val="20"/>
          <w:szCs w:val="20"/>
          <w:color w:val="auto"/>
        </w:rPr>
      </w:pPr>
    </w:p>
    <w:p>
      <w:pPr>
        <w:jc w:val="both"/>
        <w:ind w:firstLine="8"/>
        <w:spacing w:after="0" w:line="237" w:lineRule="auto"/>
        <w:tabs>
          <w:tab w:leader="none" w:pos="364" w:val="left"/>
        </w:tabs>
        <w:numPr>
          <w:ilvl w:val="0"/>
          <w:numId w:val="744"/>
        </w:numPr>
        <w:rPr>
          <w:rFonts w:ascii="Arial" w:cs="Arial" w:eastAsia="Arial" w:hAnsi="Arial"/>
          <w:sz w:val="21"/>
          <w:szCs w:val="21"/>
          <w:color w:val="auto"/>
        </w:rPr>
      </w:pPr>
      <w:r>
        <w:rPr>
          <w:rFonts w:ascii="Arial" w:cs="Arial" w:eastAsia="Arial" w:hAnsi="Arial"/>
          <w:sz w:val="21"/>
          <w:szCs w:val="21"/>
          <w:color w:val="auto"/>
        </w:rPr>
        <w:t xml:space="preserve">]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 Facility other than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 Facility, in each case as the Original First Lien Borrower designates as a Designated Agent (as confirmed in writing by such Party if such designation is made after the execution of this Agreement by such Party or the joinder of such Party to this Agreement),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69" w:name="page570"/>
    <w:bookmarkEnd w:id="569"/>
    <w:p>
      <w:pPr>
        <w:spacing w:after="0" w:line="263" w:lineRule="auto"/>
        <w:rPr>
          <w:sz w:val="20"/>
          <w:szCs w:val="20"/>
          <w:color w:val="auto"/>
        </w:rPr>
      </w:pPr>
      <w:r>
        <w:rPr>
          <w:rFonts w:ascii="Arial" w:cs="Arial" w:eastAsia="Arial" w:hAnsi="Arial"/>
          <w:sz w:val="22"/>
          <w:szCs w:val="22"/>
          <w:color w:val="auto"/>
        </w:rPr>
        <w:t>as and to the extent so designated. Such designation may be for all purposes of this Agreement, or may be for one or more specified purposes hereunder or provisions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DIP Financing</w:t>
      </w:r>
      <w:r>
        <w:rPr>
          <w:rFonts w:ascii="Arial" w:cs="Arial" w:eastAsia="Arial" w:hAnsi="Arial"/>
          <w:sz w:val="22"/>
          <w:szCs w:val="22"/>
          <w:color w:val="auto"/>
        </w:rPr>
        <w:t xml:space="preserve"> ” shall have the meaning set forth in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w:t>
      </w:r>
    </w:p>
    <w:p>
      <w:pPr>
        <w:spacing w:after="0" w:line="2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Discharge of Additional Obligations</w:t>
      </w:r>
      <w:r>
        <w:rPr>
          <w:rFonts w:ascii="Arial" w:cs="Arial" w:eastAsia="Arial" w:hAnsi="Arial"/>
          <w:sz w:val="21"/>
          <w:szCs w:val="21"/>
          <w:color w:val="auto"/>
        </w:rPr>
        <w:t xml:space="preserve"> ” shall mean, if any Indebtedness shall at any time have been incurred under any Additional Credit Facility, with respect to each Additional Credit Facility, (a) the payment in full in cash of the applicable Additional Obligations (other than any Additional Obligations owing to any Additional Bank Products Affiliate, Additional Hedging Affiliate or unasserted contingent indemnification or other obligations) that are outstanding and unpaid at the time all Additional Indebtedness under such Additional Credit Facility is paid in full in cash, (i) including (if applicable), with respect to amounts available to be drawn under outstanding letters of credit issued thereunder at such time (or indemnities or other undertakings issued pursuant thereto in respect of outstanding letters of credit at such time), delivery or provision of cash collateral or backstop letters of credit in respect thereof as and only to the extent required by the terms of any such Additional Credit Facility, but (ii) excluding unasserted contingent indemnification or other contingent obligations under the applicable Additional Credit Facility at such time, and (b) the termination of all then outstanding commitments to extend credit under the applicable Additional Documents at such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Discharge of [    ]</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[First/Second]</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Lien Obligations</w:t>
      </w:r>
      <w:r>
        <w:rPr>
          <w:rFonts w:ascii="Arial" w:cs="Arial" w:eastAsia="Arial" w:hAnsi="Arial"/>
          <w:sz w:val="20"/>
          <w:szCs w:val="20"/>
          <w:color w:val="auto"/>
        </w:rPr>
        <w:t xml:space="preserve"> ” shall mean, if any Indebtedness shall at any time have been</w:t>
      </w:r>
    </w:p>
    <w:p>
      <w:pPr>
        <w:jc w:val="both"/>
        <w:spacing w:after="0" w:line="205" w:lineRule="auto"/>
        <w:rPr>
          <w:sz w:val="20"/>
          <w:szCs w:val="20"/>
          <w:color w:val="auto"/>
        </w:rPr>
      </w:pPr>
      <w:r>
        <w:rPr>
          <w:rFonts w:ascii="Arial" w:cs="Arial" w:eastAsia="Arial" w:hAnsi="Arial"/>
          <w:sz w:val="20"/>
          <w:szCs w:val="20"/>
          <w:color w:val="auto"/>
        </w:rPr>
        <w:t xml:space="preserve">incurred under any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Credit Facility, with respect to each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Credit Facility, (a) the payment in full in cash of the applicable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Obligations that are outstanding and unpaid at the time</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21"/>
          <w:szCs w:val="21"/>
          <w:color w:val="auto"/>
        </w:rPr>
        <w:t xml:space="preserve">all Indebtedness under the applicable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 Facility is paid in full in cash, (i) including (if applicable), with respect to amounts available to be drawn under outstanding letters of credit issued thereunder at such time (or indemnities or other undertakings issued pursuant thereto in respect of outstanding letters of credit at such time), delivery or provision of cash or backstop letters of credit in respect thereof as and only to the extent required by the terms of any such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 Facility, but (ii) excluding inchoate indemnification or other inchoate obligations under the applicable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 Facility at such time, and (b) the termination of all then outstanding commitments to extend credit under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Documents at such time.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9700" w:type="dxa"/>
            <w:vAlign w:val="bottom"/>
            <w:gridSpan w:val="3"/>
          </w:tcPr>
          <w:p>
            <w:pPr>
              <w:ind w:left="660"/>
              <w:spacing w:after="0"/>
              <w:rPr>
                <w:sz w:val="20"/>
                <w:szCs w:val="20"/>
                <w:color w:val="auto"/>
              </w:rPr>
            </w:pPr>
            <w:r>
              <w:rPr>
                <w:rFonts w:ascii="Arial" w:cs="Arial" w:eastAsia="Arial" w:hAnsi="Arial"/>
                <w:sz w:val="22"/>
                <w:szCs w:val="22"/>
                <w:color w:val="auto"/>
                <w:w w:val="96"/>
              </w:rPr>
              <w:t>“ Discharge of Junior Priority Obligations ” shall mean the occurrence of all of [the Discharge of [</w:t>
            </w:r>
          </w:p>
        </w:tc>
        <w:tc>
          <w:tcPr>
            <w:tcW w:w="1540" w:type="dxa"/>
            <w:vAlign w:val="bottom"/>
          </w:tcPr>
          <w:p>
            <w:pPr>
              <w:ind w:left="180"/>
              <w:spacing w:after="0"/>
              <w:rPr>
                <w:sz w:val="20"/>
                <w:szCs w:val="20"/>
                <w:color w:val="auto"/>
              </w:rPr>
            </w:pPr>
            <w:r>
              <w:rPr>
                <w:rFonts w:ascii="Arial" w:cs="Arial" w:eastAsia="Arial" w:hAnsi="Arial"/>
                <w:sz w:val="22"/>
                <w:szCs w:val="22"/>
                <w:color w:val="auto"/>
                <w:w w:val="92"/>
              </w:rPr>
              <w:t xml:space="preserve">] </w:t>
            </w:r>
            <w:r>
              <w:rPr>
                <w:rFonts w:ascii="Arial" w:cs="Arial" w:eastAsia="Arial" w:hAnsi="Arial"/>
                <w:sz w:val="28"/>
                <w:szCs w:val="28"/>
                <w:color w:val="auto"/>
                <w:w w:val="92"/>
                <w:vertAlign w:val="superscript"/>
              </w:rPr>
              <w:t>i</w:t>
            </w:r>
            <w:r>
              <w:rPr>
                <w:rFonts w:ascii="Arial" w:cs="Arial" w:eastAsia="Arial" w:hAnsi="Arial"/>
                <w:sz w:val="22"/>
                <w:szCs w:val="22"/>
                <w:color w:val="auto"/>
                <w:w w:val="92"/>
              </w:rPr>
              <w:t xml:space="preserve"> Second Lien</w:t>
            </w:r>
          </w:p>
        </w:tc>
      </w:tr>
      <w:tr>
        <w:trPr>
          <w:trHeight w:val="20"/>
        </w:trPr>
        <w:tc>
          <w:tcPr>
            <w:tcW w:w="8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87"/>
        </w:trPr>
        <w:tc>
          <w:tcPr>
            <w:tcW w:w="9700" w:type="dxa"/>
            <w:vAlign w:val="bottom"/>
            <w:gridSpan w:val="3"/>
          </w:tcPr>
          <w:p>
            <w:pPr>
              <w:spacing w:after="0"/>
              <w:rPr>
                <w:sz w:val="20"/>
                <w:szCs w:val="20"/>
                <w:color w:val="auto"/>
              </w:rPr>
            </w:pPr>
            <w:r>
              <w:rPr>
                <w:rFonts w:ascii="Arial" w:cs="Arial" w:eastAsia="Arial" w:hAnsi="Arial"/>
                <w:sz w:val="22"/>
                <w:szCs w:val="22"/>
                <w:color w:val="auto"/>
              </w:rPr>
              <w:t>Obligations and] the Discharge of Additional Obligations in respect of Junior Priority Debt.</w:t>
            </w:r>
          </w:p>
        </w:tc>
        <w:tc>
          <w:tcPr>
            <w:tcW w:w="154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Discharge of Original First Lien Obligations</w:t>
      </w:r>
      <w:r>
        <w:rPr>
          <w:rFonts w:ascii="Arial" w:cs="Arial" w:eastAsia="Arial" w:hAnsi="Arial"/>
          <w:sz w:val="22"/>
          <w:szCs w:val="22"/>
          <w:color w:val="auto"/>
        </w:rPr>
        <w:t xml:space="preserve"> ” shall mean (a) the payment in full in cash of the applicable Original First Lien Obligations (other than any Original First Lien Obligations owing to any Original First Lien Bank Products Affiliate, Original First Lien Hedging Affiliate or unasserted contingent indemnification or other obligations) that are outstanding and unpaid at the time all Indebtedness under the applicable Original First Lien Credit Agreement is paid in full in cash, (i) including (if applicable), with respect to amounts available to be drawn under outstanding letters of credit issued thereunder at such time (or indemnities or other undertakings issued pursuant thereto in respect of outstanding letters of credit at such time), delivery or provision of cash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0" w:name="page571"/>
    <w:bookmarkEnd w:id="570"/>
    <w:p>
      <w:pPr>
        <w:jc w:val="both"/>
        <w:spacing w:after="0" w:line="250" w:lineRule="auto"/>
        <w:rPr>
          <w:sz w:val="20"/>
          <w:szCs w:val="20"/>
          <w:color w:val="auto"/>
        </w:rPr>
      </w:pPr>
      <w:r>
        <w:rPr>
          <w:rFonts w:ascii="Arial" w:cs="Arial" w:eastAsia="Arial" w:hAnsi="Arial"/>
          <w:sz w:val="22"/>
          <w:szCs w:val="22"/>
          <w:color w:val="auto"/>
        </w:rPr>
        <w:t>backstop letters of credit in respect thereof as and only to the extent required by the terms of any such Original First Lien Credit Facility, but (ii) excluding inchoate indemnification or other inchoate obligations under the Original First Lien Credit Agreement at such time, and (b) the termination of all then outstanding commitments to extend credit under Original First Lien Documents at such time.</w:t>
      </w:r>
    </w:p>
    <w:p>
      <w:pPr>
        <w:spacing w:after="0" w:line="18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Discharge of Senior Priority Obligations</w:t>
      </w:r>
      <w:r>
        <w:rPr>
          <w:rFonts w:ascii="Arial" w:cs="Arial" w:eastAsia="Arial" w:hAnsi="Arial"/>
          <w:sz w:val="22"/>
          <w:szCs w:val="22"/>
          <w:color w:val="auto"/>
        </w:rPr>
        <w:t xml:space="preserve"> ” shall mean the occurrence of all of Discharge of Original First Lien Obligations [the Discharge of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 Lien Obligations] and the Discharge of Additional Obligations in respect of Senior Priority Debt.</w:t>
      </w:r>
    </w:p>
    <w:p>
      <w:pPr>
        <w:spacing w:after="0" w:line="19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Disqualified Stock</w:t>
      </w:r>
      <w:r>
        <w:rPr>
          <w:rFonts w:ascii="Arial" w:cs="Arial" w:eastAsia="Arial" w:hAnsi="Arial"/>
          <w:sz w:val="22"/>
          <w:szCs w:val="22"/>
          <w:color w:val="auto"/>
        </w:rPr>
        <w:t xml:space="preserve"> ” shall have the meaning assigned thereto in the Initial Original First Lien Credit Agreement whether or not then in effect.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10800" w:type="dxa"/>
            <w:vAlign w:val="bottom"/>
            <w:gridSpan w:val="3"/>
          </w:tcPr>
          <w:p>
            <w:pPr>
              <w:ind w:left="660"/>
              <w:spacing w:after="0"/>
              <w:rPr>
                <w:sz w:val="20"/>
                <w:szCs w:val="20"/>
                <w:color w:val="auto"/>
              </w:rPr>
            </w:pPr>
            <w:r>
              <w:rPr>
                <w:rFonts w:ascii="Arial" w:cs="Arial" w:eastAsia="Arial" w:hAnsi="Arial"/>
                <w:sz w:val="22"/>
                <w:szCs w:val="22"/>
                <w:color w:val="auto"/>
              </w:rPr>
              <w:t>“ Event of Default ” shall mean an Event of Default under any Original First Lien Credit Agreement, any [</w:t>
            </w:r>
          </w:p>
        </w:tc>
        <w:tc>
          <w:tcPr>
            <w:tcW w:w="440" w:type="dxa"/>
            <w:vAlign w:val="bottom"/>
          </w:tcPr>
          <w:p>
            <w:pPr>
              <w:ind w:left="2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p>
        </w:tc>
      </w:tr>
      <w:tr>
        <w:trPr>
          <w:trHeight w:val="20"/>
        </w:trPr>
        <w:tc>
          <w:tcPr>
            <w:tcW w:w="8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76"/>
        </w:trPr>
        <w:tc>
          <w:tcPr>
            <w:tcW w:w="10800" w:type="dxa"/>
            <w:vAlign w:val="bottom"/>
            <w:gridSpan w:val="3"/>
          </w:tcPr>
          <w:p>
            <w:pPr>
              <w:spacing w:after="0"/>
              <w:rPr>
                <w:sz w:val="20"/>
                <w:szCs w:val="20"/>
                <w:color w:val="auto"/>
              </w:rPr>
            </w:pPr>
            <w:r>
              <w:rPr>
                <w:rFonts w:ascii="Arial" w:cs="Arial" w:eastAsia="Arial" w:hAnsi="Arial"/>
                <w:sz w:val="22"/>
                <w:szCs w:val="22"/>
                <w:color w:val="auto"/>
              </w:rPr>
              <w:t xml:space="preserve">[First/Second]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or any Additional Credit Facility.</w:t>
            </w:r>
          </w:p>
        </w:tc>
        <w:tc>
          <w:tcPr>
            <w:tcW w:w="440" w:type="dxa"/>
            <w:vAlign w:val="bottom"/>
          </w:tcPr>
          <w:p>
            <w:pPr>
              <w:spacing w:after="0"/>
              <w:rPr>
                <w:sz w:val="24"/>
                <w:szCs w:val="24"/>
                <w:color w:val="auto"/>
              </w:rPr>
            </w:pPr>
          </w:p>
        </w:tc>
      </w:tr>
    </w:tbl>
    <w:p>
      <w:pPr>
        <w:spacing w:after="0" w:line="10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Excluded Cash Collateral</w:t>
      </w:r>
      <w:r>
        <w:rPr>
          <w:rFonts w:ascii="Arial" w:cs="Arial" w:eastAsia="Arial" w:hAnsi="Arial"/>
          <w:sz w:val="19"/>
          <w:szCs w:val="19"/>
          <w:color w:val="auto"/>
        </w:rPr>
        <w:t xml:space="preserve"> ” shall mean cash or Cash Equivalents pledged as collateral in respect of letters of credit issued under or pursuant to the Original First Lien Credit Agreement or cash or Cash Equivalents otherwise specifically pledged to any Senior Priority Creditor or group of Senior Priority Creditors that secures only the Senior Priority Obligations in respect of Bank Products Agreements or Hedging Agreements owing to such Senior Priority Creditors.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Exercise Any Secured Creditor Remedies</w:t>
      </w:r>
      <w:r>
        <w:rPr>
          <w:rFonts w:ascii="Arial" w:cs="Arial" w:eastAsia="Arial" w:hAnsi="Arial"/>
          <w:sz w:val="22"/>
          <w:szCs w:val="22"/>
          <w:color w:val="auto"/>
        </w:rPr>
        <w:t xml:space="preserve"> ” or “ </w:t>
      </w:r>
      <w:r>
        <w:rPr>
          <w:rFonts w:ascii="Arial" w:cs="Arial" w:eastAsia="Arial" w:hAnsi="Arial"/>
          <w:sz w:val="22"/>
          <w:szCs w:val="22"/>
          <w:u w:val="single" w:color="auto"/>
          <w:color w:val="auto"/>
        </w:rPr>
        <w:t>Exercise of Secured Creditor Remedies</w:t>
      </w:r>
      <w:r>
        <w:rPr>
          <w:rFonts w:ascii="Arial" w:cs="Arial" w:eastAsia="Arial" w:hAnsi="Arial"/>
          <w:sz w:val="22"/>
          <w:szCs w:val="22"/>
          <w:color w:val="auto"/>
        </w:rPr>
        <w:t xml:space="preserve"> ” shall mean:</w:t>
      </w:r>
    </w:p>
    <w:p>
      <w:pPr>
        <w:spacing w:after="0" w:line="219" w:lineRule="exact"/>
        <w:rPr>
          <w:sz w:val="20"/>
          <w:szCs w:val="20"/>
          <w:color w:val="auto"/>
        </w:rPr>
      </w:pPr>
    </w:p>
    <w:p>
      <w:pPr>
        <w:jc w:val="both"/>
        <w:ind w:left="660" w:firstLine="644"/>
        <w:spacing w:after="0" w:line="250" w:lineRule="auto"/>
        <w:tabs>
          <w:tab w:leader="none" w:pos="1838" w:val="left"/>
        </w:tabs>
        <w:numPr>
          <w:ilvl w:val="1"/>
          <w:numId w:val="748"/>
        </w:numPr>
        <w:rPr>
          <w:rFonts w:ascii="Arial" w:cs="Arial" w:eastAsia="Arial" w:hAnsi="Arial"/>
          <w:sz w:val="22"/>
          <w:szCs w:val="22"/>
          <w:color w:val="auto"/>
        </w:rPr>
      </w:pPr>
      <w:r>
        <w:rPr>
          <w:rFonts w:ascii="Arial" w:cs="Arial" w:eastAsia="Arial" w:hAnsi="Arial"/>
          <w:sz w:val="22"/>
          <w:szCs w:val="22"/>
          <w:color w:val="auto"/>
        </w:rPr>
        <w:t>the taking of any action to enforce or realize upon any Lien, including the institution of any foreclosure proceedings or the noticing of any public or private sale pursuant to Article 9 of the Uniform Commercial Code, or taking any action to enforce any right or power to repossess, replevy, attach, garnish, levy upon or collect the Proceeds of any Lien;</w:t>
      </w:r>
    </w:p>
    <w:p>
      <w:pPr>
        <w:spacing w:after="0" w:line="187" w:lineRule="exact"/>
        <w:rPr>
          <w:rFonts w:ascii="Arial" w:cs="Arial" w:eastAsia="Arial" w:hAnsi="Arial"/>
          <w:sz w:val="22"/>
          <w:szCs w:val="22"/>
          <w:color w:val="auto"/>
        </w:rPr>
      </w:pPr>
    </w:p>
    <w:p>
      <w:pPr>
        <w:jc w:val="both"/>
        <w:ind w:left="660" w:firstLine="644"/>
        <w:spacing w:after="0" w:line="312" w:lineRule="auto"/>
        <w:tabs>
          <w:tab w:leader="none" w:pos="1871" w:val="left"/>
        </w:tabs>
        <w:numPr>
          <w:ilvl w:val="1"/>
          <w:numId w:val="748"/>
        </w:numPr>
        <w:rPr>
          <w:rFonts w:ascii="Arial" w:cs="Arial" w:eastAsia="Arial" w:hAnsi="Arial"/>
          <w:sz w:val="19"/>
          <w:szCs w:val="19"/>
          <w:color w:val="auto"/>
        </w:rPr>
      </w:pPr>
      <w:r>
        <w:rPr>
          <w:rFonts w:ascii="Arial" w:cs="Arial" w:eastAsia="Arial" w:hAnsi="Arial"/>
          <w:sz w:val="19"/>
          <w:szCs w:val="19"/>
          <w:color w:val="auto"/>
        </w:rPr>
        <w:t>the exercise of any right or remedy provided to a secured creditor on account of a Lien under any of the Credit Documents, under applicable law, by self-help repossession, by notification to account obligors of any Grantor in an Insolvency Proceeding or otherwise, including the election to retain any of the Collateral in satisfaction of a Lien;</w:t>
      </w:r>
    </w:p>
    <w:p>
      <w:pPr>
        <w:spacing w:after="0" w:line="133" w:lineRule="exact"/>
        <w:rPr>
          <w:rFonts w:ascii="Arial" w:cs="Arial" w:eastAsia="Arial" w:hAnsi="Arial"/>
          <w:sz w:val="19"/>
          <w:szCs w:val="19"/>
          <w:color w:val="auto"/>
        </w:rPr>
      </w:pPr>
    </w:p>
    <w:p>
      <w:pPr>
        <w:ind w:left="660" w:firstLine="644"/>
        <w:spacing w:after="0" w:line="263" w:lineRule="auto"/>
        <w:tabs>
          <w:tab w:leader="none" w:pos="1857" w:val="left"/>
        </w:tabs>
        <w:numPr>
          <w:ilvl w:val="1"/>
          <w:numId w:val="748"/>
        </w:numPr>
        <w:rPr>
          <w:rFonts w:ascii="Arial" w:cs="Arial" w:eastAsia="Arial" w:hAnsi="Arial"/>
          <w:sz w:val="22"/>
          <w:szCs w:val="22"/>
          <w:color w:val="auto"/>
        </w:rPr>
      </w:pPr>
      <w:r>
        <w:rPr>
          <w:rFonts w:ascii="Arial" w:cs="Arial" w:eastAsia="Arial" w:hAnsi="Arial"/>
          <w:sz w:val="22"/>
          <w:szCs w:val="22"/>
          <w:color w:val="auto"/>
        </w:rPr>
        <w:t>the taking of any action or the exercise of any right or remedy in respect of the collection on, set off against, marshaling of, injunction respecting or foreclosure on the Collateral or the Proceeds thereof;</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748"/>
        </w:numPr>
        <w:rPr>
          <w:rFonts w:ascii="Arial" w:cs="Arial" w:eastAsia="Arial" w:hAnsi="Arial"/>
          <w:sz w:val="21"/>
          <w:szCs w:val="21"/>
          <w:color w:val="auto"/>
        </w:rPr>
      </w:pPr>
      <w:r>
        <w:rPr>
          <w:rFonts w:ascii="Arial" w:cs="Arial" w:eastAsia="Arial" w:hAnsi="Arial"/>
          <w:sz w:val="21"/>
          <w:szCs w:val="21"/>
          <w:color w:val="auto"/>
        </w:rPr>
        <w:t>the appointment of a receiver, receiver and manager or interim receiver of all or part of the Collateral;</w:t>
      </w:r>
    </w:p>
    <w:p>
      <w:pPr>
        <w:spacing w:after="0" w:line="231" w:lineRule="exact"/>
        <w:rPr>
          <w:rFonts w:ascii="Arial" w:cs="Arial" w:eastAsia="Arial" w:hAnsi="Arial"/>
          <w:sz w:val="21"/>
          <w:szCs w:val="21"/>
          <w:color w:val="auto"/>
        </w:rPr>
      </w:pPr>
    </w:p>
    <w:p>
      <w:pPr>
        <w:jc w:val="both"/>
        <w:ind w:left="660" w:firstLine="644"/>
        <w:spacing w:after="0" w:line="271" w:lineRule="auto"/>
        <w:tabs>
          <w:tab w:leader="none" w:pos="1844" w:val="left"/>
        </w:tabs>
        <w:numPr>
          <w:ilvl w:val="1"/>
          <w:numId w:val="748"/>
        </w:numPr>
        <w:rPr>
          <w:rFonts w:ascii="Arial" w:cs="Arial" w:eastAsia="Arial" w:hAnsi="Arial"/>
          <w:sz w:val="21"/>
          <w:szCs w:val="21"/>
          <w:color w:val="auto"/>
        </w:rPr>
      </w:pPr>
      <w:r>
        <w:rPr>
          <w:rFonts w:ascii="Arial" w:cs="Arial" w:eastAsia="Arial" w:hAnsi="Arial"/>
          <w:sz w:val="21"/>
          <w:szCs w:val="21"/>
          <w:color w:val="auto"/>
        </w:rPr>
        <w:t>the sale, lease, license, or other disposition of all or any portion of the Collateral by private or public sale pursuant to Article 9 of the Uniform Commercial Code or any other means permissible under applicable law in connection with the exercise of any right or remedy of a secured creditor under applicable law;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1" w:name="page572"/>
    <w:bookmarkEnd w:id="571"/>
    <w:p>
      <w:pPr>
        <w:ind w:left="1900" w:hanging="596"/>
        <w:spacing w:after="0"/>
        <w:tabs>
          <w:tab w:leader="none" w:pos="1900" w:val="left"/>
        </w:tabs>
        <w:numPr>
          <w:ilvl w:val="0"/>
          <w:numId w:val="749"/>
        </w:numPr>
        <w:rPr>
          <w:rFonts w:ascii="Arial" w:cs="Arial" w:eastAsia="Arial" w:hAnsi="Arial"/>
          <w:sz w:val="19"/>
          <w:szCs w:val="19"/>
          <w:color w:val="auto"/>
        </w:rPr>
      </w:pPr>
      <w:r>
        <w:rPr>
          <w:rFonts w:ascii="Arial" w:cs="Arial" w:eastAsia="Arial" w:hAnsi="Arial"/>
          <w:sz w:val="19"/>
          <w:szCs w:val="19"/>
          <w:color w:val="auto"/>
        </w:rPr>
        <w:t>the exercise of any other right of a secured creditor under Part 6 of Article 9 of the Uniform Commercial</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w:t>
      </w:r>
    </w:p>
    <w:p>
      <w:pPr>
        <w:spacing w:after="0" w:line="202" w:lineRule="exact"/>
        <w:rPr>
          <w:sz w:val="20"/>
          <w:szCs w:val="20"/>
          <w:color w:val="auto"/>
        </w:rPr>
      </w:pPr>
    </w:p>
    <w:p>
      <w:pPr>
        <w:ind w:left="1900" w:hanging="596"/>
        <w:spacing w:after="0"/>
        <w:tabs>
          <w:tab w:leader="none" w:pos="1900" w:val="left"/>
        </w:tabs>
        <w:numPr>
          <w:ilvl w:val="0"/>
          <w:numId w:val="750"/>
        </w:numPr>
        <w:rPr>
          <w:rFonts w:ascii="Arial" w:cs="Arial" w:eastAsia="Arial" w:hAnsi="Arial"/>
          <w:sz w:val="22"/>
          <w:szCs w:val="22"/>
          <w:color w:val="auto"/>
        </w:rPr>
      </w:pPr>
      <w:r>
        <w:rPr>
          <w:rFonts w:ascii="Arial" w:cs="Arial" w:eastAsia="Arial" w:hAnsi="Arial"/>
          <w:sz w:val="22"/>
          <w:szCs w:val="22"/>
          <w:color w:val="auto"/>
        </w:rPr>
        <w:t>the exercise of any voting rights relating to any Capital Stock included in the Collateral; and</w:t>
      </w:r>
    </w:p>
    <w:p>
      <w:pPr>
        <w:spacing w:after="0" w:line="219" w:lineRule="exact"/>
        <w:rPr>
          <w:rFonts w:ascii="Arial" w:cs="Arial" w:eastAsia="Arial" w:hAnsi="Arial"/>
          <w:sz w:val="22"/>
          <w:szCs w:val="22"/>
          <w:color w:val="auto"/>
        </w:rPr>
      </w:pPr>
    </w:p>
    <w:p>
      <w:pPr>
        <w:ind w:left="660" w:firstLine="644"/>
        <w:spacing w:after="0" w:line="263" w:lineRule="auto"/>
        <w:tabs>
          <w:tab w:leader="none" w:pos="2121" w:val="left"/>
        </w:tabs>
        <w:numPr>
          <w:ilvl w:val="0"/>
          <w:numId w:val="750"/>
        </w:numPr>
        <w:rPr>
          <w:rFonts w:ascii="Arial" w:cs="Arial" w:eastAsia="Arial" w:hAnsi="Arial"/>
          <w:sz w:val="22"/>
          <w:szCs w:val="22"/>
          <w:color w:val="auto"/>
        </w:rPr>
      </w:pPr>
      <w:r>
        <w:rPr>
          <w:rFonts w:ascii="Arial" w:cs="Arial" w:eastAsia="Arial" w:hAnsi="Arial"/>
          <w:sz w:val="22"/>
          <w:szCs w:val="22"/>
          <w:color w:val="auto"/>
        </w:rPr>
        <w:t>the delivery of any notice, claim or demand relating to the Collateral to any Person (including any securities intermediary, depository bank or landlord) in possession or control of any Collateral;</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filing a proof of claim or statement of interest in any Insolvency Proceeding, (ii) the acceleration of the Junior Priority Obligations or the Senior Priority Obligations, (iii) the imposition of a default rate or late fee, (iv) the cessation of lending pursuant to the provisions of the Junior Priority Obligations or the Senior Priority Documents, (v) the consent by any Junior Priority Agent or any Senior Priority Agent to disposition by any Grantor of any of the Collateral or the consent by the Junior Priority Representative or the Senior Priority Representative to disposition by any Grantor of any of the Collateral or (vi) seeking adequate protection shall not be deemed to be an Exercise of Secured Creditor Remedies.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Financing Lease</w:t>
      </w:r>
      <w:r>
        <w:rPr>
          <w:rFonts w:ascii="Arial" w:cs="Arial" w:eastAsia="Arial" w:hAnsi="Arial"/>
          <w:sz w:val="22"/>
          <w:szCs w:val="22"/>
          <w:color w:val="auto"/>
        </w:rPr>
        <w:t xml:space="preserve"> ” shall mean any lease of property, real or personal, the obligations of the lessee in respect of which are required to be capitalized on a balance sheet of the lessee in accordance with GAAP.</w:t>
      </w:r>
    </w:p>
    <w:p>
      <w:pPr>
        <w:spacing w:after="0" w:line="17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Flyer Miles Obligations</w:t>
      </w:r>
      <w:r>
        <w:rPr>
          <w:rFonts w:ascii="Arial" w:cs="Arial" w:eastAsia="Arial" w:hAnsi="Arial"/>
          <w:sz w:val="21"/>
          <w:szCs w:val="21"/>
          <w:color w:val="auto"/>
        </w:rPr>
        <w:t xml:space="preserve"> ” shall mean, at any date of determination, all payment and performance obligations of the Borrower under any card marketing agreement with respect to credit cards co branded by the Borrower and a financial institution which may include obligations in respect of the pre-purchase by third parties of frequent flyer miles and any other similar agreements entered into by Parent or any of its Subsidiaries with any bank from time to time.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GAAP</w:t>
      </w:r>
      <w:r>
        <w:rPr>
          <w:rFonts w:ascii="Arial" w:cs="Arial" w:eastAsia="Arial" w:hAnsi="Arial"/>
          <w:sz w:val="21"/>
          <w:szCs w:val="21"/>
          <w:color w:val="auto"/>
        </w:rPr>
        <w:t xml:space="preserve"> ” shall mean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of America in effect as of the date of this Agreement) and with respect to financial matters related to leases, including assets, liabilities and items of income and expense, “GAAP” shall mean , and determinations and calculations shall be made in accordance with, generally accepted accounting principles in the United States of America, which are in effect as of the date 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2" w:name="page573"/>
    <w:bookmarkEnd w:id="572"/>
    <w:p>
      <w:pPr>
        <w:jc w:val="both"/>
        <w:ind w:firstLine="648"/>
        <w:spacing w:after="0" w:line="29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xml:space="preserve"> ” shall mean the government of the United States of America, any other nation or any political subdivision thereof, whether state or local, and any agency (including without limitation the DOT and the FAA), authority, instrumentality, regulatory body, court, central bank organization, or other entity exercising executive, legislative, judicial, taxing or regulatory powers or functions of or pertaining to government (including any supra-national bodies such as the European Union). Governmental Authority shall not include any Person in its capacity as an Airport Authority.</w:t>
      </w:r>
    </w:p>
    <w:p>
      <w:pPr>
        <w:spacing w:after="0" w:line="105" w:lineRule="exact"/>
        <w:rPr>
          <w:sz w:val="20"/>
          <w:szCs w:val="20"/>
          <w:color w:val="auto"/>
        </w:rPr>
      </w:pPr>
    </w:p>
    <w:p>
      <w:pPr>
        <w:ind w:left="660"/>
        <w:spacing w:after="0"/>
        <w:tabs>
          <w:tab w:leader="none" w:pos="9780" w:val="left"/>
        </w:tabs>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Grantor</w:t>
      </w:r>
      <w:r>
        <w:rPr>
          <w:rFonts w:ascii="Arial" w:cs="Arial" w:eastAsia="Arial" w:hAnsi="Arial"/>
          <w:sz w:val="22"/>
          <w:szCs w:val="22"/>
          <w:color w:val="auto"/>
        </w:rPr>
        <w:t xml:space="preserve"> ” shall mean any Grantor as defined in the Original First Lien Collateral Documents, in the [</w:t>
      </w:r>
      <w:r>
        <w:rPr>
          <w:sz w:val="20"/>
          <w:szCs w:val="20"/>
          <w:color w:val="auto"/>
        </w:rPr>
        <w:tab/>
      </w:r>
      <w:r>
        <w:rPr>
          <w:rFonts w:ascii="Arial" w:cs="Arial" w:eastAsia="Arial" w:hAnsi="Arial"/>
          <w:sz w:val="20"/>
          <w:szCs w:val="20"/>
          <w:color w:val="auto"/>
        </w:rPr>
        <w:t xml:space="preserve">]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w:t>
      </w:r>
    </w:p>
    <w:p>
      <w:pPr>
        <w:ind w:left="120" w:hanging="112"/>
        <w:spacing w:after="0" w:line="196" w:lineRule="auto"/>
        <w:tabs>
          <w:tab w:leader="none" w:pos="120" w:val="left"/>
        </w:tabs>
        <w:numPr>
          <w:ilvl w:val="0"/>
          <w:numId w:val="753"/>
        </w:numPr>
        <w:rPr>
          <w:rFonts w:ascii="Arial" w:cs="Arial" w:eastAsia="Arial" w:hAnsi="Arial"/>
          <w:sz w:val="29"/>
          <w:szCs w:val="29"/>
          <w:color w:val="auto"/>
          <w:vertAlign w:val="superscript"/>
        </w:rPr>
      </w:pPr>
      <w:r>
        <w:rPr>
          <w:rFonts w:ascii="Arial" w:cs="Arial" w:eastAsia="Arial" w:hAnsi="Arial"/>
          <w:sz w:val="22"/>
          <w:szCs w:val="22"/>
          <w:color w:val="auto"/>
        </w:rPr>
        <w:t>Lien Collateral Documents or in the Additional Collateral Documents, as the context requires.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7220" w:type="dxa"/>
            <w:vAlign w:val="bottom"/>
            <w:gridSpan w:val="3"/>
          </w:tcPr>
          <w:p>
            <w:pPr>
              <w:ind w:left="660"/>
              <w:spacing w:after="0"/>
              <w:rPr>
                <w:sz w:val="20"/>
                <w:szCs w:val="20"/>
                <w:color w:val="auto"/>
              </w:rPr>
            </w:pPr>
            <w:r>
              <w:rPr>
                <w:rFonts w:ascii="Arial" w:cs="Arial" w:eastAsia="Arial" w:hAnsi="Arial"/>
                <w:sz w:val="22"/>
                <w:szCs w:val="22"/>
                <w:color w:val="auto"/>
                <w:w w:val="94"/>
              </w:rPr>
              <w:t>“ Guarantor ” shall mean any of the Original First Lien Guarantors, the [</w:t>
            </w:r>
          </w:p>
        </w:tc>
        <w:tc>
          <w:tcPr>
            <w:tcW w:w="4020" w:type="dxa"/>
            <w:vAlign w:val="bottom"/>
          </w:tcPr>
          <w:p>
            <w:pPr>
              <w:ind w:left="180"/>
              <w:spacing w:after="0"/>
              <w:rPr>
                <w:sz w:val="20"/>
                <w:szCs w:val="20"/>
                <w:color w:val="auto"/>
              </w:rPr>
            </w:pPr>
            <w:r>
              <w:rPr>
                <w:rFonts w:ascii="Arial" w:cs="Arial" w:eastAsia="Arial" w:hAnsi="Arial"/>
                <w:sz w:val="22"/>
                <w:szCs w:val="22"/>
                <w:color w:val="auto"/>
                <w:w w:val="90"/>
              </w:rPr>
              <w:t xml:space="preserve">] </w:t>
            </w:r>
            <w:r>
              <w:rPr>
                <w:rFonts w:ascii="Arial" w:cs="Arial" w:eastAsia="Arial" w:hAnsi="Arial"/>
                <w:sz w:val="28"/>
                <w:szCs w:val="28"/>
                <w:color w:val="auto"/>
                <w:w w:val="90"/>
                <w:vertAlign w:val="superscript"/>
              </w:rPr>
              <w:t>i</w:t>
            </w:r>
            <w:r>
              <w:rPr>
                <w:rFonts w:ascii="Arial" w:cs="Arial" w:eastAsia="Arial" w:hAnsi="Arial"/>
                <w:sz w:val="22"/>
                <w:szCs w:val="22"/>
                <w:color w:val="auto"/>
                <w:w w:val="90"/>
              </w:rPr>
              <w:t xml:space="preserve"> [First/Second] </w:t>
            </w:r>
            <w:r>
              <w:rPr>
                <w:rFonts w:ascii="Arial" w:cs="Arial" w:eastAsia="Arial" w:hAnsi="Arial"/>
                <w:sz w:val="28"/>
                <w:szCs w:val="28"/>
                <w:color w:val="auto"/>
                <w:w w:val="90"/>
                <w:vertAlign w:val="superscript"/>
              </w:rPr>
              <w:t>ii</w:t>
            </w:r>
            <w:r>
              <w:rPr>
                <w:rFonts w:ascii="Arial" w:cs="Arial" w:eastAsia="Arial" w:hAnsi="Arial"/>
                <w:sz w:val="22"/>
                <w:szCs w:val="22"/>
                <w:color w:val="auto"/>
                <w:w w:val="90"/>
              </w:rPr>
              <w:t xml:space="preserve"> Lien Guarantors and any</w:t>
            </w:r>
          </w:p>
        </w:tc>
      </w:tr>
      <w:tr>
        <w:trPr>
          <w:trHeight w:val="20"/>
        </w:trPr>
        <w:tc>
          <w:tcPr>
            <w:tcW w:w="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87"/>
        </w:trPr>
        <w:tc>
          <w:tcPr>
            <w:tcW w:w="7220" w:type="dxa"/>
            <w:vAlign w:val="bottom"/>
            <w:gridSpan w:val="3"/>
          </w:tcPr>
          <w:p>
            <w:pPr>
              <w:spacing w:after="0"/>
              <w:rPr>
                <w:sz w:val="20"/>
                <w:szCs w:val="20"/>
                <w:color w:val="auto"/>
              </w:rPr>
            </w:pPr>
            <w:r>
              <w:rPr>
                <w:rFonts w:ascii="Arial" w:cs="Arial" w:eastAsia="Arial" w:hAnsi="Arial"/>
                <w:sz w:val="22"/>
                <w:szCs w:val="22"/>
                <w:color w:val="auto"/>
              </w:rPr>
              <w:t>Additional Guarantors.</w:t>
            </w:r>
          </w:p>
        </w:tc>
        <w:tc>
          <w:tcPr>
            <w:tcW w:w="4020" w:type="dxa"/>
            <w:vAlign w:val="bottom"/>
          </w:tcPr>
          <w:p>
            <w:pPr>
              <w:spacing w:after="0"/>
              <w:rPr>
                <w:sz w:val="24"/>
                <w:szCs w:val="24"/>
                <w:color w:val="auto"/>
              </w:rPr>
            </w:pPr>
          </w:p>
        </w:tc>
      </w:tr>
    </w:tbl>
    <w:p>
      <w:pPr>
        <w:spacing w:after="0" w:line="187" w:lineRule="exact"/>
        <w:rPr>
          <w:sz w:val="20"/>
          <w:szCs w:val="20"/>
          <w:color w:val="auto"/>
        </w:rPr>
      </w:pPr>
    </w:p>
    <w:p>
      <w:pPr>
        <w:ind w:right="20"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Hedging Affiliate</w:t>
      </w:r>
      <w:r>
        <w:rPr>
          <w:rFonts w:ascii="Arial" w:cs="Arial" w:eastAsia="Arial" w:hAnsi="Arial"/>
          <w:sz w:val="22"/>
          <w:szCs w:val="22"/>
          <w:color w:val="auto"/>
        </w:rPr>
        <w:t xml:space="preserve"> ” shall mean any Original First Lien Hedging Affiliate,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Hedging Affiliate or any Additional Hedging Affiliate, as applicable.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Hedging Agreement</w:t>
      </w:r>
      <w:r>
        <w:rPr>
          <w:rFonts w:ascii="Arial" w:cs="Arial" w:eastAsia="Arial" w:hAnsi="Arial"/>
          <w:sz w:val="22"/>
          <w:szCs w:val="22"/>
          <w:color w:val="auto"/>
        </w:rPr>
        <w:t xml:space="preserve"> ” shall mean any agreement evidencing Hedging Obligations.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Hedging Obligations</w:t>
      </w:r>
      <w:r>
        <w:rPr>
          <w:rFonts w:ascii="Arial" w:cs="Arial" w:eastAsia="Arial" w:hAnsi="Arial"/>
          <w:sz w:val="21"/>
          <w:szCs w:val="21"/>
          <w:color w:val="auto"/>
        </w:rPr>
        <w:t xml:space="preserve"> ” shall mean, with respect to any Person, all obligations and liabilities of such Person under:</w:t>
      </w:r>
    </w:p>
    <w:p>
      <w:pPr>
        <w:spacing w:after="0" w:line="231" w:lineRule="exact"/>
        <w:rPr>
          <w:sz w:val="20"/>
          <w:szCs w:val="20"/>
          <w:color w:val="auto"/>
        </w:rPr>
      </w:pPr>
    </w:p>
    <w:p>
      <w:pPr>
        <w:ind w:right="20" w:firstLine="656"/>
        <w:spacing w:after="0" w:line="263" w:lineRule="auto"/>
        <w:tabs>
          <w:tab w:leader="none" w:pos="1169" w:val="left"/>
        </w:tabs>
        <w:numPr>
          <w:ilvl w:val="0"/>
          <w:numId w:val="755"/>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0"/>
          <w:numId w:val="755"/>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19" w:lineRule="exact"/>
        <w:rPr>
          <w:rFonts w:ascii="Arial" w:cs="Arial" w:eastAsia="Arial" w:hAnsi="Arial"/>
          <w:sz w:val="22"/>
          <w:szCs w:val="22"/>
          <w:color w:val="auto"/>
        </w:rPr>
      </w:pPr>
    </w:p>
    <w:p>
      <w:pPr>
        <w:jc w:val="both"/>
        <w:ind w:firstLine="656"/>
        <w:spacing w:after="0" w:line="312" w:lineRule="auto"/>
        <w:tabs>
          <w:tab w:leader="none" w:pos="1194" w:val="left"/>
        </w:tabs>
        <w:numPr>
          <w:ilvl w:val="0"/>
          <w:numId w:val="755"/>
        </w:numPr>
        <w:rPr>
          <w:rFonts w:ascii="Arial" w:cs="Arial" w:eastAsia="Arial" w:hAnsi="Arial"/>
          <w:sz w:val="19"/>
          <w:szCs w:val="19"/>
          <w:color w:val="auto"/>
        </w:rPr>
      </w:pPr>
      <w:r>
        <w:rPr>
          <w:rFonts w:ascii="Arial" w:cs="Arial" w:eastAsia="Arial" w:hAnsi="Arial"/>
          <w:sz w:val="19"/>
          <w:szCs w:val="19"/>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Holdings</w:t>
      </w:r>
      <w:r>
        <w:rPr>
          <w:rFonts w:ascii="Arial" w:cs="Arial" w:eastAsia="Arial" w:hAnsi="Arial"/>
          <w:sz w:val="19"/>
          <w:szCs w:val="19"/>
          <w:color w:val="auto"/>
        </w:rPr>
        <w:t xml:space="preserve"> ” shall mean American Airlines Group Inc., a Delaware corporation, and any successor in interest thereto.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Impairment</w:t>
      </w:r>
      <w:r>
        <w:rPr>
          <w:rFonts w:ascii="Arial" w:cs="Arial" w:eastAsia="Arial" w:hAnsi="Arial"/>
          <w:sz w:val="19"/>
          <w:szCs w:val="19"/>
          <w:color w:val="auto"/>
        </w:rPr>
        <w:t xml:space="preserve"> ” shall (a) with respect to the Senior Priority Obligations, have the meaning set forth in </w:t>
      </w:r>
      <w:r>
        <w:rPr>
          <w:rFonts w:ascii="Arial" w:cs="Arial" w:eastAsia="Arial" w:hAnsi="Arial"/>
          <w:sz w:val="19"/>
          <w:szCs w:val="19"/>
          <w:u w:val="single" w:color="auto"/>
          <w:color w:val="auto"/>
        </w:rPr>
        <w:t>Section 2.01(i)</w:t>
      </w:r>
      <w:r>
        <w:rPr>
          <w:rFonts w:ascii="Arial" w:cs="Arial" w:eastAsia="Arial" w:hAnsi="Arial"/>
          <w:sz w:val="19"/>
          <w:szCs w:val="19"/>
          <w:color w:val="auto"/>
        </w:rPr>
        <w:t xml:space="preserve"> , and</w:t>
      </w:r>
    </w:p>
    <w:p>
      <w:pPr>
        <w:spacing w:after="0" w:line="55" w:lineRule="exact"/>
        <w:rPr>
          <w:sz w:val="20"/>
          <w:szCs w:val="20"/>
          <w:color w:val="auto"/>
        </w:rPr>
      </w:pPr>
    </w:p>
    <w:p>
      <w:pPr>
        <w:ind w:left="320" w:hanging="312"/>
        <w:spacing w:after="0"/>
        <w:tabs>
          <w:tab w:leader="none" w:pos="320" w:val="left"/>
        </w:tabs>
        <w:numPr>
          <w:ilvl w:val="0"/>
          <w:numId w:val="756"/>
        </w:numPr>
        <w:rPr>
          <w:rFonts w:ascii="Arial" w:cs="Arial" w:eastAsia="Arial" w:hAnsi="Arial"/>
          <w:sz w:val="22"/>
          <w:szCs w:val="22"/>
          <w:color w:val="auto"/>
        </w:rPr>
      </w:pPr>
      <w:r>
        <w:rPr>
          <w:rFonts w:ascii="Arial" w:cs="Arial" w:eastAsia="Arial" w:hAnsi="Arial"/>
          <w:sz w:val="22"/>
          <w:szCs w:val="22"/>
          <w:color w:val="auto"/>
        </w:rPr>
        <w:t xml:space="preserve">with respect to the Junior Priority Obligations, have the meaning set forth in </w:t>
      </w:r>
      <w:r>
        <w:rPr>
          <w:rFonts w:ascii="Arial" w:cs="Arial" w:eastAsia="Arial" w:hAnsi="Arial"/>
          <w:sz w:val="22"/>
          <w:szCs w:val="22"/>
          <w:u w:val="single" w:color="auto"/>
          <w:color w:val="auto"/>
        </w:rPr>
        <w:t>Section 2.01(j)</w:t>
      </w:r>
      <w:r>
        <w:rPr>
          <w:rFonts w:ascii="Arial" w:cs="Arial" w:eastAsia="Arial" w:hAnsi="Arial"/>
          <w:sz w:val="22"/>
          <w:szCs w:val="22"/>
          <w:color w:val="auto"/>
        </w:rPr>
        <w:t xml:space="preserve"> .</w:t>
      </w:r>
    </w:p>
    <w:p>
      <w:pPr>
        <w:spacing w:after="0" w:line="201" w:lineRule="exact"/>
        <w:rPr>
          <w:rFonts w:ascii="Arial" w:cs="Arial" w:eastAsia="Arial" w:hAnsi="Arial"/>
          <w:sz w:val="22"/>
          <w:szCs w:val="22"/>
          <w:color w:val="auto"/>
        </w:rPr>
      </w:pPr>
    </w:p>
    <w:p>
      <w:pPr>
        <w:ind w:right="20" w:firstLine="648"/>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Indebtedness</w:t>
      </w:r>
      <w:r>
        <w:rPr>
          <w:rFonts w:ascii="Arial" w:cs="Arial" w:eastAsia="Arial" w:hAnsi="Arial"/>
          <w:sz w:val="22"/>
          <w:szCs w:val="22"/>
          <w:color w:val="auto"/>
        </w:rPr>
        <w:t xml:space="preserve"> ” shall mean, with respect to any specified Person, any indebtedness of such Person (excluding air traffic liability, accrued expenses and trade payables), whether or not contingent:</w:t>
      </w:r>
    </w:p>
    <w:p>
      <w:pPr>
        <w:spacing w:after="0" w:line="17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in respect of borrowed money;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3" w:name="page574"/>
    <w:bookmarkEnd w:id="573"/>
    <w:p>
      <w:pPr>
        <w:ind w:firstLine="656"/>
        <w:spacing w:after="0" w:line="263" w:lineRule="auto"/>
        <w:tabs>
          <w:tab w:leader="none" w:pos="1214" w:val="left"/>
        </w:tabs>
        <w:numPr>
          <w:ilvl w:val="0"/>
          <w:numId w:val="757"/>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0"/>
          <w:numId w:val="757"/>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19" w:lineRule="exact"/>
        <w:rPr>
          <w:rFonts w:ascii="Arial" w:cs="Arial" w:eastAsia="Arial" w:hAnsi="Arial"/>
          <w:sz w:val="22"/>
          <w:szCs w:val="22"/>
          <w:color w:val="auto"/>
        </w:rPr>
      </w:pPr>
    </w:p>
    <w:p>
      <w:pPr>
        <w:ind w:left="1180" w:hanging="524"/>
        <w:spacing w:after="0"/>
        <w:tabs>
          <w:tab w:leader="none" w:pos="1180" w:val="left"/>
        </w:tabs>
        <w:numPr>
          <w:ilvl w:val="0"/>
          <w:numId w:val="757"/>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09" w:val="left"/>
        </w:tabs>
        <w:numPr>
          <w:ilvl w:val="0"/>
          <w:numId w:val="757"/>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and excluding in any event trade payables arising in the ordinary course of business; or</w:t>
      </w:r>
    </w:p>
    <w:p>
      <w:pPr>
        <w:spacing w:after="0" w:line="185" w:lineRule="exact"/>
        <w:rPr>
          <w:rFonts w:ascii="Arial" w:cs="Arial" w:eastAsia="Arial" w:hAnsi="Arial"/>
          <w:sz w:val="22"/>
          <w:szCs w:val="22"/>
          <w:color w:val="auto"/>
        </w:rPr>
      </w:pPr>
    </w:p>
    <w:p>
      <w:pPr>
        <w:ind w:left="1140" w:hanging="484"/>
        <w:spacing w:after="0"/>
        <w:tabs>
          <w:tab w:leader="none" w:pos="1140" w:val="left"/>
        </w:tabs>
        <w:numPr>
          <w:ilvl w:val="0"/>
          <w:numId w:val="757"/>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Statement of Financial Accounting Standards No. 133 and related interpretations to the extent such effects would otherwise increase or decrease an amount of Indebtedness for any purpose under the Original First Lien Credit Agreement as a result of accounting for any embedded derivatives created by the terms of such Indebtedness.</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the avoidance of doubt, (a) obligations under Bank Products Agreements, (b) obligations under leases (other than leases determined to be Capital Lease Obligations under GAAP as in effect on December 31, 2018),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the Co-Branded Card Agreements, (i) a deferral of pre-delivery payments relating to the purchases of Aircraft Related Equipment and (j) obligations under flyer miles participation agreements do not constitute Indebtedness, whether or not such obligations would appear as a liability upon a balance sheet of a specified Person (except that the Borrower may elect that, for the purposes of designating Additional Indebtedness under Section 7.11 (and any related definitions and provisions), any of the above items or any other obligations may constitute “Indebtedness”).</w:t>
      </w:r>
    </w:p>
    <w:p>
      <w:pPr>
        <w:spacing w:after="0" w:line="16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Insolvency Proceeding</w:t>
      </w:r>
      <w:r>
        <w:rPr>
          <w:rFonts w:ascii="Arial" w:cs="Arial" w:eastAsia="Arial" w:hAnsi="Arial"/>
          <w:sz w:val="19"/>
          <w:szCs w:val="19"/>
          <w:color w:val="auto"/>
        </w:rPr>
        <w:t xml:space="preserve"> ” shall mean, with respect to any Person, (a) any case, action or proceeding before any court or other Governmental Authority relating to bankruptcy, reorganization, insolvency, liquidation, receivership, dissolution, winding up or relief of debtors, or (b) any general assignment for the benefit of creditors, composition, marshalling of assets for creditors or other similar arrangement in respect of its creditors generally or any substantial portion of its creditors;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4" w:name="page575"/>
    <w:bookmarkEnd w:id="574"/>
    <w:p>
      <w:pPr>
        <w:spacing w:after="0" w:line="263" w:lineRule="auto"/>
        <w:rPr>
          <w:sz w:val="20"/>
          <w:szCs w:val="20"/>
          <w:color w:val="auto"/>
        </w:rPr>
      </w:pPr>
      <w:r>
        <w:rPr>
          <w:rFonts w:ascii="Arial" w:cs="Arial" w:eastAsia="Arial" w:hAnsi="Arial"/>
          <w:sz w:val="22"/>
          <w:szCs w:val="22"/>
          <w:color w:val="auto"/>
        </w:rPr>
        <w:t>in each case covered by clauses (a) and (b) undertaken under United States Federal, State or foreign law, including the Bankruptcy Code.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Intervening Creditor</w:t>
      </w:r>
      <w:r>
        <w:rPr>
          <w:rFonts w:ascii="Arial" w:cs="Arial" w:eastAsia="Arial" w:hAnsi="Arial"/>
          <w:sz w:val="22"/>
          <w:szCs w:val="22"/>
          <w:color w:val="auto"/>
        </w:rPr>
        <w:t xml:space="preserve"> ” shall have the meaning assigned thereto in </w:t>
      </w:r>
      <w:r>
        <w:rPr>
          <w:rFonts w:ascii="Arial" w:cs="Arial" w:eastAsia="Arial" w:hAnsi="Arial"/>
          <w:sz w:val="22"/>
          <w:szCs w:val="22"/>
          <w:u w:val="single" w:color="auto"/>
          <w:color w:val="auto"/>
        </w:rPr>
        <w:t>Section 4.01(h)</w:t>
      </w:r>
      <w:r>
        <w:rPr>
          <w:rFonts w:ascii="Arial" w:cs="Arial" w:eastAsia="Arial" w:hAnsi="Arial"/>
          <w:sz w:val="22"/>
          <w:szCs w:val="22"/>
          <w:color w:val="auto"/>
        </w:rPr>
        <w:t xml:space="preserve"> .</w:t>
      </w:r>
    </w:p>
    <w:p>
      <w:pPr>
        <w:spacing w:after="0" w:line="208"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Agent</w:t>
      </w:r>
      <w:r>
        <w:rPr>
          <w:rFonts w:ascii="Arial" w:cs="Arial" w:eastAsia="Arial" w:hAnsi="Arial"/>
          <w:sz w:val="22"/>
          <w:szCs w:val="22"/>
          <w:color w:val="auto"/>
        </w:rPr>
        <w:t xml:space="preserve"> ” shall mean [any of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Agent or] </w:t>
      </w:r>
      <w:r>
        <w:rPr>
          <w:rFonts w:ascii="Arial" w:cs="Arial" w:eastAsia="Arial" w:hAnsi="Arial"/>
          <w:sz w:val="28"/>
          <w:szCs w:val="28"/>
          <w:color w:val="auto"/>
          <w:vertAlign w:val="superscript"/>
        </w:rPr>
        <w:t>vi</w:t>
      </w:r>
      <w:r>
        <w:rPr>
          <w:rFonts w:ascii="Arial" w:cs="Arial" w:eastAsia="Arial" w:hAnsi="Arial"/>
          <w:sz w:val="22"/>
          <w:szCs w:val="22"/>
          <w:color w:val="auto"/>
        </w:rPr>
        <w:t xml:space="preserve"> any Additional Agent under any Junior Priority Documents.</w:t>
      </w:r>
    </w:p>
    <w:p>
      <w:pPr>
        <w:spacing w:after="0" w:line="187"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Collateral Documents</w:t>
      </w:r>
      <w:r>
        <w:rPr>
          <w:rFonts w:ascii="Arial" w:cs="Arial" w:eastAsia="Arial" w:hAnsi="Arial"/>
          <w:sz w:val="22"/>
          <w:szCs w:val="22"/>
          <w:color w:val="auto"/>
        </w:rPr>
        <w:t xml:space="preserve"> ” shall mean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Collateral Documents and] </w:t>
      </w:r>
      <w:r>
        <w:rPr>
          <w:rFonts w:ascii="Arial" w:cs="Arial" w:eastAsia="Arial" w:hAnsi="Arial"/>
          <w:sz w:val="28"/>
          <w:szCs w:val="28"/>
          <w:color w:val="auto"/>
          <w:vertAlign w:val="superscript"/>
        </w:rPr>
        <w:t>vi</w:t>
      </w:r>
      <w:r>
        <w:rPr>
          <w:rFonts w:ascii="Arial" w:cs="Arial" w:eastAsia="Arial" w:hAnsi="Arial"/>
          <w:sz w:val="22"/>
          <w:szCs w:val="22"/>
          <w:color w:val="auto"/>
        </w:rPr>
        <w:t xml:space="preserve"> any Additional Collateral Documents in respect of any Junior Priority Obligations.</w:t>
      </w:r>
    </w:p>
    <w:p>
      <w:pPr>
        <w:spacing w:after="0" w:line="187"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Credit Facility</w:t>
      </w:r>
      <w:r>
        <w:rPr>
          <w:rFonts w:ascii="Arial" w:cs="Arial" w:eastAsia="Arial" w:hAnsi="Arial"/>
          <w:sz w:val="22"/>
          <w:szCs w:val="22"/>
          <w:color w:val="auto"/>
        </w:rPr>
        <w:t xml:space="preserve"> ” shall mean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Credit Facility and] </w:t>
      </w:r>
      <w:r>
        <w:rPr>
          <w:rFonts w:ascii="Arial" w:cs="Arial" w:eastAsia="Arial" w:hAnsi="Arial"/>
          <w:sz w:val="28"/>
          <w:szCs w:val="28"/>
          <w:color w:val="auto"/>
          <w:vertAlign w:val="superscript"/>
        </w:rPr>
        <w:t>vii</w:t>
      </w:r>
      <w:r>
        <w:rPr>
          <w:rFonts w:ascii="Arial" w:cs="Arial" w:eastAsia="Arial" w:hAnsi="Arial"/>
          <w:sz w:val="22"/>
          <w:szCs w:val="22"/>
          <w:color w:val="auto"/>
        </w:rPr>
        <w:t xml:space="preserve"> any Additional Credit Facility in respect of any Junior Priority Obligations.</w:t>
      </w:r>
    </w:p>
    <w:p>
      <w:pPr>
        <w:spacing w:after="0" w:line="187"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Creditors</w:t>
      </w:r>
      <w:r>
        <w:rPr>
          <w:rFonts w:ascii="Arial" w:cs="Arial" w:eastAsia="Arial" w:hAnsi="Arial"/>
          <w:sz w:val="22"/>
          <w:szCs w:val="22"/>
          <w:color w:val="auto"/>
        </w:rPr>
        <w:t xml:space="preserve"> ” shall mean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Creditors and] </w:t>
      </w:r>
      <w:r>
        <w:rPr>
          <w:rFonts w:ascii="Arial" w:cs="Arial" w:eastAsia="Arial" w:hAnsi="Arial"/>
          <w:sz w:val="28"/>
          <w:szCs w:val="28"/>
          <w:color w:val="auto"/>
          <w:vertAlign w:val="superscript"/>
        </w:rPr>
        <w:t>vii</w:t>
      </w:r>
      <w:r>
        <w:rPr>
          <w:rFonts w:ascii="Arial" w:cs="Arial" w:eastAsia="Arial" w:hAnsi="Arial"/>
          <w:sz w:val="22"/>
          <w:szCs w:val="22"/>
          <w:color w:val="auto"/>
        </w:rPr>
        <w:t xml:space="preserve"> any Additional Credit Facility Secured Party in respect of any Junior Priority Obligations.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Debt</w:t>
      </w:r>
      <w:r>
        <w:rPr>
          <w:rFonts w:ascii="Arial" w:cs="Arial" w:eastAsia="Arial" w:hAnsi="Arial"/>
          <w:sz w:val="22"/>
          <w:szCs w:val="22"/>
          <w:color w:val="auto"/>
        </w:rPr>
        <w:t xml:space="preserve"> ” shall mean[:</w:t>
      </w:r>
    </w:p>
    <w:p>
      <w:pPr>
        <w:spacing w:after="0" w:line="209" w:lineRule="exact"/>
        <w:rPr>
          <w:sz w:val="20"/>
          <w:szCs w:val="20"/>
          <w:color w:val="auto"/>
        </w:rPr>
      </w:pPr>
    </w:p>
    <w:p>
      <w:pPr>
        <w:ind w:left="1080" w:hanging="424"/>
        <w:spacing w:after="0"/>
        <w:tabs>
          <w:tab w:leader="none" w:pos="1080" w:val="left"/>
        </w:tabs>
        <w:numPr>
          <w:ilvl w:val="0"/>
          <w:numId w:val="760"/>
        </w:numPr>
        <w:rPr>
          <w:rFonts w:ascii="Arial" w:cs="Arial" w:eastAsia="Arial" w:hAnsi="Arial"/>
          <w:sz w:val="22"/>
          <w:szCs w:val="22"/>
          <w:color w:val="auto"/>
        </w:rPr>
      </w:pPr>
      <w:r>
        <w:rPr>
          <w:rFonts w:ascii="Arial" w:cs="Arial" w:eastAsia="Arial" w:hAnsi="Arial"/>
          <w:sz w:val="22"/>
          <w:szCs w:val="22"/>
          <w:color w:val="auto"/>
        </w:rPr>
        <w:t xml:space="preserve">all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Obligations; and</w:t>
      </w:r>
    </w:p>
    <w:p>
      <w:pPr>
        <w:spacing w:after="0" w:line="150" w:lineRule="exact"/>
        <w:rPr>
          <w:rFonts w:ascii="Arial" w:cs="Arial" w:eastAsia="Arial" w:hAnsi="Arial"/>
          <w:sz w:val="22"/>
          <w:szCs w:val="22"/>
          <w:color w:val="auto"/>
        </w:rPr>
      </w:pPr>
    </w:p>
    <w:p>
      <w:pPr>
        <w:jc w:val="both"/>
        <w:ind w:firstLine="656"/>
        <w:spacing w:after="0" w:line="231" w:lineRule="auto"/>
        <w:tabs>
          <w:tab w:leader="none" w:pos="979" w:val="left"/>
        </w:tabs>
        <w:numPr>
          <w:ilvl w:val="0"/>
          <w:numId w:val="760"/>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vii</w:t>
      </w:r>
      <w:r>
        <w:rPr>
          <w:rFonts w:ascii="Arial" w:cs="Arial" w:eastAsia="Arial" w:hAnsi="Arial"/>
          <w:sz w:val="22"/>
          <w:szCs w:val="22"/>
          <w:color w:val="auto"/>
        </w:rPr>
        <w:t xml:space="preserve"> any Additional Obligations of any Loan Party so long as on or before the date on which the relevant Additional Indebtedness is incurred, such Indebtedness is designated by the Company as “Junior Priority Debt” in the relevant Additional Indebtedness Designation delivered pursuant to </w:t>
      </w:r>
      <w:r>
        <w:rPr>
          <w:rFonts w:ascii="Arial" w:cs="Arial" w:eastAsia="Arial" w:hAnsi="Arial"/>
          <w:sz w:val="22"/>
          <w:szCs w:val="22"/>
          <w:u w:val="single" w:color="auto"/>
          <w:color w:val="auto"/>
        </w:rPr>
        <w:t>Section 7.11(a)(iii)</w:t>
      </w:r>
      <w:r>
        <w:rPr>
          <w:rFonts w:ascii="Arial" w:cs="Arial" w:eastAsia="Arial" w:hAnsi="Arial"/>
          <w:sz w:val="22"/>
          <w:szCs w:val="22"/>
          <w:color w:val="auto"/>
        </w:rPr>
        <w:t xml:space="preserve"> .</w:t>
      </w:r>
    </w:p>
    <w:p>
      <w:pPr>
        <w:spacing w:after="0" w:line="189"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Documents</w:t>
      </w:r>
      <w:r>
        <w:rPr>
          <w:rFonts w:ascii="Arial" w:cs="Arial" w:eastAsia="Arial" w:hAnsi="Arial"/>
          <w:sz w:val="22"/>
          <w:szCs w:val="22"/>
          <w:color w:val="auto"/>
        </w:rPr>
        <w:t xml:space="preserve"> ” shall mean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Facility Documents and]vii any Additional Documents in respect of any Junior Priority Obligations.</w:t>
      </w:r>
    </w:p>
    <w:p>
      <w:pPr>
        <w:spacing w:after="0" w:line="18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Lien”</w:t>
      </w:r>
      <w:r>
        <w:rPr>
          <w:rFonts w:ascii="Arial" w:cs="Arial" w:eastAsia="Arial" w:hAnsi="Arial"/>
          <w:sz w:val="22"/>
          <w:szCs w:val="22"/>
          <w:color w:val="auto"/>
        </w:rPr>
        <w:t xml:space="preserve"> shall mean a Lien granted or purported to be granted [(a) pursuant to a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Collateral Document to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Agent or (b)] </w:t>
      </w:r>
      <w:r>
        <w:rPr>
          <w:rFonts w:ascii="Arial" w:cs="Arial" w:eastAsia="Arial" w:hAnsi="Arial"/>
          <w:sz w:val="28"/>
          <w:szCs w:val="28"/>
          <w:color w:val="auto"/>
          <w:vertAlign w:val="superscript"/>
        </w:rPr>
        <w:t>vii</w:t>
      </w:r>
      <w:r>
        <w:rPr>
          <w:rFonts w:ascii="Arial" w:cs="Arial" w:eastAsia="Arial" w:hAnsi="Arial"/>
          <w:sz w:val="22"/>
          <w:szCs w:val="22"/>
          <w:color w:val="auto"/>
        </w:rPr>
        <w:t xml:space="preserve"> pursuant to an Additional Collateral Document to any Additional Agent for the purpose of securing Junior Priority Obligations.</w:t>
      </w:r>
    </w:p>
    <w:p>
      <w:pPr>
        <w:spacing w:after="0" w:line="189"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Obligations</w:t>
      </w:r>
      <w:r>
        <w:rPr>
          <w:rFonts w:ascii="Arial" w:cs="Arial" w:eastAsia="Arial" w:hAnsi="Arial"/>
          <w:sz w:val="22"/>
          <w:szCs w:val="22"/>
          <w:color w:val="auto"/>
        </w:rPr>
        <w:t xml:space="preserve"> ” shall mean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Obligations and] </w:t>
      </w:r>
      <w:r>
        <w:rPr>
          <w:rFonts w:ascii="Arial" w:cs="Arial" w:eastAsia="Arial" w:hAnsi="Arial"/>
          <w:sz w:val="28"/>
          <w:szCs w:val="28"/>
          <w:color w:val="auto"/>
          <w:vertAlign w:val="superscript"/>
        </w:rPr>
        <w:t>vii</w:t>
      </w:r>
      <w:r>
        <w:rPr>
          <w:rFonts w:ascii="Arial" w:cs="Arial" w:eastAsia="Arial" w:hAnsi="Arial"/>
          <w:sz w:val="22"/>
          <w:szCs w:val="22"/>
          <w:color w:val="auto"/>
        </w:rPr>
        <w:t xml:space="preserve"> any Additional Obligations constituting Junior Priority Debt.</w:t>
      </w:r>
    </w:p>
    <w:p>
      <w:pPr>
        <w:spacing w:after="0" w:line="19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Junior Priority Representative</w:t>
      </w:r>
      <w:r>
        <w:rPr>
          <w:rFonts w:ascii="Arial" w:cs="Arial" w:eastAsia="Arial" w:hAnsi="Arial"/>
          <w:sz w:val="19"/>
          <w:szCs w:val="19"/>
          <w:color w:val="auto"/>
        </w:rPr>
        <w:t xml:space="preserve"> ” shall mean the Junior Priority Agent designated by the Junior Priority Agents to act on behalf of the Junior Priority Agents hereunder, acting in such capacity. [The Junior Priority Representative shall initially be the</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 xml:space="preserve">[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Second Lien Agent under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Second Lien Credit Facility while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Second Lien Credit Facility is in effect; if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Second Lien Credit Facility is not in effect, the Junior Priority Representative shall be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Second Lien Agent under the relevant subsequent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Second Lien Documents acting for the Junior Priority Secured Parties, unless the exposure of the corresponding Junior Priority Secured Parties under any other Additional Documents in respect of other Junior Priority Obligations exceeds the exposure of the relevant Junior Priority Secured Parties under such subsequent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Second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5" w:name="page576"/>
    <w:bookmarkEnd w:id="575"/>
    <w:p>
      <w:pPr>
        <w:spacing w:after="0" w:line="335" w:lineRule="auto"/>
        <w:rPr>
          <w:sz w:val="20"/>
          <w:szCs w:val="20"/>
          <w:color w:val="auto"/>
        </w:rPr>
      </w:pPr>
      <w:r>
        <w:rPr>
          <w:rFonts w:ascii="Arial" w:cs="Arial" w:eastAsia="Arial" w:hAnsi="Arial"/>
          <w:sz w:val="19"/>
          <w:szCs w:val="19"/>
          <w:color w:val="auto"/>
        </w:rPr>
        <w:t xml:space="preserve">Lien Documents, and in such case, the Junior Priority Agent under the Junior Priority Documents under which the relevant Junior Priority Secured Parties have the greatest exposure (unless otherwise agreed in writing among the Junior Priority Agents).] </w:t>
      </w:r>
      <w:r>
        <w:rPr>
          <w:rFonts w:ascii="Arial" w:cs="Arial" w:eastAsia="Arial" w:hAnsi="Arial"/>
          <w:sz w:val="25"/>
          <w:szCs w:val="25"/>
          <w:color w:val="auto"/>
          <w:vertAlign w:val="superscript"/>
        </w:rPr>
        <w:t>vii</w:t>
      </w:r>
    </w:p>
    <w:p>
      <w:pPr>
        <w:spacing w:after="0" w:line="2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Junior Priority Secured Parties</w:t>
      </w:r>
      <w:r>
        <w:rPr>
          <w:rFonts w:ascii="Arial" w:cs="Arial" w:eastAsia="Arial" w:hAnsi="Arial"/>
          <w:sz w:val="22"/>
          <w:szCs w:val="22"/>
          <w:color w:val="auto"/>
        </w:rPr>
        <w:t xml:space="preserve"> ” shall mean, at any time, all of the Junior Priority Agents and all of the Junior Priority Creditors.</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Lien</w:t>
      </w:r>
      <w:r>
        <w:rPr>
          <w:rFonts w:ascii="Arial" w:cs="Arial" w:eastAsia="Arial" w:hAnsi="Arial"/>
          <w:sz w:val="19"/>
          <w:szCs w:val="19"/>
          <w:color w:val="auto"/>
        </w:rPr>
        <w:t xml:space="preserve"> ” shall mean any mortgage, pledge, hypothecation, assignment for purposes of security, security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Financing Lease having substantially the same economic effect as any of the foregoing).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Lien Priority</w:t>
      </w:r>
      <w:r>
        <w:rPr>
          <w:rFonts w:ascii="Arial" w:cs="Arial" w:eastAsia="Arial" w:hAnsi="Arial"/>
          <w:sz w:val="19"/>
          <w:szCs w:val="19"/>
          <w:color w:val="auto"/>
        </w:rPr>
        <w:t xml:space="preserve"> ” shall mean, with respect to any Lien of the Original First Lien Agent, the Original First Lien Secured</w:t>
      </w:r>
    </w:p>
    <w:tbl>
      <w:tblPr>
        <w:tblLayout w:type="fixed"/>
        <w:tblInd w:w="0" w:type="dxa"/>
        <w:tblCellMar>
          <w:top w:w="0" w:type="dxa"/>
          <w:left w:w="0" w:type="dxa"/>
          <w:bottom w:w="0" w:type="dxa"/>
          <w:right w:w="0" w:type="dxa"/>
        </w:tblCellMar>
      </w:tblPr>
      <w:tr>
        <w:trPr>
          <w:trHeight w:val="295"/>
        </w:trPr>
        <w:tc>
          <w:tcPr>
            <w:tcW w:w="1260" w:type="dxa"/>
            <w:vAlign w:val="bottom"/>
            <w:gridSpan w:val="2"/>
          </w:tcPr>
          <w:p>
            <w:pPr>
              <w:spacing w:after="0"/>
              <w:rPr>
                <w:sz w:val="20"/>
                <w:szCs w:val="20"/>
                <w:color w:val="auto"/>
              </w:rPr>
            </w:pPr>
            <w:r>
              <w:rPr>
                <w:rFonts w:ascii="Arial" w:cs="Arial" w:eastAsia="Arial" w:hAnsi="Arial"/>
                <w:sz w:val="22"/>
                <w:szCs w:val="22"/>
                <w:color w:val="auto"/>
              </w:rPr>
              <w:t>Parties, the [</w:t>
            </w:r>
          </w:p>
        </w:tc>
        <w:tc>
          <w:tcPr>
            <w:tcW w:w="3420" w:type="dxa"/>
            <w:vAlign w:val="bottom"/>
            <w:gridSpan w:val="2"/>
          </w:tcPr>
          <w:p>
            <w:pPr>
              <w:ind w:left="160"/>
              <w:spacing w:after="0" w:line="294" w:lineRule="exact"/>
              <w:rPr>
                <w:sz w:val="20"/>
                <w:szCs w:val="20"/>
                <w:color w:val="auto"/>
              </w:rPr>
            </w:pPr>
            <w:r>
              <w:rPr>
                <w:rFonts w:ascii="Arial" w:cs="Arial" w:eastAsia="Arial" w:hAnsi="Arial"/>
                <w:sz w:val="22"/>
                <w:szCs w:val="22"/>
                <w:color w:val="auto"/>
                <w:w w:val="95"/>
              </w:rPr>
              <w:t xml:space="preserve">] </w:t>
            </w:r>
            <w:r>
              <w:rPr>
                <w:rFonts w:ascii="Arial" w:cs="Arial" w:eastAsia="Arial" w:hAnsi="Arial"/>
                <w:sz w:val="28"/>
                <w:szCs w:val="28"/>
                <w:color w:val="auto"/>
                <w:w w:val="95"/>
                <w:vertAlign w:val="superscript"/>
              </w:rPr>
              <w:t>i</w:t>
            </w:r>
            <w:r>
              <w:rPr>
                <w:rFonts w:ascii="Arial" w:cs="Arial" w:eastAsia="Arial" w:hAnsi="Arial"/>
                <w:sz w:val="22"/>
                <w:szCs w:val="22"/>
                <w:color w:val="auto"/>
                <w:w w:val="95"/>
              </w:rPr>
              <w:t xml:space="preserve"> [First/Second] </w:t>
            </w:r>
            <w:r>
              <w:rPr>
                <w:rFonts w:ascii="Arial" w:cs="Arial" w:eastAsia="Arial" w:hAnsi="Arial"/>
                <w:sz w:val="28"/>
                <w:szCs w:val="28"/>
                <w:color w:val="auto"/>
                <w:w w:val="95"/>
                <w:vertAlign w:val="superscript"/>
              </w:rPr>
              <w:t>ii</w:t>
            </w:r>
            <w:r>
              <w:rPr>
                <w:rFonts w:ascii="Arial" w:cs="Arial" w:eastAsia="Arial" w:hAnsi="Arial"/>
                <w:sz w:val="22"/>
                <w:szCs w:val="22"/>
                <w:color w:val="auto"/>
                <w:w w:val="95"/>
              </w:rPr>
              <w:t xml:space="preserve"> Lien Agent, the [</w:t>
            </w:r>
          </w:p>
        </w:tc>
        <w:tc>
          <w:tcPr>
            <w:tcW w:w="6560" w:type="dxa"/>
            <w:vAlign w:val="bottom"/>
            <w:gridSpan w:val="3"/>
          </w:tcPr>
          <w:p>
            <w:pPr>
              <w:ind w:left="160"/>
              <w:spacing w:after="0" w:line="294" w:lineRule="exact"/>
              <w:rPr>
                <w:sz w:val="20"/>
                <w:szCs w:val="20"/>
                <w:color w:val="auto"/>
              </w:rPr>
            </w:pPr>
            <w:r>
              <w:rPr>
                <w:rFonts w:ascii="Arial" w:cs="Arial" w:eastAsia="Arial" w:hAnsi="Arial"/>
                <w:sz w:val="22"/>
                <w:szCs w:val="22"/>
                <w:color w:val="auto"/>
                <w:w w:val="92"/>
              </w:rPr>
              <w:t xml:space="preserve">] </w:t>
            </w:r>
            <w:r>
              <w:rPr>
                <w:rFonts w:ascii="Arial" w:cs="Arial" w:eastAsia="Arial" w:hAnsi="Arial"/>
                <w:sz w:val="28"/>
                <w:szCs w:val="28"/>
                <w:color w:val="auto"/>
                <w:w w:val="92"/>
                <w:vertAlign w:val="superscript"/>
              </w:rPr>
              <w:t>i</w:t>
            </w:r>
            <w:r>
              <w:rPr>
                <w:rFonts w:ascii="Arial" w:cs="Arial" w:eastAsia="Arial" w:hAnsi="Arial"/>
                <w:sz w:val="22"/>
                <w:szCs w:val="22"/>
                <w:color w:val="auto"/>
                <w:w w:val="92"/>
              </w:rPr>
              <w:t xml:space="preserve"> [First/Second] </w:t>
            </w:r>
            <w:r>
              <w:rPr>
                <w:rFonts w:ascii="Arial" w:cs="Arial" w:eastAsia="Arial" w:hAnsi="Arial"/>
                <w:sz w:val="28"/>
                <w:szCs w:val="28"/>
                <w:color w:val="auto"/>
                <w:w w:val="92"/>
                <w:vertAlign w:val="superscript"/>
              </w:rPr>
              <w:t>ii</w:t>
            </w:r>
            <w:r>
              <w:rPr>
                <w:rFonts w:ascii="Arial" w:cs="Arial" w:eastAsia="Arial" w:hAnsi="Arial"/>
                <w:sz w:val="22"/>
                <w:szCs w:val="22"/>
                <w:color w:val="auto"/>
                <w:w w:val="92"/>
              </w:rPr>
              <w:t xml:space="preserve"> Lien Secured Parties or any Additional Credit Facility</w:t>
            </w:r>
          </w:p>
        </w:tc>
      </w:tr>
      <w:tr>
        <w:trPr>
          <w:trHeight w:val="224"/>
        </w:trPr>
        <w:tc>
          <w:tcPr>
            <w:tcW w:w="11240" w:type="dxa"/>
            <w:vAlign w:val="bottom"/>
            <w:gridSpan w:val="7"/>
          </w:tcPr>
          <w:p>
            <w:pPr>
              <w:spacing w:after="0" w:line="224" w:lineRule="exact"/>
              <w:rPr>
                <w:sz w:val="20"/>
                <w:szCs w:val="20"/>
                <w:color w:val="auto"/>
              </w:rPr>
            </w:pPr>
            <w:r>
              <w:rPr>
                <w:rFonts w:ascii="Arial" w:cs="Arial" w:eastAsia="Arial" w:hAnsi="Arial"/>
                <w:sz w:val="22"/>
                <w:szCs w:val="22"/>
                <w:color w:val="auto"/>
              </w:rPr>
              <w:t>Secured Party in the Collateral, the order of priority of such Lien as specified in Section 2.01.</w:t>
            </w:r>
          </w:p>
        </w:tc>
      </w:tr>
      <w:tr>
        <w:trPr>
          <w:trHeight w:val="20"/>
        </w:trPr>
        <w:tc>
          <w:tcPr>
            <w:tcW w:w="8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453"/>
        </w:trPr>
        <w:tc>
          <w:tcPr>
            <w:tcW w:w="6960" w:type="dxa"/>
            <w:vAlign w:val="bottom"/>
            <w:gridSpan w:val="5"/>
          </w:tcPr>
          <w:p>
            <w:pPr>
              <w:ind w:left="660"/>
              <w:spacing w:after="0"/>
              <w:rPr>
                <w:sz w:val="20"/>
                <w:szCs w:val="20"/>
                <w:color w:val="auto"/>
              </w:rPr>
            </w:pPr>
            <w:r>
              <w:rPr>
                <w:rFonts w:ascii="Arial" w:cs="Arial" w:eastAsia="Arial" w:hAnsi="Arial"/>
                <w:sz w:val="22"/>
                <w:szCs w:val="22"/>
                <w:color w:val="auto"/>
                <w:w w:val="94"/>
              </w:rPr>
              <w:t>“ Loan Parties ” shall mean the Original First Lien Loan Parties, the [</w:t>
            </w:r>
          </w:p>
        </w:tc>
        <w:tc>
          <w:tcPr>
            <w:tcW w:w="4280" w:type="dxa"/>
            <w:vAlign w:val="bottom"/>
            <w:gridSpan w:val="2"/>
          </w:tcPr>
          <w:p>
            <w:pPr>
              <w:ind w:left="260"/>
              <w:spacing w:after="0"/>
              <w:rPr>
                <w:sz w:val="20"/>
                <w:szCs w:val="20"/>
                <w:color w:val="auto"/>
              </w:rPr>
            </w:pPr>
            <w:r>
              <w:rPr>
                <w:rFonts w:ascii="Arial" w:cs="Arial" w:eastAsia="Arial" w:hAnsi="Arial"/>
                <w:sz w:val="22"/>
                <w:szCs w:val="22"/>
                <w:color w:val="auto"/>
                <w:w w:val="92"/>
              </w:rPr>
              <w:t xml:space="preserve">] </w:t>
            </w:r>
            <w:r>
              <w:rPr>
                <w:rFonts w:ascii="Arial" w:cs="Arial" w:eastAsia="Arial" w:hAnsi="Arial"/>
                <w:sz w:val="28"/>
                <w:szCs w:val="28"/>
                <w:color w:val="auto"/>
                <w:w w:val="92"/>
                <w:vertAlign w:val="superscript"/>
              </w:rPr>
              <w:t>i</w:t>
            </w:r>
            <w:r>
              <w:rPr>
                <w:rFonts w:ascii="Arial" w:cs="Arial" w:eastAsia="Arial" w:hAnsi="Arial"/>
                <w:sz w:val="22"/>
                <w:szCs w:val="22"/>
                <w:color w:val="auto"/>
                <w:w w:val="92"/>
              </w:rPr>
              <w:t xml:space="preserve"> [First/Second] </w:t>
            </w:r>
            <w:r>
              <w:rPr>
                <w:rFonts w:ascii="Arial" w:cs="Arial" w:eastAsia="Arial" w:hAnsi="Arial"/>
                <w:sz w:val="28"/>
                <w:szCs w:val="28"/>
                <w:color w:val="auto"/>
                <w:w w:val="92"/>
                <w:vertAlign w:val="superscript"/>
              </w:rPr>
              <w:t>ii</w:t>
            </w:r>
            <w:r>
              <w:rPr>
                <w:rFonts w:ascii="Arial" w:cs="Arial" w:eastAsia="Arial" w:hAnsi="Arial"/>
                <w:sz w:val="22"/>
                <w:szCs w:val="22"/>
                <w:color w:val="auto"/>
                <w:w w:val="92"/>
              </w:rPr>
              <w:t xml:space="preserve"> Lien Loan Parties and any</w:t>
            </w:r>
          </w:p>
        </w:tc>
      </w:tr>
      <w:tr>
        <w:trPr>
          <w:trHeight w:val="20"/>
        </w:trPr>
        <w:tc>
          <w:tcPr>
            <w:tcW w:w="8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87"/>
        </w:trPr>
        <w:tc>
          <w:tcPr>
            <w:tcW w:w="4680" w:type="dxa"/>
            <w:vAlign w:val="bottom"/>
            <w:gridSpan w:val="4"/>
          </w:tcPr>
          <w:p>
            <w:pPr>
              <w:spacing w:after="0"/>
              <w:rPr>
                <w:sz w:val="20"/>
                <w:szCs w:val="20"/>
                <w:color w:val="auto"/>
              </w:rPr>
            </w:pPr>
            <w:r>
              <w:rPr>
                <w:rFonts w:ascii="Arial" w:cs="Arial" w:eastAsia="Arial" w:hAnsi="Arial"/>
                <w:sz w:val="22"/>
                <w:szCs w:val="22"/>
                <w:color w:val="auto"/>
              </w:rPr>
              <w:t>Additional Loan Parties.</w:t>
            </w:r>
          </w:p>
        </w:tc>
        <w:tc>
          <w:tcPr>
            <w:tcW w:w="2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Moody’s</w:t>
      </w:r>
      <w:r>
        <w:rPr>
          <w:rFonts w:ascii="Arial" w:cs="Arial" w:eastAsia="Arial" w:hAnsi="Arial"/>
          <w:sz w:val="22"/>
          <w:szCs w:val="22"/>
          <w:color w:val="auto"/>
        </w:rPr>
        <w:t xml:space="preserve"> ” shall mean Moody’s Investors Service, Inc. or any successor rating agency.</w:t>
      </w:r>
    </w:p>
    <w:p>
      <w:pPr>
        <w:spacing w:after="0" w:line="21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Original First Lien Agent</w:t>
      </w:r>
      <w:r>
        <w:rPr>
          <w:rFonts w:ascii="Arial" w:cs="Arial" w:eastAsia="Arial" w:hAnsi="Arial"/>
          <w:sz w:val="22"/>
          <w:szCs w:val="22"/>
          <w:color w:val="auto"/>
        </w:rPr>
        <w:t xml:space="preserve"> ” shall mean Citibank N.A. in its capacity as collateral agent under the Original First Lien Credit Agreement, together with its successors and assigns in such capacity from time to time, as well as any Person designated as the “Agent” or “Collateral Agent” under the Original First Lien Credit Agreement.</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Original First Lien Bank Products Affiliate</w:t>
      </w:r>
      <w:r>
        <w:rPr>
          <w:rFonts w:ascii="Arial" w:cs="Arial" w:eastAsia="Arial" w:hAnsi="Arial"/>
          <w:sz w:val="19"/>
          <w:szCs w:val="19"/>
          <w:color w:val="auto"/>
        </w:rPr>
        <w:t xml:space="preserve"> ” shall mean any Person who (a) has entered into a Bank Products Agreement with any First Lien Loan Party with the obligations of such First Lien Loan Party thereunder being secured by First Lien Collateral Documents, (b) was an Original First Lien Credit Agreement Lender or an Affiliate of an Original First Lien Credit Agreement Lender on the date hereof, or at the time of entry into such Bank Products Agreement, or at the time of the designation referred to in the following clause (c), and (c) has been designated by the Company in accordance with the terms of the Original First Lien Collateral Documents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Person shall, with respect to any Bank Products Agreement, be at any time a Bank Products Affiliate hereunder with respect to more than one Credit Facility).</w:t>
      </w:r>
    </w:p>
    <w:p>
      <w:pPr>
        <w:spacing w:after="0" w:line="15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Original First Lien Borrower</w:t>
      </w:r>
      <w:r>
        <w:rPr>
          <w:rFonts w:ascii="Arial" w:cs="Arial" w:eastAsia="Arial" w:hAnsi="Arial"/>
          <w:sz w:val="22"/>
          <w:szCs w:val="22"/>
          <w:color w:val="auto"/>
        </w:rPr>
        <w:t xml:space="preserve"> ” shall mean the Company, in its capacity as borrower under the Original First Lien Credit Agreement, together with its successors and assigns.</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Original First Lien Collateral Documents</w:t>
      </w:r>
      <w:r>
        <w:rPr>
          <w:rFonts w:ascii="Arial" w:cs="Arial" w:eastAsia="Arial" w:hAnsi="Arial"/>
          <w:sz w:val="19"/>
          <w:szCs w:val="19"/>
          <w:color w:val="auto"/>
        </w:rPr>
        <w:t xml:space="preserve"> ” shall mean all “ </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 as defined in the Original First Lien Credit Agreement, and all other security agreements, mortgages, deeds of trust and other collateral documents executed and delivered in connection with the Original First Lien Credit Agreement, and any other agreement, document or instrument pursuant to which a Lien is granted securing the Original First Lien Obligations or under which rights or remedies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6" w:name="page577"/>
    <w:bookmarkEnd w:id="576"/>
    <w:p>
      <w:pPr>
        <w:spacing w:after="0"/>
        <w:rPr>
          <w:sz w:val="20"/>
          <w:szCs w:val="20"/>
          <w:color w:val="auto"/>
        </w:rPr>
      </w:pPr>
      <w:r>
        <w:rPr>
          <w:rFonts w:ascii="Arial" w:cs="Arial" w:eastAsia="Arial" w:hAnsi="Arial"/>
          <w:sz w:val="19"/>
          <w:szCs w:val="19"/>
          <w:color w:val="auto"/>
        </w:rPr>
        <w:t>with respect to such Liens are governed, in each case as the same may be amended, modified or supplemented from time to time.</w:t>
      </w:r>
    </w:p>
    <w:p>
      <w:pPr>
        <w:spacing w:after="0" w:line="2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Original First Lien Credit Agreement</w:t>
      </w:r>
      <w:r>
        <w:rPr>
          <w:rFonts w:ascii="Arial" w:cs="Arial" w:eastAsia="Arial" w:hAnsi="Arial"/>
          <w:sz w:val="19"/>
          <w:szCs w:val="19"/>
          <w:color w:val="auto"/>
        </w:rPr>
        <w:t xml:space="preserve"> ” shall mean (a) that certain Credit and Guaranty Agreement, dated as of March [__], 2020, by and among, inter alios, the Company, Holdings, the Original First Lien Credit Agreement Lenders party thereto and the Original First Lien Agent, as amended, restated, supplemented, waived or otherwise modified from time to time (the “Initial Original First Lien Credit Agreement”), together with (b) if designated by the Original First Lien Borrower, any other agreement (including any credit agreement, loan agreement, indenture or other financing agreement) extending the maturity of, consolidating, restructuring, refunding, replacing or refinancing all or any portion of the Original First Lien Obligations, whether by the same or any other lender, debt holder or group of lenders or debt holders or the same or any other agent, trustee or representative therefor and whether or not increasing the amount of any Indebtedness that may be incurred thereunder.</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Original First Lien Credit Agreement Lender</w:t>
      </w:r>
      <w:r>
        <w:rPr>
          <w:rFonts w:ascii="Arial" w:cs="Arial" w:eastAsia="Arial" w:hAnsi="Arial"/>
          <w:sz w:val="22"/>
          <w:szCs w:val="22"/>
          <w:color w:val="auto"/>
        </w:rPr>
        <w:t xml:space="preserve"> ” shall mean one or more holders of Indebtedness (or commitments therefor) that is or may be incurred under the Original First Lien Credit Agreement, together with their successors, assigns and transferees, as well as any Person designated as an “Original First Lien Credit Agreement Lender” under the Original First Lien Credit Agreement.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Original First Lien Documents</w:t>
      </w:r>
      <w:r>
        <w:rPr>
          <w:rFonts w:ascii="Arial" w:cs="Arial" w:eastAsia="Arial" w:hAnsi="Arial"/>
          <w:sz w:val="19"/>
          <w:szCs w:val="19"/>
          <w:color w:val="auto"/>
        </w:rPr>
        <w:t xml:space="preserve"> ” shall mean the Original First Lien Credit Agreement, the Original First Lien Guarantees, the Original First Lien Collateral Documents, any Bank Products Agreements between any Original First Lien Loan Party and any Original First Lien Bank Products Affiliate, any Hedging Agreements between any Original First Lien Loan Party and any First Lien Hedging Affiliate, and those other ancillary agreements as to which the Original First Lien Agent or any Original First Lien Credit Agreement Lender is a party or a beneficiary and all other agreements, instruments, documents and certificates, now or hereafter executed by or on behalf of any Original First Lien Loan Party or any of its respective Subsidiaries or Affiliates, and delivered to the Original First Lien Agent, in connection with any of the foregoing, in each case as the same may be amended, supplemented, waived or otherwise modified from time to time.</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Original First Lien Guarantees</w:t>
      </w:r>
      <w:r>
        <w:rPr>
          <w:rFonts w:ascii="Arial" w:cs="Arial" w:eastAsia="Arial" w:hAnsi="Arial"/>
          <w:sz w:val="22"/>
          <w:szCs w:val="22"/>
          <w:color w:val="auto"/>
        </w:rPr>
        <w:t xml:space="preserve"> ” shall mean all guarantees, including, without limitation, the guarantee under the Original First Lien Credit Agreement, of any Original First Lien Obligations of any Original First Lien Loan Party by any other Original First Lien Loan Party in favor of any Original First Lien Secured Party, in each case as amended, restated, supplemented, waived or otherwise modified from time to time.</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Original First Lien Guarantors</w:t>
      </w:r>
      <w:r>
        <w:rPr>
          <w:rFonts w:ascii="Arial" w:cs="Arial" w:eastAsia="Arial" w:hAnsi="Arial"/>
          <w:sz w:val="19"/>
          <w:szCs w:val="19"/>
          <w:color w:val="auto"/>
        </w:rPr>
        <w:t xml:space="preserve"> ” shall mean the collective reference to Holdings (so long as it is a guarantor under any of the Original First Lien Guarantees) and each of the Company’s Subsidiaries that is a guarantor under any of the Original First Lien Guarantees and any other Person who becomes a guarantor under any of the Original First Lien Guarantees.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Original First Lien Hedging Affiliate</w:t>
      </w:r>
      <w:r>
        <w:rPr>
          <w:rFonts w:ascii="Arial" w:cs="Arial" w:eastAsia="Arial" w:hAnsi="Arial"/>
          <w:sz w:val="22"/>
          <w:szCs w:val="22"/>
          <w:color w:val="auto"/>
        </w:rPr>
        <w:t xml:space="preserve"> ” shall mean any Person who (a) has entered into a Hedging Agreement with any First Lien Loan Party with the obligations of such First Lien Loan Party thereunder being secured by the Original First Lien Collateral Documents, (b) was an Original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7" w:name="page578"/>
    <w:bookmarkEnd w:id="577"/>
    <w:p>
      <w:pPr>
        <w:jc w:val="both"/>
        <w:spacing w:after="0" w:line="248" w:lineRule="auto"/>
        <w:rPr>
          <w:sz w:val="20"/>
          <w:szCs w:val="20"/>
          <w:color w:val="auto"/>
        </w:rPr>
      </w:pPr>
      <w:r>
        <w:rPr>
          <w:rFonts w:ascii="Arial" w:cs="Arial" w:eastAsia="Arial" w:hAnsi="Arial"/>
          <w:sz w:val="22"/>
          <w:szCs w:val="22"/>
          <w:color w:val="auto"/>
        </w:rPr>
        <w:t xml:space="preserve">First Lien Credit Agreement Lender or an Affiliate of an Original First Lien Credit Agreement Lender at the time of entry into such Hedging Agreement, or on or prior to the date hereof, or at the time of the designation referred to in the following clause (c) and (c) has been designated by the Company in accordance with the terms of the Original First Lien Collateral Documents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Person shall, with respect to any Hedging Agreement, be at any time a Hedging Affiliate hereunder with respect to more than one Credit Facility).</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Original First Lien Loan Parties</w:t>
      </w:r>
      <w:r>
        <w:rPr>
          <w:rFonts w:ascii="Arial" w:cs="Arial" w:eastAsia="Arial" w:hAnsi="Arial"/>
          <w:sz w:val="22"/>
          <w:szCs w:val="22"/>
          <w:color w:val="auto"/>
        </w:rPr>
        <w:t xml:space="preserve"> ” shall mean the Original First Lien Borrower, the Original First Lien Guarantors and each other direct or indirect Subsidiary of the Company or any of its Affiliates that is now or hereafter becomes a party to any Original First Lien Document as a “loan party”.</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Original First Lien Obligations</w:t>
      </w:r>
      <w:r>
        <w:rPr>
          <w:rFonts w:ascii="Arial" w:cs="Arial" w:eastAsia="Arial" w:hAnsi="Arial"/>
          <w:sz w:val="19"/>
          <w:szCs w:val="19"/>
          <w:color w:val="auto"/>
        </w:rPr>
        <w:t xml:space="preserve"> ” shall mean any and all loans and all other obligations, liabilities and indebtedness of every kind, nature and description, whether now existing or hereafter arising, whether arising before, during or after the commencement of any case with respect to any Original First Lien Loan Party under the Bankruptcy Code or any other Insolvency Proceeding, owing by each Original First Lien Loan Party from time to time under any Original First Lien Document to the Original First Lien Agent, any Original First Lien Credit Agreement Lender or to the extent included in the definition of “Obligations” under the Original First Lien Credit Agreement any Original First Lien Bank Products Affiliate or Original First Lien Hedging Affiliate, whether for principal, premium interest (including interest and fees which, but for the filing of a petition in bankruptcy with respect to such Original First Lien Loan Party, would have accrued on any Original First Lien Obligation, whether or not a claim is allowed against such Original First Lien Loan Party for such interest and fees in the related bankruptcy proceeding), reimbursement for amounts drawn under letters of credit, fees, expenses, indemnification or otherwise, and all other amounts owing or due under the terms of the Original First Lien Documents, as amended, restated, modified, renewed, refunded, replaced or refinanced in whole or in part from time to time.</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Original First Lien Secured Parties</w:t>
      </w:r>
      <w:r>
        <w:rPr>
          <w:rFonts w:ascii="Arial" w:cs="Arial" w:eastAsia="Arial" w:hAnsi="Arial"/>
          <w:sz w:val="22"/>
          <w:szCs w:val="22"/>
          <w:color w:val="auto"/>
        </w:rPr>
        <w:t xml:space="preserve"> ” shall mean the Original First Lien Agent, all Original First Lien Credit Agreement Lenders, together with all Original First Lien Bank Products Affiliates and all Original First Lien Hedging Affiliates, and all successors, assigns, transferees and replacements thereof, as well as any Person designated as an “Original First Lien Secured Party” under the Original First Lien Credit Agreement.</w:t>
      </w:r>
    </w:p>
    <w:p>
      <w:pPr>
        <w:spacing w:after="0" w:line="177" w:lineRule="exact"/>
        <w:rPr>
          <w:sz w:val="20"/>
          <w:szCs w:val="20"/>
          <w:color w:val="auto"/>
        </w:rPr>
      </w:pPr>
    </w:p>
    <w:p>
      <w:pPr>
        <w:ind w:right="20" w:firstLine="648"/>
        <w:spacing w:after="0" w:line="26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Party</w:t>
      </w:r>
      <w:r>
        <w:rPr>
          <w:rFonts w:ascii="Arial" w:cs="Arial" w:eastAsia="Arial" w:hAnsi="Arial"/>
          <w:sz w:val="20"/>
          <w:szCs w:val="20"/>
          <w:color w:val="auto"/>
        </w:rPr>
        <w:t xml:space="preserve"> ” shall mean any of the Original First Lien Agent,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or any Additional Agent, and “ </w:t>
      </w:r>
      <w:r>
        <w:rPr>
          <w:rFonts w:ascii="Arial" w:cs="Arial" w:eastAsia="Arial" w:hAnsi="Arial"/>
          <w:sz w:val="20"/>
          <w:szCs w:val="20"/>
          <w:u w:val="single" w:color="auto"/>
          <w:color w:val="auto"/>
        </w:rPr>
        <w:t>Parties</w:t>
      </w:r>
      <w:r>
        <w:rPr>
          <w:rFonts w:ascii="Arial" w:cs="Arial" w:eastAsia="Arial" w:hAnsi="Arial"/>
          <w:sz w:val="20"/>
          <w:szCs w:val="20"/>
          <w:color w:val="auto"/>
        </w:rPr>
        <w:t xml:space="preserve"> ” shall mean all of the Original First Lien Agent,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and any Additional Agent.</w:t>
      </w:r>
    </w:p>
    <w:p>
      <w:pPr>
        <w:spacing w:after="0" w:line="77"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u w:val="single" w:color="auto"/>
          <w:color w:val="auto"/>
        </w:rPr>
        <w:t>Person”</w:t>
      </w:r>
      <w:r>
        <w:rPr>
          <w:rFonts w:ascii="Arial" w:cs="Arial" w:eastAsia="Arial" w:hAnsi="Arial"/>
          <w:sz w:val="21"/>
          <w:szCs w:val="21"/>
          <w:color w:val="auto"/>
        </w:rPr>
        <w:t xml:space="preserve"> shall mean an individual, partnership, corporation, limited liability company, business trust, joint stock company, trust, unincorporated association, joint venture, Governmental Authority or other entity of whatever nature.</w:t>
      </w:r>
    </w:p>
    <w:p>
      <w:pPr>
        <w:spacing w:after="0" w:line="151"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Plan of Reorganization”</w:t>
      </w:r>
      <w:r>
        <w:rPr>
          <w:rFonts w:ascii="Arial" w:cs="Arial" w:eastAsia="Arial" w:hAnsi="Arial"/>
          <w:sz w:val="22"/>
          <w:szCs w:val="22"/>
          <w:color w:val="auto"/>
        </w:rPr>
        <w:t xml:space="preserve"> shall mean any plan of reorganization, plan of liquidation, agreement for composition, or other type of plan of arrangement proposed in or in connection with any Insolvency Proceeding.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8" w:name="page579"/>
    <w:bookmarkEnd w:id="578"/>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Proceeds</w:t>
      </w:r>
      <w:r>
        <w:rPr>
          <w:rFonts w:ascii="Arial" w:cs="Arial" w:eastAsia="Arial" w:hAnsi="Arial"/>
          <w:sz w:val="22"/>
          <w:szCs w:val="22"/>
          <w:color w:val="auto"/>
        </w:rPr>
        <w:t xml:space="preserve"> ” shall mean (a) all “proceeds”, as defined in Article 9 of the Uniform Commercial Code, with respect to the Collateral and (b) whatever is recoverable or recovered when any Collateral is sold, exchanged, collected, or disposed of, whether voluntarily or involuntarily.</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Property</w:t>
      </w:r>
      <w:r>
        <w:rPr>
          <w:rFonts w:ascii="Arial" w:cs="Arial" w:eastAsia="Arial" w:hAnsi="Arial"/>
          <w:sz w:val="22"/>
          <w:szCs w:val="22"/>
          <w:color w:val="auto"/>
        </w:rPr>
        <w:t xml:space="preserve"> ” shall mean any interest in any kind of property or asset, whether real, personal or mixed, or tangible or intangible.</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Requisite Senior Priority Holders</w:t>
      </w:r>
      <w:r>
        <w:rPr>
          <w:rFonts w:ascii="Arial" w:cs="Arial" w:eastAsia="Arial" w:hAnsi="Arial"/>
          <w:sz w:val="19"/>
          <w:szCs w:val="19"/>
          <w:color w:val="auto"/>
        </w:rPr>
        <w:t xml:space="preserve"> ” shall mean Senior Priority Secured Parties holding, in the aggregate, in excess of 50% of the aggregate principal amount of the Senior Priority Obligations (other than Senior Priority Obligations in respect of Bank Products Agreements or Hedging Agreements at any time and for so long as there are any outstanding Senior Priority Obligations in respect of any Senior Priority Credit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matter being consented to or the action being taken by the Senior Priority Representative is the subordination of Liens to other Liens, or the consent to a sale of all or substantially all of the Collateral, then “Requisite Senior Priority Holders” shall mean those Senior Priority Secured Parties necessary to validly consent to the requested action in accordance with the applicable Senior Priority Documents and (y) except as may be separately otherwise agreed in writing by and between or among each Senior Priority Agent, on behalf of itself and the Senior Priority Creditors represented thereby, if the matter being consented to or the action being taken by the Senior Priority Representative will affect any Series of Senior Priority Debt in a manner different and materially adverse relative to the manner such matter or action affects any other Series of Senior Priority Debt (except to the extent expressly set forth in this Agreement), then “Requisite Senior Priority Holders” shall mean (1) Senior Priority Secured Parties holding, in the aggregate, in excess of 50% of the aggregate principal amount of the Senior Priority Obligations (other than Senior Priority Obligations in respect of Bank Products Agreements or Hedging Agreements at any time and for so long as there are any outstanding Senior Priority Obligations in respect of any Senior Priority Credit Facility) and (2) Senior Priority Secured Parties holding, in the aggregate, in excess of 50% of the aggregate principal amount of each applicable detrimentally affected Series of Senior Priority Debt (other than Senior Priority Obligations in respect of Bank Products Agreements or Hedging Agreements at any time and for so long as there are any outstanding Senior Priority Obligations in respect of any Senior Priority Credit Facility).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S&amp;P</w:t>
      </w:r>
      <w:r>
        <w:rPr>
          <w:rFonts w:ascii="Arial" w:cs="Arial" w:eastAsia="Arial" w:hAnsi="Arial"/>
          <w:sz w:val="22"/>
          <w:szCs w:val="22"/>
          <w:color w:val="auto"/>
        </w:rPr>
        <w:t xml:space="preserve"> ” shall mean Standard &amp; Poor’s, a division of The McGraw-Hill Companies, Inc.</w:t>
      </w:r>
    </w:p>
    <w:p>
      <w:pPr>
        <w:spacing w:after="0" w:line="219" w:lineRule="exact"/>
        <w:rPr>
          <w:sz w:val="20"/>
          <w:szCs w:val="20"/>
          <w:color w:val="auto"/>
        </w:rPr>
      </w:pPr>
    </w:p>
    <w:p>
      <w:pPr>
        <w:ind w:left="660" w:right="1480"/>
        <w:spacing w:after="0" w:line="51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Secured Parties</w:t>
      </w:r>
      <w:r>
        <w:rPr>
          <w:rFonts w:ascii="Arial" w:cs="Arial" w:eastAsia="Arial" w:hAnsi="Arial"/>
          <w:sz w:val="19"/>
          <w:szCs w:val="19"/>
          <w:color w:val="auto"/>
        </w:rPr>
        <w:t xml:space="preserve"> ” shall mean the Senior Priority Secured Parties and the Junior Priority Secured Parties. “ </w:t>
      </w:r>
      <w:r>
        <w:rPr>
          <w:rFonts w:ascii="Arial" w:cs="Arial" w:eastAsia="Arial" w:hAnsi="Arial"/>
          <w:sz w:val="19"/>
          <w:szCs w:val="19"/>
          <w:u w:val="single" w:color="auto"/>
          <w:color w:val="auto"/>
        </w:rPr>
        <w:t>Senior Intervening Creditor</w:t>
      </w:r>
      <w:r>
        <w:rPr>
          <w:rFonts w:ascii="Arial" w:cs="Arial" w:eastAsia="Arial" w:hAnsi="Arial"/>
          <w:sz w:val="19"/>
          <w:szCs w:val="19"/>
          <w:color w:val="auto"/>
        </w:rPr>
        <w:t xml:space="preserve"> ” shall have the meaning assigned thereto in </w:t>
      </w:r>
      <w:r>
        <w:rPr>
          <w:rFonts w:ascii="Arial" w:cs="Arial" w:eastAsia="Arial" w:hAnsi="Arial"/>
          <w:sz w:val="19"/>
          <w:szCs w:val="19"/>
          <w:u w:val="single" w:color="auto"/>
          <w:color w:val="auto"/>
        </w:rPr>
        <w:t>Section 4.01(g)</w:t>
      </w:r>
      <w:r>
        <w:rPr>
          <w:rFonts w:ascii="Arial" w:cs="Arial" w:eastAsia="Arial" w:hAnsi="Arial"/>
          <w:sz w:val="19"/>
          <w:szCs w:val="19"/>
          <w:color w:val="auto"/>
        </w:rPr>
        <w:t xml:space="preserve"> .</w:t>
      </w:r>
    </w:p>
    <w:p>
      <w:pPr>
        <w:ind w:left="660"/>
        <w:spacing w:after="0" w:line="229" w:lineRule="auto"/>
        <w:tabs>
          <w:tab w:leader="none" w:pos="7820" w:val="left"/>
        </w:tabs>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Agent</w:t>
      </w:r>
      <w:r>
        <w:rPr>
          <w:rFonts w:ascii="Arial" w:cs="Arial" w:eastAsia="Arial" w:hAnsi="Arial"/>
          <w:sz w:val="22"/>
          <w:szCs w:val="22"/>
          <w:color w:val="auto"/>
        </w:rPr>
        <w:t xml:space="preserve"> ” shall mean any of the Original First Lien Agent[, the [</w:t>
      </w:r>
      <w:r>
        <w:rPr>
          <w:sz w:val="20"/>
          <w:szCs w:val="20"/>
          <w:color w:val="auto"/>
        </w:rPr>
        <w:tab/>
      </w:r>
      <w:r>
        <w:rPr>
          <w:rFonts w:ascii="Arial" w:cs="Arial" w:eastAsia="Arial" w:hAnsi="Arial"/>
          <w:sz w:val="20"/>
          <w:szCs w:val="20"/>
          <w:color w:val="auto"/>
        </w:rPr>
        <w:t xml:space="preserve">] First Lien Agent] </w:t>
      </w:r>
      <w:r>
        <w:rPr>
          <w:rFonts w:ascii="Arial" w:cs="Arial" w:eastAsia="Arial" w:hAnsi="Arial"/>
          <w:sz w:val="26"/>
          <w:szCs w:val="26"/>
          <w:color w:val="auto"/>
          <w:vertAlign w:val="superscript"/>
        </w:rPr>
        <w:t>vii</w:t>
      </w:r>
      <w:r>
        <w:rPr>
          <w:rFonts w:ascii="Arial" w:cs="Arial" w:eastAsia="Arial" w:hAnsi="Arial"/>
          <w:sz w:val="20"/>
          <w:szCs w:val="20"/>
          <w:color w:val="auto"/>
        </w:rPr>
        <w:t xml:space="preserve"> or any Additional</w:t>
      </w:r>
    </w:p>
    <w:tbl>
      <w:tblPr>
        <w:tblLayout w:type="fixed"/>
        <w:tblInd w:w="0" w:type="dxa"/>
        <w:tblCellMar>
          <w:top w:w="0" w:type="dxa"/>
          <w:left w:w="0" w:type="dxa"/>
          <w:bottom w:w="0" w:type="dxa"/>
          <w:right w:w="0" w:type="dxa"/>
        </w:tblCellMar>
      </w:tblPr>
      <w:tr>
        <w:trPr>
          <w:trHeight w:val="274"/>
        </w:trPr>
        <w:tc>
          <w:tcPr>
            <w:tcW w:w="10060" w:type="dxa"/>
            <w:vAlign w:val="bottom"/>
            <w:gridSpan w:val="3"/>
          </w:tcPr>
          <w:p>
            <w:pPr>
              <w:spacing w:after="0"/>
              <w:rPr>
                <w:sz w:val="20"/>
                <w:szCs w:val="20"/>
                <w:color w:val="auto"/>
              </w:rPr>
            </w:pPr>
            <w:r>
              <w:rPr>
                <w:rFonts w:ascii="Arial" w:cs="Arial" w:eastAsia="Arial" w:hAnsi="Arial"/>
                <w:sz w:val="22"/>
                <w:szCs w:val="22"/>
                <w:color w:val="auto"/>
              </w:rPr>
              <w:t>Agent under any Senior Priority Documents.</w:t>
            </w:r>
          </w:p>
        </w:tc>
        <w:tc>
          <w:tcPr>
            <w:tcW w:w="1180" w:type="dxa"/>
            <w:vAlign w:val="bottom"/>
          </w:tcPr>
          <w:p>
            <w:pPr>
              <w:spacing w:after="0"/>
              <w:rPr>
                <w:sz w:val="23"/>
                <w:szCs w:val="23"/>
                <w:color w:val="auto"/>
              </w:rPr>
            </w:pPr>
          </w:p>
        </w:tc>
      </w:tr>
      <w:tr>
        <w:trPr>
          <w:trHeight w:val="404"/>
        </w:trPr>
        <w:tc>
          <w:tcPr>
            <w:tcW w:w="10060" w:type="dxa"/>
            <w:vAlign w:val="bottom"/>
            <w:gridSpan w:val="3"/>
          </w:tcPr>
          <w:p>
            <w:pPr>
              <w:ind w:left="660"/>
              <w:spacing w:after="0"/>
              <w:rPr>
                <w:sz w:val="20"/>
                <w:szCs w:val="20"/>
                <w:color w:val="auto"/>
              </w:rPr>
            </w:pPr>
            <w:r>
              <w:rPr>
                <w:rFonts w:ascii="Arial" w:cs="Arial" w:eastAsia="Arial" w:hAnsi="Arial"/>
                <w:sz w:val="22"/>
                <w:szCs w:val="22"/>
                <w:color w:val="auto"/>
                <w:w w:val="95"/>
              </w:rPr>
              <w:t>“ Senior Priority Collateral Documents ” shall mean the Original First Lien Collateral Documents[, the [</w:t>
            </w:r>
          </w:p>
        </w:tc>
        <w:tc>
          <w:tcPr>
            <w:tcW w:w="1180" w:type="dxa"/>
            <w:vAlign w:val="bottom"/>
          </w:tcPr>
          <w:p>
            <w:pPr>
              <w:ind w:left="160"/>
              <w:spacing w:after="0"/>
              <w:rPr>
                <w:sz w:val="20"/>
                <w:szCs w:val="20"/>
                <w:color w:val="auto"/>
              </w:rPr>
            </w:pPr>
            <w:r>
              <w:rPr>
                <w:rFonts w:ascii="Arial" w:cs="Arial" w:eastAsia="Arial" w:hAnsi="Arial"/>
                <w:sz w:val="22"/>
                <w:szCs w:val="22"/>
                <w:color w:val="auto"/>
                <w:w w:val="97"/>
              </w:rPr>
              <w:t>] First Lien</w:t>
            </w:r>
          </w:p>
        </w:tc>
      </w:tr>
      <w:tr>
        <w:trPr>
          <w:trHeight w:val="20"/>
        </w:trPr>
        <w:tc>
          <w:tcPr>
            <w:tcW w:w="82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76"/>
        </w:trPr>
        <w:tc>
          <w:tcPr>
            <w:tcW w:w="10060" w:type="dxa"/>
            <w:vAlign w:val="bottom"/>
            <w:gridSpan w:val="3"/>
          </w:tcPr>
          <w:p>
            <w:pPr>
              <w:spacing w:after="0"/>
              <w:rPr>
                <w:sz w:val="20"/>
                <w:szCs w:val="20"/>
                <w:color w:val="auto"/>
              </w:rPr>
            </w:pPr>
            <w:r>
              <w:rPr>
                <w:rFonts w:ascii="Arial" w:cs="Arial" w:eastAsia="Arial" w:hAnsi="Arial"/>
                <w:sz w:val="22"/>
                <w:szCs w:val="22"/>
                <w:color w:val="auto"/>
                <w:w w:val="96"/>
              </w:rPr>
              <w:t xml:space="preserve">Collateral Documents] </w:t>
            </w:r>
            <w:r>
              <w:rPr>
                <w:rFonts w:ascii="Arial" w:cs="Arial" w:eastAsia="Arial" w:hAnsi="Arial"/>
                <w:sz w:val="28"/>
                <w:szCs w:val="28"/>
                <w:color w:val="auto"/>
                <w:w w:val="96"/>
                <w:vertAlign w:val="superscript"/>
              </w:rPr>
              <w:t>viii</w:t>
            </w:r>
            <w:r>
              <w:rPr>
                <w:rFonts w:ascii="Arial" w:cs="Arial" w:eastAsia="Arial" w:hAnsi="Arial"/>
                <w:sz w:val="22"/>
                <w:szCs w:val="22"/>
                <w:color w:val="auto"/>
                <w:w w:val="96"/>
              </w:rPr>
              <w:t xml:space="preserve"> and any Additional Collateral Documents in respect of Senior Priority Obligations.</w:t>
            </w:r>
          </w:p>
        </w:tc>
        <w:tc>
          <w:tcPr>
            <w:tcW w:w="1180" w:type="dxa"/>
            <w:vAlign w:val="bottom"/>
          </w:tcPr>
          <w:p>
            <w:pPr>
              <w:spacing w:after="0"/>
              <w:rPr>
                <w:sz w:val="24"/>
                <w:szCs w:val="24"/>
                <w:color w:val="auto"/>
              </w:rPr>
            </w:pPr>
          </w:p>
        </w:tc>
      </w:tr>
      <w:tr>
        <w:trPr>
          <w:trHeight w:val="599"/>
        </w:trPr>
        <w:tc>
          <w:tcPr>
            <w:tcW w:w="10060" w:type="dxa"/>
            <w:vAlign w:val="bottom"/>
            <w:gridSpan w:val="3"/>
          </w:tcPr>
          <w:p>
            <w:pPr>
              <w:jc w:val="right"/>
              <w:ind w:right="4320"/>
              <w:spacing w:after="0"/>
              <w:rPr>
                <w:sz w:val="20"/>
                <w:szCs w:val="20"/>
                <w:color w:val="auto"/>
              </w:rPr>
            </w:pPr>
            <w:r>
              <w:rPr>
                <w:rFonts w:ascii="Arial" w:cs="Arial" w:eastAsia="Arial" w:hAnsi="Arial"/>
                <w:sz w:val="22"/>
                <w:szCs w:val="22"/>
                <w:color w:val="auto"/>
              </w:rPr>
              <w:t>19</w:t>
            </w:r>
          </w:p>
        </w:tc>
        <w:tc>
          <w:tcPr>
            <w:tcW w:w="1180" w:type="dxa"/>
            <w:vAlign w:val="bottom"/>
          </w:tcPr>
          <w:p>
            <w:pPr>
              <w:spacing w:after="0"/>
              <w:rPr>
                <w:sz w:val="24"/>
                <w:szCs w:val="24"/>
                <w:color w:val="auto"/>
              </w:rPr>
            </w:pPr>
          </w:p>
        </w:tc>
      </w:tr>
      <w:tr>
        <w:trPr>
          <w:trHeight w:val="92"/>
        </w:trPr>
        <w:tc>
          <w:tcPr>
            <w:tcW w:w="82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59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79" w:name="page580"/>
    <w:bookmarkEnd w:id="579"/>
    <w:p>
      <w:pPr>
        <w:jc w:val="both"/>
        <w:ind w:firstLine="648"/>
        <w:spacing w:after="0" w:line="254"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Senior Priority Credit Facility</w:t>
      </w:r>
      <w:r>
        <w:rPr>
          <w:rFonts w:ascii="Arial" w:cs="Arial" w:eastAsia="Arial" w:hAnsi="Arial"/>
          <w:sz w:val="20"/>
          <w:szCs w:val="20"/>
          <w:color w:val="auto"/>
        </w:rPr>
        <w:t xml:space="preserve"> ” shall mean the Original First Lien Credit Agreement[, the [ ] First Lien Credit Agreement] </w:t>
      </w:r>
      <w:r>
        <w:rPr>
          <w:rFonts w:ascii="Arial" w:cs="Arial" w:eastAsia="Arial" w:hAnsi="Arial"/>
          <w:sz w:val="26"/>
          <w:szCs w:val="26"/>
          <w:color w:val="auto"/>
          <w:vertAlign w:val="superscript"/>
        </w:rPr>
        <w:t>viii</w:t>
      </w:r>
      <w:r>
        <w:rPr>
          <w:rFonts w:ascii="Arial" w:cs="Arial" w:eastAsia="Arial" w:hAnsi="Arial"/>
          <w:sz w:val="20"/>
          <w:szCs w:val="20"/>
          <w:color w:val="auto"/>
        </w:rPr>
        <w:t xml:space="preserve"> and any Additional Credit Facility in respect of any Senior Priority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all Indebtedness that is Senior Priority Debt incurred under such facility agreement meets the requirements of Additional Indebtedness.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8340" w:type="dxa"/>
            <w:vAlign w:val="bottom"/>
            <w:gridSpan w:val="4"/>
          </w:tcPr>
          <w:p>
            <w:pPr>
              <w:ind w:left="660"/>
              <w:spacing w:after="0"/>
              <w:rPr>
                <w:sz w:val="20"/>
                <w:szCs w:val="20"/>
                <w:color w:val="auto"/>
              </w:rPr>
            </w:pPr>
            <w:r>
              <w:rPr>
                <w:rFonts w:ascii="Arial" w:cs="Arial" w:eastAsia="Arial" w:hAnsi="Arial"/>
                <w:sz w:val="22"/>
                <w:szCs w:val="22"/>
                <w:color w:val="auto"/>
                <w:w w:val="94"/>
              </w:rPr>
              <w:t>“ Senior Priority Creditors ” shall mean the Original First Lien Secured Parties[, the [</w:t>
            </w:r>
          </w:p>
        </w:tc>
        <w:tc>
          <w:tcPr>
            <w:tcW w:w="2900" w:type="dxa"/>
            <w:vAlign w:val="bottom"/>
          </w:tcPr>
          <w:p>
            <w:pPr>
              <w:ind w:left="160"/>
              <w:spacing w:after="0"/>
              <w:rPr>
                <w:sz w:val="20"/>
                <w:szCs w:val="20"/>
                <w:color w:val="auto"/>
              </w:rPr>
            </w:pPr>
            <w:r>
              <w:rPr>
                <w:rFonts w:ascii="Arial" w:cs="Arial" w:eastAsia="Arial" w:hAnsi="Arial"/>
                <w:sz w:val="22"/>
                <w:szCs w:val="22"/>
                <w:color w:val="auto"/>
                <w:w w:val="90"/>
              </w:rPr>
              <w:t xml:space="preserve">] First Lien Secured Parties] </w:t>
            </w:r>
            <w:r>
              <w:rPr>
                <w:rFonts w:ascii="Arial" w:cs="Arial" w:eastAsia="Arial" w:hAnsi="Arial"/>
                <w:sz w:val="28"/>
                <w:szCs w:val="28"/>
                <w:color w:val="auto"/>
                <w:w w:val="90"/>
                <w:vertAlign w:val="superscript"/>
              </w:rPr>
              <w:t>viii</w:t>
            </w: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87"/>
        </w:trPr>
        <w:tc>
          <w:tcPr>
            <w:tcW w:w="8340" w:type="dxa"/>
            <w:vAlign w:val="bottom"/>
            <w:gridSpan w:val="4"/>
          </w:tcPr>
          <w:p>
            <w:pPr>
              <w:spacing w:after="0"/>
              <w:rPr>
                <w:sz w:val="20"/>
                <w:szCs w:val="20"/>
                <w:color w:val="auto"/>
              </w:rPr>
            </w:pPr>
            <w:r>
              <w:rPr>
                <w:rFonts w:ascii="Arial" w:cs="Arial" w:eastAsia="Arial" w:hAnsi="Arial"/>
                <w:sz w:val="22"/>
                <w:szCs w:val="22"/>
                <w:color w:val="auto"/>
                <w:w w:val="92"/>
              </w:rPr>
              <w:t>and any Additional Credit Facility Secured Party in respect of any Senior Priority Obligations.</w:t>
            </w:r>
          </w:p>
        </w:tc>
        <w:tc>
          <w:tcPr>
            <w:tcW w:w="2900" w:type="dxa"/>
            <w:vAlign w:val="bottom"/>
          </w:tcPr>
          <w:p>
            <w:pPr>
              <w:spacing w:after="0"/>
              <w:rPr>
                <w:sz w:val="24"/>
                <w:szCs w:val="24"/>
                <w:color w:val="auto"/>
              </w:rPr>
            </w:pPr>
          </w:p>
        </w:tc>
      </w:tr>
      <w:tr>
        <w:trPr>
          <w:trHeight w:val="422"/>
        </w:trPr>
        <w:tc>
          <w:tcPr>
            <w:tcW w:w="8340" w:type="dxa"/>
            <w:vAlign w:val="bottom"/>
            <w:gridSpan w:val="4"/>
          </w:tcPr>
          <w:p>
            <w:pPr>
              <w:ind w:left="660"/>
              <w:spacing w:after="0"/>
              <w:rPr>
                <w:sz w:val="20"/>
                <w:szCs w:val="20"/>
                <w:color w:val="auto"/>
              </w:rPr>
            </w:pPr>
            <w:r>
              <w:rPr>
                <w:rFonts w:ascii="Arial" w:cs="Arial" w:eastAsia="Arial" w:hAnsi="Arial"/>
                <w:sz w:val="22"/>
                <w:szCs w:val="22"/>
                <w:color w:val="auto"/>
              </w:rPr>
              <w:t>“ Senior Priority Debt ” shall mean:</w:t>
            </w:r>
          </w:p>
        </w:tc>
        <w:tc>
          <w:tcPr>
            <w:tcW w:w="290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503"/>
        </w:trPr>
        <w:tc>
          <w:tcPr>
            <w:tcW w:w="8340" w:type="dxa"/>
            <w:vAlign w:val="bottom"/>
            <w:gridSpan w:val="4"/>
          </w:tcPr>
          <w:p>
            <w:pPr>
              <w:ind w:left="660"/>
              <w:spacing w:after="0"/>
              <w:rPr>
                <w:sz w:val="20"/>
                <w:szCs w:val="20"/>
                <w:color w:val="auto"/>
              </w:rPr>
            </w:pPr>
            <w:r>
              <w:rPr>
                <w:rFonts w:ascii="Arial" w:cs="Arial" w:eastAsia="Arial" w:hAnsi="Arial"/>
                <w:sz w:val="22"/>
                <w:szCs w:val="22"/>
                <w:color w:val="auto"/>
              </w:rPr>
              <w:t>(i)  all Original First Lien Obligations;</w:t>
            </w:r>
          </w:p>
        </w:tc>
        <w:tc>
          <w:tcPr>
            <w:tcW w:w="2900" w:type="dxa"/>
            <w:vAlign w:val="bottom"/>
          </w:tcPr>
          <w:p>
            <w:pPr>
              <w:spacing w:after="0"/>
              <w:rPr>
                <w:sz w:val="24"/>
                <w:szCs w:val="24"/>
                <w:color w:val="auto"/>
              </w:rPr>
            </w:pPr>
          </w:p>
        </w:tc>
      </w:tr>
      <w:tr>
        <w:trPr>
          <w:trHeight w:val="562"/>
        </w:trPr>
        <w:tc>
          <w:tcPr>
            <w:tcW w:w="8340" w:type="dxa"/>
            <w:vAlign w:val="bottom"/>
            <w:gridSpan w:val="4"/>
          </w:tcPr>
          <w:p>
            <w:pPr>
              <w:ind w:left="660"/>
              <w:spacing w:after="0"/>
              <w:rPr>
                <w:sz w:val="20"/>
                <w:szCs w:val="20"/>
                <w:color w:val="auto"/>
              </w:rPr>
            </w:pPr>
            <w:r>
              <w:rPr>
                <w:rFonts w:ascii="Arial" w:cs="Arial" w:eastAsia="Arial" w:hAnsi="Arial"/>
                <w:sz w:val="22"/>
                <w:szCs w:val="22"/>
                <w:color w:val="auto"/>
              </w:rPr>
              <w:t xml:space="preserve">[(ii)  all [   ] First Lien Obligations;] </w:t>
            </w:r>
            <w:r>
              <w:rPr>
                <w:rFonts w:ascii="Arial" w:cs="Arial" w:eastAsia="Arial" w:hAnsi="Arial"/>
                <w:sz w:val="28"/>
                <w:szCs w:val="28"/>
                <w:color w:val="auto"/>
                <w:vertAlign w:val="superscript"/>
              </w:rPr>
              <w:t>viii</w:t>
            </w:r>
            <w:r>
              <w:rPr>
                <w:rFonts w:ascii="Arial" w:cs="Arial" w:eastAsia="Arial" w:hAnsi="Arial"/>
                <w:sz w:val="22"/>
                <w:szCs w:val="22"/>
                <w:color w:val="auto"/>
              </w:rPr>
              <w:t xml:space="preserve"> and</w:t>
            </w:r>
          </w:p>
        </w:tc>
        <w:tc>
          <w:tcPr>
            <w:tcW w:w="2900" w:type="dxa"/>
            <w:vAlign w:val="bottom"/>
          </w:tcPr>
          <w:p>
            <w:pPr>
              <w:spacing w:after="0"/>
              <w:rPr>
                <w:sz w:val="24"/>
                <w:szCs w:val="24"/>
                <w:color w:val="auto"/>
              </w:rPr>
            </w:pPr>
          </w:p>
        </w:tc>
      </w:tr>
    </w:tbl>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[(ii/iii)] any Additional Obligations of any Loan Party so long as on or before the date on which the relevant Additional Indebtedness is incurred, such Indebtedness is designated by the Company as “Senior Priority Debt” in the relevant Additional Indebtedness Designation delivered pursuant to </w:t>
      </w:r>
      <w:r>
        <w:rPr>
          <w:rFonts w:ascii="Arial" w:cs="Arial" w:eastAsia="Arial" w:hAnsi="Arial"/>
          <w:sz w:val="22"/>
          <w:szCs w:val="22"/>
          <w:u w:val="single" w:color="auto"/>
          <w:color w:val="auto"/>
        </w:rPr>
        <w:t>Section 7.11(a)(iii)</w:t>
      </w:r>
      <w:r>
        <w:rPr>
          <w:rFonts w:ascii="Arial" w:cs="Arial" w:eastAsia="Arial" w:hAnsi="Arial"/>
          <w:sz w:val="22"/>
          <w:szCs w:val="22"/>
          <w:color w:val="auto"/>
        </w:rPr>
        <w:t xml:space="preserve"> .</w:t>
      </w:r>
    </w:p>
    <w:p>
      <w:pPr>
        <w:spacing w:after="0" w:line="175"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Documents</w:t>
      </w:r>
      <w:r>
        <w:rPr>
          <w:rFonts w:ascii="Arial" w:cs="Arial" w:eastAsia="Arial" w:hAnsi="Arial"/>
          <w:sz w:val="22"/>
          <w:szCs w:val="22"/>
          <w:color w:val="auto"/>
        </w:rPr>
        <w:t xml:space="preserve"> ” shall mean the Original First Lien Documents[, the [ ] First Lien Documents] </w:t>
      </w:r>
      <w:r>
        <w:rPr>
          <w:rFonts w:ascii="Arial" w:cs="Arial" w:eastAsia="Arial" w:hAnsi="Arial"/>
          <w:sz w:val="28"/>
          <w:szCs w:val="28"/>
          <w:color w:val="auto"/>
          <w:vertAlign w:val="superscript"/>
        </w:rPr>
        <w:t>viii</w:t>
      </w:r>
      <w:r>
        <w:rPr>
          <w:rFonts w:ascii="Arial" w:cs="Arial" w:eastAsia="Arial" w:hAnsi="Arial"/>
          <w:sz w:val="22"/>
          <w:szCs w:val="22"/>
          <w:color w:val="auto"/>
        </w:rPr>
        <w:t xml:space="preserve"> and any Additional Documents in respect of any Senior Priority Obligations.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Lien”</w:t>
      </w:r>
      <w:r>
        <w:rPr>
          <w:rFonts w:ascii="Arial" w:cs="Arial" w:eastAsia="Arial" w:hAnsi="Arial"/>
          <w:sz w:val="22"/>
          <w:szCs w:val="22"/>
          <w:color w:val="auto"/>
        </w:rPr>
        <w:t xml:space="preserve"> shall mean a Lien granted (a) by an Original First Lien Collateral Document to the Original First Lien Agent[, (b) a [ ] First Lien Collateral Document to [ ] First Lien Agent]viii or [(b/c)] by an Additional Collateral Document to any Additional Agent for the purpose of securing Senior Priority Obligations.</w:t>
      </w:r>
    </w:p>
    <w:p>
      <w:pPr>
        <w:spacing w:after="0" w:line="174"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Obligations</w:t>
      </w:r>
      <w:r>
        <w:rPr>
          <w:rFonts w:ascii="Arial" w:cs="Arial" w:eastAsia="Arial" w:hAnsi="Arial"/>
          <w:sz w:val="22"/>
          <w:szCs w:val="22"/>
          <w:color w:val="auto"/>
        </w:rPr>
        <w:t xml:space="preserve"> ” shall mean the Original First Lien Obligations[, the [ ] First Lien Obligations] </w:t>
      </w:r>
      <w:r>
        <w:rPr>
          <w:rFonts w:ascii="Arial" w:cs="Arial" w:eastAsia="Arial" w:hAnsi="Arial"/>
          <w:sz w:val="28"/>
          <w:szCs w:val="28"/>
          <w:color w:val="auto"/>
          <w:vertAlign w:val="superscript"/>
        </w:rPr>
        <w:t>viii</w:t>
      </w:r>
      <w:r>
        <w:rPr>
          <w:rFonts w:ascii="Arial" w:cs="Arial" w:eastAsia="Arial" w:hAnsi="Arial"/>
          <w:sz w:val="22"/>
          <w:szCs w:val="22"/>
          <w:color w:val="auto"/>
        </w:rPr>
        <w:t xml:space="preserve"> and any Additional Obligations constituting Senior Priority Debt.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Recovery</w:t>
      </w:r>
      <w:r>
        <w:rPr>
          <w:rFonts w:ascii="Arial" w:cs="Arial" w:eastAsia="Arial" w:hAnsi="Arial"/>
          <w:sz w:val="22"/>
          <w:szCs w:val="22"/>
          <w:color w:val="auto"/>
        </w:rPr>
        <w:t xml:space="preserve"> ” shall have the meaning set forth in </w:t>
      </w:r>
      <w:r>
        <w:rPr>
          <w:rFonts w:ascii="Arial" w:cs="Arial" w:eastAsia="Arial" w:hAnsi="Arial"/>
          <w:sz w:val="22"/>
          <w:szCs w:val="22"/>
          <w:u w:val="single" w:color="auto"/>
          <w:color w:val="auto"/>
        </w:rPr>
        <w:t>Section 5.03.</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Senior Priority Representative</w:t>
      </w:r>
      <w:r>
        <w:rPr>
          <w:rFonts w:ascii="Arial" w:cs="Arial" w:eastAsia="Arial" w:hAnsi="Arial"/>
          <w:sz w:val="19"/>
          <w:szCs w:val="19"/>
          <w:color w:val="auto"/>
        </w:rPr>
        <w:t xml:space="preserve"> ” shall mean the Original First Lien Agent acting for the Senior Priority Secured Parties,</w:t>
      </w:r>
    </w:p>
    <w:p>
      <w:pPr>
        <w:spacing w:after="0" w:line="54" w:lineRule="exact"/>
        <w:rPr>
          <w:sz w:val="20"/>
          <w:szCs w:val="20"/>
          <w:color w:val="auto"/>
        </w:rPr>
      </w:pPr>
    </w:p>
    <w:p>
      <w:pPr>
        <w:spacing w:after="0"/>
        <w:tabs>
          <w:tab w:leader="none" w:pos="10680" w:val="left"/>
        </w:tabs>
        <w:rPr>
          <w:sz w:val="20"/>
          <w:szCs w:val="20"/>
          <w:color w:val="auto"/>
        </w:rPr>
      </w:pPr>
      <w:r>
        <w:rPr>
          <w:rFonts w:ascii="Arial" w:cs="Arial" w:eastAsia="Arial" w:hAnsi="Arial"/>
          <w:sz w:val="21"/>
          <w:szCs w:val="21"/>
          <w:color w:val="auto"/>
        </w:rPr>
        <w:t>until the Discharge of Original First Lien Obligations, and thereafter (unless otherwise agreed in writing between [the [</w:t>
        <w:tab/>
        <w:t>] First</w:t>
      </w:r>
    </w:p>
    <w:p>
      <w:pPr>
        <w:jc w:val="both"/>
        <w:spacing w:after="0" w:line="242" w:lineRule="auto"/>
        <w:rPr>
          <w:sz w:val="20"/>
          <w:szCs w:val="20"/>
          <w:color w:val="auto"/>
        </w:rPr>
      </w:pPr>
      <w:r>
        <w:rPr>
          <w:rFonts w:ascii="Arial" w:cs="Arial" w:eastAsia="Arial" w:hAnsi="Arial"/>
          <w:sz w:val="21"/>
          <w:szCs w:val="21"/>
          <w:color w:val="auto"/>
        </w:rPr>
        <w:t xml:space="preserve">Lien Agent and] </w:t>
      </w:r>
      <w:r>
        <w:rPr>
          <w:rFonts w:ascii="Arial" w:cs="Arial" w:eastAsia="Arial" w:hAnsi="Arial"/>
          <w:sz w:val="27"/>
          <w:szCs w:val="27"/>
          <w:color w:val="auto"/>
          <w:vertAlign w:val="superscript"/>
        </w:rPr>
        <w:t>viii</w:t>
      </w:r>
      <w:r>
        <w:rPr>
          <w:rFonts w:ascii="Arial" w:cs="Arial" w:eastAsia="Arial" w:hAnsi="Arial"/>
          <w:sz w:val="21"/>
          <w:szCs w:val="21"/>
          <w:color w:val="auto"/>
        </w:rPr>
        <w:t xml:space="preserve"> any Additional Agents under any Senior Priority Documents), [the [ ] First Lien Agent or] viii any Additional Agent under any Senior Priority Documents (or, if there are then in effect Senior Priority Documents with respect to more than one Series of Senior Priority Debt, the Senior Priority Documents under which the greatest principal amount of Senior Priority Obligations is outstanding at the time) acting for the Senior Priority Secured Parties.</w:t>
      </w:r>
    </w:p>
    <w:p>
      <w:pPr>
        <w:spacing w:after="0" w:line="19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Senior Priority Secured Parties</w:t>
      </w:r>
      <w:r>
        <w:rPr>
          <w:rFonts w:ascii="Arial" w:cs="Arial" w:eastAsia="Arial" w:hAnsi="Arial"/>
          <w:sz w:val="22"/>
          <w:szCs w:val="22"/>
          <w:color w:val="auto"/>
        </w:rPr>
        <w:t xml:space="preserve"> ” shall mean, at any time, all of the Senior Priority Agents and all of the Senior Priority Creditors.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0" w:name="page581"/>
    <w:bookmarkEnd w:id="580"/>
    <w:p>
      <w:pPr>
        <w:jc w:val="both"/>
        <w:ind w:firstLine="648"/>
        <w:spacing w:after="0" w:line="23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Series of Junior Priority Debt</w:t>
      </w:r>
      <w:r>
        <w:rPr>
          <w:rFonts w:ascii="Arial" w:cs="Arial" w:eastAsia="Arial" w:hAnsi="Arial"/>
          <w:sz w:val="22"/>
          <w:szCs w:val="22"/>
          <w:color w:val="auto"/>
        </w:rPr>
        <w:t xml:space="preserve"> ” shall mean, severally, [(a) the Indebtedness outstanding under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Credit Facility and (b) ]vii the Indebtedness outstanding under any Additional Credit Facility in respect of or constituting Junior Priority Debt.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Series of Senior Priority Debt</w:t>
      </w:r>
      <w:r>
        <w:rPr>
          <w:rFonts w:ascii="Arial" w:cs="Arial" w:eastAsia="Arial" w:hAnsi="Arial"/>
          <w:sz w:val="19"/>
          <w:szCs w:val="19"/>
          <w:color w:val="auto"/>
        </w:rPr>
        <w:t xml:space="preserve"> ” shall mean, severally, (a) the Indebtedness outstanding under the Original First Lien</w:t>
      </w:r>
    </w:p>
    <w:p>
      <w:pPr>
        <w:spacing w:after="0" w:line="5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Credit Agreement[, (b) the Indebtedness outstanding under the [ ] First Lien Credit Agreement,]viii and [(b/c)] the Indebtedness outstanding under any Additional Credit Facility in respect of or constituting Senior Priority Debt.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Standstill Period”</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2.03(a)</w:t>
      </w:r>
      <w:r>
        <w:rPr>
          <w:rFonts w:ascii="Arial" w:cs="Arial" w:eastAsia="Arial" w:hAnsi="Arial"/>
          <w:sz w:val="22"/>
          <w:szCs w:val="22"/>
          <w:color w:val="auto"/>
        </w:rPr>
        <w:t xml:space="preserve"> .</w:t>
      </w:r>
    </w:p>
    <w:p>
      <w:pPr>
        <w:spacing w:after="0" w:line="21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 of any Person shall mean a corporation, partnership, limited liability company, or other entity (a)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limited liability company or other entity are at the time owned by such Person, or (b) the management of which is otherwise controlled, directly or indirectly through one or more intermediaries, or both, by such Person and, in the case of this clause (b), which is treated as a consolidated subsidiary for accounting purposes.</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xml:space="preserve"> ” shall mean the Uniform Commercial Code as the same may, from time to time, be in effect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the Uniform Commercial Code is used to define any term in any security document and such term is defined differently in differing Articles of the Uniform Commercial Code, the definition of such term contained in Article 9 shall govern;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 that in the event that, by reason of mandatory provisions of law, any or all of the attachment, perfection, publication or priority of, or remedies with respect to, Liens of any Party is governed by the Uniform Commercial Code or foreign personal property security laws as enacted and in effect in a jurisdiction other than the State of New York, the term “Uniform Commercial Code” will mean the Uniform Commercial Code or such foreign personal property security laws as enacted and in effect in such other jurisdiction solely for purposes of the provisions thereof relating to such attachment, perfection, priority or remedies and for purposes of definitions related to such provisions.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United States</w:t>
      </w:r>
      <w:r>
        <w:rPr>
          <w:rFonts w:ascii="Arial" w:cs="Arial" w:eastAsia="Arial" w:hAnsi="Arial"/>
          <w:sz w:val="22"/>
          <w:szCs w:val="22"/>
          <w:color w:val="auto"/>
        </w:rPr>
        <w:t xml:space="preserve"> ” shall mean the United States of America.</w:t>
      </w:r>
    </w:p>
    <w:p>
      <w:pPr>
        <w:spacing w:after="0" w:line="20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 ]</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[First/Second]</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Lien Agent</w:t>
      </w:r>
      <w:r>
        <w:rPr>
          <w:rFonts w:ascii="Arial" w:cs="Arial" w:eastAsia="Arial" w:hAnsi="Arial"/>
          <w:sz w:val="20"/>
          <w:szCs w:val="20"/>
          <w:color w:val="auto"/>
        </w:rPr>
        <w:t xml:space="preserve"> ” shall mean [ ] in its capacity as collateral agent (or trustee by a joinder agreement substantially in the form of Exhibit D attached hereto or otherwise in form and substance reasonably satisfactory to any Senior</w:t>
      </w:r>
    </w:p>
    <w:tbl>
      <w:tblPr>
        <w:tblLayout w:type="fixed"/>
        <w:tblInd w:w="0" w:type="dxa"/>
        <w:tblCellMar>
          <w:top w:w="0" w:type="dxa"/>
          <w:left w:w="0" w:type="dxa"/>
          <w:bottom w:w="0" w:type="dxa"/>
          <w:right w:w="0" w:type="dxa"/>
        </w:tblCellMar>
      </w:tblPr>
      <w:tr>
        <w:trPr>
          <w:trHeight w:val="245"/>
        </w:trPr>
        <w:tc>
          <w:tcPr>
            <w:tcW w:w="2560" w:type="dxa"/>
            <w:vAlign w:val="bottom"/>
          </w:tcPr>
          <w:p>
            <w:pPr>
              <w:spacing w:after="0" w:line="245" w:lineRule="exact"/>
              <w:rPr>
                <w:sz w:val="20"/>
                <w:szCs w:val="20"/>
                <w:color w:val="auto"/>
              </w:rPr>
            </w:pPr>
            <w:r>
              <w:rPr>
                <w:rFonts w:ascii="Arial" w:cs="Arial" w:eastAsia="Arial" w:hAnsi="Arial"/>
                <w:sz w:val="22"/>
                <w:szCs w:val="22"/>
                <w:color w:val="auto"/>
              </w:rPr>
              <w:t>Priority Agent) under the [</w:t>
            </w:r>
          </w:p>
        </w:tc>
        <w:tc>
          <w:tcPr>
            <w:tcW w:w="8680" w:type="dxa"/>
            <w:vAlign w:val="bottom"/>
            <w:gridSpan w:val="3"/>
          </w:tcPr>
          <w:p>
            <w:pPr>
              <w:jc w:val="right"/>
              <w:spacing w:after="0" w:line="245" w:lineRule="exact"/>
              <w:rPr>
                <w:sz w:val="20"/>
                <w:szCs w:val="20"/>
                <w:color w:val="auto"/>
              </w:rPr>
            </w:pPr>
            <w:r>
              <w:rPr>
                <w:rFonts w:ascii="Arial" w:cs="Arial" w:eastAsia="Arial" w:hAnsi="Arial"/>
                <w:sz w:val="22"/>
                <w:szCs w:val="22"/>
                <w:color w:val="auto"/>
                <w:w w:val="93"/>
              </w:rPr>
              <w:t xml:space="preserve">] </w:t>
            </w:r>
            <w:r>
              <w:rPr>
                <w:rFonts w:ascii="Arial" w:cs="Arial" w:eastAsia="Arial" w:hAnsi="Arial"/>
                <w:sz w:val="28"/>
                <w:szCs w:val="28"/>
                <w:color w:val="auto"/>
                <w:w w:val="93"/>
                <w:vertAlign w:val="superscript"/>
              </w:rPr>
              <w:t>i</w:t>
            </w:r>
            <w:r>
              <w:rPr>
                <w:rFonts w:ascii="Arial" w:cs="Arial" w:eastAsia="Arial" w:hAnsi="Arial"/>
                <w:sz w:val="22"/>
                <w:szCs w:val="22"/>
                <w:color w:val="auto"/>
                <w:w w:val="93"/>
              </w:rPr>
              <w:t xml:space="preserve"> [First/Second] </w:t>
            </w:r>
            <w:r>
              <w:rPr>
                <w:rFonts w:ascii="Arial" w:cs="Arial" w:eastAsia="Arial" w:hAnsi="Arial"/>
                <w:sz w:val="28"/>
                <w:szCs w:val="28"/>
                <w:color w:val="auto"/>
                <w:w w:val="93"/>
                <w:vertAlign w:val="superscript"/>
              </w:rPr>
              <w:t>ii</w:t>
            </w:r>
            <w:r>
              <w:rPr>
                <w:rFonts w:ascii="Arial" w:cs="Arial" w:eastAsia="Arial" w:hAnsi="Arial"/>
                <w:sz w:val="22"/>
                <w:szCs w:val="22"/>
                <w:color w:val="auto"/>
                <w:w w:val="93"/>
              </w:rPr>
              <w:t xml:space="preserve"> Lien Credit Facility, together with its successors and assigns in such capacity</w:t>
            </w:r>
          </w:p>
        </w:tc>
      </w:tr>
      <w:tr>
        <w:trPr>
          <w:trHeight w:val="256"/>
        </w:trPr>
        <w:tc>
          <w:tcPr>
            <w:tcW w:w="3560" w:type="dxa"/>
            <w:vAlign w:val="bottom"/>
            <w:gridSpan w:val="2"/>
          </w:tcPr>
          <w:p>
            <w:pPr>
              <w:spacing w:after="0"/>
              <w:rPr>
                <w:sz w:val="20"/>
                <w:szCs w:val="20"/>
                <w:color w:val="auto"/>
              </w:rPr>
            </w:pPr>
            <w:r>
              <w:rPr>
                <w:rFonts w:ascii="Arial" w:cs="Arial" w:eastAsia="Arial" w:hAnsi="Arial"/>
                <w:sz w:val="22"/>
                <w:szCs w:val="22"/>
                <w:color w:val="auto"/>
                <w:w w:val="96"/>
              </w:rPr>
              <w:t>from time to time, whether under the [</w:t>
            </w:r>
          </w:p>
        </w:tc>
        <w:tc>
          <w:tcPr>
            <w:tcW w:w="5440" w:type="dxa"/>
            <w:vAlign w:val="bottom"/>
          </w:tcPr>
          <w:p>
            <w:pPr>
              <w:ind w:left="160"/>
              <w:spacing w:after="0" w:line="257" w:lineRule="exact"/>
              <w:rPr>
                <w:sz w:val="20"/>
                <w:szCs w:val="20"/>
                <w:color w:val="auto"/>
              </w:rPr>
            </w:pPr>
            <w:r>
              <w:rPr>
                <w:rFonts w:ascii="Arial" w:cs="Arial" w:eastAsia="Arial" w:hAnsi="Arial"/>
                <w:sz w:val="22"/>
                <w:szCs w:val="22"/>
                <w:color w:val="auto"/>
                <w:w w:val="94"/>
              </w:rPr>
              <w:t xml:space="preserve">] </w:t>
            </w:r>
            <w:r>
              <w:rPr>
                <w:rFonts w:ascii="Arial" w:cs="Arial" w:eastAsia="Arial" w:hAnsi="Arial"/>
                <w:sz w:val="28"/>
                <w:szCs w:val="28"/>
                <w:color w:val="auto"/>
                <w:w w:val="94"/>
                <w:vertAlign w:val="superscript"/>
              </w:rPr>
              <w:t>i</w:t>
            </w:r>
            <w:r>
              <w:rPr>
                <w:rFonts w:ascii="Arial" w:cs="Arial" w:eastAsia="Arial" w:hAnsi="Arial"/>
                <w:sz w:val="22"/>
                <w:szCs w:val="22"/>
                <w:color w:val="auto"/>
                <w:w w:val="94"/>
              </w:rPr>
              <w:t xml:space="preserve"> [First/Second] </w:t>
            </w:r>
            <w:r>
              <w:rPr>
                <w:rFonts w:ascii="Arial" w:cs="Arial" w:eastAsia="Arial" w:hAnsi="Arial"/>
                <w:sz w:val="28"/>
                <w:szCs w:val="28"/>
                <w:color w:val="auto"/>
                <w:w w:val="94"/>
                <w:vertAlign w:val="superscript"/>
              </w:rPr>
              <w:t>ii</w:t>
            </w:r>
            <w:r>
              <w:rPr>
                <w:rFonts w:ascii="Arial" w:cs="Arial" w:eastAsia="Arial" w:hAnsi="Arial"/>
                <w:sz w:val="22"/>
                <w:szCs w:val="22"/>
                <w:color w:val="auto"/>
                <w:w w:val="94"/>
              </w:rPr>
              <w:t xml:space="preserve"> Lien Credit Facility or any subsequent [</w:t>
            </w:r>
          </w:p>
        </w:tc>
        <w:tc>
          <w:tcPr>
            <w:tcW w:w="2240" w:type="dxa"/>
            <w:vAlign w:val="bottom"/>
          </w:tcPr>
          <w:p>
            <w:pPr>
              <w:jc w:val="right"/>
              <w:spacing w:after="0" w:line="257" w:lineRule="exact"/>
              <w:rPr>
                <w:sz w:val="20"/>
                <w:szCs w:val="20"/>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w:t>
            </w:r>
          </w:p>
        </w:tc>
      </w:tr>
      <w:tr>
        <w:trPr>
          <w:trHeight w:val="267"/>
        </w:trPr>
        <w:tc>
          <w:tcPr>
            <w:tcW w:w="9000" w:type="dxa"/>
            <w:vAlign w:val="bottom"/>
            <w:gridSpan w:val="3"/>
          </w:tcPr>
          <w:p>
            <w:pPr>
              <w:spacing w:after="0"/>
              <w:rPr>
                <w:sz w:val="20"/>
                <w:szCs w:val="20"/>
                <w:color w:val="auto"/>
              </w:rPr>
            </w:pPr>
            <w:r>
              <w:rPr>
                <w:rFonts w:ascii="Arial" w:cs="Arial" w:eastAsia="Arial" w:hAnsi="Arial"/>
                <w:sz w:val="22"/>
                <w:szCs w:val="22"/>
                <w:color w:val="auto"/>
                <w:w w:val="95"/>
              </w:rPr>
              <w:t>Credit Facility, as well as any Person designated as the “Agent” or “Collateral Agent” under any [</w:t>
            </w:r>
          </w:p>
        </w:tc>
        <w:tc>
          <w:tcPr>
            <w:tcW w:w="2240" w:type="dxa"/>
            <w:vAlign w:val="bottom"/>
          </w:tcPr>
          <w:p>
            <w:pPr>
              <w:jc w:val="right"/>
              <w:spacing w:after="0" w:line="267" w:lineRule="exact"/>
              <w:rPr>
                <w:sz w:val="20"/>
                <w:szCs w:val="20"/>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w:t>
            </w:r>
          </w:p>
        </w:tc>
      </w:tr>
      <w:tr>
        <w:trPr>
          <w:trHeight w:val="274"/>
        </w:trPr>
        <w:tc>
          <w:tcPr>
            <w:tcW w:w="2560" w:type="dxa"/>
            <w:vAlign w:val="bottom"/>
          </w:tcPr>
          <w:p>
            <w:pPr>
              <w:spacing w:after="0"/>
              <w:rPr>
                <w:sz w:val="20"/>
                <w:szCs w:val="20"/>
                <w:color w:val="auto"/>
              </w:rPr>
            </w:pPr>
            <w:r>
              <w:rPr>
                <w:rFonts w:ascii="Arial" w:cs="Arial" w:eastAsia="Arial" w:hAnsi="Arial"/>
                <w:sz w:val="22"/>
                <w:szCs w:val="22"/>
                <w:color w:val="auto"/>
              </w:rPr>
              <w:t>Credit Facility.</w:t>
            </w:r>
          </w:p>
        </w:tc>
        <w:tc>
          <w:tcPr>
            <w:tcW w:w="100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2240" w:type="dxa"/>
            <w:vAlign w:val="bottom"/>
          </w:tcPr>
          <w:p>
            <w:pPr>
              <w:spacing w:after="0"/>
              <w:rPr>
                <w:sz w:val="23"/>
                <w:szCs w:val="23"/>
                <w:color w:val="auto"/>
              </w:rPr>
            </w:pPr>
          </w:p>
        </w:tc>
      </w:tr>
    </w:tbl>
    <w:p>
      <w:pPr>
        <w:spacing w:after="0" w:line="187"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8"/>
          <w:szCs w:val="28"/>
          <w:u w:val="single" w:color="auto"/>
          <w:color w:val="auto"/>
          <w:vertAlign w:val="superscript"/>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[First/Second]</w:t>
      </w:r>
      <w:r>
        <w:rPr>
          <w:rFonts w:ascii="Arial" w:cs="Arial" w:eastAsia="Arial" w:hAnsi="Arial"/>
          <w:sz w:val="22"/>
          <w:szCs w:val="22"/>
          <w:color w:val="auto"/>
        </w:rPr>
        <w:t xml:space="preserve"> </w:t>
      </w:r>
      <w:r>
        <w:rPr>
          <w:rFonts w:ascii="Arial" w:cs="Arial" w:eastAsia="Arial" w:hAnsi="Arial"/>
          <w:sz w:val="28"/>
          <w:szCs w:val="28"/>
          <w:u w:val="single" w:color="auto"/>
          <w:color w:val="auto"/>
          <w:vertAlign w:val="superscript"/>
        </w:rPr>
        <w:t>ii</w:t>
      </w:r>
      <w:r>
        <w:rPr>
          <w:rFonts w:ascii="Arial" w:cs="Arial" w:eastAsia="Arial" w:hAnsi="Arial"/>
          <w:sz w:val="22"/>
          <w:szCs w:val="22"/>
          <w:color w:val="auto"/>
        </w:rPr>
        <w:t xml:space="preserve"> </w:t>
      </w:r>
      <w:r>
        <w:rPr>
          <w:rFonts w:ascii="Arial" w:cs="Arial" w:eastAsia="Arial" w:hAnsi="Arial"/>
          <w:sz w:val="22"/>
          <w:szCs w:val="22"/>
          <w:u w:val="single" w:color="auto"/>
          <w:color w:val="auto"/>
        </w:rPr>
        <w:t>Lien Bank Products Affiliate</w:t>
      </w:r>
      <w:r>
        <w:rPr>
          <w:rFonts w:ascii="Arial" w:cs="Arial" w:eastAsia="Arial" w:hAnsi="Arial"/>
          <w:sz w:val="22"/>
          <w:szCs w:val="22"/>
          <w:color w:val="auto"/>
        </w:rPr>
        <w:t xml:space="preserve"> ” shall mean any Person who (a) has entered into a Bank Products Agreement with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Loan Party with the obligations of such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Loan Party thereunder being secured by one or more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81" w:name="page582"/>
    <w:bookmarkEnd w:id="581"/>
    <w:p>
      <w:pPr>
        <w:jc w:val="both"/>
        <w:spacing w:after="0" w:line="209" w:lineRule="auto"/>
        <w:rPr>
          <w:sz w:val="20"/>
          <w:szCs w:val="20"/>
          <w:color w:val="auto"/>
        </w:rPr>
      </w:pPr>
      <w:r>
        <w:rPr>
          <w:rFonts w:ascii="Arial" w:cs="Arial" w:eastAsia="Arial" w:hAnsi="Arial"/>
          <w:sz w:val="22"/>
          <w:szCs w:val="22"/>
          <w:color w:val="auto"/>
        </w:rPr>
        <w:t xml:space="preserve">[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Collateral Documents, (b) was a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Lender or an Affiliate of a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Lender on the date hereof, or at the time of entry into such Bank Products Agreement, or at the time of the designation referred to in the following clause (c), and (c) has been designated by the Company in accordance with the terms of one or more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Collateral Documents (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Person shall, with respect to any Bank Products Agreement, be at any time a Bank Products Affiliate hereunder with respect to more than one Credit Facility).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   ]</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[First/Second]</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Lien Borrower</w:t>
      </w:r>
      <w:r>
        <w:rPr>
          <w:rFonts w:ascii="Arial" w:cs="Arial" w:eastAsia="Arial" w:hAnsi="Arial"/>
          <w:sz w:val="20"/>
          <w:szCs w:val="20"/>
          <w:color w:val="auto"/>
        </w:rPr>
        <w:t xml:space="preserve"> ” shall mean the Company, in its capacity as borrower under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w:t>
      </w:r>
    </w:p>
    <w:p>
      <w:pPr>
        <w:ind w:left="120" w:hanging="112"/>
        <w:spacing w:after="0" w:line="184" w:lineRule="auto"/>
        <w:tabs>
          <w:tab w:leader="none" w:pos="120" w:val="left"/>
        </w:tabs>
        <w:numPr>
          <w:ilvl w:val="0"/>
          <w:numId w:val="772"/>
        </w:numPr>
        <w:rPr>
          <w:rFonts w:ascii="Arial" w:cs="Arial" w:eastAsia="Arial" w:hAnsi="Arial"/>
          <w:sz w:val="29"/>
          <w:szCs w:val="29"/>
          <w:color w:val="auto"/>
          <w:vertAlign w:val="superscript"/>
        </w:rPr>
      </w:pPr>
      <w:r>
        <w:rPr>
          <w:rFonts w:ascii="Arial" w:cs="Arial" w:eastAsia="Arial" w:hAnsi="Arial"/>
          <w:sz w:val="22"/>
          <w:szCs w:val="22"/>
          <w:color w:val="auto"/>
        </w:rPr>
        <w:t>Lien Credit Facility, together with its successors and assigns.</w:t>
      </w:r>
    </w:p>
    <w:p>
      <w:pPr>
        <w:spacing w:after="0" w:line="135" w:lineRule="exact"/>
        <w:rPr>
          <w:sz w:val="20"/>
          <w:szCs w:val="20"/>
          <w:color w:val="auto"/>
        </w:rPr>
      </w:pPr>
    </w:p>
    <w:p>
      <w:pPr>
        <w:ind w:left="660"/>
        <w:spacing w:after="0"/>
        <w:tabs>
          <w:tab w:leader="none" w:pos="1200" w:val="left"/>
          <w:tab w:leader="none" w:pos="11040" w:val="left"/>
        </w:tabs>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sz w:val="20"/>
          <w:szCs w:val="20"/>
          <w:color w:val="auto"/>
        </w:rPr>
        <w:tab/>
      </w:r>
      <w:r>
        <w:rPr>
          <w:rFonts w:ascii="Arial" w:cs="Arial" w:eastAsia="Arial" w:hAnsi="Arial"/>
          <w:sz w:val="21"/>
          <w:szCs w:val="21"/>
          <w:u w:val="single" w:color="auto"/>
          <w:color w:val="auto"/>
        </w:rPr>
        <w:t xml:space="preserve">] </w:t>
      </w:r>
      <w:r>
        <w:rPr>
          <w:rFonts w:ascii="Arial" w:cs="Arial" w:eastAsia="Arial" w:hAnsi="Arial"/>
          <w:sz w:val="27"/>
          <w:szCs w:val="27"/>
          <w:u w:val="single" w:color="auto"/>
          <w:color w:val="auto"/>
          <w:vertAlign w:val="superscript"/>
        </w:rPr>
        <w:t>i</w:t>
      </w:r>
      <w:r>
        <w:rPr>
          <w:rFonts w:ascii="Arial" w:cs="Arial" w:eastAsia="Arial" w:hAnsi="Arial"/>
          <w:sz w:val="21"/>
          <w:szCs w:val="21"/>
          <w:u w:val="single" w:color="auto"/>
          <w:color w:val="auto"/>
        </w:rPr>
        <w:t xml:space="preserve"> [First/Second] </w:t>
      </w:r>
      <w:r>
        <w:rPr>
          <w:rFonts w:ascii="Arial" w:cs="Arial" w:eastAsia="Arial" w:hAnsi="Arial"/>
          <w:sz w:val="27"/>
          <w:szCs w:val="27"/>
          <w:u w:val="single" w:color="auto"/>
          <w:color w:val="auto"/>
          <w:vertAlign w:val="superscript"/>
        </w:rPr>
        <w:t>ii</w:t>
      </w:r>
      <w:r>
        <w:rPr>
          <w:rFonts w:ascii="Arial" w:cs="Arial" w:eastAsia="Arial" w:hAnsi="Arial"/>
          <w:sz w:val="21"/>
          <w:szCs w:val="21"/>
          <w:u w:val="single" w:color="auto"/>
          <w:color w:val="auto"/>
        </w:rPr>
        <w:t xml:space="preserve"> Lien Collateral Documents </w:t>
      </w:r>
      <w:r>
        <w:rPr>
          <w:rFonts w:ascii="Arial" w:cs="Arial" w:eastAsia="Arial" w:hAnsi="Arial"/>
          <w:sz w:val="21"/>
          <w:szCs w:val="21"/>
          <w:color w:val="auto"/>
        </w:rPr>
        <w:t>” shall mean all “</w:t>
      </w:r>
      <w:r>
        <w:rPr>
          <w:rFonts w:ascii="Arial" w:cs="Arial" w:eastAsia="Arial" w:hAnsi="Arial"/>
          <w:sz w:val="21"/>
          <w:szCs w:val="21"/>
          <w:u w:val="single" w:color="auto"/>
          <w:color w:val="auto"/>
        </w:rPr>
        <w:t xml:space="preserve"> Collateral Documents </w:t>
      </w:r>
      <w:r>
        <w:rPr>
          <w:rFonts w:ascii="Arial" w:cs="Arial" w:eastAsia="Arial" w:hAnsi="Arial"/>
          <w:sz w:val="21"/>
          <w:szCs w:val="21"/>
          <w:color w:val="auto"/>
        </w:rPr>
        <w:t>” as defined in the [</w:t>
      </w:r>
      <w:r>
        <w:rPr>
          <w:sz w:val="20"/>
          <w:szCs w:val="20"/>
          <w:color w:val="auto"/>
        </w:rPr>
        <w:tab/>
      </w: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p>
    <w:p>
      <w:pPr>
        <w:jc w:val="both"/>
        <w:spacing w:after="0" w:line="211" w:lineRule="auto"/>
        <w:rPr>
          <w:sz w:val="20"/>
          <w:szCs w:val="20"/>
          <w:color w:val="auto"/>
        </w:rPr>
      </w:pPr>
      <w:r>
        <w:rPr>
          <w:rFonts w:ascii="Arial" w:cs="Arial" w:eastAsia="Arial" w:hAnsi="Arial"/>
          <w:sz w:val="22"/>
          <w:szCs w:val="22"/>
          <w:color w:val="auto"/>
        </w:rPr>
        <w:t xml:space="preserve">[First/Second]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and all other security agreements (including, without limitation, aircraft security agreements), mortgages, deeds of trust and other collateral documents executed and delivered in connection with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and any other agreement, document or instrument pursuant to which a Lien is granted securing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Obligations or under which rights or remedies with respect to such Liens are governed, in each case as the same may be amended, modified or supplemented from time to time.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vMerge w:val="restart"/>
          </w:tcPr>
          <w:p>
            <w:pPr>
              <w:ind w:left="660"/>
              <w:spacing w:after="0"/>
              <w:rPr>
                <w:sz w:val="20"/>
                <w:szCs w:val="20"/>
                <w:color w:val="auto"/>
              </w:rPr>
            </w:pPr>
            <w:r>
              <w:rPr>
                <w:rFonts w:ascii="Arial" w:cs="Arial" w:eastAsia="Arial" w:hAnsi="Arial"/>
                <w:sz w:val="22"/>
                <w:szCs w:val="22"/>
                <w:color w:val="auto"/>
              </w:rPr>
              <w:t>“ [</w:t>
            </w: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w:t>
            </w:r>
          </w:p>
        </w:tc>
        <w:tc>
          <w:tcPr>
            <w:tcW w:w="1300" w:type="dxa"/>
            <w:vAlign w:val="bottom"/>
            <w:vMerge w:val="restart"/>
          </w:tcPr>
          <w:p>
            <w:pPr>
              <w:spacing w:after="0"/>
              <w:rPr>
                <w:sz w:val="20"/>
                <w:szCs w:val="20"/>
                <w:color w:val="auto"/>
              </w:rPr>
            </w:pPr>
            <w:r>
              <w:rPr>
                <w:rFonts w:ascii="Arial" w:cs="Arial" w:eastAsia="Arial" w:hAnsi="Arial"/>
                <w:sz w:val="22"/>
                <w:szCs w:val="22"/>
                <w:color w:val="auto"/>
                <w:w w:val="94"/>
              </w:rPr>
              <w:t>[First/Second]</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ii</w:t>
            </w:r>
          </w:p>
        </w:tc>
        <w:tc>
          <w:tcPr>
            <w:tcW w:w="4020" w:type="dxa"/>
            <w:vAlign w:val="bottom"/>
            <w:gridSpan w:val="2"/>
            <w:vMerge w:val="restart"/>
          </w:tcPr>
          <w:p>
            <w:pPr>
              <w:spacing w:after="0"/>
              <w:rPr>
                <w:sz w:val="20"/>
                <w:szCs w:val="20"/>
                <w:color w:val="auto"/>
              </w:rPr>
            </w:pPr>
            <w:r>
              <w:rPr>
                <w:rFonts w:ascii="Arial" w:cs="Arial" w:eastAsia="Arial" w:hAnsi="Arial"/>
                <w:sz w:val="22"/>
                <w:szCs w:val="22"/>
                <w:color w:val="auto"/>
                <w:w w:val="98"/>
              </w:rPr>
              <w:t>Lien Credit Facility ” shall mean (a) if the [</w:t>
            </w:r>
          </w:p>
        </w:tc>
        <w:tc>
          <w:tcPr>
            <w:tcW w:w="4420" w:type="dxa"/>
            <w:vAlign w:val="bottom"/>
            <w:vMerge w:val="restart"/>
          </w:tcPr>
          <w:p>
            <w:pPr>
              <w:jc w:val="right"/>
              <w:spacing w:after="0"/>
              <w:rPr>
                <w:sz w:val="20"/>
                <w:szCs w:val="20"/>
                <w:color w:val="auto"/>
              </w:rPr>
            </w:pPr>
            <w:r>
              <w:rPr>
                <w:rFonts w:ascii="Arial" w:cs="Arial" w:eastAsia="Arial" w:hAnsi="Arial"/>
                <w:sz w:val="22"/>
                <w:szCs w:val="22"/>
                <w:color w:val="auto"/>
                <w:w w:val="96"/>
              </w:rPr>
              <w:t xml:space="preserve">] </w:t>
            </w:r>
            <w:r>
              <w:rPr>
                <w:rFonts w:ascii="Arial" w:cs="Arial" w:eastAsia="Arial" w:hAnsi="Arial"/>
                <w:sz w:val="28"/>
                <w:szCs w:val="28"/>
                <w:color w:val="auto"/>
                <w:w w:val="96"/>
                <w:vertAlign w:val="superscript"/>
              </w:rPr>
              <w:t>i</w:t>
            </w:r>
            <w:r>
              <w:rPr>
                <w:rFonts w:ascii="Arial" w:cs="Arial" w:eastAsia="Arial" w:hAnsi="Arial"/>
                <w:sz w:val="22"/>
                <w:szCs w:val="22"/>
                <w:color w:val="auto"/>
                <w:w w:val="96"/>
              </w:rPr>
              <w:t xml:space="preserve"> [First/Second]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Credit Facility is then in</w:t>
            </w:r>
          </w:p>
        </w:tc>
        <w:tc>
          <w:tcPr>
            <w:tcW w:w="0" w:type="dxa"/>
            <w:vAlign w:val="bottom"/>
          </w:tcPr>
          <w:p>
            <w:pPr>
              <w:spacing w:after="0"/>
              <w:rPr>
                <w:sz w:val="1"/>
                <w:szCs w:val="1"/>
                <w:color w:val="auto"/>
              </w:rPr>
            </w:pPr>
          </w:p>
        </w:tc>
      </w:tr>
      <w:tr>
        <w:trPr>
          <w:trHeight w:val="61"/>
        </w:trPr>
        <w:tc>
          <w:tcPr>
            <w:tcW w:w="11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20" w:type="dxa"/>
            <w:vAlign w:val="bottom"/>
            <w:gridSpan w:val="2"/>
            <w:vMerge w:val="continue"/>
          </w:tcPr>
          <w:p>
            <w:pPr>
              <w:spacing w:after="0"/>
              <w:rPr>
                <w:sz w:val="5"/>
                <w:szCs w:val="5"/>
                <w:color w:val="auto"/>
              </w:rPr>
            </w:pPr>
          </w:p>
        </w:tc>
        <w:tc>
          <w:tcPr>
            <w:tcW w:w="4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1140" w:type="dxa"/>
            <w:vAlign w:val="bottom"/>
            <w:gridSpan w:val="2"/>
          </w:tcPr>
          <w:p>
            <w:pPr>
              <w:spacing w:after="0"/>
              <w:rPr>
                <w:sz w:val="20"/>
                <w:szCs w:val="20"/>
                <w:color w:val="auto"/>
              </w:rPr>
            </w:pPr>
            <w:r>
              <w:rPr>
                <w:rFonts w:ascii="Arial" w:cs="Arial" w:eastAsia="Arial" w:hAnsi="Arial"/>
                <w:sz w:val="22"/>
                <w:szCs w:val="22"/>
                <w:color w:val="auto"/>
              </w:rPr>
              <w:t>effect, the [</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40" w:type="dxa"/>
            <w:vAlign w:val="bottom"/>
            <w:gridSpan w:val="5"/>
          </w:tcPr>
          <w:p>
            <w:pPr>
              <w:jc w:val="right"/>
              <w:spacing w:after="0" w:line="286"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28"/>
                <w:szCs w:val="28"/>
                <w:color w:val="auto"/>
                <w:w w:val="97"/>
                <w:vertAlign w:val="superscript"/>
              </w:rPr>
              <w:t>i</w:t>
            </w:r>
            <w:r>
              <w:rPr>
                <w:rFonts w:ascii="Arial" w:cs="Arial" w:eastAsia="Arial" w:hAnsi="Arial"/>
                <w:sz w:val="22"/>
                <w:szCs w:val="22"/>
                <w:color w:val="auto"/>
                <w:w w:val="97"/>
              </w:rPr>
              <w:t xml:space="preserve"> [First/Second] </w:t>
            </w:r>
            <w:r>
              <w:rPr>
                <w:rFonts w:ascii="Arial" w:cs="Arial" w:eastAsia="Arial" w:hAnsi="Arial"/>
                <w:sz w:val="28"/>
                <w:szCs w:val="28"/>
                <w:color w:val="auto"/>
                <w:w w:val="97"/>
                <w:vertAlign w:val="superscript"/>
              </w:rPr>
              <w:t>ii</w:t>
            </w:r>
            <w:r>
              <w:rPr>
                <w:rFonts w:ascii="Arial" w:cs="Arial" w:eastAsia="Arial" w:hAnsi="Arial"/>
                <w:sz w:val="22"/>
                <w:szCs w:val="22"/>
                <w:color w:val="auto"/>
                <w:w w:val="97"/>
              </w:rPr>
              <w:t xml:space="preserve"> Lien Credit Facility, and (b) thereafter, if designated by the Company, any other credit</w:t>
            </w:r>
          </w:p>
        </w:tc>
        <w:tc>
          <w:tcPr>
            <w:tcW w:w="0" w:type="dxa"/>
            <w:vAlign w:val="bottom"/>
          </w:tcPr>
          <w:p>
            <w:pPr>
              <w:spacing w:after="0"/>
              <w:rPr>
                <w:sz w:val="1"/>
                <w:szCs w:val="1"/>
                <w:color w:val="auto"/>
              </w:rPr>
            </w:pPr>
          </w:p>
        </w:tc>
      </w:tr>
    </w:tbl>
    <w:p>
      <w:pPr>
        <w:jc w:val="both"/>
        <w:spacing w:after="0" w:line="261" w:lineRule="auto"/>
        <w:rPr>
          <w:sz w:val="20"/>
          <w:szCs w:val="20"/>
          <w:color w:val="auto"/>
        </w:rPr>
      </w:pPr>
      <w:r>
        <w:rPr>
          <w:rFonts w:ascii="Arial" w:cs="Arial" w:eastAsia="Arial" w:hAnsi="Arial"/>
          <w:sz w:val="19"/>
          <w:szCs w:val="19"/>
          <w:color w:val="auto"/>
        </w:rPr>
        <w:t xml:space="preserve">agreement, loan agreement, note agreement, promissory note, indenture or other agreement or instrument evidencing or governing the terms of any indebtedness or other financial accommodation that complies with clause (a)(ii) of the definition of “Additional Indebtedness” and that has been incurred to refund, refinance, restructure, replace, renew, repay, increase or extend (whether in whole or in part and whether with the original agent and creditors or other agents and creditors or otherwise) the indebtedness and other obligations outstanding under (x)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Credit Facility or (y) any subsequent</w:t>
      </w:r>
    </w:p>
    <w:p>
      <w:pPr>
        <w:ind w:left="360" w:hanging="352"/>
        <w:spacing w:after="0" w:line="216" w:lineRule="auto"/>
        <w:tabs>
          <w:tab w:leader="none" w:pos="360" w:val="left"/>
        </w:tabs>
        <w:numPr>
          <w:ilvl w:val="0"/>
          <w:numId w:val="773"/>
        </w:numPr>
        <w:rPr>
          <w:rFonts w:ascii="Arial" w:cs="Arial" w:eastAsia="Arial" w:hAnsi="Arial"/>
          <w:sz w:val="19"/>
          <w:szCs w:val="19"/>
          <w:color w:val="auto"/>
        </w:rPr>
      </w:pPr>
      <w:r>
        <w:rPr>
          <w:rFonts w:ascii="Arial" w:cs="Arial" w:eastAsia="Arial" w:hAnsi="Arial"/>
          <w:sz w:val="19"/>
          <w:szCs w:val="19"/>
          <w:color w:val="auto"/>
        </w:rPr>
        <w:t xml:space="preserve">]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Credit Facility (in each case, as amended, restated, supplemented, waived or otherwise modified from</w:t>
      </w:r>
    </w:p>
    <w:p>
      <w:pPr>
        <w:jc w:val="both"/>
        <w:spacing w:after="0" w:line="212" w:lineRule="auto"/>
        <w:rPr>
          <w:sz w:val="20"/>
          <w:szCs w:val="20"/>
          <w:color w:val="auto"/>
        </w:rPr>
      </w:pPr>
      <w:r>
        <w:rPr>
          <w:rFonts w:ascii="Arial" w:cs="Arial" w:eastAsia="Arial" w:hAnsi="Arial"/>
          <w:sz w:val="22"/>
          <w:szCs w:val="22"/>
          <w:color w:val="auto"/>
        </w:rPr>
        <w:t xml:space="preserve">time to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requisite creditors party to such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(or their agent or other representative on their behalf) shall agree, by a joinder agreement substantially in the form of Exhibit C attached hereto or otherwise in form and substance reasonably satisfactory to any Senior Priority Agent (other than any Designated Agent) (or, if there is no continuing Senior Priority Agent other than any Designated Agent, as designated by the Company), that the obligations under such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are subject to the terms and provisions of this Agreement. Any reference to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shall be deemed a reference to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then in existence.</w:t>
      </w:r>
    </w:p>
    <w:p>
      <w:pPr>
        <w:spacing w:after="0" w:line="191"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 ]</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[First/Second]</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Lien Credit Facility Lenders</w:t>
      </w:r>
      <w:r>
        <w:rPr>
          <w:rFonts w:ascii="Arial" w:cs="Arial" w:eastAsia="Arial" w:hAnsi="Arial"/>
          <w:sz w:val="20"/>
          <w:szCs w:val="20"/>
          <w:color w:val="auto"/>
        </w:rPr>
        <w:t xml:space="preserve"> ” shall mean one or more holders of Indebtedness (or commitments therefor) that is or may be incurred under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Credit Facility, together with their successors, assigns</w:t>
      </w:r>
    </w:p>
    <w:tbl>
      <w:tblPr>
        <w:tblLayout w:type="fixed"/>
        <w:tblInd w:w="0" w:type="dxa"/>
        <w:tblCellMar>
          <w:top w:w="0" w:type="dxa"/>
          <w:left w:w="0" w:type="dxa"/>
          <w:bottom w:w="0" w:type="dxa"/>
          <w:right w:w="0" w:type="dxa"/>
        </w:tblCellMar>
      </w:tblPr>
      <w:tr>
        <w:trPr>
          <w:trHeight w:val="224"/>
        </w:trPr>
        <w:tc>
          <w:tcPr>
            <w:tcW w:w="10900" w:type="dxa"/>
            <w:vAlign w:val="bottom"/>
            <w:gridSpan w:val="7"/>
          </w:tcPr>
          <w:p>
            <w:pPr>
              <w:spacing w:after="0" w:line="225" w:lineRule="exact"/>
              <w:rPr>
                <w:sz w:val="20"/>
                <w:szCs w:val="20"/>
                <w:color w:val="auto"/>
              </w:rPr>
            </w:pPr>
            <w:r>
              <w:rPr>
                <w:rFonts w:ascii="Arial" w:cs="Arial" w:eastAsia="Arial" w:hAnsi="Arial"/>
                <w:sz w:val="20"/>
                <w:szCs w:val="20"/>
                <w:color w:val="auto"/>
              </w:rPr>
              <w:t xml:space="preserve">and transferees, as well as any Person designated as a[n] “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Credit Facility Lender ” under any [</w:t>
            </w:r>
          </w:p>
        </w:tc>
        <w:tc>
          <w:tcPr>
            <w:tcW w:w="340" w:type="dxa"/>
            <w:vAlign w:val="bottom"/>
          </w:tcPr>
          <w:p>
            <w:pPr>
              <w:ind w:left="160"/>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2"/>
                <w:szCs w:val="12"/>
                <w:color w:val="auto"/>
              </w:rPr>
              <w:t xml:space="preserve"> i</w:t>
            </w:r>
          </w:p>
        </w:tc>
      </w:tr>
      <w:tr>
        <w:trPr>
          <w:trHeight w:val="376"/>
        </w:trPr>
        <w:tc>
          <w:tcPr>
            <w:tcW w:w="5220" w:type="dxa"/>
            <w:vAlign w:val="bottom"/>
          </w:tcPr>
          <w:p>
            <w:pPr>
              <w:spacing w:after="0"/>
              <w:rPr>
                <w:sz w:val="20"/>
                <w:szCs w:val="20"/>
                <w:color w:val="auto"/>
              </w:rPr>
            </w:pPr>
            <w:r>
              <w:rPr>
                <w:rFonts w:ascii="Arial" w:cs="Arial" w:eastAsia="Arial" w:hAnsi="Arial"/>
                <w:sz w:val="22"/>
                <w:szCs w:val="22"/>
                <w:color w:val="auto"/>
              </w:rPr>
              <w:t xml:space="preserve">[First/Second]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w:t>
            </w:r>
          </w:p>
        </w:tc>
        <w:tc>
          <w:tcPr>
            <w:tcW w:w="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99"/>
        </w:trPr>
        <w:tc>
          <w:tcPr>
            <w:tcW w:w="6800" w:type="dxa"/>
            <w:vAlign w:val="bottom"/>
            <w:gridSpan w:val="4"/>
          </w:tcPr>
          <w:p>
            <w:pPr>
              <w:jc w:val="right"/>
              <w:ind w:right="1060"/>
              <w:spacing w:after="0"/>
              <w:rPr>
                <w:sz w:val="20"/>
                <w:szCs w:val="20"/>
                <w:color w:val="auto"/>
              </w:rPr>
            </w:pPr>
            <w:r>
              <w:rPr>
                <w:rFonts w:ascii="Arial" w:cs="Arial" w:eastAsia="Arial" w:hAnsi="Arial"/>
                <w:sz w:val="22"/>
                <w:szCs w:val="22"/>
                <w:color w:val="auto"/>
              </w:rPr>
              <w:t>22</w:t>
            </w: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92"/>
        </w:trPr>
        <w:tc>
          <w:tcPr>
            <w:tcW w:w="5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82" w:name="page583"/>
    <w:bookmarkEnd w:id="582"/>
    <w:tbl>
      <w:tblPr>
        <w:tblLayout w:type="fixed"/>
        <w:tblInd w:w="0" w:type="dxa"/>
        <w:tblCellMar>
          <w:top w:w="0" w:type="dxa"/>
          <w:left w:w="0" w:type="dxa"/>
          <w:bottom w:w="0" w:type="dxa"/>
          <w:right w:w="0" w:type="dxa"/>
        </w:tblCellMar>
      </w:tblPr>
      <w:tr>
        <w:trPr>
          <w:trHeight w:val="432"/>
        </w:trPr>
        <w:tc>
          <w:tcPr>
            <w:tcW w:w="1040" w:type="dxa"/>
            <w:vAlign w:val="bottom"/>
            <w:gridSpan w:val="2"/>
            <w:vMerge w:val="restart"/>
          </w:tcPr>
          <w:p>
            <w:pPr>
              <w:ind w:left="660"/>
              <w:spacing w:after="0"/>
              <w:rPr>
                <w:sz w:val="20"/>
                <w:szCs w:val="20"/>
                <w:color w:val="auto"/>
              </w:rPr>
            </w:pPr>
            <w:r>
              <w:rPr>
                <w:rFonts w:ascii="Arial" w:cs="Arial" w:eastAsia="Arial" w:hAnsi="Arial"/>
                <w:sz w:val="22"/>
                <w:szCs w:val="22"/>
                <w:color w:val="auto"/>
              </w:rPr>
              <w:t>“ [</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w:t>
            </w:r>
          </w:p>
        </w:tc>
        <w:tc>
          <w:tcPr>
            <w:tcW w:w="1300" w:type="dxa"/>
            <w:vAlign w:val="bottom"/>
            <w:vMerge w:val="restart"/>
          </w:tcPr>
          <w:p>
            <w:pPr>
              <w:spacing w:after="0"/>
              <w:rPr>
                <w:sz w:val="20"/>
                <w:szCs w:val="20"/>
                <w:color w:val="auto"/>
              </w:rPr>
            </w:pPr>
            <w:r>
              <w:rPr>
                <w:rFonts w:ascii="Arial" w:cs="Arial" w:eastAsia="Arial" w:hAnsi="Arial"/>
                <w:sz w:val="22"/>
                <w:szCs w:val="22"/>
                <w:color w:val="auto"/>
                <w:w w:val="94"/>
              </w:rPr>
              <w:t>[First/Second]</w:t>
            </w: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ii</w:t>
            </w:r>
          </w:p>
        </w:tc>
        <w:tc>
          <w:tcPr>
            <w:tcW w:w="1940" w:type="dxa"/>
            <w:vAlign w:val="bottom"/>
            <w:gridSpan w:val="2"/>
            <w:vMerge w:val="restart"/>
          </w:tcPr>
          <w:p>
            <w:pPr>
              <w:spacing w:after="0"/>
              <w:rPr>
                <w:sz w:val="20"/>
                <w:szCs w:val="20"/>
                <w:color w:val="auto"/>
              </w:rPr>
            </w:pPr>
            <w:r>
              <w:rPr>
                <w:rFonts w:ascii="Arial" w:cs="Arial" w:eastAsia="Arial" w:hAnsi="Arial"/>
                <w:sz w:val="22"/>
                <w:szCs w:val="22"/>
                <w:color w:val="auto"/>
                <w:w w:val="95"/>
              </w:rPr>
              <w:t>Lien Creditors ” shall</w:t>
            </w:r>
          </w:p>
        </w:tc>
        <w:tc>
          <w:tcPr>
            <w:tcW w:w="1080" w:type="dxa"/>
            <w:vAlign w:val="bottom"/>
            <w:vMerge w:val="restart"/>
          </w:tcPr>
          <w:p>
            <w:pPr>
              <w:ind w:left="40"/>
              <w:spacing w:after="0"/>
              <w:rPr>
                <w:sz w:val="20"/>
                <w:szCs w:val="20"/>
                <w:color w:val="auto"/>
              </w:rPr>
            </w:pPr>
            <w:r>
              <w:rPr>
                <w:rFonts w:ascii="Arial" w:cs="Arial" w:eastAsia="Arial" w:hAnsi="Arial"/>
                <w:sz w:val="22"/>
                <w:szCs w:val="22"/>
                <w:color w:val="auto"/>
              </w:rPr>
              <w:t>mean all [</w:t>
            </w:r>
          </w:p>
        </w:tc>
        <w:tc>
          <w:tcPr>
            <w:tcW w:w="4980" w:type="dxa"/>
            <w:vAlign w:val="bottom"/>
            <w:gridSpan w:val="2"/>
            <w:vMerge w:val="restart"/>
          </w:tcPr>
          <w:p>
            <w:pPr>
              <w:ind w:left="180"/>
              <w:spacing w:after="0"/>
              <w:rPr>
                <w:sz w:val="20"/>
                <w:szCs w:val="20"/>
                <w:color w:val="auto"/>
              </w:rPr>
            </w:pPr>
            <w:r>
              <w:rPr>
                <w:rFonts w:ascii="Arial" w:cs="Arial" w:eastAsia="Arial" w:hAnsi="Arial"/>
                <w:sz w:val="22"/>
                <w:szCs w:val="22"/>
                <w:color w:val="auto"/>
                <w:w w:val="97"/>
              </w:rPr>
              <w:t xml:space="preserve">] </w:t>
            </w:r>
            <w:r>
              <w:rPr>
                <w:rFonts w:ascii="Arial" w:cs="Arial" w:eastAsia="Arial" w:hAnsi="Arial"/>
                <w:sz w:val="28"/>
                <w:szCs w:val="28"/>
                <w:color w:val="auto"/>
                <w:w w:val="97"/>
                <w:vertAlign w:val="superscript"/>
              </w:rPr>
              <w:t>i</w:t>
            </w:r>
            <w:r>
              <w:rPr>
                <w:rFonts w:ascii="Arial" w:cs="Arial" w:eastAsia="Arial" w:hAnsi="Arial"/>
                <w:sz w:val="22"/>
                <w:szCs w:val="22"/>
                <w:color w:val="auto"/>
                <w:w w:val="97"/>
              </w:rPr>
              <w:t xml:space="preserve"> [First/Second] </w:t>
            </w:r>
            <w:r>
              <w:rPr>
                <w:rFonts w:ascii="Arial" w:cs="Arial" w:eastAsia="Arial" w:hAnsi="Arial"/>
                <w:sz w:val="28"/>
                <w:szCs w:val="28"/>
                <w:color w:val="auto"/>
                <w:w w:val="97"/>
                <w:vertAlign w:val="superscript"/>
              </w:rPr>
              <w:t>ii</w:t>
            </w:r>
            <w:r>
              <w:rPr>
                <w:rFonts w:ascii="Arial" w:cs="Arial" w:eastAsia="Arial" w:hAnsi="Arial"/>
                <w:sz w:val="22"/>
                <w:szCs w:val="22"/>
                <w:color w:val="auto"/>
                <w:w w:val="97"/>
              </w:rPr>
              <w:t xml:space="preserve"> Lien Credit Facility Lenders, all [</w:t>
            </w:r>
          </w:p>
        </w:tc>
        <w:tc>
          <w:tcPr>
            <w:tcW w:w="340" w:type="dxa"/>
            <w:vAlign w:val="bottom"/>
            <w:vMerge w:val="restart"/>
          </w:tcPr>
          <w:p>
            <w:pPr>
              <w:jc w:val="right"/>
              <w:spacing w:after="0"/>
              <w:rPr>
                <w:sz w:val="20"/>
                <w:szCs w:val="20"/>
                <w:color w:val="auto"/>
              </w:rPr>
            </w:pPr>
            <w:r>
              <w:rPr>
                <w:rFonts w:ascii="Arial" w:cs="Arial" w:eastAsia="Arial" w:hAnsi="Arial"/>
                <w:sz w:val="43"/>
                <w:szCs w:val="43"/>
                <w:color w:val="auto"/>
                <w:vertAlign w:val="subscript"/>
              </w:rPr>
              <w:t>]</w:t>
            </w:r>
            <w:r>
              <w:rPr>
                <w:rFonts w:ascii="Arial" w:cs="Arial" w:eastAsia="Arial" w:hAnsi="Arial"/>
                <w:sz w:val="14"/>
                <w:szCs w:val="14"/>
                <w:color w:val="auto"/>
              </w:rPr>
              <w:t xml:space="preserve"> i</w:t>
            </w:r>
          </w:p>
        </w:tc>
        <w:tc>
          <w:tcPr>
            <w:tcW w:w="0" w:type="dxa"/>
            <w:vAlign w:val="bottom"/>
          </w:tcPr>
          <w:p>
            <w:pPr>
              <w:spacing w:after="0"/>
              <w:rPr>
                <w:sz w:val="1"/>
                <w:szCs w:val="1"/>
                <w:color w:val="auto"/>
              </w:rPr>
            </w:pPr>
          </w:p>
        </w:tc>
      </w:tr>
      <w:tr>
        <w:trPr>
          <w:trHeight w:val="61"/>
        </w:trPr>
        <w:tc>
          <w:tcPr>
            <w:tcW w:w="104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gridSpan w:val="2"/>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498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820" w:type="dxa"/>
            <w:vAlign w:val="bottom"/>
            <w:gridSpan w:val="8"/>
          </w:tcPr>
          <w:p>
            <w:pPr>
              <w:spacing w:after="0" w:line="258" w:lineRule="exact"/>
              <w:rPr>
                <w:sz w:val="20"/>
                <w:szCs w:val="20"/>
                <w:color w:val="auto"/>
              </w:rPr>
            </w:pPr>
            <w:r>
              <w:rPr>
                <w:rFonts w:ascii="Arial" w:cs="Arial" w:eastAsia="Arial" w:hAnsi="Arial"/>
                <w:sz w:val="22"/>
                <w:szCs w:val="22"/>
                <w:color w:val="auto"/>
                <w:w w:val="92"/>
              </w:rPr>
              <w:t xml:space="preserve">[First/Second] </w:t>
            </w:r>
            <w:r>
              <w:rPr>
                <w:rFonts w:ascii="Arial" w:cs="Arial" w:eastAsia="Arial" w:hAnsi="Arial"/>
                <w:sz w:val="28"/>
                <w:szCs w:val="28"/>
                <w:color w:val="auto"/>
                <w:w w:val="92"/>
                <w:vertAlign w:val="superscript"/>
              </w:rPr>
              <w:t>ii</w:t>
            </w:r>
            <w:r>
              <w:rPr>
                <w:rFonts w:ascii="Arial" w:cs="Arial" w:eastAsia="Arial" w:hAnsi="Arial"/>
                <w:sz w:val="22"/>
                <w:szCs w:val="22"/>
                <w:color w:val="auto"/>
                <w:w w:val="92"/>
              </w:rPr>
              <w:t xml:space="preserve"> Lien Bank Products Affiliates and all [</w:t>
            </w:r>
          </w:p>
        </w:tc>
        <w:tc>
          <w:tcPr>
            <w:tcW w:w="6400" w:type="dxa"/>
            <w:vAlign w:val="bottom"/>
            <w:gridSpan w:val="4"/>
          </w:tcPr>
          <w:p>
            <w:pPr>
              <w:jc w:val="right"/>
              <w:spacing w:after="0" w:line="258" w:lineRule="exact"/>
              <w:rPr>
                <w:sz w:val="20"/>
                <w:szCs w:val="20"/>
                <w:color w:val="auto"/>
              </w:rPr>
            </w:pPr>
            <w:r>
              <w:rPr>
                <w:rFonts w:ascii="Arial" w:cs="Arial" w:eastAsia="Arial" w:hAnsi="Arial"/>
                <w:sz w:val="22"/>
                <w:szCs w:val="22"/>
                <w:color w:val="auto"/>
                <w:w w:val="93"/>
              </w:rPr>
              <w:t xml:space="preserve">] </w:t>
            </w:r>
            <w:r>
              <w:rPr>
                <w:rFonts w:ascii="Arial" w:cs="Arial" w:eastAsia="Arial" w:hAnsi="Arial"/>
                <w:sz w:val="28"/>
                <w:szCs w:val="28"/>
                <w:color w:val="auto"/>
                <w:w w:val="93"/>
                <w:vertAlign w:val="superscript"/>
              </w:rPr>
              <w:t>i</w:t>
            </w:r>
            <w:r>
              <w:rPr>
                <w:rFonts w:ascii="Arial" w:cs="Arial" w:eastAsia="Arial" w:hAnsi="Arial"/>
                <w:sz w:val="22"/>
                <w:szCs w:val="22"/>
                <w:color w:val="auto"/>
                <w:w w:val="93"/>
              </w:rPr>
              <w:t xml:space="preserve"> [First/Second] </w:t>
            </w:r>
            <w:r>
              <w:rPr>
                <w:rFonts w:ascii="Arial" w:cs="Arial" w:eastAsia="Arial" w:hAnsi="Arial"/>
                <w:sz w:val="28"/>
                <w:szCs w:val="28"/>
                <w:color w:val="auto"/>
                <w:w w:val="93"/>
                <w:vertAlign w:val="superscript"/>
              </w:rPr>
              <w:t>ii</w:t>
            </w:r>
            <w:r>
              <w:rPr>
                <w:rFonts w:ascii="Arial" w:cs="Arial" w:eastAsia="Arial" w:hAnsi="Arial"/>
                <w:sz w:val="22"/>
                <w:szCs w:val="22"/>
                <w:color w:val="auto"/>
                <w:w w:val="93"/>
              </w:rPr>
              <w:t xml:space="preserve"> Lien Hedging Affiliates, and all successors, assigns,</w:t>
            </w:r>
          </w:p>
        </w:tc>
        <w:tc>
          <w:tcPr>
            <w:tcW w:w="0" w:type="dxa"/>
            <w:vAlign w:val="bottom"/>
          </w:tcPr>
          <w:p>
            <w:pPr>
              <w:spacing w:after="0"/>
              <w:rPr>
                <w:sz w:val="1"/>
                <w:szCs w:val="1"/>
                <w:color w:val="auto"/>
              </w:rPr>
            </w:pPr>
          </w:p>
        </w:tc>
      </w:tr>
      <w:tr>
        <w:trPr>
          <w:trHeight w:val="268"/>
        </w:trPr>
        <w:tc>
          <w:tcPr>
            <w:tcW w:w="7220" w:type="dxa"/>
            <w:vAlign w:val="bottom"/>
            <w:gridSpan w:val="10"/>
          </w:tcPr>
          <w:p>
            <w:pPr>
              <w:spacing w:after="0"/>
              <w:rPr>
                <w:sz w:val="20"/>
                <w:szCs w:val="20"/>
                <w:color w:val="auto"/>
              </w:rPr>
            </w:pPr>
            <w:r>
              <w:rPr>
                <w:rFonts w:ascii="Arial" w:cs="Arial" w:eastAsia="Arial" w:hAnsi="Arial"/>
                <w:sz w:val="22"/>
                <w:szCs w:val="22"/>
                <w:color w:val="auto"/>
                <w:w w:val="90"/>
              </w:rPr>
              <w:t>transferees and replacements thereof, as well as any Person designated as a[n] “[</w:t>
            </w:r>
          </w:p>
        </w:tc>
        <w:tc>
          <w:tcPr>
            <w:tcW w:w="4000" w:type="dxa"/>
            <w:vAlign w:val="bottom"/>
            <w:gridSpan w:val="2"/>
          </w:tcPr>
          <w:p>
            <w:pPr>
              <w:jc w:val="right"/>
              <w:spacing w:after="0" w:line="269" w:lineRule="exact"/>
              <w:rPr>
                <w:sz w:val="20"/>
                <w:szCs w:val="20"/>
                <w:color w:val="auto"/>
              </w:rPr>
            </w:pPr>
            <w:r>
              <w:rPr>
                <w:rFonts w:ascii="Arial" w:cs="Arial" w:eastAsia="Arial" w:hAnsi="Arial"/>
                <w:sz w:val="22"/>
                <w:szCs w:val="22"/>
                <w:color w:val="auto"/>
                <w:w w:val="95"/>
              </w:rPr>
              <w:t xml:space="preserve">] </w:t>
            </w:r>
            <w:r>
              <w:rPr>
                <w:rFonts w:ascii="Arial" w:cs="Arial" w:eastAsia="Arial" w:hAnsi="Arial"/>
                <w:sz w:val="28"/>
                <w:szCs w:val="28"/>
                <w:color w:val="auto"/>
                <w:w w:val="95"/>
                <w:vertAlign w:val="superscript"/>
              </w:rPr>
              <w:t>i</w:t>
            </w:r>
            <w:r>
              <w:rPr>
                <w:rFonts w:ascii="Arial" w:cs="Arial" w:eastAsia="Arial" w:hAnsi="Arial"/>
                <w:sz w:val="22"/>
                <w:szCs w:val="22"/>
                <w:color w:val="auto"/>
                <w:w w:val="95"/>
              </w:rPr>
              <w:t xml:space="preserve"> [First/Second] </w:t>
            </w:r>
            <w:r>
              <w:rPr>
                <w:rFonts w:ascii="Arial" w:cs="Arial" w:eastAsia="Arial" w:hAnsi="Arial"/>
                <w:sz w:val="28"/>
                <w:szCs w:val="28"/>
                <w:color w:val="auto"/>
                <w:w w:val="95"/>
                <w:vertAlign w:val="superscript"/>
              </w:rPr>
              <w:t>ii</w:t>
            </w:r>
            <w:r>
              <w:rPr>
                <w:rFonts w:ascii="Arial" w:cs="Arial" w:eastAsia="Arial" w:hAnsi="Arial"/>
                <w:sz w:val="22"/>
                <w:szCs w:val="22"/>
                <w:color w:val="auto"/>
                <w:w w:val="95"/>
              </w:rPr>
              <w:t xml:space="preserve"> Lien Creditor” under any</w:t>
            </w:r>
          </w:p>
        </w:tc>
        <w:tc>
          <w:tcPr>
            <w:tcW w:w="0" w:type="dxa"/>
            <w:vAlign w:val="bottom"/>
          </w:tcPr>
          <w:p>
            <w:pPr>
              <w:spacing w:after="0"/>
              <w:rPr>
                <w:sz w:val="1"/>
                <w:szCs w:val="1"/>
                <w:color w:val="auto"/>
              </w:rPr>
            </w:pPr>
          </w:p>
        </w:tc>
      </w:tr>
    </w:tbl>
    <w:p>
      <w:pPr>
        <w:ind w:left="360" w:hanging="352"/>
        <w:spacing w:after="0"/>
        <w:tabs>
          <w:tab w:leader="none" w:pos="360" w:val="left"/>
        </w:tabs>
        <w:numPr>
          <w:ilvl w:val="0"/>
          <w:numId w:val="775"/>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w:t>
      </w:r>
    </w:p>
    <w:p>
      <w:pPr>
        <w:spacing w:after="0" w:line="85" w:lineRule="exact"/>
        <w:rPr>
          <w:sz w:val="20"/>
          <w:szCs w:val="20"/>
          <w:color w:val="auto"/>
        </w:rPr>
      </w:pPr>
    </w:p>
    <w:p>
      <w:pPr>
        <w:ind w:left="660"/>
        <w:spacing w:after="0"/>
        <w:tabs>
          <w:tab w:leader="none" w:pos="1280" w:val="left"/>
          <w:tab w:leader="none" w:pos="6580" w:val="left"/>
          <w:tab w:leader="none" w:pos="11020" w:val="left"/>
        </w:tabs>
        <w:rPr>
          <w:sz w:val="20"/>
          <w:szCs w:val="20"/>
          <w:color w:val="auto"/>
        </w:rPr>
      </w:pPr>
      <w:r>
        <w:rPr>
          <w:rFonts w:ascii="Arial" w:cs="Arial" w:eastAsia="Arial" w:hAnsi="Arial"/>
          <w:sz w:val="22"/>
          <w:szCs w:val="22"/>
          <w:color w:val="auto"/>
        </w:rPr>
        <w:t>“ [</w:t>
      </w:r>
      <w:r>
        <w:rPr>
          <w:sz w:val="20"/>
          <w:szCs w:val="20"/>
          <w:color w:val="auto"/>
        </w:rPr>
        <w:tab/>
      </w:r>
      <w:r>
        <w:rPr>
          <w:rFonts w:ascii="Arial" w:cs="Arial" w:eastAsia="Arial" w:hAnsi="Arial"/>
          <w:sz w:val="22"/>
          <w:szCs w:val="22"/>
          <w:color w:val="auto"/>
        </w:rPr>
        <w:t xml:space="preserve">] </w:t>
      </w:r>
      <w:r>
        <w:rPr>
          <w:rFonts w:ascii="Arial" w:cs="Arial" w:eastAsia="Arial" w:hAnsi="Arial"/>
          <w:sz w:val="28"/>
          <w:szCs w:val="28"/>
          <w:u w:val="single" w:color="auto"/>
          <w:color w:val="auto"/>
          <w:vertAlign w:val="superscript"/>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[First/Second]</w:t>
      </w:r>
      <w:r>
        <w:rPr>
          <w:rFonts w:ascii="Arial" w:cs="Arial" w:eastAsia="Arial" w:hAnsi="Arial"/>
          <w:sz w:val="22"/>
          <w:szCs w:val="22"/>
          <w:color w:val="auto"/>
        </w:rPr>
        <w:t xml:space="preserve"> </w:t>
      </w:r>
      <w:r>
        <w:rPr>
          <w:rFonts w:ascii="Arial" w:cs="Arial" w:eastAsia="Arial" w:hAnsi="Arial"/>
          <w:sz w:val="28"/>
          <w:szCs w:val="28"/>
          <w:u w:val="single" w:color="auto"/>
          <w:color w:val="auto"/>
          <w:vertAlign w:val="superscript"/>
        </w:rPr>
        <w:t>ii</w:t>
      </w:r>
      <w:r>
        <w:rPr>
          <w:rFonts w:ascii="Arial" w:cs="Arial" w:eastAsia="Arial" w:hAnsi="Arial"/>
          <w:sz w:val="22"/>
          <w:szCs w:val="22"/>
          <w:color w:val="auto"/>
        </w:rPr>
        <w:t xml:space="preserve"> </w:t>
      </w:r>
      <w:r>
        <w:rPr>
          <w:rFonts w:ascii="Arial" w:cs="Arial" w:eastAsia="Arial" w:hAnsi="Arial"/>
          <w:sz w:val="22"/>
          <w:szCs w:val="22"/>
          <w:u w:val="single" w:color="auto"/>
          <w:color w:val="auto"/>
        </w:rPr>
        <w:t>Lien Documents</w:t>
      </w:r>
      <w:r>
        <w:rPr>
          <w:rFonts w:ascii="Arial" w:cs="Arial" w:eastAsia="Arial" w:hAnsi="Arial"/>
          <w:sz w:val="22"/>
          <w:szCs w:val="22"/>
          <w:color w:val="auto"/>
        </w:rPr>
        <w:t xml:space="preserve"> ” shall mean the [</w:t>
      </w:r>
      <w:r>
        <w:rPr>
          <w:sz w:val="20"/>
          <w:szCs w:val="20"/>
          <w:color w:val="auto"/>
        </w:rPr>
        <w:tab/>
      </w: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the [</w:t>
      </w:r>
      <w:r>
        <w:rPr>
          <w:sz w:val="20"/>
          <w:szCs w:val="20"/>
          <w:color w:val="auto"/>
        </w:rPr>
        <w:tab/>
      </w: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-20955</wp:posOffset>
            </wp:positionV>
            <wp:extent cx="40005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214" w:lineRule="auto"/>
        <w:tabs>
          <w:tab w:leader="none" w:pos="3600" w:val="left"/>
        </w:tabs>
        <w:rPr>
          <w:sz w:val="20"/>
          <w:szCs w:val="20"/>
          <w:color w:val="auto"/>
        </w:rPr>
      </w:pPr>
      <w:r>
        <w:rPr>
          <w:rFonts w:ascii="Arial" w:cs="Arial" w:eastAsia="Arial" w:hAnsi="Arial"/>
          <w:sz w:val="22"/>
          <w:szCs w:val="22"/>
          <w:color w:val="auto"/>
        </w:rPr>
        <w:t xml:space="preserve">[First/Second]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Guarantees, the [</w:t>
      </w:r>
      <w:r>
        <w:rPr>
          <w:sz w:val="20"/>
          <w:szCs w:val="20"/>
          <w:color w:val="auto"/>
        </w:rPr>
        <w:tab/>
      </w:r>
      <w:r>
        <w:rPr>
          <w:rFonts w:ascii="Arial" w:cs="Arial" w:eastAsia="Arial" w:hAnsi="Arial"/>
          <w:sz w:val="19"/>
          <w:szCs w:val="19"/>
          <w:color w:val="auto"/>
        </w:rPr>
        <w:t xml:space="preserve">]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Collateral Documents, any Bank Products Agreements between</w:t>
      </w:r>
    </w:p>
    <w:p>
      <w:pPr>
        <w:jc w:val="both"/>
        <w:spacing w:after="0" w:line="267" w:lineRule="auto"/>
        <w:rPr>
          <w:sz w:val="20"/>
          <w:szCs w:val="20"/>
          <w:color w:val="auto"/>
        </w:rPr>
      </w:pPr>
      <w:r>
        <w:rPr>
          <w:rFonts w:ascii="Arial" w:cs="Arial" w:eastAsia="Arial" w:hAnsi="Arial"/>
          <w:sz w:val="20"/>
          <w:szCs w:val="20"/>
          <w:color w:val="auto"/>
        </w:rPr>
        <w:t xml:space="preserve">any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Loan Party and any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Bank Products Affiliate, any Hedging Agreements between any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Loan Party and any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Hedging Affiliate, those</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 xml:space="preserve">other ancillary agreements as to which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or any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Secured Party is a party or a beneficiary and all other agreements, instruments, documents and certificates, now or hereafter executed by or on behalf of any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Loan Party or any of its respective Subsidiaries or Affiliates, and delivered to the [ ] </w:t>
      </w:r>
      <w:r>
        <w:rPr>
          <w:rFonts w:ascii="Arial" w:cs="Arial" w:eastAsia="Arial" w:hAnsi="Arial"/>
          <w:sz w:val="26"/>
          <w:szCs w:val="26"/>
          <w:color w:val="auto"/>
          <w:vertAlign w:val="superscript"/>
        </w:rPr>
        <w:t>i</w:t>
      </w:r>
    </w:p>
    <w:tbl>
      <w:tblPr>
        <w:tblLayout w:type="fixed"/>
        <w:tblInd w:w="0" w:type="dxa"/>
        <w:tblCellMar>
          <w:top w:w="0" w:type="dxa"/>
          <w:left w:w="0" w:type="dxa"/>
          <w:bottom w:w="0" w:type="dxa"/>
          <w:right w:w="0" w:type="dxa"/>
        </w:tblCellMar>
      </w:tblPr>
      <w:tr>
        <w:trPr>
          <w:trHeight w:val="255"/>
        </w:trPr>
        <w:tc>
          <w:tcPr>
            <w:tcW w:w="7080" w:type="dxa"/>
            <w:vAlign w:val="bottom"/>
            <w:gridSpan w:val="8"/>
          </w:tcPr>
          <w:p>
            <w:pPr>
              <w:spacing w:after="0" w:line="255" w:lineRule="exact"/>
              <w:rPr>
                <w:sz w:val="20"/>
                <w:szCs w:val="20"/>
                <w:color w:val="auto"/>
              </w:rPr>
            </w:pPr>
            <w:r>
              <w:rPr>
                <w:rFonts w:ascii="Arial" w:cs="Arial" w:eastAsia="Arial" w:hAnsi="Arial"/>
                <w:sz w:val="22"/>
                <w:szCs w:val="22"/>
                <w:color w:val="auto"/>
                <w:w w:val="96"/>
              </w:rPr>
              <w:t xml:space="preserve">[First/Second]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Agent, in connection with any of the foregoing or any [</w:t>
            </w:r>
          </w:p>
        </w:tc>
        <w:tc>
          <w:tcPr>
            <w:tcW w:w="4160" w:type="dxa"/>
            <w:vAlign w:val="bottom"/>
            <w:gridSpan w:val="2"/>
          </w:tcPr>
          <w:p>
            <w:pPr>
              <w:jc w:val="right"/>
              <w:spacing w:after="0" w:line="255" w:lineRule="exact"/>
              <w:rPr>
                <w:sz w:val="20"/>
                <w:szCs w:val="20"/>
                <w:color w:val="auto"/>
              </w:rPr>
            </w:pPr>
            <w:r>
              <w:rPr>
                <w:rFonts w:ascii="Arial" w:cs="Arial" w:eastAsia="Arial" w:hAnsi="Arial"/>
                <w:sz w:val="22"/>
                <w:szCs w:val="22"/>
                <w:color w:val="auto"/>
                <w:w w:val="93"/>
              </w:rPr>
              <w:t xml:space="preserve">] </w:t>
            </w:r>
            <w:r>
              <w:rPr>
                <w:rFonts w:ascii="Arial" w:cs="Arial" w:eastAsia="Arial" w:hAnsi="Arial"/>
                <w:sz w:val="28"/>
                <w:szCs w:val="28"/>
                <w:color w:val="auto"/>
                <w:w w:val="93"/>
                <w:vertAlign w:val="superscript"/>
              </w:rPr>
              <w:t>i</w:t>
            </w:r>
            <w:r>
              <w:rPr>
                <w:rFonts w:ascii="Arial" w:cs="Arial" w:eastAsia="Arial" w:hAnsi="Arial"/>
                <w:sz w:val="22"/>
                <w:szCs w:val="22"/>
                <w:color w:val="auto"/>
                <w:w w:val="93"/>
              </w:rPr>
              <w:t xml:space="preserve"> [First/Second] </w:t>
            </w:r>
            <w:r>
              <w:rPr>
                <w:rFonts w:ascii="Arial" w:cs="Arial" w:eastAsia="Arial" w:hAnsi="Arial"/>
                <w:sz w:val="28"/>
                <w:szCs w:val="28"/>
                <w:color w:val="auto"/>
                <w:w w:val="93"/>
                <w:vertAlign w:val="superscript"/>
              </w:rPr>
              <w:t>ii</w:t>
            </w:r>
            <w:r>
              <w:rPr>
                <w:rFonts w:ascii="Arial" w:cs="Arial" w:eastAsia="Arial" w:hAnsi="Arial"/>
                <w:sz w:val="22"/>
                <w:szCs w:val="22"/>
                <w:color w:val="auto"/>
                <w:w w:val="93"/>
              </w:rPr>
              <w:t xml:space="preserve"> Lien Credit Facility, in each</w:t>
            </w:r>
          </w:p>
        </w:tc>
        <w:tc>
          <w:tcPr>
            <w:tcW w:w="0" w:type="dxa"/>
            <w:vAlign w:val="bottom"/>
          </w:tcPr>
          <w:p>
            <w:pPr>
              <w:spacing w:after="0"/>
              <w:rPr>
                <w:sz w:val="1"/>
                <w:szCs w:val="1"/>
                <w:color w:val="auto"/>
              </w:rPr>
            </w:pPr>
          </w:p>
        </w:tc>
      </w:tr>
      <w:tr>
        <w:trPr>
          <w:trHeight w:val="274"/>
        </w:trPr>
        <w:tc>
          <w:tcPr>
            <w:tcW w:w="11240" w:type="dxa"/>
            <w:vAlign w:val="bottom"/>
            <w:gridSpan w:val="10"/>
          </w:tcPr>
          <w:p>
            <w:pPr>
              <w:spacing w:after="0"/>
              <w:rPr>
                <w:sz w:val="20"/>
                <w:szCs w:val="20"/>
                <w:color w:val="auto"/>
              </w:rPr>
            </w:pPr>
            <w:r>
              <w:rPr>
                <w:rFonts w:ascii="Arial" w:cs="Arial" w:eastAsia="Arial" w:hAnsi="Arial"/>
                <w:sz w:val="22"/>
                <w:szCs w:val="22"/>
                <w:color w:val="auto"/>
              </w:rPr>
              <w:t>case as the same may be amended, supplemented, waived or otherwise modified from time to time.</w:t>
            </w:r>
          </w:p>
        </w:tc>
        <w:tc>
          <w:tcPr>
            <w:tcW w:w="0" w:type="dxa"/>
            <w:vAlign w:val="bottom"/>
          </w:tcPr>
          <w:p>
            <w:pPr>
              <w:spacing w:after="0"/>
              <w:rPr>
                <w:sz w:val="1"/>
                <w:szCs w:val="1"/>
                <w:color w:val="auto"/>
              </w:rPr>
            </w:pPr>
          </w:p>
        </w:tc>
      </w:tr>
      <w:tr>
        <w:trPr>
          <w:trHeight w:val="341"/>
        </w:trPr>
        <w:tc>
          <w:tcPr>
            <w:tcW w:w="1080" w:type="dxa"/>
            <w:vAlign w:val="bottom"/>
            <w:gridSpan w:val="2"/>
            <w:vMerge w:val="restart"/>
          </w:tcPr>
          <w:p>
            <w:pPr>
              <w:ind w:left="660"/>
              <w:spacing w:after="0"/>
              <w:rPr>
                <w:sz w:val="20"/>
                <w:szCs w:val="20"/>
                <w:color w:val="auto"/>
              </w:rPr>
            </w:pPr>
            <w:r>
              <w:rPr>
                <w:rFonts w:ascii="Arial" w:cs="Arial" w:eastAsia="Arial" w:hAnsi="Arial"/>
                <w:sz w:val="22"/>
                <w:szCs w:val="22"/>
                <w:color w:val="auto"/>
              </w:rPr>
              <w:t>“ [</w:t>
            </w:r>
          </w:p>
        </w:tc>
        <w:tc>
          <w:tcPr>
            <w:tcW w:w="34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w:t>
            </w:r>
          </w:p>
        </w:tc>
        <w:tc>
          <w:tcPr>
            <w:tcW w:w="1300" w:type="dxa"/>
            <w:vAlign w:val="bottom"/>
            <w:vMerge w:val="restart"/>
          </w:tcPr>
          <w:p>
            <w:pPr>
              <w:spacing w:after="0"/>
              <w:rPr>
                <w:sz w:val="20"/>
                <w:szCs w:val="20"/>
                <w:color w:val="auto"/>
              </w:rPr>
            </w:pPr>
            <w:r>
              <w:rPr>
                <w:rFonts w:ascii="Arial" w:cs="Arial" w:eastAsia="Arial" w:hAnsi="Arial"/>
                <w:sz w:val="22"/>
                <w:szCs w:val="22"/>
                <w:color w:val="auto"/>
                <w:w w:val="94"/>
              </w:rPr>
              <w:t>[First/Second]</w:t>
            </w: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ii</w:t>
            </w:r>
          </w:p>
        </w:tc>
        <w:tc>
          <w:tcPr>
            <w:tcW w:w="4940" w:type="dxa"/>
            <w:vAlign w:val="bottom"/>
            <w:gridSpan w:val="3"/>
            <w:vMerge w:val="restart"/>
          </w:tcPr>
          <w:p>
            <w:pPr>
              <w:spacing w:after="0"/>
              <w:rPr>
                <w:sz w:val="20"/>
                <w:szCs w:val="20"/>
                <w:color w:val="auto"/>
              </w:rPr>
            </w:pPr>
            <w:r>
              <w:rPr>
                <w:rFonts w:ascii="Arial" w:cs="Arial" w:eastAsia="Arial" w:hAnsi="Arial"/>
                <w:sz w:val="22"/>
                <w:szCs w:val="22"/>
                <w:color w:val="auto"/>
                <w:w w:val="95"/>
              </w:rPr>
              <w:t>Lien Guarantees ” shall mean the guarantees of the [</w:t>
            </w:r>
          </w:p>
        </w:tc>
        <w:tc>
          <w:tcPr>
            <w:tcW w:w="3360" w:type="dxa"/>
            <w:vAlign w:val="bottom"/>
            <w:vMerge w:val="restart"/>
          </w:tcPr>
          <w:p>
            <w:pPr>
              <w:jc w:val="right"/>
              <w:spacing w:after="0"/>
              <w:rPr>
                <w:sz w:val="20"/>
                <w:szCs w:val="20"/>
                <w:color w:val="auto"/>
              </w:rPr>
            </w:pPr>
            <w:r>
              <w:rPr>
                <w:rFonts w:ascii="Arial" w:cs="Arial" w:eastAsia="Arial" w:hAnsi="Arial"/>
                <w:sz w:val="22"/>
                <w:szCs w:val="22"/>
                <w:color w:val="auto"/>
                <w:w w:val="99"/>
              </w:rPr>
              <w:t xml:space="preserve">] </w:t>
            </w:r>
            <w:r>
              <w:rPr>
                <w:rFonts w:ascii="Arial" w:cs="Arial" w:eastAsia="Arial" w:hAnsi="Arial"/>
                <w:sz w:val="28"/>
                <w:szCs w:val="28"/>
                <w:color w:val="auto"/>
                <w:w w:val="99"/>
                <w:vertAlign w:val="superscript"/>
              </w:rPr>
              <w:t>i</w:t>
            </w:r>
            <w:r>
              <w:rPr>
                <w:rFonts w:ascii="Arial" w:cs="Arial" w:eastAsia="Arial" w:hAnsi="Arial"/>
                <w:sz w:val="22"/>
                <w:szCs w:val="22"/>
                <w:color w:val="auto"/>
                <w:w w:val="99"/>
              </w:rPr>
              <w:t xml:space="preserve"> [First/Second] </w:t>
            </w:r>
            <w:r>
              <w:rPr>
                <w:rFonts w:ascii="Arial" w:cs="Arial" w:eastAsia="Arial" w:hAnsi="Arial"/>
                <w:sz w:val="28"/>
                <w:szCs w:val="28"/>
                <w:color w:val="auto"/>
                <w:w w:val="99"/>
                <w:vertAlign w:val="superscript"/>
              </w:rPr>
              <w:t>ii</w:t>
            </w:r>
            <w:r>
              <w:rPr>
                <w:rFonts w:ascii="Arial" w:cs="Arial" w:eastAsia="Arial" w:hAnsi="Arial"/>
                <w:sz w:val="22"/>
                <w:szCs w:val="22"/>
                <w:color w:val="auto"/>
                <w:w w:val="99"/>
              </w:rPr>
              <w:t xml:space="preserve"> Lien Guarantors</w:t>
            </w:r>
          </w:p>
        </w:tc>
        <w:tc>
          <w:tcPr>
            <w:tcW w:w="0" w:type="dxa"/>
            <w:vAlign w:val="bottom"/>
          </w:tcPr>
          <w:p>
            <w:pPr>
              <w:spacing w:after="0"/>
              <w:rPr>
                <w:sz w:val="1"/>
                <w:szCs w:val="1"/>
                <w:color w:val="auto"/>
              </w:rPr>
            </w:pPr>
          </w:p>
        </w:tc>
      </w:tr>
      <w:tr>
        <w:trPr>
          <w:trHeight w:val="61"/>
        </w:trPr>
        <w:tc>
          <w:tcPr>
            <w:tcW w:w="108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940" w:type="dxa"/>
            <w:vAlign w:val="bottom"/>
            <w:gridSpan w:val="3"/>
            <w:vMerge w:val="continue"/>
          </w:tcPr>
          <w:p>
            <w:pPr>
              <w:spacing w:after="0"/>
              <w:rPr>
                <w:sz w:val="5"/>
                <w:szCs w:val="5"/>
                <w:color w:val="auto"/>
              </w:rPr>
            </w:pPr>
          </w:p>
        </w:tc>
        <w:tc>
          <w:tcPr>
            <w:tcW w:w="3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160" w:type="dxa"/>
            <w:vAlign w:val="bottom"/>
            <w:gridSpan w:val="2"/>
            <w:vMerge w:val="restart"/>
          </w:tcPr>
          <w:p>
            <w:pPr>
              <w:jc w:val="right"/>
              <w:spacing w:after="0" w:line="290" w:lineRule="exact"/>
              <w:rPr>
                <w:sz w:val="20"/>
                <w:szCs w:val="20"/>
                <w:color w:val="auto"/>
              </w:rPr>
            </w:pPr>
            <w:r>
              <w:rPr>
                <w:rFonts w:ascii="Arial" w:cs="Arial" w:eastAsia="Arial" w:hAnsi="Arial"/>
                <w:sz w:val="22"/>
                <w:szCs w:val="22"/>
                <w:color w:val="auto"/>
                <w:w w:val="99"/>
              </w:rPr>
              <w:t xml:space="preserve">] </w:t>
            </w:r>
            <w:r>
              <w:rPr>
                <w:rFonts w:ascii="Arial" w:cs="Arial" w:eastAsia="Arial" w:hAnsi="Arial"/>
                <w:sz w:val="28"/>
                <w:szCs w:val="28"/>
                <w:color w:val="auto"/>
                <w:w w:val="99"/>
                <w:vertAlign w:val="superscript"/>
              </w:rPr>
              <w:t>i</w:t>
            </w:r>
            <w:r>
              <w:rPr>
                <w:rFonts w:ascii="Arial" w:cs="Arial" w:eastAsia="Arial" w:hAnsi="Arial"/>
                <w:sz w:val="22"/>
                <w:szCs w:val="22"/>
                <w:color w:val="auto"/>
                <w:w w:val="99"/>
              </w:rPr>
              <w:t xml:space="preserve"> [First/Second] </w:t>
            </w:r>
            <w:r>
              <w:rPr>
                <w:rFonts w:ascii="Arial" w:cs="Arial" w:eastAsia="Arial" w:hAnsi="Arial"/>
                <w:sz w:val="28"/>
                <w:szCs w:val="28"/>
                <w:color w:val="auto"/>
                <w:w w:val="99"/>
                <w:vertAlign w:val="superscript"/>
              </w:rPr>
              <w:t>ii</w:t>
            </w:r>
            <w:r>
              <w:rPr>
                <w:rFonts w:ascii="Arial" w:cs="Arial" w:eastAsia="Arial" w:hAnsi="Arial"/>
                <w:sz w:val="22"/>
                <w:szCs w:val="22"/>
                <w:color w:val="auto"/>
                <w:w w:val="99"/>
              </w:rPr>
              <w:t xml:space="preserve"> Lien Credit Facility), and</w:t>
            </w:r>
          </w:p>
        </w:tc>
        <w:tc>
          <w:tcPr>
            <w:tcW w:w="0" w:type="dxa"/>
            <w:vAlign w:val="bottom"/>
          </w:tcPr>
          <w:p>
            <w:pPr>
              <w:spacing w:after="0" w:line="20" w:lineRule="exact"/>
              <w:rPr>
                <w:sz w:val="1"/>
                <w:szCs w:val="1"/>
                <w:color w:val="auto"/>
              </w:rPr>
            </w:pPr>
          </w:p>
        </w:tc>
      </w:tr>
      <w:tr>
        <w:trPr>
          <w:trHeight w:val="270"/>
        </w:trPr>
        <w:tc>
          <w:tcPr>
            <w:tcW w:w="7080" w:type="dxa"/>
            <w:vAlign w:val="bottom"/>
            <w:gridSpan w:val="8"/>
          </w:tcPr>
          <w:p>
            <w:pPr>
              <w:spacing w:after="0"/>
              <w:rPr>
                <w:sz w:val="20"/>
                <w:szCs w:val="20"/>
                <w:color w:val="auto"/>
              </w:rPr>
            </w:pPr>
            <w:r>
              <w:rPr>
                <w:rFonts w:ascii="Arial" w:cs="Arial" w:eastAsia="Arial" w:hAnsi="Arial"/>
                <w:sz w:val="22"/>
                <w:szCs w:val="22"/>
                <w:color w:val="auto"/>
                <w:w w:val="90"/>
              </w:rPr>
              <w:t>pursuant to the Guarantee and Collateral Agreement (as defined in the Original [</w:t>
            </w:r>
          </w:p>
        </w:tc>
        <w:tc>
          <w:tcPr>
            <w:tcW w:w="41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5" w:lineRule="auto"/>
        <w:tabs>
          <w:tab w:leader="none" w:pos="2720" w:val="left"/>
          <w:tab w:leader="none" w:pos="6820" w:val="left"/>
        </w:tabs>
        <w:rPr>
          <w:sz w:val="20"/>
          <w:szCs w:val="20"/>
          <w:color w:val="auto"/>
        </w:rPr>
      </w:pPr>
      <w:r>
        <w:rPr>
          <w:rFonts w:ascii="Arial" w:cs="Arial" w:eastAsia="Arial" w:hAnsi="Arial"/>
          <w:sz w:val="22"/>
          <w:szCs w:val="22"/>
          <w:color w:val="auto"/>
        </w:rPr>
        <w:t>all other guarantees of any [</w:t>
        <w:tab/>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Obligations of any [</w:t>
      </w:r>
      <w:r>
        <w:rPr>
          <w:sz w:val="20"/>
          <w:szCs w:val="20"/>
          <w:color w:val="auto"/>
        </w:rPr>
        <w:tab/>
      </w:r>
      <w:r>
        <w:rPr>
          <w:rFonts w:ascii="Arial" w:cs="Arial" w:eastAsia="Arial" w:hAnsi="Arial"/>
          <w:sz w:val="20"/>
          <w:szCs w:val="20"/>
          <w:color w:val="auto"/>
        </w:rPr>
        <w:t xml:space="preserve">]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Loan Party in favor of any</w:t>
      </w:r>
    </w:p>
    <w:p>
      <w:pPr>
        <w:ind w:firstLine="8"/>
        <w:spacing w:after="0" w:line="221" w:lineRule="auto"/>
        <w:tabs>
          <w:tab w:leader="none" w:pos="499" w:val="left"/>
        </w:tabs>
        <w:numPr>
          <w:ilvl w:val="0"/>
          <w:numId w:val="776"/>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Secured Party, in each case as the same may be amended, supplemented, waived or otherwise modified from time to time.</w:t>
      </w:r>
    </w:p>
    <w:p>
      <w:pPr>
        <w:spacing w:after="0" w:line="187" w:lineRule="exact"/>
        <w:rPr>
          <w:rFonts w:ascii="Arial" w:cs="Arial" w:eastAsia="Arial" w:hAnsi="Arial"/>
          <w:sz w:val="22"/>
          <w:szCs w:val="22"/>
          <w:color w:val="auto"/>
        </w:rPr>
      </w:pPr>
    </w:p>
    <w:p>
      <w:pPr>
        <w:jc w:val="both"/>
        <w:ind w:right="20" w:firstLine="648"/>
        <w:spacing w:after="0" w:line="226" w:lineRule="auto"/>
        <w:rPr>
          <w:rFonts w:ascii="Arial" w:cs="Arial" w:eastAsia="Arial" w:hAnsi="Arial"/>
          <w:sz w:val="22"/>
          <w:szCs w:val="22"/>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 ]</w:t>
      </w:r>
      <w:r>
        <w:rPr>
          <w:rFonts w:ascii="Arial" w:cs="Arial" w:eastAsia="Arial" w:hAnsi="Arial"/>
          <w:sz w:val="19"/>
          <w:szCs w:val="19"/>
          <w:color w:val="auto"/>
        </w:rPr>
        <w:t xml:space="preserve"> </w:t>
      </w:r>
      <w:r>
        <w:rPr>
          <w:rFonts w:ascii="Arial" w:cs="Arial" w:eastAsia="Arial" w:hAnsi="Arial"/>
          <w:sz w:val="25"/>
          <w:szCs w:val="25"/>
          <w:u w:val="single" w:color="auto"/>
          <w:color w:val="auto"/>
          <w:vertAlign w:val="superscript"/>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[First/Second]</w:t>
      </w:r>
      <w:r>
        <w:rPr>
          <w:rFonts w:ascii="Arial" w:cs="Arial" w:eastAsia="Arial" w:hAnsi="Arial"/>
          <w:sz w:val="19"/>
          <w:szCs w:val="19"/>
          <w:color w:val="auto"/>
        </w:rPr>
        <w:t xml:space="preserve"> </w:t>
      </w:r>
      <w:r>
        <w:rPr>
          <w:rFonts w:ascii="Arial" w:cs="Arial" w:eastAsia="Arial" w:hAnsi="Arial"/>
          <w:sz w:val="25"/>
          <w:szCs w:val="25"/>
          <w:u w:val="single" w:color="auto"/>
          <w:color w:val="auto"/>
          <w:vertAlign w:val="superscript"/>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Lien Guarantors</w:t>
      </w:r>
      <w:r>
        <w:rPr>
          <w:rFonts w:ascii="Arial" w:cs="Arial" w:eastAsia="Arial" w:hAnsi="Arial"/>
          <w:sz w:val="19"/>
          <w:szCs w:val="19"/>
          <w:color w:val="auto"/>
        </w:rPr>
        <w:t xml:space="preserve"> ” shall mean the collective reference to Holdings (so long as it is a Guarantor under any of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Guarantees), each of the Company’s Subsidiaries that is a guarantor under any of the</w:t>
      </w:r>
    </w:p>
    <w:p>
      <w:pPr>
        <w:ind w:firstLine="8"/>
        <w:spacing w:after="0" w:line="191" w:lineRule="auto"/>
        <w:tabs>
          <w:tab w:leader="none" w:pos="353" w:val="left"/>
        </w:tabs>
        <w:numPr>
          <w:ilvl w:val="0"/>
          <w:numId w:val="776"/>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Guarantees and any other Person who becomes a guarantor under any of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Guarantees.</w:t>
      </w:r>
    </w:p>
    <w:p>
      <w:pPr>
        <w:spacing w:after="0" w:line="157"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   ]</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[First/Second]</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Lien Hedging Affiliate</w:t>
      </w:r>
      <w:r>
        <w:rPr>
          <w:rFonts w:ascii="Arial" w:cs="Arial" w:eastAsia="Arial" w:hAnsi="Arial"/>
          <w:sz w:val="20"/>
          <w:szCs w:val="20"/>
          <w:color w:val="auto"/>
        </w:rPr>
        <w:t xml:space="preserve"> ” shall mean any Person who (a) has entered into a Hedging Agreement</w:t>
      </w:r>
    </w:p>
    <w:p>
      <w:pPr>
        <w:jc w:val="both"/>
        <w:spacing w:after="0" w:line="221" w:lineRule="auto"/>
        <w:rPr>
          <w:sz w:val="20"/>
          <w:szCs w:val="20"/>
          <w:color w:val="auto"/>
        </w:rPr>
      </w:pPr>
      <w:r>
        <w:rPr>
          <w:rFonts w:ascii="Arial" w:cs="Arial" w:eastAsia="Arial" w:hAnsi="Arial"/>
          <w:sz w:val="21"/>
          <w:szCs w:val="21"/>
          <w:color w:val="auto"/>
        </w:rPr>
        <w:t xml:space="preserve">with any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Loan Party with the obligations of such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Loan Party thereunder being secured by one or more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Collateral Documents, (b) was a[n]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Agent, a[n]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 Facility Lender or an Affiliate of a[n]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 Facility Lender at the time of entry into such Hedging Agreement, or on or prior to the date hereof, or at the time of the designation referred to in the following clause (c), and (c) has been designated by the Company in accordance with the terms of one or more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Collateral Documents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Person shall, with respect to any Hedging Agreement, be at any time a Hedging Affiliate hereunder with respect to more than one Credit Facility).</w:t>
      </w:r>
    </w:p>
    <w:p>
      <w:pPr>
        <w:spacing w:after="0" w:line="18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8"/>
          <w:szCs w:val="28"/>
          <w:u w:val="single" w:color="auto"/>
          <w:color w:val="auto"/>
          <w:vertAlign w:val="superscript"/>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[First/Second</w:t>
      </w:r>
      <w:r>
        <w:rPr>
          <w:rFonts w:ascii="Arial" w:cs="Arial" w:eastAsia="Arial" w:hAnsi="Arial"/>
          <w:sz w:val="22"/>
          <w:szCs w:val="22"/>
          <w:color w:val="auto"/>
        </w:rPr>
        <w:t xml:space="preserve"> ]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w:t>
      </w:r>
      <w:r>
        <w:rPr>
          <w:rFonts w:ascii="Arial" w:cs="Arial" w:eastAsia="Arial" w:hAnsi="Arial"/>
          <w:sz w:val="22"/>
          <w:szCs w:val="22"/>
          <w:u w:val="single" w:color="auto"/>
          <w:color w:val="auto"/>
        </w:rPr>
        <w:t>Lien Loan Parties</w:t>
      </w:r>
      <w:r>
        <w:rPr>
          <w:rFonts w:ascii="Arial" w:cs="Arial" w:eastAsia="Arial" w:hAnsi="Arial"/>
          <w:sz w:val="22"/>
          <w:szCs w:val="22"/>
          <w:color w:val="auto"/>
        </w:rPr>
        <w:t xml:space="preserve"> ” shall mean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Borrower,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Guarantors and each other direct or indirect Subsidiary of the Company or any of its Affiliates that is now or hereafter becomes a party to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Document.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83" w:name="page584"/>
    <w:bookmarkEnd w:id="583"/>
    <w:p>
      <w:pPr>
        <w:jc w:val="both"/>
        <w:ind w:firstLine="648"/>
        <w:spacing w:after="0" w:line="226" w:lineRule="auto"/>
        <w:rPr>
          <w:sz w:val="20"/>
          <w:szCs w:val="20"/>
          <w:color w:val="auto"/>
        </w:rPr>
      </w:pPr>
      <w:r>
        <w:rPr>
          <w:rFonts w:ascii="Arial" w:cs="Arial" w:eastAsia="Arial" w:hAnsi="Arial"/>
          <w:sz w:val="20"/>
          <w:szCs w:val="20"/>
          <w:color w:val="auto"/>
        </w:rPr>
        <w:t xml:space="preserve">“ [ ] </w:t>
      </w:r>
      <w:r>
        <w:rPr>
          <w:rFonts w:ascii="Arial" w:cs="Arial" w:eastAsia="Arial" w:hAnsi="Arial"/>
          <w:sz w:val="26"/>
          <w:szCs w:val="26"/>
          <w:u w:val="single" w:color="auto"/>
          <w:color w:val="auto"/>
          <w:vertAlign w:val="superscript"/>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[First/Second]</w:t>
      </w:r>
      <w:r>
        <w:rPr>
          <w:rFonts w:ascii="Arial" w:cs="Arial" w:eastAsia="Arial" w:hAnsi="Arial"/>
          <w:sz w:val="20"/>
          <w:szCs w:val="20"/>
          <w:color w:val="auto"/>
        </w:rPr>
        <w:t xml:space="preserve"> </w:t>
      </w:r>
      <w:r>
        <w:rPr>
          <w:rFonts w:ascii="Arial" w:cs="Arial" w:eastAsia="Arial" w:hAnsi="Arial"/>
          <w:sz w:val="26"/>
          <w:szCs w:val="26"/>
          <w:u w:val="single" w:color="auto"/>
          <w:color w:val="auto"/>
          <w:vertAlign w:val="superscript"/>
        </w:rPr>
        <w:t>ii</w:t>
      </w:r>
      <w:r>
        <w:rPr>
          <w:rFonts w:ascii="Arial" w:cs="Arial" w:eastAsia="Arial" w:hAnsi="Arial"/>
          <w:sz w:val="20"/>
          <w:szCs w:val="20"/>
          <w:color w:val="auto"/>
        </w:rPr>
        <w:t xml:space="preserve"> </w:t>
      </w:r>
      <w:r>
        <w:rPr>
          <w:rFonts w:ascii="Arial" w:cs="Arial" w:eastAsia="Arial" w:hAnsi="Arial"/>
          <w:sz w:val="20"/>
          <w:szCs w:val="20"/>
          <w:u w:val="single" w:color="auto"/>
          <w:color w:val="auto"/>
        </w:rPr>
        <w:t>Lien Obligations</w:t>
      </w:r>
      <w:r>
        <w:rPr>
          <w:rFonts w:ascii="Arial" w:cs="Arial" w:eastAsia="Arial" w:hAnsi="Arial"/>
          <w:sz w:val="20"/>
          <w:szCs w:val="20"/>
          <w:color w:val="auto"/>
        </w:rPr>
        <w:t xml:space="preserve"> ” shall mean any and all loans and all other obligations, liabilities and indebtedness of every kind, nature and description, whether now existing or hereafter arising, whether arising before, during or after the commencement of any case with respect to any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Loan Party under the Bankruptcy Code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528955</wp:posOffset>
            </wp:positionH>
            <wp:positionV relativeFrom="paragraph">
              <wp:posOffset>-345440</wp:posOffset>
            </wp:positionV>
            <wp:extent cx="44259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4425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6"/>
        </w:trPr>
        <w:tc>
          <w:tcPr>
            <w:tcW w:w="4640" w:type="dxa"/>
            <w:vAlign w:val="bottom"/>
            <w:gridSpan w:val="4"/>
          </w:tcPr>
          <w:p>
            <w:pPr>
              <w:spacing w:after="0" w:line="246" w:lineRule="exact"/>
              <w:rPr>
                <w:sz w:val="20"/>
                <w:szCs w:val="20"/>
                <w:color w:val="auto"/>
              </w:rPr>
            </w:pPr>
            <w:r>
              <w:rPr>
                <w:rFonts w:ascii="Arial" w:cs="Arial" w:eastAsia="Arial" w:hAnsi="Arial"/>
                <w:sz w:val="22"/>
                <w:szCs w:val="22"/>
                <w:color w:val="auto"/>
                <w:w w:val="95"/>
              </w:rPr>
              <w:t>any other Insolvency Proceeding, owing by each [</w:t>
            </w:r>
          </w:p>
        </w:tc>
        <w:tc>
          <w:tcPr>
            <w:tcW w:w="6220" w:type="dxa"/>
            <w:vAlign w:val="bottom"/>
            <w:gridSpan w:val="4"/>
          </w:tcPr>
          <w:p>
            <w:pPr>
              <w:ind w:left="180"/>
              <w:spacing w:after="0" w:line="246"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28"/>
                <w:szCs w:val="28"/>
                <w:color w:val="auto"/>
                <w:w w:val="97"/>
                <w:vertAlign w:val="superscript"/>
              </w:rPr>
              <w:t>i</w:t>
            </w:r>
            <w:r>
              <w:rPr>
                <w:rFonts w:ascii="Arial" w:cs="Arial" w:eastAsia="Arial" w:hAnsi="Arial"/>
                <w:sz w:val="22"/>
                <w:szCs w:val="22"/>
                <w:color w:val="auto"/>
                <w:w w:val="97"/>
              </w:rPr>
              <w:t xml:space="preserve"> [First/Second] </w:t>
            </w:r>
            <w:r>
              <w:rPr>
                <w:rFonts w:ascii="Arial" w:cs="Arial" w:eastAsia="Arial" w:hAnsi="Arial"/>
                <w:sz w:val="28"/>
                <w:szCs w:val="28"/>
                <w:color w:val="auto"/>
                <w:w w:val="97"/>
                <w:vertAlign w:val="superscript"/>
              </w:rPr>
              <w:t>ii</w:t>
            </w:r>
            <w:r>
              <w:rPr>
                <w:rFonts w:ascii="Arial" w:cs="Arial" w:eastAsia="Arial" w:hAnsi="Arial"/>
                <w:sz w:val="22"/>
                <w:szCs w:val="22"/>
                <w:color w:val="auto"/>
                <w:w w:val="97"/>
              </w:rPr>
              <w:t xml:space="preserve"> Lien Loan Party from time to time under any [</w:t>
            </w:r>
          </w:p>
        </w:tc>
        <w:tc>
          <w:tcPr>
            <w:tcW w:w="380" w:type="dxa"/>
            <w:vAlign w:val="bottom"/>
          </w:tcPr>
          <w:p>
            <w:pPr>
              <w:jc w:val="right"/>
              <w:spacing w:after="0" w:line="246"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 xml:space="preserve"> i</w:t>
            </w:r>
          </w:p>
        </w:tc>
      </w:tr>
      <w:tr>
        <w:trPr>
          <w:trHeight w:val="257"/>
        </w:trPr>
        <w:tc>
          <w:tcPr>
            <w:tcW w:w="3700" w:type="dxa"/>
            <w:vAlign w:val="bottom"/>
            <w:gridSpan w:val="3"/>
          </w:tcPr>
          <w:p>
            <w:pPr>
              <w:spacing w:after="0" w:line="257" w:lineRule="exact"/>
              <w:rPr>
                <w:sz w:val="20"/>
                <w:szCs w:val="20"/>
                <w:color w:val="auto"/>
              </w:rPr>
            </w:pPr>
            <w:r>
              <w:rPr>
                <w:rFonts w:ascii="Arial" w:cs="Arial" w:eastAsia="Arial" w:hAnsi="Arial"/>
                <w:sz w:val="22"/>
                <w:szCs w:val="22"/>
                <w:color w:val="auto"/>
                <w:w w:val="96"/>
              </w:rPr>
              <w:t xml:space="preserve">[First/Second]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Document to any [</w:t>
            </w:r>
          </w:p>
        </w:tc>
        <w:tc>
          <w:tcPr>
            <w:tcW w:w="1820" w:type="dxa"/>
            <w:vAlign w:val="bottom"/>
            <w:gridSpan w:val="2"/>
          </w:tcPr>
          <w:p>
            <w:pPr>
              <w:ind w:left="160"/>
              <w:spacing w:after="0" w:line="257" w:lineRule="exact"/>
              <w:rPr>
                <w:sz w:val="20"/>
                <w:szCs w:val="20"/>
                <w:color w:val="auto"/>
              </w:rPr>
            </w:pPr>
            <w:r>
              <w:rPr>
                <w:rFonts w:ascii="Arial" w:cs="Arial" w:eastAsia="Arial" w:hAnsi="Arial"/>
                <w:sz w:val="22"/>
                <w:szCs w:val="22"/>
                <w:color w:val="auto"/>
                <w:w w:val="94"/>
              </w:rPr>
              <w:t xml:space="preserve">] </w:t>
            </w:r>
            <w:r>
              <w:rPr>
                <w:rFonts w:ascii="Arial" w:cs="Arial" w:eastAsia="Arial" w:hAnsi="Arial"/>
                <w:sz w:val="28"/>
                <w:szCs w:val="28"/>
                <w:color w:val="auto"/>
                <w:w w:val="94"/>
                <w:vertAlign w:val="superscript"/>
              </w:rPr>
              <w:t>i</w:t>
            </w:r>
            <w:r>
              <w:rPr>
                <w:rFonts w:ascii="Arial" w:cs="Arial" w:eastAsia="Arial" w:hAnsi="Arial"/>
                <w:sz w:val="22"/>
                <w:szCs w:val="22"/>
                <w:color w:val="auto"/>
                <w:w w:val="94"/>
              </w:rPr>
              <w:t xml:space="preserve"> [First/Second] </w:t>
            </w:r>
            <w:r>
              <w:rPr>
                <w:rFonts w:ascii="Arial" w:cs="Arial" w:eastAsia="Arial" w:hAnsi="Arial"/>
                <w:sz w:val="28"/>
                <w:szCs w:val="28"/>
                <w:color w:val="auto"/>
                <w:w w:val="94"/>
                <w:vertAlign w:val="superscript"/>
              </w:rPr>
              <w:t>ii</w:t>
            </w:r>
          </w:p>
        </w:tc>
        <w:tc>
          <w:tcPr>
            <w:tcW w:w="1740" w:type="dxa"/>
            <w:vAlign w:val="bottom"/>
            <w:gridSpan w:val="2"/>
          </w:tcPr>
          <w:p>
            <w:pPr>
              <w:ind w:left="20"/>
              <w:spacing w:after="0"/>
              <w:rPr>
                <w:sz w:val="20"/>
                <w:szCs w:val="20"/>
                <w:color w:val="auto"/>
              </w:rPr>
            </w:pPr>
            <w:r>
              <w:rPr>
                <w:rFonts w:ascii="Arial" w:cs="Arial" w:eastAsia="Arial" w:hAnsi="Arial"/>
                <w:sz w:val="22"/>
                <w:szCs w:val="22"/>
                <w:color w:val="auto"/>
              </w:rPr>
              <w:t>Lien Agent, any [</w:t>
            </w:r>
          </w:p>
        </w:tc>
        <w:tc>
          <w:tcPr>
            <w:tcW w:w="3980" w:type="dxa"/>
            <w:vAlign w:val="bottom"/>
            <w:gridSpan w:val="2"/>
          </w:tcPr>
          <w:p>
            <w:pPr>
              <w:jc w:val="right"/>
              <w:spacing w:after="0" w:line="257"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28"/>
                <w:szCs w:val="28"/>
                <w:color w:val="auto"/>
                <w:w w:val="97"/>
                <w:vertAlign w:val="superscript"/>
              </w:rPr>
              <w:t>i</w:t>
            </w:r>
            <w:r>
              <w:rPr>
                <w:rFonts w:ascii="Arial" w:cs="Arial" w:eastAsia="Arial" w:hAnsi="Arial"/>
                <w:sz w:val="22"/>
                <w:szCs w:val="22"/>
                <w:color w:val="auto"/>
                <w:w w:val="97"/>
              </w:rPr>
              <w:t xml:space="preserve"> [First/Second] </w:t>
            </w:r>
            <w:r>
              <w:rPr>
                <w:rFonts w:ascii="Arial" w:cs="Arial" w:eastAsia="Arial" w:hAnsi="Arial"/>
                <w:sz w:val="28"/>
                <w:szCs w:val="28"/>
                <w:color w:val="auto"/>
                <w:w w:val="97"/>
                <w:vertAlign w:val="superscript"/>
              </w:rPr>
              <w:t>ii</w:t>
            </w:r>
            <w:r>
              <w:rPr>
                <w:rFonts w:ascii="Arial" w:cs="Arial" w:eastAsia="Arial" w:hAnsi="Arial"/>
                <w:sz w:val="22"/>
                <w:szCs w:val="22"/>
                <w:color w:val="auto"/>
                <w:w w:val="97"/>
              </w:rPr>
              <w:t xml:space="preserve"> Lien Creditors or any of</w:t>
            </w:r>
          </w:p>
        </w:tc>
      </w:tr>
      <w:tr>
        <w:trPr>
          <w:trHeight w:val="257"/>
        </w:trPr>
        <w:tc>
          <w:tcPr>
            <w:tcW w:w="1180" w:type="dxa"/>
            <w:vAlign w:val="bottom"/>
          </w:tcPr>
          <w:p>
            <w:pPr>
              <w:spacing w:after="0"/>
              <w:rPr>
                <w:sz w:val="20"/>
                <w:szCs w:val="20"/>
                <w:color w:val="auto"/>
              </w:rPr>
            </w:pPr>
            <w:r>
              <w:rPr>
                <w:rFonts w:ascii="Arial" w:cs="Arial" w:eastAsia="Arial" w:hAnsi="Arial"/>
                <w:sz w:val="22"/>
                <w:szCs w:val="22"/>
                <w:color w:val="auto"/>
              </w:rPr>
              <w:t>them, any [</w:t>
            </w:r>
          </w:p>
        </w:tc>
        <w:tc>
          <w:tcPr>
            <w:tcW w:w="5000" w:type="dxa"/>
            <w:vAlign w:val="bottom"/>
            <w:gridSpan w:val="5"/>
          </w:tcPr>
          <w:p>
            <w:pPr>
              <w:ind w:left="160"/>
              <w:spacing w:after="0" w:line="257" w:lineRule="exact"/>
              <w:rPr>
                <w:sz w:val="20"/>
                <w:szCs w:val="20"/>
                <w:color w:val="auto"/>
              </w:rPr>
            </w:pPr>
            <w:r>
              <w:rPr>
                <w:rFonts w:ascii="Arial" w:cs="Arial" w:eastAsia="Arial" w:hAnsi="Arial"/>
                <w:sz w:val="22"/>
                <w:szCs w:val="22"/>
                <w:color w:val="auto"/>
                <w:w w:val="97"/>
              </w:rPr>
              <w:t xml:space="preserve">] </w:t>
            </w:r>
            <w:r>
              <w:rPr>
                <w:rFonts w:ascii="Arial" w:cs="Arial" w:eastAsia="Arial" w:hAnsi="Arial"/>
                <w:sz w:val="28"/>
                <w:szCs w:val="28"/>
                <w:color w:val="auto"/>
                <w:w w:val="97"/>
                <w:vertAlign w:val="superscript"/>
              </w:rPr>
              <w:t>i</w:t>
            </w:r>
            <w:r>
              <w:rPr>
                <w:rFonts w:ascii="Arial" w:cs="Arial" w:eastAsia="Arial" w:hAnsi="Arial"/>
                <w:sz w:val="22"/>
                <w:szCs w:val="22"/>
                <w:color w:val="auto"/>
                <w:w w:val="97"/>
              </w:rPr>
              <w:t xml:space="preserve"> [First/Second] </w:t>
            </w:r>
            <w:r>
              <w:rPr>
                <w:rFonts w:ascii="Arial" w:cs="Arial" w:eastAsia="Arial" w:hAnsi="Arial"/>
                <w:sz w:val="28"/>
                <w:szCs w:val="28"/>
                <w:color w:val="auto"/>
                <w:w w:val="97"/>
                <w:vertAlign w:val="superscript"/>
              </w:rPr>
              <w:t>ii</w:t>
            </w:r>
            <w:r>
              <w:rPr>
                <w:rFonts w:ascii="Arial" w:cs="Arial" w:eastAsia="Arial" w:hAnsi="Arial"/>
                <w:sz w:val="22"/>
                <w:szCs w:val="22"/>
                <w:color w:val="auto"/>
                <w:w w:val="97"/>
              </w:rPr>
              <w:t xml:space="preserve"> Lien Bank Products Affiliates or [</w:t>
            </w:r>
          </w:p>
        </w:tc>
        <w:tc>
          <w:tcPr>
            <w:tcW w:w="5060" w:type="dxa"/>
            <w:vAlign w:val="bottom"/>
            <w:gridSpan w:val="3"/>
          </w:tcPr>
          <w:p>
            <w:pPr>
              <w:jc w:val="right"/>
              <w:spacing w:after="0" w:line="257" w:lineRule="exact"/>
              <w:rPr>
                <w:sz w:val="20"/>
                <w:szCs w:val="20"/>
                <w:color w:val="auto"/>
              </w:rPr>
            </w:pPr>
            <w:r>
              <w:rPr>
                <w:rFonts w:ascii="Arial" w:cs="Arial" w:eastAsia="Arial" w:hAnsi="Arial"/>
                <w:sz w:val="22"/>
                <w:szCs w:val="22"/>
                <w:color w:val="auto"/>
                <w:w w:val="96"/>
              </w:rPr>
              <w:t xml:space="preserve">] </w:t>
            </w:r>
            <w:r>
              <w:rPr>
                <w:rFonts w:ascii="Arial" w:cs="Arial" w:eastAsia="Arial" w:hAnsi="Arial"/>
                <w:sz w:val="28"/>
                <w:szCs w:val="28"/>
                <w:color w:val="auto"/>
                <w:w w:val="96"/>
                <w:vertAlign w:val="superscript"/>
              </w:rPr>
              <w:t>i</w:t>
            </w:r>
            <w:r>
              <w:rPr>
                <w:rFonts w:ascii="Arial" w:cs="Arial" w:eastAsia="Arial" w:hAnsi="Arial"/>
                <w:sz w:val="22"/>
                <w:szCs w:val="22"/>
                <w:color w:val="auto"/>
                <w:w w:val="96"/>
              </w:rPr>
              <w:t xml:space="preserve"> [First/Second] </w:t>
            </w:r>
            <w:r>
              <w:rPr>
                <w:rFonts w:ascii="Arial" w:cs="Arial" w:eastAsia="Arial" w:hAnsi="Arial"/>
                <w:sz w:val="28"/>
                <w:szCs w:val="28"/>
                <w:color w:val="auto"/>
                <w:w w:val="96"/>
                <w:vertAlign w:val="superscript"/>
              </w:rPr>
              <w:t>ii</w:t>
            </w:r>
            <w:r>
              <w:rPr>
                <w:rFonts w:ascii="Arial" w:cs="Arial" w:eastAsia="Arial" w:hAnsi="Arial"/>
                <w:sz w:val="22"/>
                <w:szCs w:val="22"/>
                <w:color w:val="auto"/>
                <w:w w:val="96"/>
              </w:rPr>
              <w:t xml:space="preserve"> Lien Hedging Affiliates, whether for</w:t>
            </w:r>
          </w:p>
        </w:tc>
      </w:tr>
      <w:tr>
        <w:trPr>
          <w:trHeight w:val="256"/>
        </w:trPr>
        <w:tc>
          <w:tcPr>
            <w:tcW w:w="10860" w:type="dxa"/>
            <w:vAlign w:val="bottom"/>
            <w:gridSpan w:val="8"/>
          </w:tcPr>
          <w:p>
            <w:pPr>
              <w:spacing w:after="0"/>
              <w:rPr>
                <w:sz w:val="20"/>
                <w:szCs w:val="20"/>
                <w:color w:val="auto"/>
              </w:rPr>
            </w:pPr>
            <w:r>
              <w:rPr>
                <w:rFonts w:ascii="Arial" w:cs="Arial" w:eastAsia="Arial" w:hAnsi="Arial"/>
                <w:sz w:val="22"/>
                <w:szCs w:val="22"/>
                <w:color w:val="auto"/>
                <w:w w:val="95"/>
              </w:rPr>
              <w:t>principal, interest (including interest and fees which, but for the filing of a petition in bankruptcy with respect to such [</w:t>
            </w:r>
          </w:p>
        </w:tc>
        <w:tc>
          <w:tcPr>
            <w:tcW w:w="380" w:type="dxa"/>
            <w:vAlign w:val="bottom"/>
          </w:tcPr>
          <w:p>
            <w:pPr>
              <w:jc w:val="right"/>
              <w:spacing w:after="0" w:line="257" w:lineRule="exact"/>
              <w:rPr>
                <w:sz w:val="20"/>
                <w:szCs w:val="20"/>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p>
        </w:tc>
      </w:tr>
      <w:tr>
        <w:trPr>
          <w:trHeight w:val="257"/>
        </w:trPr>
        <w:tc>
          <w:tcPr>
            <w:tcW w:w="5520" w:type="dxa"/>
            <w:vAlign w:val="bottom"/>
            <w:gridSpan w:val="5"/>
          </w:tcPr>
          <w:p>
            <w:pPr>
              <w:spacing w:after="0" w:line="257" w:lineRule="exact"/>
              <w:rPr>
                <w:sz w:val="20"/>
                <w:szCs w:val="20"/>
                <w:color w:val="auto"/>
              </w:rPr>
            </w:pPr>
            <w:r>
              <w:rPr>
                <w:rFonts w:ascii="Arial" w:cs="Arial" w:eastAsia="Arial" w:hAnsi="Arial"/>
                <w:sz w:val="22"/>
                <w:szCs w:val="22"/>
                <w:color w:val="auto"/>
                <w:w w:val="91"/>
              </w:rPr>
              <w:t xml:space="preserve">[First/Second] </w:t>
            </w:r>
            <w:r>
              <w:rPr>
                <w:rFonts w:ascii="Arial" w:cs="Arial" w:eastAsia="Arial" w:hAnsi="Arial"/>
                <w:sz w:val="28"/>
                <w:szCs w:val="28"/>
                <w:color w:val="auto"/>
                <w:w w:val="91"/>
                <w:vertAlign w:val="superscript"/>
              </w:rPr>
              <w:t>ii</w:t>
            </w:r>
            <w:r>
              <w:rPr>
                <w:rFonts w:ascii="Arial" w:cs="Arial" w:eastAsia="Arial" w:hAnsi="Arial"/>
                <w:sz w:val="22"/>
                <w:szCs w:val="22"/>
                <w:color w:val="auto"/>
                <w:w w:val="91"/>
              </w:rPr>
              <w:t xml:space="preserve"> Lien Loan Party, would have accrued on any [</w:t>
            </w:r>
          </w:p>
        </w:tc>
        <w:tc>
          <w:tcPr>
            <w:tcW w:w="5720" w:type="dxa"/>
            <w:vAlign w:val="bottom"/>
            <w:gridSpan w:val="4"/>
          </w:tcPr>
          <w:p>
            <w:pPr>
              <w:jc w:val="right"/>
              <w:spacing w:after="0" w:line="257" w:lineRule="exact"/>
              <w:rPr>
                <w:sz w:val="20"/>
                <w:szCs w:val="20"/>
                <w:color w:val="auto"/>
              </w:rPr>
            </w:pPr>
            <w:r>
              <w:rPr>
                <w:rFonts w:ascii="Arial" w:cs="Arial" w:eastAsia="Arial" w:hAnsi="Arial"/>
                <w:sz w:val="22"/>
                <w:szCs w:val="22"/>
                <w:color w:val="auto"/>
                <w:w w:val="98"/>
              </w:rPr>
              <w:t xml:space="preserve">] </w:t>
            </w:r>
            <w:r>
              <w:rPr>
                <w:rFonts w:ascii="Arial" w:cs="Arial" w:eastAsia="Arial" w:hAnsi="Arial"/>
                <w:sz w:val="28"/>
                <w:szCs w:val="28"/>
                <w:color w:val="auto"/>
                <w:w w:val="98"/>
                <w:vertAlign w:val="superscript"/>
              </w:rPr>
              <w:t>i</w:t>
            </w:r>
            <w:r>
              <w:rPr>
                <w:rFonts w:ascii="Arial" w:cs="Arial" w:eastAsia="Arial" w:hAnsi="Arial"/>
                <w:sz w:val="22"/>
                <w:szCs w:val="22"/>
                <w:color w:val="auto"/>
                <w:w w:val="98"/>
              </w:rPr>
              <w:t xml:space="preserve"> [First/Second] </w:t>
            </w:r>
            <w:r>
              <w:rPr>
                <w:rFonts w:ascii="Arial" w:cs="Arial" w:eastAsia="Arial" w:hAnsi="Arial"/>
                <w:sz w:val="28"/>
                <w:szCs w:val="28"/>
                <w:color w:val="auto"/>
                <w:w w:val="98"/>
                <w:vertAlign w:val="superscript"/>
              </w:rPr>
              <w:t>ii</w:t>
            </w:r>
            <w:r>
              <w:rPr>
                <w:rFonts w:ascii="Arial" w:cs="Arial" w:eastAsia="Arial" w:hAnsi="Arial"/>
                <w:sz w:val="22"/>
                <w:szCs w:val="22"/>
                <w:color w:val="auto"/>
                <w:w w:val="98"/>
              </w:rPr>
              <w:t xml:space="preserve"> Lien Obligation, whether or not a claim is</w:t>
            </w:r>
          </w:p>
        </w:tc>
      </w:tr>
      <w:tr>
        <w:trPr>
          <w:trHeight w:val="285"/>
        </w:trPr>
        <w:tc>
          <w:tcPr>
            <w:tcW w:w="2160" w:type="dxa"/>
            <w:vAlign w:val="bottom"/>
            <w:gridSpan w:val="2"/>
          </w:tcPr>
          <w:p>
            <w:pPr>
              <w:spacing w:after="0"/>
              <w:rPr>
                <w:sz w:val="20"/>
                <w:szCs w:val="20"/>
                <w:color w:val="auto"/>
              </w:rPr>
            </w:pPr>
            <w:r>
              <w:rPr>
                <w:rFonts w:ascii="Arial" w:cs="Arial" w:eastAsia="Arial" w:hAnsi="Arial"/>
                <w:sz w:val="22"/>
                <w:szCs w:val="22"/>
                <w:color w:val="auto"/>
                <w:w w:val="98"/>
              </w:rPr>
              <w:t>allowed against such [</w:t>
            </w:r>
          </w:p>
        </w:tc>
        <w:tc>
          <w:tcPr>
            <w:tcW w:w="9080" w:type="dxa"/>
            <w:vAlign w:val="bottom"/>
            <w:gridSpan w:val="7"/>
          </w:tcPr>
          <w:p>
            <w:pPr>
              <w:jc w:val="right"/>
              <w:spacing w:after="0" w:line="285" w:lineRule="exact"/>
              <w:rPr>
                <w:sz w:val="20"/>
                <w:szCs w:val="20"/>
                <w:color w:val="auto"/>
              </w:rPr>
            </w:pPr>
            <w:r>
              <w:rPr>
                <w:rFonts w:ascii="Arial" w:cs="Arial" w:eastAsia="Arial" w:hAnsi="Arial"/>
                <w:sz w:val="22"/>
                <w:szCs w:val="22"/>
                <w:color w:val="auto"/>
                <w:w w:val="94"/>
              </w:rPr>
              <w:t xml:space="preserve">] </w:t>
            </w:r>
            <w:r>
              <w:rPr>
                <w:rFonts w:ascii="Arial" w:cs="Arial" w:eastAsia="Arial" w:hAnsi="Arial"/>
                <w:sz w:val="28"/>
                <w:szCs w:val="28"/>
                <w:color w:val="auto"/>
                <w:w w:val="94"/>
                <w:vertAlign w:val="superscript"/>
              </w:rPr>
              <w:t>i</w:t>
            </w:r>
            <w:r>
              <w:rPr>
                <w:rFonts w:ascii="Arial" w:cs="Arial" w:eastAsia="Arial" w:hAnsi="Arial"/>
                <w:sz w:val="22"/>
                <w:szCs w:val="22"/>
                <w:color w:val="auto"/>
                <w:w w:val="94"/>
              </w:rPr>
              <w:t xml:space="preserve"> [First/Second] </w:t>
            </w:r>
            <w:r>
              <w:rPr>
                <w:rFonts w:ascii="Arial" w:cs="Arial" w:eastAsia="Arial" w:hAnsi="Arial"/>
                <w:sz w:val="28"/>
                <w:szCs w:val="28"/>
                <w:color w:val="auto"/>
                <w:w w:val="94"/>
                <w:vertAlign w:val="superscript"/>
              </w:rPr>
              <w:t>ii</w:t>
            </w:r>
            <w:r>
              <w:rPr>
                <w:rFonts w:ascii="Arial" w:cs="Arial" w:eastAsia="Arial" w:hAnsi="Arial"/>
                <w:sz w:val="22"/>
                <w:szCs w:val="22"/>
                <w:color w:val="auto"/>
                <w:w w:val="94"/>
              </w:rPr>
              <w:t xml:space="preserve"> Lien Loan Party for such interest and fees in the related bankruptcy proceeding),</w:t>
            </w:r>
          </w:p>
        </w:tc>
      </w:tr>
    </w:tbl>
    <w:p>
      <w:pPr>
        <w:jc w:val="both"/>
        <w:spacing w:after="0" w:line="227" w:lineRule="auto"/>
        <w:rPr>
          <w:sz w:val="20"/>
          <w:szCs w:val="20"/>
          <w:color w:val="auto"/>
        </w:rPr>
      </w:pPr>
      <w:r>
        <w:rPr>
          <w:rFonts w:ascii="Arial" w:cs="Arial" w:eastAsia="Arial" w:hAnsi="Arial"/>
          <w:sz w:val="22"/>
          <w:szCs w:val="22"/>
          <w:color w:val="auto"/>
        </w:rPr>
        <w:t xml:space="preserve">reimbursement for amounts drawn under letters of credit, fees, expenses, indemnification or otherwise, and all other amounts owing or due under the terms of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Documents, as amended, restated, modified, renewed, refunded, replaced or refinanced in whole or in part from time to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Indebtedness that is Senior Priority Debt meets the requirements of Additional Indebtedness.</w:t>
      </w:r>
    </w:p>
    <w:p>
      <w:pPr>
        <w:spacing w:after="0" w:line="191" w:lineRule="exact"/>
        <w:rPr>
          <w:sz w:val="20"/>
          <w:szCs w:val="20"/>
          <w:color w:val="auto"/>
        </w:rPr>
      </w:pPr>
    </w:p>
    <w:p>
      <w:pPr>
        <w:jc w:val="both"/>
        <w:ind w:firstLine="648"/>
        <w:spacing w:after="0" w:line="201"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 ]</w:t>
      </w:r>
      <w:r>
        <w:rPr>
          <w:rFonts w:ascii="Arial" w:cs="Arial" w:eastAsia="Arial" w:hAnsi="Arial"/>
          <w:sz w:val="22"/>
          <w:szCs w:val="22"/>
          <w:color w:val="auto"/>
        </w:rPr>
        <w:t xml:space="preserve"> </w:t>
      </w:r>
      <w:r>
        <w:rPr>
          <w:rFonts w:ascii="Arial" w:cs="Arial" w:eastAsia="Arial" w:hAnsi="Arial"/>
          <w:sz w:val="28"/>
          <w:szCs w:val="28"/>
          <w:u w:val="single" w:color="auto"/>
          <w:color w:val="auto"/>
          <w:vertAlign w:val="superscript"/>
        </w:rPr>
        <w:t>i</w:t>
      </w:r>
      <w:r>
        <w:rPr>
          <w:rFonts w:ascii="Arial" w:cs="Arial" w:eastAsia="Arial" w:hAnsi="Arial"/>
          <w:sz w:val="22"/>
          <w:szCs w:val="22"/>
          <w:color w:val="auto"/>
        </w:rPr>
        <w:t xml:space="preserve"> </w:t>
      </w:r>
      <w:r>
        <w:rPr>
          <w:rFonts w:ascii="Arial" w:cs="Arial" w:eastAsia="Arial" w:hAnsi="Arial"/>
          <w:sz w:val="22"/>
          <w:szCs w:val="22"/>
          <w:u w:val="single" w:color="auto"/>
          <w:color w:val="auto"/>
        </w:rPr>
        <w:t>[First/Second]</w:t>
      </w:r>
      <w:r>
        <w:rPr>
          <w:rFonts w:ascii="Arial" w:cs="Arial" w:eastAsia="Arial" w:hAnsi="Arial"/>
          <w:sz w:val="22"/>
          <w:szCs w:val="22"/>
          <w:color w:val="auto"/>
        </w:rPr>
        <w:t xml:space="preserve"> </w:t>
      </w:r>
      <w:r>
        <w:rPr>
          <w:rFonts w:ascii="Arial" w:cs="Arial" w:eastAsia="Arial" w:hAnsi="Arial"/>
          <w:sz w:val="28"/>
          <w:szCs w:val="28"/>
          <w:u w:val="single" w:color="auto"/>
          <w:color w:val="auto"/>
          <w:vertAlign w:val="superscript"/>
        </w:rPr>
        <w:t>ii</w:t>
      </w:r>
      <w:r>
        <w:rPr>
          <w:rFonts w:ascii="Arial" w:cs="Arial" w:eastAsia="Arial" w:hAnsi="Arial"/>
          <w:sz w:val="22"/>
          <w:szCs w:val="22"/>
          <w:color w:val="auto"/>
        </w:rPr>
        <w:t xml:space="preserve"> </w:t>
      </w:r>
      <w:r>
        <w:rPr>
          <w:rFonts w:ascii="Arial" w:cs="Arial" w:eastAsia="Arial" w:hAnsi="Arial"/>
          <w:sz w:val="22"/>
          <w:szCs w:val="22"/>
          <w:u w:val="single" w:color="auto"/>
          <w:color w:val="auto"/>
        </w:rPr>
        <w:t>Lien Secured Parties</w:t>
      </w:r>
      <w:r>
        <w:rPr>
          <w:rFonts w:ascii="Arial" w:cs="Arial" w:eastAsia="Arial" w:hAnsi="Arial"/>
          <w:sz w:val="22"/>
          <w:szCs w:val="22"/>
          <w:color w:val="auto"/>
        </w:rPr>
        <w:t xml:space="preserve"> ” shall mean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and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Creditors.</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Unless the context of this Agreement clearly requires otherwise, references to the plural include the singular, references to the singular include the plural, the term “including” is not limiting, and the term “or” has, except where otherwise indicated, the inclusive meaning represented by the phrase “and/or”. The words “hereof”, “herein”, “hereby”, “hereunder”, and similar terms in this Agreement refer to this Agreement as a whole and not to any particular provision of this Agreement. Article, section, subsection, clause, schedule, and exhibit references herein are to this Agreement unless otherwise specified. Any reference in this Agreement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successors and assigns. Any reference herein to the repayment in full of an obligation shall mean the payment in full in cash of such obligation, or in such other manner as may be approved in writing by the requisite holders or representatives in respect of such obligation, or in such other manner as may be approved by the requisite holders or representatives in respect of such obligation.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LIEN PRIORITY</w:t>
      </w:r>
    </w:p>
    <w:p>
      <w:pPr>
        <w:spacing w:after="0" w:line="20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19"/>
          <w:szCs w:val="19"/>
          <w:u w:val="single" w:color="auto"/>
          <w:color w:val="auto"/>
        </w:rPr>
        <w:t xml:space="preserve">Lien Priority </w:t>
      </w:r>
      <w:r>
        <w:rPr>
          <w:rFonts w:ascii="Arial" w:cs="Arial" w:eastAsia="Arial" w:hAnsi="Arial"/>
          <w:sz w:val="19"/>
          <w:szCs w:val="19"/>
          <w:color w:val="auto"/>
        </w:rPr>
        <w:t>.</w:t>
      </w:r>
    </w:p>
    <w:p>
      <w:pPr>
        <w:spacing w:after="0" w:line="220" w:lineRule="exact"/>
        <w:rPr>
          <w:sz w:val="20"/>
          <w:szCs w:val="20"/>
          <w:color w:val="auto"/>
        </w:rPr>
      </w:pPr>
    </w:p>
    <w:p>
      <w:pPr>
        <w:jc w:val="both"/>
        <w:ind w:right="20" w:firstLine="656"/>
        <w:spacing w:after="0" w:line="312" w:lineRule="auto"/>
        <w:tabs>
          <w:tab w:leader="none" w:pos="1104" w:val="left"/>
        </w:tabs>
        <w:numPr>
          <w:ilvl w:val="0"/>
          <w:numId w:val="778"/>
        </w:numPr>
        <w:rPr>
          <w:rFonts w:ascii="Arial" w:cs="Arial" w:eastAsia="Arial" w:hAnsi="Arial"/>
          <w:sz w:val="19"/>
          <w:szCs w:val="19"/>
          <w:color w:val="auto"/>
        </w:rPr>
      </w:pPr>
      <w:r>
        <w:rPr>
          <w:rFonts w:ascii="Arial" w:cs="Arial" w:eastAsia="Arial" w:hAnsi="Arial"/>
          <w:sz w:val="19"/>
          <w:szCs w:val="19"/>
          <w:color w:val="auto"/>
        </w:rPr>
        <w:t>Notwithstanding (i) the date, time, method, manner, or order of grant, attachment, or perfection (including any defect or deficiency or alleged defect or deficiency in any of the foregoing) of any Liens granted to any Senior Priority Agent or any Senior Priority Creditors in respect of all or any portion of the Collateral, or of any Liens granted to any Junior Priority Agent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84" w:name="page585"/>
    <w:bookmarkEnd w:id="584"/>
    <w:p>
      <w:pPr>
        <w:jc w:val="both"/>
        <w:spacing w:after="0" w:line="258" w:lineRule="auto"/>
        <w:rPr>
          <w:sz w:val="20"/>
          <w:szCs w:val="20"/>
          <w:color w:val="auto"/>
        </w:rPr>
      </w:pPr>
      <w:r>
        <w:rPr>
          <w:rFonts w:ascii="Arial" w:cs="Arial" w:eastAsia="Arial" w:hAnsi="Arial"/>
          <w:sz w:val="21"/>
          <w:szCs w:val="21"/>
          <w:color w:val="auto"/>
        </w:rPr>
        <w:t>or any Junior Priority Creditors in respect of all or any portion of the Collateral, and regardless of how any such Lien was acquired (whether by grant, statute, operation of law, subrogation or otherwise), (ii) the order or time of filing or recordation of any document or instrument for perfecting the Liens in favor of any Senior Priority Agent, any Senior Priority Creditors, any Junior Priority Agent or any Junior Priority Creditors in any Collateral, (iii) any provision of the Uniform Commercial Code, the Bankruptcy Code or any other applicable law, or of any Senior Priority Documents or Junior Priority Documents, (iv) whether any Senior Priority Agent or any Junior Priority Agent, in each case either directly or through agents, holds possession of, or has control over, all or any part of the Collateral, (v) the fact that any such Liens in favor of any Senior Priority Agent or any Senior Priority Creditors securing any of the Senior Priority Obligations are (x) subordinated to any Lien securing any other obligation of any Loan Party or (y) otherwise subordinated, voided, avoided, invalidated or lapsed or (vi) any other circumstance of any kind or nature whatsoever, each Junior Priority Agent, for and on behalf of itself and the Junior Priority Creditors represented thereby, hereby agrees that:</w:t>
      </w:r>
    </w:p>
    <w:p>
      <w:pPr>
        <w:spacing w:after="0" w:line="182" w:lineRule="exact"/>
        <w:rPr>
          <w:sz w:val="20"/>
          <w:szCs w:val="20"/>
          <w:color w:val="auto"/>
        </w:rPr>
      </w:pPr>
    </w:p>
    <w:p>
      <w:pPr>
        <w:jc w:val="both"/>
        <w:ind w:left="660" w:firstLine="644"/>
        <w:spacing w:after="0" w:line="265" w:lineRule="auto"/>
        <w:tabs>
          <w:tab w:leader="none" w:pos="1751" w:val="left"/>
        </w:tabs>
        <w:numPr>
          <w:ilvl w:val="0"/>
          <w:numId w:val="779"/>
        </w:numPr>
        <w:rPr>
          <w:rFonts w:ascii="Arial" w:cs="Arial" w:eastAsia="Arial" w:hAnsi="Arial"/>
          <w:sz w:val="21"/>
          <w:szCs w:val="21"/>
          <w:color w:val="auto"/>
        </w:rPr>
      </w:pPr>
      <w:r>
        <w:rPr>
          <w:rFonts w:ascii="Arial" w:cs="Arial" w:eastAsia="Arial" w:hAnsi="Arial"/>
          <w:sz w:val="21"/>
          <w:szCs w:val="21"/>
          <w:color w:val="auto"/>
        </w:rPr>
        <w:t>any Lien in respect of all or any portion of the Collateral now or hereafter held by or on behalf of any Junior Priority Agent or any Junior Priority Creditor that secures all or any portion of the Junior Priority Obligations shall be junior and subordinate in all respects to all Liens granted to any of the Senior Priority Agents and the Senior Priority Creditors in the Collateral to secure all or any portion of the Senior Priority Obligations;</w:t>
      </w:r>
    </w:p>
    <w:p>
      <w:pPr>
        <w:spacing w:after="0" w:line="175" w:lineRule="exact"/>
        <w:rPr>
          <w:rFonts w:ascii="Arial" w:cs="Arial" w:eastAsia="Arial" w:hAnsi="Arial"/>
          <w:sz w:val="21"/>
          <w:szCs w:val="21"/>
          <w:color w:val="auto"/>
        </w:rPr>
      </w:pPr>
    </w:p>
    <w:p>
      <w:pPr>
        <w:jc w:val="both"/>
        <w:ind w:left="660" w:firstLine="644"/>
        <w:spacing w:after="0" w:line="250" w:lineRule="auto"/>
        <w:tabs>
          <w:tab w:leader="none" w:pos="1798" w:val="left"/>
        </w:tabs>
        <w:numPr>
          <w:ilvl w:val="0"/>
          <w:numId w:val="779"/>
        </w:numPr>
        <w:rPr>
          <w:rFonts w:ascii="Arial" w:cs="Arial" w:eastAsia="Arial" w:hAnsi="Arial"/>
          <w:sz w:val="22"/>
          <w:szCs w:val="22"/>
          <w:color w:val="auto"/>
        </w:rPr>
      </w:pPr>
      <w:r>
        <w:rPr>
          <w:rFonts w:ascii="Arial" w:cs="Arial" w:eastAsia="Arial" w:hAnsi="Arial"/>
          <w:sz w:val="22"/>
          <w:szCs w:val="22"/>
          <w:color w:val="auto"/>
        </w:rPr>
        <w:t>any Lien in respect of all or any portion of the Collateral now or hereafter held by or on behalf of any Senior Priority Agent or any Senior Priority Creditor that secures all or any portion of the Senior Priority Obligations shall be senior and prior in all respects to all Liens granted to any of the Junior Priority Agents and the Junior Priority Creditors in the Collateral to secure all or any portion of the Junior Priority Obligations;</w:t>
      </w:r>
    </w:p>
    <w:p>
      <w:pPr>
        <w:spacing w:after="0" w:line="187" w:lineRule="exact"/>
        <w:rPr>
          <w:rFonts w:ascii="Arial" w:cs="Arial" w:eastAsia="Arial" w:hAnsi="Arial"/>
          <w:sz w:val="22"/>
          <w:szCs w:val="22"/>
          <w:color w:val="auto"/>
        </w:rPr>
      </w:pPr>
    </w:p>
    <w:p>
      <w:pPr>
        <w:jc w:val="both"/>
        <w:ind w:left="660" w:firstLine="644"/>
        <w:spacing w:after="0" w:line="246" w:lineRule="auto"/>
        <w:tabs>
          <w:tab w:leader="none" w:pos="1918" w:val="left"/>
        </w:tabs>
        <w:numPr>
          <w:ilvl w:val="0"/>
          <w:numId w:val="779"/>
        </w:numPr>
        <w:rPr>
          <w:rFonts w:ascii="Arial" w:cs="Arial" w:eastAsia="Arial" w:hAnsi="Arial"/>
          <w:sz w:val="22"/>
          <w:szCs w:val="22"/>
          <w:color w:val="auto"/>
        </w:rPr>
      </w:pPr>
      <w:r>
        <w:rPr>
          <w:rFonts w:ascii="Arial" w:cs="Arial" w:eastAsia="Arial" w:hAnsi="Arial"/>
          <w:sz w:val="22"/>
          <w:szCs w:val="22"/>
          <w:color w:val="auto"/>
        </w:rPr>
        <w:t>except as may be separately otherwise agreed in writing by and between or among any applicable Senior Priority Agents, in each case on behalf of itself and the Senior Priority Creditors represented thereby, any Lien in respect of all or any portion of the Collateral now or hereafter held by or on behalf of any Senior Priority Agent or any Senior Priority Creditor that secures all or any portion of the Senior Priority Obligations shall be pari passu and equal in priority in all respects with any Lien in respect of all or any portion of the Collateral now or hereafter held by or on behalf of any other Senior Priority Agent or any other Senior Priority Creditor that secures all or any portion of the Senior Priority Obligations; and</w:t>
      </w:r>
    </w:p>
    <w:p>
      <w:pPr>
        <w:spacing w:after="0" w:line="196" w:lineRule="exact"/>
        <w:rPr>
          <w:rFonts w:ascii="Arial" w:cs="Arial" w:eastAsia="Arial" w:hAnsi="Arial"/>
          <w:sz w:val="22"/>
          <w:szCs w:val="22"/>
          <w:color w:val="auto"/>
        </w:rPr>
      </w:pPr>
    </w:p>
    <w:p>
      <w:pPr>
        <w:jc w:val="both"/>
        <w:ind w:left="660" w:firstLine="644"/>
        <w:spacing w:after="0" w:line="246" w:lineRule="auto"/>
        <w:tabs>
          <w:tab w:leader="none" w:pos="1911" w:val="left"/>
        </w:tabs>
        <w:numPr>
          <w:ilvl w:val="0"/>
          <w:numId w:val="779"/>
        </w:numPr>
        <w:rPr>
          <w:rFonts w:ascii="Arial" w:cs="Arial" w:eastAsia="Arial" w:hAnsi="Arial"/>
          <w:sz w:val="22"/>
          <w:szCs w:val="22"/>
          <w:color w:val="auto"/>
        </w:rPr>
      </w:pPr>
      <w:r>
        <w:rPr>
          <w:rFonts w:ascii="Arial" w:cs="Arial" w:eastAsia="Arial" w:hAnsi="Arial"/>
          <w:sz w:val="22"/>
          <w:szCs w:val="22"/>
          <w:color w:val="auto"/>
        </w:rPr>
        <w:t>except as may be separately otherwise agreed in writing by and between or among any applicable Junior Priority Agents, in each case on behalf of itself and the Junior Priority Secured Parties represented thereby, any Lien in respect of all or any portion of the Collateral now or hereafter held by or on behalf of any Junior Priority Agent or any Junior Priority Creditor that secures all or any portion of the Junior Priority Obligations shall be pari passu and equal in priority in all respects with any Lien in respect of all or any portion of the Collateral now or hereafter held by or on behalf of any other Junior Priority Agent or any other Junior Priority Creditor that secures all or any portion of the Junior Priority Obligations.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5" w:name="page586"/>
    <w:bookmarkEnd w:id="585"/>
    <w:p>
      <w:pPr>
        <w:ind w:left="1120" w:hanging="464"/>
        <w:spacing w:after="0"/>
        <w:tabs>
          <w:tab w:leader="none" w:pos="1120" w:val="left"/>
        </w:tabs>
        <w:numPr>
          <w:ilvl w:val="0"/>
          <w:numId w:val="78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780"/>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56"/>
        <w:spacing w:after="0" w:line="287" w:lineRule="auto"/>
        <w:tabs>
          <w:tab w:leader="none" w:pos="1142" w:val="left"/>
        </w:tabs>
        <w:numPr>
          <w:ilvl w:val="0"/>
          <w:numId w:val="780"/>
        </w:numPr>
        <w:rPr>
          <w:rFonts w:ascii="Arial" w:cs="Arial" w:eastAsia="Arial" w:hAnsi="Arial"/>
          <w:sz w:val="19"/>
          <w:szCs w:val="19"/>
          <w:color w:val="auto"/>
        </w:rPr>
      </w:pPr>
      <w:r>
        <w:rPr>
          <w:rFonts w:ascii="Arial" w:cs="Arial" w:eastAsia="Arial" w:hAnsi="Arial"/>
          <w:sz w:val="19"/>
          <w:szCs w:val="19"/>
          <w:color w:val="auto"/>
        </w:rPr>
        <w:t>Notwithstanding any failure by any Senior Priority Secured Party to perfect its security interests in the Collateral or any avoidance, invalidation, priming or subordination by any third party or court of competent jurisdiction of the security interests in the Collateral granted to any of the Senior Priority Secured Parties, the priority and rights as (x) between the respective classes of Senior Priority Secured Parties, and (y) between the Senior Priority Secured Parties, on the one hand, and the Junior Priority Secured Parties, on the other hand, with respect to the Collateral shall be as set forth herein. Notwithstanding any failure by any Junior Priority Secured Party to perfect its security interests in the Collateral or any avoidance, invalidation, priming or subordination by any third party or court of competent jurisdiction of the security interests in the Collateral granted to any of the Junior Priority Secured Parties, the priority and rights as between the respective classes of Junior Priority Secured Parties with respect to the Collateral shall be as set forth herein. Lien priority as among the Senior Priority Obligations and the Junior Priority Obligations with respect to any Collateral will be governed solely by this Agreement, except as may be separately otherwise agreed in writing by or among any applicable Parties to the extent permitted pursuant to this Agreement.</w:t>
      </w:r>
    </w:p>
    <w:p>
      <w:pPr>
        <w:spacing w:after="0" w:line="163" w:lineRule="exact"/>
        <w:rPr>
          <w:rFonts w:ascii="Arial" w:cs="Arial" w:eastAsia="Arial" w:hAnsi="Arial"/>
          <w:sz w:val="19"/>
          <w:szCs w:val="19"/>
          <w:color w:val="auto"/>
        </w:rPr>
      </w:pPr>
    </w:p>
    <w:p>
      <w:pPr>
        <w:ind w:left="1140" w:hanging="484"/>
        <w:spacing w:after="0"/>
        <w:tabs>
          <w:tab w:leader="none" w:pos="1140" w:val="left"/>
        </w:tabs>
        <w:numPr>
          <w:ilvl w:val="0"/>
          <w:numId w:val="780"/>
        </w:numPr>
        <w:rPr>
          <w:rFonts w:ascii="Arial" w:cs="Arial" w:eastAsia="Arial" w:hAnsi="Arial"/>
          <w:sz w:val="19"/>
          <w:szCs w:val="19"/>
          <w:color w:val="auto"/>
        </w:rPr>
      </w:pPr>
      <w:r>
        <w:rPr>
          <w:rFonts w:ascii="Arial" w:cs="Arial" w:eastAsia="Arial" w:hAnsi="Arial"/>
          <w:sz w:val="19"/>
          <w:szCs w:val="19"/>
          <w:color w:val="auto"/>
        </w:rPr>
        <w:t>The Original First Lien Agent, for and on behalf of itself and the Original First Lien Secured Parties, acknowledges</w:t>
      </w:r>
    </w:p>
    <w:p>
      <w:pPr>
        <w:spacing w:after="0" w:line="237" w:lineRule="auto"/>
        <w:tabs>
          <w:tab w:leader="none" w:pos="4340" w:val="left"/>
          <w:tab w:leader="none" w:pos="9780" w:val="left"/>
        </w:tabs>
        <w:rPr>
          <w:sz w:val="20"/>
          <w:szCs w:val="20"/>
          <w:color w:val="auto"/>
        </w:rPr>
      </w:pPr>
      <w:r>
        <w:rPr>
          <w:rFonts w:ascii="Arial" w:cs="Arial" w:eastAsia="Arial" w:hAnsi="Arial"/>
          <w:sz w:val="22"/>
          <w:szCs w:val="22"/>
          <w:color w:val="auto"/>
        </w:rPr>
        <w:t>and agrees that (x) concurrently herewith, the [</w:t>
        <w:tab/>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for the benefit of itself and [</w:t>
      </w:r>
      <w:r>
        <w:rPr>
          <w:sz w:val="20"/>
          <w:szCs w:val="20"/>
          <w:color w:val="auto"/>
        </w:rPr>
        <w:tab/>
      </w:r>
      <w:r>
        <w:rPr>
          <w:rFonts w:ascii="Arial" w:cs="Arial" w:eastAsia="Arial" w:hAnsi="Arial"/>
          <w:sz w:val="20"/>
          <w:szCs w:val="20"/>
          <w:color w:val="auto"/>
        </w:rPr>
        <w:t xml:space="preserve">]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w:t>
      </w:r>
    </w:p>
    <w:p>
      <w:pPr>
        <w:jc w:val="both"/>
        <w:ind w:firstLine="8"/>
        <w:spacing w:after="0" w:line="242" w:lineRule="auto"/>
        <w:tabs>
          <w:tab w:leader="none" w:pos="129" w:val="left"/>
        </w:tabs>
        <w:numPr>
          <w:ilvl w:val="0"/>
          <w:numId w:val="781"/>
        </w:numPr>
        <w:rPr>
          <w:rFonts w:ascii="Arial" w:cs="Arial" w:eastAsia="Arial" w:hAnsi="Arial"/>
          <w:sz w:val="28"/>
          <w:szCs w:val="28"/>
          <w:color w:val="auto"/>
          <w:vertAlign w:val="superscript"/>
        </w:rPr>
      </w:pPr>
      <w:r>
        <w:rPr>
          <w:rFonts w:ascii="Arial" w:cs="Arial" w:eastAsia="Arial" w:hAnsi="Arial"/>
          <w:sz w:val="21"/>
          <w:szCs w:val="21"/>
          <w:color w:val="auto"/>
        </w:rPr>
        <w:t xml:space="preserve">Lien Secured Parties, has been granted [Senior/Junior] </w:t>
      </w:r>
      <w:r>
        <w:rPr>
          <w:rFonts w:ascii="Arial" w:cs="Arial" w:eastAsia="Arial" w:hAnsi="Arial"/>
          <w:sz w:val="27"/>
          <w:szCs w:val="27"/>
          <w:color w:val="auto"/>
          <w:vertAlign w:val="superscript"/>
        </w:rPr>
        <w:t>viii</w:t>
      </w:r>
      <w:r>
        <w:rPr>
          <w:rFonts w:ascii="Arial" w:cs="Arial" w:eastAsia="Arial" w:hAnsi="Arial"/>
          <w:sz w:val="21"/>
          <w:szCs w:val="21"/>
          <w:color w:val="auto"/>
        </w:rPr>
        <w:t xml:space="preserve"> Priority Liens upon all of the Collateral in which the Original First Lien Agent has been granted Senior Priority Liens, and the Original First Lien Agent hereby consents thereto, and (y) one or more Additional Agents, each on behalf of itself and any Additional Credit Facility Secured Parties represented thereby, may be granted Senior Priority Liens or Junior Priority Liens upon all of the Collateral in which the Original First Lien Agent has been granted Senior Priority Liens, and the Original First Lien Agent hereby consents thereto.</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color w:val="auto"/>
        </w:rPr>
        <w:t xml:space="preserve">(f)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for and on behalf of itself and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Secured Parties, acknowledges and agrees that (x) the Original First Lien Agent, for the benefit of itself and the First Lien Secured Parties, has</w:t>
      </w:r>
    </w:p>
    <w:p>
      <w:pPr>
        <w:jc w:val="both"/>
        <w:spacing w:after="0" w:line="276" w:lineRule="auto"/>
        <w:rPr>
          <w:sz w:val="20"/>
          <w:szCs w:val="20"/>
          <w:color w:val="auto"/>
        </w:rPr>
      </w:pPr>
      <w:r>
        <w:rPr>
          <w:rFonts w:ascii="Arial" w:cs="Arial" w:eastAsia="Arial" w:hAnsi="Arial"/>
          <w:sz w:val="20"/>
          <w:szCs w:val="20"/>
          <w:color w:val="auto"/>
        </w:rPr>
        <w:t xml:space="preserve">been granted Senior Priority Liens upon all of the Collateral in which the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Agent has been granted [Senior/Junior]vii Priority Liens, and the [ ] </w:t>
      </w:r>
      <w:r>
        <w:rPr>
          <w:rFonts w:ascii="Arial" w:cs="Arial" w:eastAsia="Arial" w:hAnsi="Arial"/>
          <w:sz w:val="13"/>
          <w:szCs w:val="13"/>
          <w:color w:val="auto"/>
        </w:rPr>
        <w:t>i</w:t>
      </w:r>
      <w:r>
        <w:rPr>
          <w:rFonts w:ascii="Arial" w:cs="Arial" w:eastAsia="Arial" w:hAnsi="Arial"/>
          <w:sz w:val="20"/>
          <w:szCs w:val="20"/>
          <w:color w:val="auto"/>
        </w:rPr>
        <w:t xml:space="preserve"> [First/Second] </w:t>
      </w:r>
      <w:r>
        <w:rPr>
          <w:rFonts w:ascii="Arial" w:cs="Arial" w:eastAsia="Arial" w:hAnsi="Arial"/>
          <w:sz w:val="13"/>
          <w:szCs w:val="13"/>
          <w:color w:val="auto"/>
        </w:rPr>
        <w:t>ii</w:t>
      </w:r>
      <w:r>
        <w:rPr>
          <w:rFonts w:ascii="Arial" w:cs="Arial" w:eastAsia="Arial" w:hAnsi="Arial"/>
          <w:sz w:val="20"/>
          <w:szCs w:val="20"/>
          <w:color w:val="auto"/>
        </w:rPr>
        <w:t xml:space="preserve"> Lien Agent hereby consents thereto, and (y) one or more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 xml:space="preserve">Additional Agents, each on behalf of itself and any Additional Credit Facility Secured Parties represented thereby, may be granted Senior Priority Liens or Junior Priority Liens upon all of the Collateral in which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Agent has been granted [Senior/Junior]vii Priority Liens, and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Agent hereby consents thereto.</w:t>
      </w:r>
    </w:p>
    <w:p>
      <w:pPr>
        <w:spacing w:after="0" w:line="112" w:lineRule="exact"/>
        <w:rPr>
          <w:sz w:val="20"/>
          <w:szCs w:val="20"/>
          <w:color w:val="auto"/>
        </w:rPr>
      </w:pPr>
    </w:p>
    <w:p>
      <w:pPr>
        <w:ind w:firstLine="656"/>
        <w:spacing w:after="0" w:line="263" w:lineRule="auto"/>
        <w:tabs>
          <w:tab w:leader="none" w:pos="1186" w:val="left"/>
        </w:tabs>
        <w:numPr>
          <w:ilvl w:val="0"/>
          <w:numId w:val="782"/>
        </w:numPr>
        <w:rPr>
          <w:rFonts w:ascii="Arial" w:cs="Arial" w:eastAsia="Arial" w:hAnsi="Arial"/>
          <w:sz w:val="22"/>
          <w:szCs w:val="22"/>
          <w:color w:val="auto"/>
        </w:rPr>
      </w:pPr>
      <w:r>
        <w:rPr>
          <w:rFonts w:ascii="Arial" w:cs="Arial" w:eastAsia="Arial" w:hAnsi="Arial"/>
          <w:sz w:val="22"/>
          <w:szCs w:val="22"/>
          <w:color w:val="auto"/>
        </w:rPr>
        <w:t>Each Additional Agent, for and on behalf of itself and any Additional Credit Facility Secured Parties represented thereby, acknowledges and agrees that, (x) the Original First Lien Agent,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6" w:name="page587"/>
    <w:bookmarkEnd w:id="586"/>
    <w:p>
      <w:pPr>
        <w:jc w:val="both"/>
        <w:spacing w:after="0"/>
        <w:rPr>
          <w:sz w:val="20"/>
          <w:szCs w:val="20"/>
          <w:color w:val="auto"/>
        </w:rPr>
      </w:pPr>
      <w:r>
        <w:rPr>
          <w:rFonts w:ascii="Arial" w:cs="Arial" w:eastAsia="Arial" w:hAnsi="Arial"/>
          <w:sz w:val="21"/>
          <w:szCs w:val="21"/>
          <w:color w:val="auto"/>
        </w:rPr>
        <w:t xml:space="preserve">for the benefit of itself and the Original First Lien Secured Parties, has been granted Senior Priority Liens upon all of the Collateral in which such Additional Agent is being granted Liens, and such Additional Agent hereby consents thereto, (y) concurrently herewith,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Agent, for the benefit of itself and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Secured Parties, has been granted [Senior/Junior] </w:t>
      </w:r>
      <w:r>
        <w:rPr>
          <w:rFonts w:ascii="Arial" w:cs="Arial" w:eastAsia="Arial" w:hAnsi="Arial"/>
          <w:sz w:val="27"/>
          <w:szCs w:val="27"/>
          <w:color w:val="auto"/>
          <w:vertAlign w:val="superscript"/>
        </w:rPr>
        <w:t>vii</w:t>
      </w:r>
      <w:r>
        <w:rPr>
          <w:rFonts w:ascii="Arial" w:cs="Arial" w:eastAsia="Arial" w:hAnsi="Arial"/>
          <w:sz w:val="21"/>
          <w:szCs w:val="21"/>
          <w:color w:val="auto"/>
        </w:rPr>
        <w:t xml:space="preserve"> Priority Liens upon all of the Collateral in which such Additional Agent is being granted Liens, and such Additional Agent hereby consents thereto, and (z) one or more other Additional Agents, each on behalf of itself and any Additional Credit Facility Secured Parties represented thereby, have been or may be granted Senior Priority Liens or Junior Priority Liens upon all of the Collateral in which such Additional Agent is being granted Liens, and such Additional Agent hereby consents thereto.</w:t>
      </w:r>
    </w:p>
    <w:p>
      <w:pPr>
        <w:spacing w:after="0" w:line="187" w:lineRule="exact"/>
        <w:rPr>
          <w:sz w:val="20"/>
          <w:szCs w:val="20"/>
          <w:color w:val="auto"/>
        </w:rPr>
      </w:pPr>
    </w:p>
    <w:p>
      <w:pPr>
        <w:jc w:val="both"/>
        <w:ind w:right="20" w:firstLine="648"/>
        <w:spacing w:after="0" w:line="222" w:lineRule="auto"/>
        <w:rPr>
          <w:sz w:val="20"/>
          <w:szCs w:val="20"/>
          <w:color w:val="auto"/>
        </w:rPr>
      </w:pPr>
      <w:r>
        <w:rPr>
          <w:rFonts w:ascii="Arial" w:cs="Arial" w:eastAsia="Arial" w:hAnsi="Arial"/>
          <w:sz w:val="21"/>
          <w:szCs w:val="21"/>
          <w:color w:val="auto"/>
        </w:rPr>
        <w:t xml:space="preserve">(h) Lien priority as among the Additional Obligations, the Original First Lien Obligations and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Obligations with respect to any Collateral will be governed solely by this Agreement, except as may be separately otherwise agreed in writing by or among any applicable Parties to the extent permitted pursuant to this Agreement.</w:t>
      </w:r>
    </w:p>
    <w:p>
      <w:pPr>
        <w:spacing w:after="0" w:line="199" w:lineRule="exact"/>
        <w:rPr>
          <w:sz w:val="20"/>
          <w:szCs w:val="20"/>
          <w:color w:val="auto"/>
        </w:rPr>
      </w:pPr>
    </w:p>
    <w:p>
      <w:pPr>
        <w:jc w:val="both"/>
        <w:ind w:firstLine="656"/>
        <w:spacing w:after="0" w:line="285" w:lineRule="auto"/>
        <w:tabs>
          <w:tab w:leader="none" w:pos="1124" w:val="left"/>
        </w:tabs>
        <w:numPr>
          <w:ilvl w:val="0"/>
          <w:numId w:val="783"/>
        </w:numPr>
        <w:rPr>
          <w:rFonts w:ascii="Arial" w:cs="Arial" w:eastAsia="Arial" w:hAnsi="Arial"/>
          <w:sz w:val="19"/>
          <w:szCs w:val="19"/>
          <w:color w:val="auto"/>
        </w:rPr>
      </w:pPr>
      <w:r>
        <w:rPr>
          <w:rFonts w:ascii="Arial" w:cs="Arial" w:eastAsia="Arial" w:hAnsi="Arial"/>
          <w:sz w:val="19"/>
          <w:szCs w:val="19"/>
          <w:color w:val="auto"/>
        </w:rPr>
        <w:t xml:space="preserve">Each Senior Priority Agent, for and on behalf of itself and the relevant Senior Priority Secured Parties represented thereby, hereby acknowledges and agrees that it is the intention of the Senior Priority Secured Parties of each Series of Senior Priority Debt that the holders of Senior Priority Obligations of such Series of Senior Priority Debt (and not the Senior Priority Secured Parties of any other Series of Senior Priority Debt) bear the risk of (i) any determination by a court of competent jurisdiction that (x) any of the Senior Priority Obligations of such Series of Senior Priority Debt are unenforceable under applicable law or are subordinated to any other obligations (other than another Series of Senior Priority Debt), (y) any of the Senior Priority Obligations of such Series of Senior Priority Debt do not have an enforceable security interest in any of the Collateral securing any other Series of Senior Priority Debt and/or (z) any intervening security interest exists securing any other obligations (other than another Series of Senior Priority Debt) on a basis ranking prior to the security interest of such Series of Senior Priority Debt but junior to the security interest of any other Series of Senior Priority Debt or (ii) the existence of any Collateral for any other Series of Senior Priority Debt that is not also Collateral for the other Series of Senior Priority Debt (any such condition referred to in the foregoing clauses (i) or (ii) with respect to any Series of Senior Priority Debt, an “ </w:t>
      </w:r>
      <w:r>
        <w:rPr>
          <w:rFonts w:ascii="Arial" w:cs="Arial" w:eastAsia="Arial" w:hAnsi="Arial"/>
          <w:sz w:val="19"/>
          <w:szCs w:val="19"/>
          <w:u w:val="single" w:color="auto"/>
          <w:color w:val="auto"/>
        </w:rPr>
        <w:t>Impairment</w:t>
      </w:r>
      <w:r>
        <w:rPr>
          <w:rFonts w:ascii="Arial" w:cs="Arial" w:eastAsia="Arial" w:hAnsi="Arial"/>
          <w:sz w:val="19"/>
          <w:szCs w:val="19"/>
          <w:color w:val="auto"/>
        </w:rPr>
        <w:t xml:space="preserve"> ” of such Series of Senior Priority Debt). In the event of any Impairment with respect to any Series of Senior Priority Debt, the results of such Impairment shall be borne solely by the holders of such Series of Senior Priority Debt, and the rights of the holders of such Series of Senior Priority Debt (including the right to receive distributions in respect of such Series of Senior Priority Debt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set forth herein shall be modified to the extent necessary so that the effects of such Impairment are borne solely by the holders of the Series of Senior Priority Debt subject to such Impairment.</w:t>
      </w:r>
    </w:p>
    <w:p>
      <w:pPr>
        <w:spacing w:after="0" w:line="165" w:lineRule="exact"/>
        <w:rPr>
          <w:rFonts w:ascii="Arial" w:cs="Arial" w:eastAsia="Arial" w:hAnsi="Arial"/>
          <w:sz w:val="19"/>
          <w:szCs w:val="19"/>
          <w:color w:val="auto"/>
        </w:rPr>
      </w:pPr>
    </w:p>
    <w:p>
      <w:pPr>
        <w:jc w:val="both"/>
        <w:ind w:firstLine="656"/>
        <w:spacing w:after="0" w:line="247" w:lineRule="auto"/>
        <w:tabs>
          <w:tab w:leader="none" w:pos="1135" w:val="left"/>
        </w:tabs>
        <w:numPr>
          <w:ilvl w:val="0"/>
          <w:numId w:val="783"/>
        </w:numPr>
        <w:rPr>
          <w:rFonts w:ascii="Arial" w:cs="Arial" w:eastAsia="Arial" w:hAnsi="Arial"/>
          <w:sz w:val="22"/>
          <w:szCs w:val="22"/>
          <w:color w:val="auto"/>
        </w:rPr>
      </w:pPr>
      <w:r>
        <w:rPr>
          <w:rFonts w:ascii="Arial" w:cs="Arial" w:eastAsia="Arial" w:hAnsi="Arial"/>
          <w:sz w:val="22"/>
          <w:szCs w:val="22"/>
          <w:color w:val="auto"/>
        </w:rPr>
        <w:t>Each Junior Priority Agent, for and on behalf of itself and the relevant Junior Priority Secured Parties represented thereby, hereby acknowledges and agrees that it is the intention of the Junior Priority Secured Parties of each Series of Junior Priority Debt that the holders of Junior Priority Obligations of such Series of Junior Priority Debt (and not the Junior Priority Secured Parties of any other Series of Junior Priority Debt) bear the risk of (i) any determination by a court of competent jurisdiction that (x) any of the Junior Priority Obligations of such Series of Junior Priority Debt are unenforceable under applicable law or are subordinated to any other obligations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7" w:name="page588"/>
    <w:bookmarkEnd w:id="587"/>
    <w:p>
      <w:pPr>
        <w:spacing w:after="0" w:line="291" w:lineRule="auto"/>
        <w:rPr>
          <w:sz w:val="20"/>
          <w:szCs w:val="20"/>
          <w:color w:val="auto"/>
        </w:rPr>
      </w:pPr>
      <w:r>
        <w:rPr>
          <w:rFonts w:ascii="Arial" w:cs="Arial" w:eastAsia="Arial" w:hAnsi="Arial"/>
          <w:sz w:val="19"/>
          <w:szCs w:val="19"/>
          <w:color w:val="auto"/>
        </w:rPr>
        <w:t>(other than another Series of Junior Priority Debt), (y) any of the Junior Priority Obligations of such Series of Junior Priority Debt do not have an enforceable security interest in any of the Collateral securing any other Series of Junior Priority Debt and/or</w:t>
      </w:r>
    </w:p>
    <w:p>
      <w:pPr>
        <w:spacing w:after="0" w:line="1" w:lineRule="exact"/>
        <w:rPr>
          <w:sz w:val="20"/>
          <w:szCs w:val="20"/>
          <w:color w:val="auto"/>
        </w:rPr>
      </w:pPr>
    </w:p>
    <w:p>
      <w:pPr>
        <w:jc w:val="both"/>
        <w:ind w:firstLine="8"/>
        <w:spacing w:after="0" w:line="256" w:lineRule="auto"/>
        <w:tabs>
          <w:tab w:leader="none" w:pos="302" w:val="left"/>
        </w:tabs>
        <w:numPr>
          <w:ilvl w:val="0"/>
          <w:numId w:val="784"/>
        </w:numPr>
        <w:rPr>
          <w:rFonts w:ascii="Arial" w:cs="Arial" w:eastAsia="Arial" w:hAnsi="Arial"/>
          <w:sz w:val="21"/>
          <w:szCs w:val="21"/>
          <w:color w:val="auto"/>
        </w:rPr>
      </w:pPr>
      <w:r>
        <w:rPr>
          <w:rFonts w:ascii="Arial" w:cs="Arial" w:eastAsia="Arial" w:hAnsi="Arial"/>
          <w:sz w:val="21"/>
          <w:szCs w:val="21"/>
          <w:color w:val="auto"/>
        </w:rPr>
        <w:t xml:space="preserve">any intervening security interest exists securing any other obligations (other than another Series of Junior Priority Debt) on a basis ranking prior to the security interest of such Series of Junior Priority Debt but junior to the security interest of any other Series of Junior Priority Debt or (ii) the existence of any Collateral for any other Series of Junior Priority Debt that is not also Collateral for the other Series of Junior Priority Debt (any such condition referred to in the foregoing clauses (i) or (ii) with respect to any Series of Junior Priority Debt, an “ </w:t>
      </w:r>
      <w:r>
        <w:rPr>
          <w:rFonts w:ascii="Arial" w:cs="Arial" w:eastAsia="Arial" w:hAnsi="Arial"/>
          <w:sz w:val="21"/>
          <w:szCs w:val="21"/>
          <w:u w:val="single" w:color="auto"/>
          <w:color w:val="auto"/>
        </w:rPr>
        <w:t>Impairment</w:t>
      </w:r>
      <w:r>
        <w:rPr>
          <w:rFonts w:ascii="Arial" w:cs="Arial" w:eastAsia="Arial" w:hAnsi="Arial"/>
          <w:sz w:val="21"/>
          <w:szCs w:val="21"/>
          <w:color w:val="auto"/>
        </w:rPr>
        <w:t xml:space="preserve"> ” of such Series of Junior Priority Debt). In the event of any Impairment with respect to any Series of Junior Priority Debt, the results of such Impairment shall be borne solely by the holders of such Series of Junior Priority Debt, and the rights of the holders of such Series of Junior Priority Debt (including the right to receive distributions in respect of such Series of Junior Priority Debt pursuant to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 set forth herein shall be modified to the extent necessary so that the effects of such Impairment are borne solely by the holders of the Series of Junior Priority Debt subject to such Impairment.</w:t>
      </w:r>
    </w:p>
    <w:p>
      <w:pPr>
        <w:spacing w:after="0" w:line="187" w:lineRule="exact"/>
        <w:rPr>
          <w:rFonts w:ascii="Arial" w:cs="Arial" w:eastAsia="Arial" w:hAnsi="Arial"/>
          <w:sz w:val="21"/>
          <w:szCs w:val="21"/>
          <w:color w:val="auto"/>
        </w:rPr>
      </w:pPr>
    </w:p>
    <w:p>
      <w:pPr>
        <w:jc w:val="both"/>
        <w:ind w:firstLine="656"/>
        <w:spacing w:after="0" w:line="259" w:lineRule="auto"/>
        <w:tabs>
          <w:tab w:leader="none" w:pos="1131" w:val="left"/>
        </w:tabs>
        <w:numPr>
          <w:ilvl w:val="1"/>
          <w:numId w:val="784"/>
        </w:numPr>
        <w:rPr>
          <w:rFonts w:ascii="Arial" w:cs="Arial" w:eastAsia="Arial" w:hAnsi="Arial"/>
          <w:sz w:val="21"/>
          <w:szCs w:val="21"/>
          <w:color w:val="auto"/>
        </w:rPr>
      </w:pPr>
      <w:r>
        <w:rPr>
          <w:rFonts w:ascii="Arial" w:cs="Arial" w:eastAsia="Arial" w:hAnsi="Arial"/>
          <w:sz w:val="21"/>
          <w:szCs w:val="21"/>
          <w:color w:val="auto"/>
        </w:rPr>
        <w:t>The subordination of Liens by each Junior Priority Agent in favor of the Senior Priority Agents shall not be deemed to subordinate the Liens of any Junior Priority Agent to the Liens of any other Person. The provision of pari passu and equal priority as between Liens of any Senior Priority Agent and Liens of any other Senior Priority Agent, in each case as set forth herein, shall not be deemed to provide that the Liens of the Senior Priority Agent will be pari passu or of equal priority with the Liens of any other Person, or to subordinate any Liens of any Senior Priority Agent to the Liens of any Person. The provision of pari passu and equal priority as between Liens of any Junior Priority Agent and Liens of any other Junior Priority Agent, in each case as set forth herein, shall not be deemed to provide that the Liens of the Junior Priority Agent will be pari passu or of equal priority with the Liens of any other Person.</w:t>
      </w:r>
    </w:p>
    <w:p>
      <w:pPr>
        <w:spacing w:after="0" w:line="183" w:lineRule="exact"/>
        <w:rPr>
          <w:rFonts w:ascii="Arial" w:cs="Arial" w:eastAsia="Arial" w:hAnsi="Arial"/>
          <w:sz w:val="21"/>
          <w:szCs w:val="21"/>
          <w:color w:val="auto"/>
        </w:rPr>
      </w:pPr>
    </w:p>
    <w:p>
      <w:pPr>
        <w:jc w:val="both"/>
        <w:ind w:firstLine="656"/>
        <w:spacing w:after="0" w:line="259" w:lineRule="auto"/>
        <w:tabs>
          <w:tab w:leader="none" w:pos="1129" w:val="left"/>
        </w:tabs>
        <w:numPr>
          <w:ilvl w:val="1"/>
          <w:numId w:val="784"/>
        </w:numPr>
        <w:rPr>
          <w:rFonts w:ascii="Arial" w:cs="Arial" w:eastAsia="Arial" w:hAnsi="Arial"/>
          <w:sz w:val="21"/>
          <w:szCs w:val="21"/>
          <w:color w:val="auto"/>
        </w:rPr>
      </w:pPr>
      <w:r>
        <w:rPr>
          <w:rFonts w:ascii="Arial" w:cs="Arial" w:eastAsia="Arial" w:hAnsi="Arial"/>
          <w:sz w:val="21"/>
          <w:szCs w:val="21"/>
          <w:color w:val="auto"/>
        </w:rPr>
        <w:t xml:space="preserve">So long as the Discharge of Senior Priority Obligations has not occurred, the parties hereto agree that in the event that Holdings or any Borrower shall, or shall permit any other Grantor to, grant or permit any additional Liens, or take any action to perfect any additional Liens, on any asset or property to secure any Junior Priority Obligation and have not also granted a Lien on such asset or property to secure the Senior Priority Obligations and taken all actions to perfect such Liens, then, without limiting any other rights and remedies available to any Senior Priority Agent and/or the other Senior Priority Secured Parties, each Junior Priority Agent, on behalf of itself and the Junior Lien Secured Parties for which it is a Junior Priority Agent, and each other Junior Priority Secured Party (by its acceptance of the benefits of the Junior Priority Documents), agrees that any amounts received by or distributed to any of them pursuant to or as a result of Liens granted in contravention of this </w:t>
      </w:r>
      <w:r>
        <w:rPr>
          <w:rFonts w:ascii="Arial" w:cs="Arial" w:eastAsia="Arial" w:hAnsi="Arial"/>
          <w:sz w:val="21"/>
          <w:szCs w:val="21"/>
          <w:u w:val="single" w:color="auto"/>
          <w:color w:val="auto"/>
        </w:rPr>
        <w:t>Section 2.01(l)</w:t>
      </w:r>
      <w:r>
        <w:rPr>
          <w:rFonts w:ascii="Arial" w:cs="Arial" w:eastAsia="Arial" w:hAnsi="Arial"/>
          <w:sz w:val="21"/>
          <w:szCs w:val="21"/>
          <w:color w:val="auto"/>
        </w:rPr>
        <w:t xml:space="preserve"> shall be subject to </w:t>
      </w:r>
      <w:r>
        <w:rPr>
          <w:rFonts w:ascii="Arial" w:cs="Arial" w:eastAsia="Arial" w:hAnsi="Arial"/>
          <w:sz w:val="21"/>
          <w:szCs w:val="21"/>
          <w:u w:val="single" w:color="auto"/>
          <w:color w:val="auto"/>
        </w:rPr>
        <w:t>Section 4.01(d)</w:t>
      </w:r>
      <w:r>
        <w:rPr>
          <w:rFonts w:ascii="Arial" w:cs="Arial" w:eastAsia="Arial" w:hAnsi="Arial"/>
          <w:sz w:val="21"/>
          <w:szCs w:val="21"/>
          <w:color w:val="auto"/>
        </w:rPr>
        <w:t xml:space="preserve"> .</w:t>
      </w:r>
    </w:p>
    <w:p>
      <w:pPr>
        <w:spacing w:after="0" w:line="17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u w:val="single" w:color="auto"/>
          <w:color w:val="auto"/>
        </w:rPr>
        <w:t xml:space="preserve">Waiver of Right to Contest Liens </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302" w:lineRule="auto"/>
        <w:tabs>
          <w:tab w:leader="none" w:pos="1150" w:val="left"/>
        </w:tabs>
        <w:numPr>
          <w:ilvl w:val="0"/>
          <w:numId w:val="785"/>
        </w:numPr>
        <w:rPr>
          <w:rFonts w:ascii="Arial" w:cs="Arial" w:eastAsia="Arial" w:hAnsi="Arial"/>
          <w:sz w:val="19"/>
          <w:szCs w:val="19"/>
          <w:color w:val="auto"/>
        </w:rPr>
      </w:pPr>
      <w:r>
        <w:rPr>
          <w:rFonts w:ascii="Arial" w:cs="Arial" w:eastAsia="Arial" w:hAnsi="Arial"/>
          <w:sz w:val="19"/>
          <w:szCs w:val="19"/>
          <w:color w:val="auto"/>
        </w:rPr>
        <w:t>Each Junior Priority Agent, for and on behalf of itself and the Junior Priority Creditors represented thereby, agrees that it and they shall not (and hereby waives any right to) take any action to contest or challenge (or assist or support any other Person in contesting or challenging), directly or indirectly, whether or not in any proceeding (including in any Insolvency Proceeding), the validity, priority, enforceability, or perfection of the Liens of any Senior Priority Agent or any Senior Priority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8" w:name="page589"/>
    <w:bookmarkEnd w:id="588"/>
    <w:p>
      <w:pPr>
        <w:jc w:val="both"/>
        <w:spacing w:after="0" w:line="290" w:lineRule="auto"/>
        <w:rPr>
          <w:sz w:val="20"/>
          <w:szCs w:val="20"/>
          <w:color w:val="auto"/>
        </w:rPr>
      </w:pPr>
      <w:r>
        <w:rPr>
          <w:rFonts w:ascii="Arial" w:cs="Arial" w:eastAsia="Arial" w:hAnsi="Arial"/>
          <w:sz w:val="19"/>
          <w:szCs w:val="19"/>
          <w:color w:val="auto"/>
        </w:rPr>
        <w:t>Creditor in respect of the Collateral, or the provisions of this Agreement. Except to the extent expressly set forth in this Agreement, each Junior Priority Agent, for itself and on behalf of the Junior Priority Creditors represented thereby, agrees that no Junior Priority Agent or Junior Priority Creditor will take any action that would interfere with any Exercise of Secured Creditor Remedies undertaken by any Senior Priority Agent or any Senior Priority Creditor under the Senior Priority Documents with respect to the Collateral. Except to the extent expressly set forth in this Agreement, each Junior Priority Agent, for itself and on behalf of the Junior Priority Creditors represented thereby, hereby waives any and all rights it or such Junior Priority Creditors may have as a junior lien creditor or otherwise to contest, protest, object to or interfere with the manner in which any Senior Priority Agent or any Senior Priority Creditor seeks to enforce its Liens in any Collateral.</w:t>
      </w:r>
    </w:p>
    <w:p>
      <w:pPr>
        <w:spacing w:after="0" w:line="156" w:lineRule="exact"/>
        <w:rPr>
          <w:sz w:val="20"/>
          <w:szCs w:val="20"/>
          <w:color w:val="auto"/>
        </w:rPr>
      </w:pPr>
    </w:p>
    <w:p>
      <w:pPr>
        <w:jc w:val="both"/>
        <w:ind w:firstLine="656"/>
        <w:spacing w:after="0" w:line="285" w:lineRule="auto"/>
        <w:tabs>
          <w:tab w:leader="none" w:pos="1160" w:val="left"/>
        </w:tabs>
        <w:numPr>
          <w:ilvl w:val="0"/>
          <w:numId w:val="786"/>
        </w:numPr>
        <w:rPr>
          <w:rFonts w:ascii="Arial" w:cs="Arial" w:eastAsia="Arial" w:hAnsi="Arial"/>
          <w:sz w:val="19"/>
          <w:szCs w:val="19"/>
          <w:color w:val="auto"/>
        </w:rPr>
      </w:pPr>
      <w:r>
        <w:rPr>
          <w:rFonts w:ascii="Arial" w:cs="Arial" w:eastAsia="Arial" w:hAnsi="Arial"/>
          <w:sz w:val="19"/>
          <w:szCs w:val="19"/>
          <w:color w:val="auto"/>
        </w:rPr>
        <w:t>Each Junior Priority Agent, for and on behalf of itself and the Junior Priority Creditors represented thereby, agrees that it and they shall not (and hereby waives any right to) take any action to contest or challenge (or assist or support any other Person in contesting or challenging), directly or indirectly, whether or not in any proceeding (including in any Insolvency Proceeding), the validity, priority, enforceability, or perfection of the Liens of any other Junior Priority Agent or any other Junior Priority Creditor in respect of the Collateral, or the provisions of this Agreement (except as may be separately otherwise agreed in writing by and between such Junior Priority Agent, on behalf of itself and the Junior Priority Creditors represented thereby, and the other relevant Junior Priority Agent, on behalf of itself and the Junior Priority Creditors represented thereby). Except to the extent expressly set forth in this Agreement, each Junior Priority Agent, for itself and on behalf of the Junior Priority Creditors represented thereby, agrees that no Junior Priority Agent or Junior Priority Creditor will take any action that would interfere with any Exercise of Secured Creditor Remedies undertaken by any other Junior Priority Agent or any other Junior Priority Creditor under the Junior Priority Documents with respect to the Collateral (except as may be separately otherwise agreed in writing by and between such Junior Priority Agent, on behalf of itself and the Junior Priority Creditors represented thereby, and the other relevant Junior Priority Agent, on behalf of itself and the Junior Priority Creditors represented thereby). Except to the extent expressly set forth in this Agreement, each Junior Priority Agent, for itself and on behalf of the Junior Priority Creditors represented thereby, hereby waives any and all rights it or such Junior Priority Creditors may have as a junior lien creditor or otherwise to contest, protest, object to or interfere with the manner in which any other Junior Priority Agent or any other Junior Priority Creditor seeks to enforce its Liens in any Collateral (except as may be separately otherwise agreed in writing by and between such Junior Priority Agent, on behalf of itself and the Junior Priority Creditors represented thereby, and the other relevant Junior Priority Agent, on behalf of itself and the Junior Priority Creditors represented thereby).</w:t>
      </w:r>
    </w:p>
    <w:p>
      <w:pPr>
        <w:spacing w:after="0" w:line="159" w:lineRule="exact"/>
        <w:rPr>
          <w:rFonts w:ascii="Arial" w:cs="Arial" w:eastAsia="Arial" w:hAnsi="Arial"/>
          <w:sz w:val="19"/>
          <w:szCs w:val="19"/>
          <w:color w:val="auto"/>
        </w:rPr>
      </w:pPr>
    </w:p>
    <w:p>
      <w:pPr>
        <w:jc w:val="both"/>
        <w:ind w:firstLine="656"/>
        <w:spacing w:after="0" w:line="246" w:lineRule="auto"/>
        <w:tabs>
          <w:tab w:leader="none" w:pos="1142" w:val="left"/>
        </w:tabs>
        <w:numPr>
          <w:ilvl w:val="0"/>
          <w:numId w:val="786"/>
        </w:numPr>
        <w:rPr>
          <w:rFonts w:ascii="Arial" w:cs="Arial" w:eastAsia="Arial" w:hAnsi="Arial"/>
          <w:sz w:val="22"/>
          <w:szCs w:val="22"/>
          <w:color w:val="auto"/>
        </w:rPr>
      </w:pPr>
      <w:r>
        <w:rPr>
          <w:rFonts w:ascii="Arial" w:cs="Arial" w:eastAsia="Arial" w:hAnsi="Arial"/>
          <w:sz w:val="22"/>
          <w:szCs w:val="22"/>
          <w:color w:val="auto"/>
        </w:rPr>
        <w:t>Each Senior Priority Agent, for and on behalf of itself and the Senior Priority Creditors represented thereby, agrees that it and they shall not (and hereby waives any right to) take any action to contest or challenge (or assist or support any other Person in contesting or challenging), directly or indirectly, whether or not in any proceeding (including in any Insolvency Proceeding), the validity, priority, enforceability, or perfection of the Liens of any other Senior Priority Agent or any other Senior Priority Creditor in respect of the Collateral, or the provisions of this Agreement (except as may be separately otherwise agreed in writing by and between such Senior Priority Agent, on behalf of itself and the Senior Priority Creditors represented thereby, and the other relevant Senior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89" w:name="page590"/>
    <w:bookmarkEnd w:id="589"/>
    <w:p>
      <w:pPr>
        <w:jc w:val="both"/>
        <w:spacing w:after="0" w:line="286" w:lineRule="auto"/>
        <w:rPr>
          <w:sz w:val="20"/>
          <w:szCs w:val="20"/>
          <w:color w:val="auto"/>
        </w:rPr>
      </w:pPr>
      <w:r>
        <w:rPr>
          <w:rFonts w:ascii="Arial" w:cs="Arial" w:eastAsia="Arial" w:hAnsi="Arial"/>
          <w:sz w:val="19"/>
          <w:szCs w:val="19"/>
          <w:color w:val="auto"/>
        </w:rPr>
        <w:t>Priority Agent, on behalf of itself and the Senior Priority Creditors represented thereby). Except to the extent expressly set forth in this Agreement, each Senior Priority Agent, for itself and on behalf of the Senior Priority Creditors represented thereby, agrees that no Senior Priority Agent or Senior Priority Creditor will take any action that would interfere with any Exercise of Secured Creditor Remedies undertaken by any other Senior Priority Agent or any other Senior Priority Creditor under the Senior Priority Documents with respect to the Collateral (except as may be separately otherwise agreed in writing by and between such Senior Priority Agent, on behalf of itself and the Senior Priority Creditors represented thereby, and the other relevant Senior Priority Agent, on behalf of itself and the Senior Priority Creditors represented thereby). Except to the extent expressly set forth in this Agreement, each Senior Priority Agent, for itself and on behalf of the Senior Priority Creditors represented thereby, hereby waives any and all rights it or such Senior Priority Creditors may have as a senior lien creditor or otherwise to contest, protest, object to or interfere with the manner in which any other Senior Priority Agent or any other Senior Priority Creditor seeks to enforce its Liens in any Collateral (except as may be separately otherwise agreed in writing by and between such Senior Priority Agent, on behalf of itself and the Senior Priority Creditors represented thereby, and the other relevant Senior Priority Agent, on behalf of itself and the Senior Priority Creditors represented thereby).</w:t>
      </w:r>
    </w:p>
    <w:p>
      <w:pPr>
        <w:spacing w:after="0" w:line="166" w:lineRule="exact"/>
        <w:rPr>
          <w:sz w:val="20"/>
          <w:szCs w:val="20"/>
          <w:color w:val="auto"/>
        </w:rPr>
      </w:pPr>
    </w:p>
    <w:p>
      <w:pPr>
        <w:ind w:firstLine="656"/>
        <w:spacing w:after="0" w:line="263" w:lineRule="auto"/>
        <w:tabs>
          <w:tab w:leader="none" w:pos="1141" w:val="left"/>
        </w:tabs>
        <w:numPr>
          <w:ilvl w:val="0"/>
          <w:numId w:val="787"/>
        </w:numPr>
        <w:rPr>
          <w:rFonts w:ascii="Arial" w:cs="Arial" w:eastAsia="Arial" w:hAnsi="Arial"/>
          <w:sz w:val="22"/>
          <w:szCs w:val="22"/>
          <w:color w:val="auto"/>
        </w:rPr>
      </w:pPr>
      <w:r>
        <w:rPr>
          <w:rFonts w:ascii="Arial" w:cs="Arial" w:eastAsia="Arial" w:hAnsi="Arial"/>
          <w:sz w:val="22"/>
          <w:szCs w:val="22"/>
          <w:color w:val="auto"/>
        </w:rPr>
        <w:t xml:space="preserve">The assertion of priority rights established under the terms of this Agreement shall not be considered a challenge to Lien priority of any Party prohibited by this </w:t>
      </w:r>
      <w:r>
        <w:rPr>
          <w:rFonts w:ascii="Arial" w:cs="Arial" w:eastAsia="Arial" w:hAnsi="Arial"/>
          <w:sz w:val="22"/>
          <w:szCs w:val="22"/>
          <w:u w:val="single" w:color="auto"/>
          <w:color w:val="auto"/>
        </w:rPr>
        <w:t>Section 2.02.</w:t>
      </w:r>
    </w:p>
    <w:p>
      <w:pPr>
        <w:spacing w:after="0" w:line="16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u w:val="single" w:color="auto"/>
          <w:color w:val="auto"/>
        </w:rPr>
        <w:t xml:space="preserve">Remedies Standstill </w:t>
      </w:r>
      <w:r>
        <w:rPr>
          <w:rFonts w:ascii="Arial" w:cs="Arial" w:eastAsia="Arial" w:hAnsi="Arial"/>
          <w:sz w:val="19"/>
          <w:szCs w:val="19"/>
          <w:b w:val="1"/>
          <w:bCs w:val="1"/>
          <w:color w:val="auto"/>
        </w:rPr>
        <w:t>.</w:t>
      </w:r>
    </w:p>
    <w:p>
      <w:pPr>
        <w:spacing w:after="0" w:line="226" w:lineRule="exact"/>
        <w:rPr>
          <w:sz w:val="20"/>
          <w:szCs w:val="20"/>
          <w:color w:val="auto"/>
        </w:rPr>
      </w:pPr>
    </w:p>
    <w:p>
      <w:pPr>
        <w:ind w:firstLine="656"/>
        <w:spacing w:after="0" w:line="343" w:lineRule="auto"/>
        <w:tabs>
          <w:tab w:leader="none" w:pos="1150" w:val="left"/>
        </w:tabs>
        <w:numPr>
          <w:ilvl w:val="0"/>
          <w:numId w:val="788"/>
        </w:numPr>
        <w:rPr>
          <w:rFonts w:ascii="Arial" w:cs="Arial" w:eastAsia="Arial" w:hAnsi="Arial"/>
          <w:sz w:val="19"/>
          <w:szCs w:val="19"/>
          <w:color w:val="auto"/>
        </w:rPr>
      </w:pPr>
      <w:r>
        <w:rPr>
          <w:rFonts w:ascii="Arial" w:cs="Arial" w:eastAsia="Arial" w:hAnsi="Arial"/>
          <w:sz w:val="19"/>
          <w:szCs w:val="19"/>
          <w:color w:val="auto"/>
        </w:rPr>
        <w:t>Each Junior Priority Agent, for and on behalf of itself and the Junior Priority Creditors represented thereby, agrees that, until the Discharge of Senior Priority Obligations, such Junior Priority Agent and such Junior Priority Creditors:</w:t>
      </w:r>
    </w:p>
    <w:p>
      <w:pPr>
        <w:spacing w:after="0" w:line="104" w:lineRule="exact"/>
        <w:rPr>
          <w:rFonts w:ascii="Arial" w:cs="Arial" w:eastAsia="Arial" w:hAnsi="Arial"/>
          <w:sz w:val="19"/>
          <w:szCs w:val="19"/>
          <w:color w:val="auto"/>
        </w:rPr>
      </w:pPr>
    </w:p>
    <w:p>
      <w:pPr>
        <w:jc w:val="both"/>
        <w:ind w:left="660" w:firstLine="644"/>
        <w:spacing w:after="0" w:line="286" w:lineRule="auto"/>
        <w:tabs>
          <w:tab w:leader="none" w:pos="1772" w:val="left"/>
        </w:tabs>
        <w:numPr>
          <w:ilvl w:val="1"/>
          <w:numId w:val="788"/>
        </w:numPr>
        <w:rPr>
          <w:rFonts w:ascii="Arial" w:cs="Arial" w:eastAsia="Arial" w:hAnsi="Arial"/>
          <w:sz w:val="19"/>
          <w:szCs w:val="19"/>
          <w:color w:val="auto"/>
        </w:rPr>
      </w:pPr>
      <w:r>
        <w:rPr>
          <w:rFonts w:ascii="Arial" w:cs="Arial" w:eastAsia="Arial" w:hAnsi="Arial"/>
          <w:sz w:val="19"/>
          <w:szCs w:val="19"/>
          <w:color w:val="auto"/>
        </w:rPr>
        <w:t xml:space="preserve">will not, and will not seek to, Exercise Any Secured Creditor Remedies (or institute or join in any action or proceeding with respect to the Exercise of Secured Creditor Remedies) with respect to the Collateral without the written consent of the Senior Priority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Junior Priority Agent may Exercise Any Secured Creditor Remedies after a period of 180 consecutive days has elapsed from the date of delivery of written notice by such Junior Priority Agent to each Senior Priority Agent stating that an Event of Default (as defined under the applicable Junior Priority Credit Facility) has occurred and is continuing thereunder and stating its intention to Exercise Any Secured Creditor Remedies (the “ </w:t>
      </w:r>
      <w:r>
        <w:rPr>
          <w:rFonts w:ascii="Arial" w:cs="Arial" w:eastAsia="Arial" w:hAnsi="Arial"/>
          <w:sz w:val="19"/>
          <w:szCs w:val="19"/>
          <w:u w:val="single" w:color="auto"/>
          <w:color w:val="auto"/>
        </w:rPr>
        <w:t>Standstill Period”</w:t>
      </w:r>
      <w:r>
        <w:rPr>
          <w:rFonts w:ascii="Arial" w:cs="Arial" w:eastAsia="Arial" w:hAnsi="Arial"/>
          <w:sz w:val="19"/>
          <w:szCs w:val="19"/>
          <w:color w:val="auto"/>
        </w:rPr>
        <w:t xml:space="preserve"> ), and then such Junior Priority Agent may Exercise Any Secured Creditor Remedies only so long as no Senior Priority Secured Party shall have commenced (or attempted to commence or given notice of its intent to commence) the Exercise of Secured Creditor Remedies with respect to the Collateral (including seeking relief from the automatic stay or any other stay in any Insolvency Proceeding);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notwithstanding anything herein to the contrary, in no event shall the Junior Priority Agent Exercise Any Secured Creditor Remedies with respect to the Collateral if, notwithstanding the expiration of the Standstill Period, Senior Priority Secured Party shall have commenced and be diligently pursuing the Exercise of Secured Creditor Remedies (or shall have sought or requested relief or modification of the automatic stay or any other stay in an Insolvency Proceeding to enable the commencement and pursuit thereof); and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0" w:name="page591"/>
    <w:bookmarkEnd w:id="590"/>
    <w:p>
      <w:pPr>
        <w:jc w:val="both"/>
        <w:ind w:left="660" w:firstLine="644"/>
        <w:spacing w:after="0" w:line="250" w:lineRule="auto"/>
        <w:tabs>
          <w:tab w:leader="none" w:pos="1890" w:val="left"/>
        </w:tabs>
        <w:numPr>
          <w:ilvl w:val="1"/>
          <w:numId w:val="789"/>
        </w:numPr>
        <w:rPr>
          <w:rFonts w:ascii="Arial" w:cs="Arial" w:eastAsia="Arial" w:hAnsi="Arial"/>
          <w:sz w:val="22"/>
          <w:szCs w:val="22"/>
          <w:color w:val="auto"/>
        </w:rPr>
      </w:pPr>
      <w:r>
        <w:rPr>
          <w:rFonts w:ascii="Arial" w:cs="Arial" w:eastAsia="Arial" w:hAnsi="Arial"/>
          <w:sz w:val="22"/>
          <w:szCs w:val="22"/>
          <w:color w:val="auto"/>
        </w:rPr>
        <w:t xml:space="preserve">will not contest, protest or object to any foreclosure proceeding or action brought by the Senior Priority Representative or any other Senior Priority Agent of any rights and remedies relating to the Collateral under the Senior Priority Credit Facilities or otherwise, in each case so long as any Proceeds are distributed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4.01;</w:t>
      </w:r>
    </w:p>
    <w:p>
      <w:pPr>
        <w:spacing w:after="0" w:line="187" w:lineRule="exact"/>
        <w:rPr>
          <w:rFonts w:ascii="Arial" w:cs="Arial" w:eastAsia="Arial" w:hAnsi="Arial"/>
          <w:sz w:val="22"/>
          <w:szCs w:val="22"/>
          <w:color w:val="auto"/>
        </w:rPr>
      </w:pPr>
    </w:p>
    <w:p>
      <w:pPr>
        <w:ind w:left="660" w:right="20" w:firstLine="644"/>
        <w:spacing w:after="0" w:line="343" w:lineRule="auto"/>
        <w:tabs>
          <w:tab w:leader="none" w:pos="1856" w:val="left"/>
        </w:tabs>
        <w:numPr>
          <w:ilvl w:val="1"/>
          <w:numId w:val="789"/>
        </w:numPr>
        <w:rPr>
          <w:rFonts w:ascii="Arial" w:cs="Arial" w:eastAsia="Arial" w:hAnsi="Arial"/>
          <w:sz w:val="19"/>
          <w:szCs w:val="19"/>
          <w:color w:val="auto"/>
        </w:rPr>
      </w:pPr>
      <w:r>
        <w:rPr>
          <w:rFonts w:ascii="Arial" w:cs="Arial" w:eastAsia="Arial" w:hAnsi="Arial"/>
          <w:sz w:val="19"/>
          <w:szCs w:val="19"/>
          <w:color w:val="auto"/>
        </w:rPr>
        <w:t xml:space="preserve">will not knowingly take, receive or accept any Proceeds of the Collateral in connection with any Exercise of Secured Creditor Remedies except to the extent such Proceeds were paid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 and</w:t>
      </w:r>
    </w:p>
    <w:p>
      <w:pPr>
        <w:spacing w:after="0" w:line="104" w:lineRule="exact"/>
        <w:rPr>
          <w:rFonts w:ascii="Arial" w:cs="Arial" w:eastAsia="Arial" w:hAnsi="Arial"/>
          <w:sz w:val="19"/>
          <w:szCs w:val="19"/>
          <w:color w:val="auto"/>
        </w:rPr>
      </w:pPr>
    </w:p>
    <w:p>
      <w:pPr>
        <w:jc w:val="both"/>
        <w:ind w:left="660" w:firstLine="644"/>
        <w:spacing w:after="0" w:line="250" w:lineRule="auto"/>
        <w:tabs>
          <w:tab w:leader="none" w:pos="1926" w:val="left"/>
        </w:tabs>
        <w:numPr>
          <w:ilvl w:val="1"/>
          <w:numId w:val="789"/>
        </w:numPr>
        <w:rPr>
          <w:rFonts w:ascii="Arial" w:cs="Arial" w:eastAsia="Arial" w:hAnsi="Arial"/>
          <w:sz w:val="22"/>
          <w:szCs w:val="22"/>
          <w:color w:val="auto"/>
        </w:rPr>
      </w:pPr>
      <w:r>
        <w:rPr>
          <w:rFonts w:ascii="Arial" w:cs="Arial" w:eastAsia="Arial" w:hAnsi="Arial"/>
          <w:sz w:val="22"/>
          <w:szCs w:val="22"/>
          <w:color w:val="auto"/>
        </w:rPr>
        <w:t xml:space="preserve">subject to their rights under clause (a)(i) above, will not object to the forbearance by the Senior Priority Representative or any other Senior Priority Agent or the Senior Priority Creditors from bringing or pursuing any foreclosure proceeding or action or any other exercise of any rights or remedies relating to the Collateral, in each case so long as any Proceeds are distributed in accordance with </w:t>
      </w:r>
      <w:r>
        <w:rPr>
          <w:rFonts w:ascii="Arial" w:cs="Arial" w:eastAsia="Arial" w:hAnsi="Arial"/>
          <w:sz w:val="22"/>
          <w:szCs w:val="22"/>
          <w:u w:val="single" w:color="auto"/>
          <w:color w:val="auto"/>
        </w:rPr>
        <w:t>Section 4.01.</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44" w:val="left"/>
        </w:tabs>
        <w:numPr>
          <w:ilvl w:val="0"/>
          <w:numId w:val="790"/>
        </w:numPr>
        <w:rPr>
          <w:rFonts w:ascii="Arial" w:cs="Arial" w:eastAsia="Arial" w:hAnsi="Arial"/>
          <w:sz w:val="22"/>
          <w:szCs w:val="22"/>
          <w:color w:val="auto"/>
        </w:rPr>
      </w:pPr>
      <w:r>
        <w:rPr>
          <w:rFonts w:ascii="Arial" w:cs="Arial" w:eastAsia="Arial" w:hAnsi="Arial"/>
          <w:sz w:val="22"/>
          <w:szCs w:val="22"/>
          <w:color w:val="auto"/>
        </w:rPr>
        <w:t xml:space="preserve">Until the Discharge of Senior Priority Obligations, whether or not any Insolvency Proceeding has been commenced by or against any Loan Party, subject to Section 2.03(a)(i), the Senior Priority Representative (or its agent or nominee) shall have the exclusive right to Exercise Any Secured Creditor Remedies without any consultation with or the consent of the Junior Priority Representative, any other Junior Priority Agent or any Junior Priority Creditor;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Proceeds are distributed in accordance with </w:t>
      </w:r>
      <w:r>
        <w:rPr>
          <w:rFonts w:ascii="Arial" w:cs="Arial" w:eastAsia="Arial" w:hAnsi="Arial"/>
          <w:sz w:val="22"/>
          <w:szCs w:val="22"/>
          <w:u w:val="single" w:color="auto"/>
          <w:color w:val="auto"/>
        </w:rPr>
        <w:t>Section 4.01.</w:t>
      </w:r>
    </w:p>
    <w:p>
      <w:pPr>
        <w:spacing w:after="0" w:line="191" w:lineRule="exact"/>
        <w:rPr>
          <w:rFonts w:ascii="Arial" w:cs="Arial" w:eastAsia="Arial" w:hAnsi="Arial"/>
          <w:sz w:val="22"/>
          <w:szCs w:val="22"/>
          <w:color w:val="auto"/>
        </w:rPr>
      </w:pPr>
    </w:p>
    <w:p>
      <w:pPr>
        <w:jc w:val="both"/>
        <w:ind w:firstLine="656"/>
        <w:spacing w:after="0" w:line="250" w:lineRule="auto"/>
        <w:tabs>
          <w:tab w:leader="none" w:pos="1228" w:val="left"/>
        </w:tabs>
        <w:numPr>
          <w:ilvl w:val="0"/>
          <w:numId w:val="790"/>
        </w:numPr>
        <w:rPr>
          <w:rFonts w:ascii="Arial" w:cs="Arial" w:eastAsia="Arial" w:hAnsi="Arial"/>
          <w:sz w:val="22"/>
          <w:szCs w:val="22"/>
          <w:color w:val="auto"/>
        </w:rPr>
      </w:pPr>
      <w:r>
        <w:rPr>
          <w:rFonts w:ascii="Arial" w:cs="Arial" w:eastAsia="Arial" w:hAnsi="Arial"/>
          <w:sz w:val="22"/>
          <w:szCs w:val="22"/>
          <w:color w:val="auto"/>
        </w:rPr>
        <w:t xml:space="preserve">From and after the Discharge of Senior Priority Obligations, any Junior Priority Agent and any Junior Priority Creditor may Exercise Any Secured Creditor Remedies under the Junior Priority Documents or applicable law as to any Collateral; subject to the provisions of this Agreement, including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Notwithstanding anything to the contrary contained herein, any Junior Priority Agent or any Junior Priority Secured Party may:</w:t>
      </w:r>
    </w:p>
    <w:p>
      <w:pPr>
        <w:spacing w:after="0" w:line="187" w:lineRule="exact"/>
        <w:rPr>
          <w:rFonts w:ascii="Arial" w:cs="Arial" w:eastAsia="Arial" w:hAnsi="Arial"/>
          <w:sz w:val="22"/>
          <w:szCs w:val="22"/>
          <w:color w:val="auto"/>
        </w:rPr>
      </w:pPr>
    </w:p>
    <w:p>
      <w:pPr>
        <w:jc w:val="both"/>
        <w:ind w:left="660" w:firstLine="644"/>
        <w:spacing w:after="0" w:line="250" w:lineRule="auto"/>
        <w:tabs>
          <w:tab w:leader="none" w:pos="1769" w:val="left"/>
        </w:tabs>
        <w:numPr>
          <w:ilvl w:val="1"/>
          <w:numId w:val="790"/>
        </w:numPr>
        <w:rPr>
          <w:rFonts w:ascii="Arial" w:cs="Arial" w:eastAsia="Arial" w:hAnsi="Arial"/>
          <w:sz w:val="22"/>
          <w:szCs w:val="22"/>
          <w:color w:val="auto"/>
        </w:rPr>
      </w:pPr>
      <w:r>
        <w:rPr>
          <w:rFonts w:ascii="Arial" w:cs="Arial" w:eastAsia="Arial" w:hAnsi="Arial"/>
          <w:sz w:val="22"/>
          <w:szCs w:val="22"/>
          <w:color w:val="auto"/>
        </w:rPr>
        <w:t>make such demands or file such claims in respect of the [Senior] [Junior] Priority Obligations owed to such [Senior] [Junior] Priority Agent and the [Senior] [Junior] Priority Creditors represented thereby as are necessary to prevent the waiver or bar of such claims under applicable statutes of limitations or other statutes, court orders, or rules of procedure at any time;</w:t>
      </w:r>
    </w:p>
    <w:p>
      <w:pPr>
        <w:spacing w:after="0" w:line="187" w:lineRule="exact"/>
        <w:rPr>
          <w:rFonts w:ascii="Arial" w:cs="Arial" w:eastAsia="Arial" w:hAnsi="Arial"/>
          <w:sz w:val="22"/>
          <w:szCs w:val="22"/>
          <w:color w:val="auto"/>
        </w:rPr>
      </w:pPr>
    </w:p>
    <w:p>
      <w:pPr>
        <w:ind w:left="1780" w:hanging="476"/>
        <w:spacing w:after="0"/>
        <w:tabs>
          <w:tab w:leader="none" w:pos="1780" w:val="left"/>
        </w:tabs>
        <w:numPr>
          <w:ilvl w:val="1"/>
          <w:numId w:val="790"/>
        </w:numPr>
        <w:rPr>
          <w:rFonts w:ascii="Arial" w:cs="Arial" w:eastAsia="Arial" w:hAnsi="Arial"/>
          <w:sz w:val="22"/>
          <w:szCs w:val="22"/>
          <w:color w:val="auto"/>
        </w:rPr>
      </w:pPr>
      <w:r>
        <w:rPr>
          <w:rFonts w:ascii="Arial" w:cs="Arial" w:eastAsia="Arial" w:hAnsi="Arial"/>
          <w:sz w:val="22"/>
          <w:szCs w:val="22"/>
          <w:color w:val="auto"/>
        </w:rPr>
        <w:t>file a claim or statement of interest with respect to the Junior Priority Obligations;</w:t>
      </w:r>
    </w:p>
    <w:p>
      <w:pPr>
        <w:spacing w:after="0" w:line="219" w:lineRule="exact"/>
        <w:rPr>
          <w:rFonts w:ascii="Arial" w:cs="Arial" w:eastAsia="Arial" w:hAnsi="Arial"/>
          <w:sz w:val="22"/>
          <w:szCs w:val="22"/>
          <w:color w:val="auto"/>
        </w:rPr>
      </w:pPr>
    </w:p>
    <w:p>
      <w:pPr>
        <w:ind w:left="660" w:firstLine="644"/>
        <w:spacing w:after="0" w:line="263" w:lineRule="auto"/>
        <w:tabs>
          <w:tab w:leader="none" w:pos="1871" w:val="left"/>
        </w:tabs>
        <w:numPr>
          <w:ilvl w:val="1"/>
          <w:numId w:val="790"/>
        </w:numPr>
        <w:rPr>
          <w:rFonts w:ascii="Arial" w:cs="Arial" w:eastAsia="Arial" w:hAnsi="Arial"/>
          <w:sz w:val="22"/>
          <w:szCs w:val="22"/>
          <w:color w:val="auto"/>
        </w:rPr>
      </w:pPr>
      <w:r>
        <w:rPr>
          <w:rFonts w:ascii="Arial" w:cs="Arial" w:eastAsia="Arial" w:hAnsi="Arial"/>
          <w:sz w:val="22"/>
          <w:szCs w:val="22"/>
          <w:color w:val="auto"/>
        </w:rPr>
        <w:t>take any action in order to create, prove, perfect, preserve or protect (but not enforce) its Lien on and rights in, and the perfection and priority of its Lien on, any of the Collateral;</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2049" w:val="left"/>
        </w:tabs>
        <w:numPr>
          <w:ilvl w:val="1"/>
          <w:numId w:val="790"/>
        </w:numPr>
        <w:rPr>
          <w:rFonts w:ascii="Arial" w:cs="Arial" w:eastAsia="Arial" w:hAnsi="Arial"/>
          <w:sz w:val="22"/>
          <w:szCs w:val="22"/>
          <w:color w:val="auto"/>
        </w:rPr>
      </w:pPr>
      <w:r>
        <w:rPr>
          <w:rFonts w:ascii="Arial" w:cs="Arial" w:eastAsia="Arial" w:hAnsi="Arial"/>
          <w:sz w:val="22"/>
          <w:szCs w:val="22"/>
          <w:color w:val="auto"/>
        </w:rPr>
        <w:t>file any necessary responsive or defensive pleadings in opposition to any motion, claim, adversary proceeding or other pleading made by any person objecting to or otherwise seeking the disallowance of the claims of the Junior Priority Secured Parties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1" w:name="page592"/>
    <w:bookmarkEnd w:id="591"/>
    <w:p>
      <w:pPr>
        <w:jc w:val="center"/>
        <w:ind w:right="60"/>
        <w:spacing w:after="0"/>
        <w:rPr>
          <w:sz w:val="20"/>
          <w:szCs w:val="20"/>
          <w:color w:val="auto"/>
        </w:rPr>
      </w:pPr>
      <w:r>
        <w:rPr>
          <w:rFonts w:ascii="Arial" w:cs="Arial" w:eastAsia="Arial" w:hAnsi="Arial"/>
          <w:sz w:val="22"/>
          <w:szCs w:val="22"/>
          <w:color w:val="auto"/>
        </w:rPr>
        <w:t>represented thereby or of the same Series of Senior Priority Debt, in accordance with the terms of this Agreement;</w:t>
      </w:r>
    </w:p>
    <w:p>
      <w:pPr>
        <w:spacing w:after="0" w:line="220" w:lineRule="exact"/>
        <w:rPr>
          <w:sz w:val="20"/>
          <w:szCs w:val="20"/>
          <w:color w:val="auto"/>
        </w:rPr>
      </w:pPr>
    </w:p>
    <w:p>
      <w:pPr>
        <w:jc w:val="both"/>
        <w:ind w:left="660" w:firstLine="644"/>
        <w:spacing w:after="0" w:line="250" w:lineRule="auto"/>
        <w:tabs>
          <w:tab w:leader="none" w:pos="1818" w:val="left"/>
        </w:tabs>
        <w:numPr>
          <w:ilvl w:val="1"/>
          <w:numId w:val="791"/>
        </w:numPr>
        <w:rPr>
          <w:rFonts w:ascii="Arial" w:cs="Arial" w:eastAsia="Arial" w:hAnsi="Arial"/>
          <w:sz w:val="22"/>
          <w:szCs w:val="22"/>
          <w:color w:val="auto"/>
        </w:rPr>
      </w:pPr>
      <w:r>
        <w:rPr>
          <w:rFonts w:ascii="Arial" w:cs="Arial" w:eastAsia="Arial" w:hAnsi="Arial"/>
          <w:sz w:val="22"/>
          <w:szCs w:val="22"/>
          <w:color w:val="auto"/>
        </w:rPr>
        <w:t>file any pleadings, objections, motions or agreements which assert rights or interests available to unsecured creditors of the Loan Parties arising under either any Insolvency Proceeding or applicable non-bankruptcy law, in each case not inconsistent with the terms of this Agreement or applicable law (including the Bankruptcy Laws of any applicable jurisdiction); and</w:t>
      </w:r>
    </w:p>
    <w:p>
      <w:pPr>
        <w:spacing w:after="0" w:line="187" w:lineRule="exact"/>
        <w:rPr>
          <w:rFonts w:ascii="Arial" w:cs="Arial" w:eastAsia="Arial" w:hAnsi="Arial"/>
          <w:sz w:val="22"/>
          <w:szCs w:val="22"/>
          <w:color w:val="auto"/>
        </w:rPr>
      </w:pPr>
    </w:p>
    <w:p>
      <w:pPr>
        <w:jc w:val="both"/>
        <w:ind w:left="660" w:firstLine="644"/>
        <w:spacing w:after="0" w:line="253" w:lineRule="auto"/>
        <w:tabs>
          <w:tab w:leader="none" w:pos="1846" w:val="left"/>
        </w:tabs>
        <w:numPr>
          <w:ilvl w:val="1"/>
          <w:numId w:val="791"/>
        </w:numPr>
        <w:rPr>
          <w:rFonts w:ascii="Arial" w:cs="Arial" w:eastAsia="Arial" w:hAnsi="Arial"/>
          <w:sz w:val="22"/>
          <w:szCs w:val="22"/>
          <w:color w:val="auto"/>
        </w:rPr>
      </w:pPr>
      <w:r>
        <w:rPr>
          <w:rFonts w:ascii="Arial" w:cs="Arial" w:eastAsia="Arial" w:hAnsi="Arial"/>
          <w:sz w:val="22"/>
          <w:szCs w:val="22"/>
          <w:color w:val="auto"/>
        </w:rPr>
        <w:t>vote on any Plan of Reorganization, file any proof of claim, make other filings and make any arguments and motions (including in support of or opposition to, as applicable, the confirmation or approval of any Plan of Reorganization) that are, in each case, in accordance with the terms of this Agreement.</w:t>
      </w:r>
    </w:p>
    <w:p>
      <w:pPr>
        <w:spacing w:after="0" w:line="185" w:lineRule="exact"/>
        <w:rPr>
          <w:rFonts w:ascii="Arial" w:cs="Arial" w:eastAsia="Arial" w:hAnsi="Arial"/>
          <w:sz w:val="22"/>
          <w:szCs w:val="22"/>
          <w:color w:val="auto"/>
        </w:rPr>
      </w:pPr>
    </w:p>
    <w:p>
      <w:pPr>
        <w:jc w:val="both"/>
        <w:ind w:firstLine="656"/>
        <w:spacing w:after="0" w:line="290" w:lineRule="auto"/>
        <w:tabs>
          <w:tab w:leader="none" w:pos="1114" w:val="left"/>
        </w:tabs>
        <w:numPr>
          <w:ilvl w:val="0"/>
          <w:numId w:val="792"/>
        </w:numPr>
        <w:rPr>
          <w:rFonts w:ascii="Arial" w:cs="Arial" w:eastAsia="Arial" w:hAnsi="Arial"/>
          <w:sz w:val="19"/>
          <w:szCs w:val="19"/>
          <w:color w:val="auto"/>
        </w:rPr>
      </w:pPr>
      <w:r>
        <w:rPr>
          <w:rFonts w:ascii="Arial" w:cs="Arial" w:eastAsia="Arial" w:hAnsi="Arial"/>
          <w:sz w:val="19"/>
          <w:szCs w:val="19"/>
          <w:color w:val="auto"/>
        </w:rPr>
        <w:t xml:space="preserve">Any Senior Priority Agent, on behalf of itself and any Senior Priority Creditors represented thereby, agrees that such Senior Priority Agent and such Senior Priority Creditors will not, and will not seek to, Exercise Any Secured Creditor Remedies (or institute or join in any action or proceeding with respect to the Exercise of Secured Creditor Remedies) with respect to any of the Collateral without the written consent of the Senior Priority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sentence shall prohibit any Senior Priority Agent from taking such actions in its capacity as Senior Priority Representative, if applicable. The Senior Priority Representative may Exercise Any Secured Creditor Remedies under the Senior Priority Collateral Documents or applicable law as to any Collateral subject to the provisions of this Agreement, including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hereof. Notwithstanding anything to the contrary contained herein, any Senior Priority Agent or any Senior Priority Secured Party may:</w:t>
      </w:r>
    </w:p>
    <w:p>
      <w:pPr>
        <w:spacing w:after="0" w:line="155" w:lineRule="exact"/>
        <w:rPr>
          <w:rFonts w:ascii="Arial" w:cs="Arial" w:eastAsia="Arial" w:hAnsi="Arial"/>
          <w:sz w:val="19"/>
          <w:szCs w:val="19"/>
          <w:color w:val="auto"/>
        </w:rPr>
      </w:pPr>
    </w:p>
    <w:p>
      <w:pPr>
        <w:jc w:val="both"/>
        <w:ind w:left="660" w:firstLine="644"/>
        <w:spacing w:after="0" w:line="250" w:lineRule="auto"/>
        <w:tabs>
          <w:tab w:leader="none" w:pos="1769" w:val="left"/>
        </w:tabs>
        <w:numPr>
          <w:ilvl w:val="1"/>
          <w:numId w:val="792"/>
        </w:numPr>
        <w:rPr>
          <w:rFonts w:ascii="Arial" w:cs="Arial" w:eastAsia="Arial" w:hAnsi="Arial"/>
          <w:sz w:val="22"/>
          <w:szCs w:val="22"/>
          <w:color w:val="auto"/>
        </w:rPr>
      </w:pPr>
      <w:r>
        <w:rPr>
          <w:rFonts w:ascii="Arial" w:cs="Arial" w:eastAsia="Arial" w:hAnsi="Arial"/>
          <w:sz w:val="22"/>
          <w:szCs w:val="22"/>
          <w:color w:val="auto"/>
        </w:rPr>
        <w:t>make such demands or file such claims in respect of the [Senior] [Junior] Priority Obligations owed to such [Senior] [Junior] Priority Agent and the [Senior] [Junior] Priority Creditors represented thereby as are necessary to prevent the waiver or bar of such claims under applicable statutes of limitations or other statutes, court orders, or rules of procedure at any time;</w:t>
      </w:r>
    </w:p>
    <w:p>
      <w:pPr>
        <w:spacing w:after="0" w:line="187" w:lineRule="exact"/>
        <w:rPr>
          <w:rFonts w:ascii="Arial" w:cs="Arial" w:eastAsia="Arial" w:hAnsi="Arial"/>
          <w:sz w:val="22"/>
          <w:szCs w:val="22"/>
          <w:color w:val="auto"/>
        </w:rPr>
      </w:pPr>
    </w:p>
    <w:p>
      <w:pPr>
        <w:ind w:left="1780" w:hanging="476"/>
        <w:spacing w:after="0"/>
        <w:tabs>
          <w:tab w:leader="none" w:pos="1780" w:val="left"/>
        </w:tabs>
        <w:numPr>
          <w:ilvl w:val="1"/>
          <w:numId w:val="792"/>
        </w:numPr>
        <w:rPr>
          <w:rFonts w:ascii="Arial" w:cs="Arial" w:eastAsia="Arial" w:hAnsi="Arial"/>
          <w:sz w:val="22"/>
          <w:szCs w:val="22"/>
          <w:color w:val="auto"/>
        </w:rPr>
      </w:pPr>
      <w:r>
        <w:rPr>
          <w:rFonts w:ascii="Arial" w:cs="Arial" w:eastAsia="Arial" w:hAnsi="Arial"/>
          <w:sz w:val="22"/>
          <w:szCs w:val="22"/>
          <w:color w:val="auto"/>
        </w:rPr>
        <w:t>file a claim or statement of interest with respect to the Senior Priority Obligations;</w:t>
      </w:r>
    </w:p>
    <w:p>
      <w:pPr>
        <w:spacing w:after="0" w:line="219" w:lineRule="exact"/>
        <w:rPr>
          <w:rFonts w:ascii="Arial" w:cs="Arial" w:eastAsia="Arial" w:hAnsi="Arial"/>
          <w:sz w:val="22"/>
          <w:szCs w:val="22"/>
          <w:color w:val="auto"/>
        </w:rPr>
      </w:pPr>
    </w:p>
    <w:p>
      <w:pPr>
        <w:ind w:left="660" w:firstLine="644"/>
        <w:spacing w:after="0" w:line="263" w:lineRule="auto"/>
        <w:tabs>
          <w:tab w:leader="none" w:pos="1871" w:val="left"/>
        </w:tabs>
        <w:numPr>
          <w:ilvl w:val="1"/>
          <w:numId w:val="792"/>
        </w:numPr>
        <w:rPr>
          <w:rFonts w:ascii="Arial" w:cs="Arial" w:eastAsia="Arial" w:hAnsi="Arial"/>
          <w:sz w:val="22"/>
          <w:szCs w:val="22"/>
          <w:color w:val="auto"/>
        </w:rPr>
      </w:pPr>
      <w:r>
        <w:rPr>
          <w:rFonts w:ascii="Arial" w:cs="Arial" w:eastAsia="Arial" w:hAnsi="Arial"/>
          <w:sz w:val="22"/>
          <w:szCs w:val="22"/>
          <w:color w:val="auto"/>
        </w:rPr>
        <w:t>take any action in order to create, prove, perfect, preserve or protect (but not enforce) its Lien on and rights in, and the perfection and priority of its Lien on, any of the Collateral;</w:t>
      </w:r>
    </w:p>
    <w:p>
      <w:pPr>
        <w:spacing w:after="0" w:line="174" w:lineRule="exact"/>
        <w:rPr>
          <w:rFonts w:ascii="Arial" w:cs="Arial" w:eastAsia="Arial" w:hAnsi="Arial"/>
          <w:sz w:val="22"/>
          <w:szCs w:val="22"/>
          <w:color w:val="auto"/>
        </w:rPr>
      </w:pPr>
    </w:p>
    <w:p>
      <w:pPr>
        <w:jc w:val="both"/>
        <w:ind w:left="660" w:firstLine="644"/>
        <w:spacing w:after="0" w:line="271" w:lineRule="auto"/>
        <w:tabs>
          <w:tab w:leader="none" w:pos="2049" w:val="left"/>
        </w:tabs>
        <w:numPr>
          <w:ilvl w:val="1"/>
          <w:numId w:val="792"/>
        </w:numPr>
        <w:rPr>
          <w:rFonts w:ascii="Arial" w:cs="Arial" w:eastAsia="Arial" w:hAnsi="Arial"/>
          <w:sz w:val="21"/>
          <w:szCs w:val="21"/>
          <w:color w:val="auto"/>
        </w:rPr>
      </w:pPr>
      <w:r>
        <w:rPr>
          <w:rFonts w:ascii="Arial" w:cs="Arial" w:eastAsia="Arial" w:hAnsi="Arial"/>
          <w:sz w:val="21"/>
          <w:szCs w:val="21"/>
          <w:color w:val="auto"/>
        </w:rPr>
        <w:t>file any necessary responsive or defensive pleadings in opposition to any motion, claim, adversary proceeding or other pleading made by any person objecting to or otherwise seeking the disallowance of the claims of the Senior Priority Secured Parties represented thereby in accordance with the terms of this Agreement;</w:t>
      </w:r>
    </w:p>
    <w:p>
      <w:pPr>
        <w:spacing w:after="0" w:line="167" w:lineRule="exact"/>
        <w:rPr>
          <w:rFonts w:ascii="Arial" w:cs="Arial" w:eastAsia="Arial" w:hAnsi="Arial"/>
          <w:sz w:val="21"/>
          <w:szCs w:val="21"/>
          <w:color w:val="auto"/>
        </w:rPr>
      </w:pPr>
    </w:p>
    <w:p>
      <w:pPr>
        <w:ind w:left="660" w:firstLine="644"/>
        <w:spacing w:after="0" w:line="263" w:lineRule="auto"/>
        <w:tabs>
          <w:tab w:leader="none" w:pos="1818" w:val="left"/>
        </w:tabs>
        <w:numPr>
          <w:ilvl w:val="1"/>
          <w:numId w:val="792"/>
        </w:numPr>
        <w:rPr>
          <w:rFonts w:ascii="Arial" w:cs="Arial" w:eastAsia="Arial" w:hAnsi="Arial"/>
          <w:sz w:val="22"/>
          <w:szCs w:val="22"/>
          <w:color w:val="auto"/>
        </w:rPr>
      </w:pPr>
      <w:r>
        <w:rPr>
          <w:rFonts w:ascii="Arial" w:cs="Arial" w:eastAsia="Arial" w:hAnsi="Arial"/>
          <w:sz w:val="22"/>
          <w:szCs w:val="22"/>
          <w:color w:val="auto"/>
        </w:rPr>
        <w:t>file any pleadings, objections, motions or agreements which assert rights or interests available to unsecured creditors of the Loan Parties arising under either 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2" w:name="page593"/>
    <w:bookmarkEnd w:id="592"/>
    <w:p>
      <w:pPr>
        <w:ind w:left="660"/>
        <w:spacing w:after="0" w:line="263" w:lineRule="auto"/>
        <w:rPr>
          <w:sz w:val="20"/>
          <w:szCs w:val="20"/>
          <w:color w:val="auto"/>
        </w:rPr>
      </w:pPr>
      <w:r>
        <w:rPr>
          <w:rFonts w:ascii="Arial" w:cs="Arial" w:eastAsia="Arial" w:hAnsi="Arial"/>
          <w:sz w:val="22"/>
          <w:szCs w:val="22"/>
          <w:color w:val="auto"/>
        </w:rPr>
        <w:t>Insolvency Proceeding or applicable non-bankruptcy law, in each case not inconsistent with the terms of this Agreement or applicable law (including the Bankruptcy Laws of any applicable jurisdiction); and</w:t>
      </w:r>
    </w:p>
    <w:p>
      <w:pPr>
        <w:spacing w:after="0" w:line="175" w:lineRule="exact"/>
        <w:rPr>
          <w:sz w:val="20"/>
          <w:szCs w:val="20"/>
          <w:color w:val="auto"/>
        </w:rPr>
      </w:pPr>
    </w:p>
    <w:p>
      <w:pPr>
        <w:jc w:val="both"/>
        <w:ind w:left="660" w:firstLine="644"/>
        <w:spacing w:after="0" w:line="253" w:lineRule="auto"/>
        <w:tabs>
          <w:tab w:leader="none" w:pos="1846" w:val="left"/>
        </w:tabs>
        <w:numPr>
          <w:ilvl w:val="0"/>
          <w:numId w:val="793"/>
        </w:numPr>
        <w:rPr>
          <w:rFonts w:ascii="Arial" w:cs="Arial" w:eastAsia="Arial" w:hAnsi="Arial"/>
          <w:sz w:val="22"/>
          <w:szCs w:val="22"/>
          <w:color w:val="auto"/>
        </w:rPr>
      </w:pPr>
      <w:r>
        <w:rPr>
          <w:rFonts w:ascii="Arial" w:cs="Arial" w:eastAsia="Arial" w:hAnsi="Arial"/>
          <w:sz w:val="22"/>
          <w:szCs w:val="22"/>
          <w:color w:val="auto"/>
        </w:rPr>
        <w:t>vote on any Plan of Reorganization, file any proof of claim, make other filings and make any arguments and motions (including in support of or opposition to, as applicable, the confirmation or approval of any Plan of Reorganization) that are, in each case, in accordance with the terms of this Agreement.</w:t>
      </w:r>
    </w:p>
    <w:p>
      <w:pPr>
        <w:spacing w:after="0" w:line="1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u w:val="single" w:color="auto"/>
          <w:color w:val="auto"/>
        </w:rPr>
        <w:t xml:space="preserve">Exercise of Rights </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284" w:lineRule="auto"/>
        <w:tabs>
          <w:tab w:leader="none" w:pos="1171" w:val="left"/>
        </w:tabs>
        <w:numPr>
          <w:ilvl w:val="0"/>
          <w:numId w:val="794"/>
        </w:numPr>
        <w:rPr>
          <w:rFonts w:ascii="Arial" w:cs="Arial" w:eastAsia="Arial" w:hAnsi="Arial"/>
          <w:sz w:val="19"/>
          <w:szCs w:val="19"/>
          <w:color w:val="auto"/>
        </w:rPr>
      </w:pPr>
      <w:r>
        <w:rPr>
          <w:rFonts w:ascii="Arial" w:cs="Arial" w:eastAsia="Arial" w:hAnsi="Arial"/>
          <w:sz w:val="19"/>
          <w:szCs w:val="19"/>
          <w:i w:val="1"/>
          <w:iCs w:val="1"/>
          <w:u w:val="single" w:color="auto"/>
          <w:color w:val="auto"/>
        </w:rPr>
        <w:t>No Other Restrictions</w:t>
      </w:r>
      <w:r>
        <w:rPr>
          <w:rFonts w:ascii="Arial" w:cs="Arial" w:eastAsia="Arial" w:hAnsi="Arial"/>
          <w:sz w:val="19"/>
          <w:szCs w:val="19"/>
          <w:i w:val="1"/>
          <w:iCs w:val="1"/>
          <w:color w:val="auto"/>
        </w:rPr>
        <w:t xml:space="preserve"> </w:t>
      </w:r>
      <w:r>
        <w:rPr>
          <w:rFonts w:ascii="Arial" w:cs="Arial" w:eastAsia="Arial" w:hAnsi="Arial"/>
          <w:sz w:val="19"/>
          <w:szCs w:val="19"/>
          <w:color w:val="auto"/>
        </w:rPr>
        <w:t>. Except as expressly set forth in this Agreement, (i) each Agent and each Creditor shall have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and all rights and remedies it may have as a creditor under applicable law, including the right to the Exercise of Secured Creditor Remedies (except as may be separately otherwise agreed in writing by and between or among any applicable Parties, solely as among such Parties and the Creditors represented thereby), and (ii) nothing in this Agreement shall prohibit the receipt by any Agent or any Secured Party of the required payment of principal and interest so long as, in the case of any Junior Priority Agent or Junior Priority Secured Party, such receipt is not the direct or indirect result of the Exercise of Secured Creditor Remedies in contravention of this Agreement and such receipt is not Proceeds of Collateral;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 that the Exercise of Secured Creditor Remedies with respect to the Collateral shall be subject to the Lien Priority and to the provisions of this Agreement, including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 Each Senior Priority Agent may enforce the provisions of the applicable Senior Priority Documents, each Junior Priority Agent may enforce the provisions of the applicable Junior Priority Documents, and each Agent may Exercise Any Secured Creditor Remedies, all in such order and in such manner as each may determine in the exercise of its sole discretion, consistent with the terms of this Agreement and mandatory provisions of applicable law (except as may be separately otherwise agreed in writing by and between or among any applicable Parties, solely as among such Parties and the Creditors represented thereby);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 that each Agent agrees to provide to each other such Party copies of any notices that it is required under applicable law to deliver to any Loan Party;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any Senior Priority Agent’s failure to provide any such copies to any other such Party shall not impair any Senior Priority Agent’s rights hereunder or under any of the applicable Senior Priority Documents, and any Junior Priority Agent’s failure to provide any such copies to any other such Party shall not impair any Junior Priority Agent’s rights hereunder or under any of the applicable Junior Priority Documents. Each Agent agrees for and on behalf of itself and each Creditor represented thereby that such Agent and each such Creditor will not institute or join in any suit, Insolvency Proceeding or other proceeding or assert in any suit, Insolvency Proceeding or other proceeding any claim, (x) in the case of any Junior Priority Agent and any Junior Priority Creditor represented thereby, against any Senior Priority Secured Party, and (y) in the case of any Senior Priority Agent and any Senior Priority Creditor represented thereby, against any Junior Priority Secured Party, seeking damages from or other relief by way of specific performance, instructions or otherwise, with respect to any action taken or omitted to be taken by such Person with respect to the Collateral that is consistent with the terms of this Agreement, and none of such Persons shall be liable for any such action taken or omitted to be taken. Except as may be separately otherwise agreed in writing by and between or among any applicable Senior Priority Agents, in each case on behalf of itself and the Senior Priority Creditors represented thereby, each Senior Priority Agent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3" w:name="page594"/>
    <w:bookmarkEnd w:id="593"/>
    <w:p>
      <w:pPr>
        <w:jc w:val="both"/>
        <w:spacing w:after="0" w:line="286" w:lineRule="auto"/>
        <w:rPr>
          <w:sz w:val="20"/>
          <w:szCs w:val="20"/>
          <w:color w:val="auto"/>
        </w:rPr>
      </w:pPr>
      <w:r>
        <w:rPr>
          <w:rFonts w:ascii="Arial" w:cs="Arial" w:eastAsia="Arial" w:hAnsi="Arial"/>
          <w:sz w:val="19"/>
          <w:szCs w:val="19"/>
          <w:color w:val="auto"/>
        </w:rPr>
        <w:t>agrees for and on behalf of any Senior Priority Creditors represented thereby that such Agent and each such Creditor will not institute or join in any suit, Insolvency Proceeding or other proceeding or assert in any suit, Insolvency Proceeding or other proceeding any claim against any other Senior Priority Agent or any Senior Priority Creditor represented thereby seeking damages from or other relief by way of specific performance, instructions or otherwise, with respect to any action taken or omitted to be taken by such Person with respect to the Collateral that is consistent with the terms of this Agreement, and none of such Persons shall be liable for any such action taken or omitted to be taken. Except as may be separately otherwise agreed in writing by and between or among any Junior Priority Agents, in each case on behalf of itself and the Junior Priority Creditors represented thereby, each Junior Priority Agent agrees for and on behalf of any Junior Priority Creditors represented thereby that such Agent and each such Creditor will not institute or join in any suit, Insolvency Proceeding or other proceeding or assert in any suit, Insolvency Proceeding or other proceeding any claim against any other Junior Priority Agent or any Junior Priority Creditor represented thereby seeking damages from or other relief by way of specific performance, instructions or otherwise, with respect to any action taken or omitted to be taken by such Person with respect to the Collateral that is consistent with the terms of this Agreement, and none of such Persons shall be liable for any such action taken or omitted to be taken.</w:t>
      </w:r>
    </w:p>
    <w:p>
      <w:pPr>
        <w:spacing w:after="0" w:line="166" w:lineRule="exact"/>
        <w:rPr>
          <w:sz w:val="20"/>
          <w:szCs w:val="20"/>
          <w:color w:val="auto"/>
        </w:rPr>
      </w:pPr>
    </w:p>
    <w:p>
      <w:pPr>
        <w:jc w:val="both"/>
        <w:ind w:firstLine="656"/>
        <w:spacing w:after="0" w:line="283" w:lineRule="auto"/>
        <w:tabs>
          <w:tab w:leader="none" w:pos="1197" w:val="left"/>
        </w:tabs>
        <w:numPr>
          <w:ilvl w:val="1"/>
          <w:numId w:val="795"/>
        </w:numPr>
        <w:rPr>
          <w:rFonts w:ascii="Arial" w:cs="Arial" w:eastAsia="Arial" w:hAnsi="Arial"/>
          <w:sz w:val="19"/>
          <w:szCs w:val="19"/>
          <w:color w:val="auto"/>
        </w:rPr>
      </w:pPr>
      <w:r>
        <w:rPr>
          <w:rFonts w:ascii="Arial" w:cs="Arial" w:eastAsia="Arial" w:hAnsi="Arial"/>
          <w:sz w:val="19"/>
          <w:szCs w:val="19"/>
          <w:i w:val="1"/>
          <w:iCs w:val="1"/>
          <w:u w:val="single" w:color="auto"/>
          <w:color w:val="auto"/>
        </w:rPr>
        <w:t>Release of Liens</w:t>
      </w:r>
      <w:r>
        <w:rPr>
          <w:rFonts w:ascii="Arial" w:cs="Arial" w:eastAsia="Arial" w:hAnsi="Arial"/>
          <w:sz w:val="19"/>
          <w:szCs w:val="19"/>
          <w:i w:val="1"/>
          <w:iCs w:val="1"/>
          <w:color w:val="auto"/>
        </w:rPr>
        <w:t xml:space="preserve"> </w:t>
      </w:r>
      <w:r>
        <w:rPr>
          <w:rFonts w:ascii="Arial" w:cs="Arial" w:eastAsia="Arial" w:hAnsi="Arial"/>
          <w:sz w:val="19"/>
          <w:szCs w:val="19"/>
          <w:color w:val="auto"/>
        </w:rPr>
        <w:t>. In the event of (A) any private or public sale of all or any portion of the Collateral in connection</w:t>
      </w:r>
      <w:r>
        <w:rPr>
          <w:rFonts w:ascii="Arial" w:cs="Arial" w:eastAsia="Arial" w:hAnsi="Arial"/>
          <w:sz w:val="19"/>
          <w:szCs w:val="19"/>
          <w:i w:val="1"/>
          <w:iCs w:val="1"/>
          <w:color w:val="auto"/>
        </w:rPr>
        <w:t xml:space="preserve"> </w:t>
      </w:r>
      <w:r>
        <w:rPr>
          <w:rFonts w:ascii="Arial" w:cs="Arial" w:eastAsia="Arial" w:hAnsi="Arial"/>
          <w:sz w:val="19"/>
          <w:szCs w:val="19"/>
          <w:color w:val="auto"/>
        </w:rPr>
        <w:t>with any Exercise of Secured Creditor Remedies by or with the consent of the Senior Priority Representative, (B) any sale, transfer or other disposition of all or any portion of the Collateral other than in connection with any Exercise of Secured Creditor Remedies, so long as such sale, transfer or other disposition is then permitted by the Senior Priority Documents, or (C) the release of the Senior Priority Secured Parties’ Liens on all or any portion of the Collateral which release under clause (C) shall have been approved by all of the requisite Senior Priority Secured Parties (as determined pursuant to the applicable Senior Priority Documents), in the case of clauses (B) and (C) only to the extent occurring prior to the Discharge of Senior Priority Obligations and not in connection with a Discharge of Senior Priority Obligations (and irrespective of whether an Event of Default has occurred), each Junior Priority Agent agrees, for and on behalf of itself and the Junior Priority Creditors represented thereby, that</w:t>
      </w:r>
    </w:p>
    <w:p>
      <w:pPr>
        <w:spacing w:after="0" w:line="7" w:lineRule="exact"/>
        <w:rPr>
          <w:rFonts w:ascii="Arial" w:cs="Arial" w:eastAsia="Arial" w:hAnsi="Arial"/>
          <w:sz w:val="19"/>
          <w:szCs w:val="19"/>
          <w:color w:val="auto"/>
        </w:rPr>
      </w:pPr>
    </w:p>
    <w:p>
      <w:pPr>
        <w:jc w:val="both"/>
        <w:ind w:firstLine="8"/>
        <w:spacing w:after="0" w:line="285" w:lineRule="auto"/>
        <w:tabs>
          <w:tab w:leader="none" w:pos="312" w:val="left"/>
        </w:tabs>
        <w:numPr>
          <w:ilvl w:val="0"/>
          <w:numId w:val="796"/>
        </w:numPr>
        <w:rPr>
          <w:rFonts w:ascii="Arial" w:cs="Arial" w:eastAsia="Arial" w:hAnsi="Arial"/>
          <w:sz w:val="19"/>
          <w:szCs w:val="19"/>
          <w:color w:val="auto"/>
        </w:rPr>
      </w:pPr>
      <w:r>
        <w:rPr>
          <w:rFonts w:ascii="Arial" w:cs="Arial" w:eastAsia="Arial" w:hAnsi="Arial"/>
          <w:sz w:val="19"/>
          <w:szCs w:val="19"/>
          <w:color w:val="auto"/>
        </w:rPr>
        <w:t xml:space="preserve">so long as (1) the net cash proceeds of any such sale, if any, described in clause (A) above are applied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w:t>
      </w:r>
      <w:r>
        <w:rPr>
          <w:rFonts w:ascii="Arial" w:cs="Arial" w:eastAsia="Arial" w:hAnsi="Arial"/>
          <w:sz w:val="19"/>
          <w:szCs w:val="19"/>
          <w:color w:val="auto"/>
        </w:rPr>
        <w:t xml:space="preserve"> hereof and (2) there is a corresponding release of the Liens securing the Senior Priority Obligations, such sale or release will be free and clear of the Liens on such Collateral securing the Junior Priority Obligations and (y) such Junior Priority Secured Parties’ Liens with respect to the Collateral so sold, transferred, disposed or released shall terminate and be automatically released without further action. In furtherance of, and subject to, the foregoing, each Junior Priority Agent agrees that it will execute any and all Lien releases or other documents reasonably requested by any Senior Priority Agent in connection therewith, so long as the net cash proceeds, if any, from such sale described in clause (A) above of such Collateral are applied in accordance with the terms of this Agreement. Each Junior Priority Agent hereby appoints the Senior Priority Representative and any officer or duly authorized person of the Senior Priority Representative, with full power of substitution, as its true and lawful attorney-in-fact with full irrevocable power of attorney in the place and stead of such Junior Priority Agent and in the name of such Junior Priority Agent or in the Senior Priority Representative’s own name, from time to time, in the Senior Priority Representative’s sole discretion, for the purposes of carrying out the terms of this paragraph, to take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4" w:name="page595"/>
    <w:bookmarkEnd w:id="594"/>
    <w:p>
      <w:pPr>
        <w:jc w:val="both"/>
        <w:spacing w:after="0" w:line="294" w:lineRule="auto"/>
        <w:rPr>
          <w:sz w:val="20"/>
          <w:szCs w:val="20"/>
          <w:color w:val="auto"/>
        </w:rPr>
      </w:pPr>
      <w:r>
        <w:rPr>
          <w:rFonts w:ascii="Arial" w:cs="Arial" w:eastAsia="Arial" w:hAnsi="Arial"/>
          <w:sz w:val="19"/>
          <w:szCs w:val="19"/>
          <w:color w:val="auto"/>
        </w:rPr>
        <w:t>any and all appropriate action and to execute and deliver any and all documents and instruments as may be necessary or desirable to accomplish the purposes of this paragraph, including any financing statements, endorsements, assignments, releases or other documents or instruments of transfer (which appointment, being coupled with an interest, is irrevocable). Until the Discharge of Senior Priority Obligations, to the extent that the Senior Priority Secured Parties (i) have released any Lien on Collateral and any such Lien is later reinstated or (ii) obtain any new Senior Priority Liens, then the Junior Priority Secured Parties shall at the time of such reinstatement or new Senior Priority Liens be granted a Junior Priority Lien on any such Collateral.</w:t>
      </w:r>
    </w:p>
    <w:p>
      <w:pPr>
        <w:spacing w:after="0" w:line="134"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u w:val="single" w:color="auto"/>
          <w:color w:val="auto"/>
        </w:rPr>
        <w:t xml:space="preserve">No New Liens </w:t>
      </w:r>
      <w:r>
        <w:rPr>
          <w:rFonts w:ascii="Arial" w:cs="Arial" w:eastAsia="Arial" w:hAnsi="Arial"/>
          <w:sz w:val="19"/>
          <w:szCs w:val="19"/>
          <w:b w:val="1"/>
          <w:bCs w:val="1"/>
          <w:color w:val="auto"/>
        </w:rPr>
        <w:t>.</w:t>
      </w:r>
      <w:r>
        <w:rPr>
          <w:rFonts w:ascii="Arial" w:cs="Arial" w:eastAsia="Arial" w:hAnsi="Arial"/>
          <w:sz w:val="19"/>
          <w:szCs w:val="19"/>
          <w:u w:val="single" w:color="auto"/>
          <w:color w:val="auto"/>
        </w:rPr>
        <w:t xml:space="preserve"> </w:t>
      </w:r>
      <w:r>
        <w:rPr>
          <w:rFonts w:ascii="Arial" w:cs="Arial" w:eastAsia="Arial" w:hAnsi="Arial"/>
          <w:sz w:val="25"/>
          <w:szCs w:val="25"/>
          <w:b w:val="1"/>
          <w:bCs w:val="1"/>
          <w:color w:val="auto"/>
          <w:vertAlign w:val="superscript"/>
        </w:rPr>
        <w:t>34</w:t>
      </w:r>
    </w:p>
    <w:p>
      <w:pPr>
        <w:spacing w:after="0" w:line="200" w:lineRule="exact"/>
        <w:rPr>
          <w:sz w:val="20"/>
          <w:szCs w:val="20"/>
          <w:color w:val="auto"/>
        </w:rPr>
      </w:pPr>
    </w:p>
    <w:p>
      <w:pPr>
        <w:ind w:firstLine="656"/>
        <w:spacing w:after="0" w:line="263" w:lineRule="auto"/>
        <w:tabs>
          <w:tab w:leader="none" w:pos="970" w:val="left"/>
        </w:tabs>
        <w:numPr>
          <w:ilvl w:val="0"/>
          <w:numId w:val="797"/>
        </w:numPr>
        <w:rPr>
          <w:rFonts w:ascii="Arial" w:cs="Arial" w:eastAsia="Arial" w:hAnsi="Arial"/>
          <w:sz w:val="22"/>
          <w:szCs w:val="22"/>
          <w:color w:val="auto"/>
        </w:rPr>
      </w:pPr>
      <w:r>
        <w:rPr>
          <w:rFonts w:ascii="Arial" w:cs="Arial" w:eastAsia="Arial" w:hAnsi="Arial"/>
          <w:sz w:val="22"/>
          <w:szCs w:val="22"/>
          <w:color w:val="auto"/>
        </w:rPr>
        <w:t>Until the Discharge of Senior Priority Obligations, each Junior Priority Agent, for and on behalf of itself and any Junior Priority Creditors represented thereby, hereby agrees that:</w:t>
      </w:r>
    </w:p>
    <w:p>
      <w:pPr>
        <w:spacing w:after="0" w:line="174" w:lineRule="exact"/>
        <w:rPr>
          <w:rFonts w:ascii="Arial" w:cs="Arial" w:eastAsia="Arial" w:hAnsi="Arial"/>
          <w:sz w:val="22"/>
          <w:szCs w:val="22"/>
          <w:color w:val="auto"/>
        </w:rPr>
      </w:pPr>
    </w:p>
    <w:p>
      <w:pPr>
        <w:jc w:val="both"/>
        <w:ind w:left="660" w:firstLine="644"/>
        <w:spacing w:after="0" w:line="263" w:lineRule="auto"/>
        <w:tabs>
          <w:tab w:leader="none" w:pos="1761" w:val="left"/>
        </w:tabs>
        <w:numPr>
          <w:ilvl w:val="1"/>
          <w:numId w:val="797"/>
        </w:numPr>
        <w:rPr>
          <w:rFonts w:ascii="Arial" w:cs="Arial" w:eastAsia="Arial" w:hAnsi="Arial"/>
          <w:sz w:val="21"/>
          <w:szCs w:val="21"/>
          <w:color w:val="auto"/>
        </w:rPr>
      </w:pPr>
      <w:r>
        <w:rPr>
          <w:rFonts w:ascii="Arial" w:cs="Arial" w:eastAsia="Arial" w:hAnsi="Arial"/>
          <w:sz w:val="21"/>
          <w:szCs w:val="21"/>
          <w:color w:val="auto"/>
        </w:rPr>
        <w:t>no Junior Priority Secured Party shall acquire or hold (x) any guaranty of Junior Priority Obligations by any Person unless such Person also provides (or is prohibited by applicable law from providing) a guaranty of the Senior Priority Obligations, or (y) any Lien on (unless prohibited by any applicable law) any assets of any Loan Party securing any Junior Priority Obligation, which assets are not also subject to the Lien of each Senior Priority Agent under the Senior Priority Documents, subject to the Lien Priority set forth herein; and</w:t>
      </w:r>
    </w:p>
    <w:p>
      <w:pPr>
        <w:spacing w:after="0" w:line="175" w:lineRule="exact"/>
        <w:rPr>
          <w:rFonts w:ascii="Arial" w:cs="Arial" w:eastAsia="Arial" w:hAnsi="Arial"/>
          <w:sz w:val="21"/>
          <w:szCs w:val="21"/>
          <w:color w:val="auto"/>
        </w:rPr>
      </w:pPr>
    </w:p>
    <w:p>
      <w:pPr>
        <w:jc w:val="both"/>
        <w:ind w:left="660" w:firstLine="644"/>
        <w:spacing w:after="0" w:line="289" w:lineRule="auto"/>
        <w:tabs>
          <w:tab w:leader="none" w:pos="1931" w:val="left"/>
        </w:tabs>
        <w:numPr>
          <w:ilvl w:val="1"/>
          <w:numId w:val="797"/>
        </w:numPr>
        <w:rPr>
          <w:rFonts w:ascii="Arial" w:cs="Arial" w:eastAsia="Arial" w:hAnsi="Arial"/>
          <w:sz w:val="19"/>
          <w:szCs w:val="19"/>
          <w:color w:val="auto"/>
        </w:rPr>
      </w:pPr>
      <w:r>
        <w:rPr>
          <w:rFonts w:ascii="Arial" w:cs="Arial" w:eastAsia="Arial" w:hAnsi="Arial"/>
          <w:sz w:val="19"/>
          <w:szCs w:val="19"/>
          <w:color w:val="auto"/>
        </w:rPr>
        <w:t>if any such Junior Priority Secured Party shall (nonetheless and in breach hereof) acquire or hold any guaranty of Junior Priority Obligations by any Person who does not also provide a guaranty of Senior Priority Obligations or any Lien on any assets of any Loan Party securing any Junior Priority Obligation, which assets are not also subject to the Lien of each Senior Priority Agent under the Senior Priority Documents, subject to the Lien Priority set forth herein, then such Junior Priority Agent (or the relevant Junior Priority Creditor) shall, without the need for any further consent of any other Junior Priority Secured Party and notwithstanding anything to the contrary in any other Junior Priority Document, be deemed to also hold and have held such guaranty or Lien for the benefit of the Senior Priority Agents as security for the Senior Priority Obligations (subject to the Lien Priority and other terms hereof) and shall promptly notify each Senior Priority Agent in writing of the existence of such Lien.</w:t>
      </w:r>
    </w:p>
    <w:p>
      <w:pPr>
        <w:spacing w:after="0" w:line="156" w:lineRule="exact"/>
        <w:rPr>
          <w:rFonts w:ascii="Arial" w:cs="Arial" w:eastAsia="Arial" w:hAnsi="Arial"/>
          <w:sz w:val="19"/>
          <w:szCs w:val="19"/>
          <w:color w:val="auto"/>
        </w:rPr>
      </w:pPr>
    </w:p>
    <w:p>
      <w:pPr>
        <w:jc w:val="both"/>
        <w:ind w:firstLine="656"/>
        <w:spacing w:after="0" w:line="250" w:lineRule="auto"/>
        <w:tabs>
          <w:tab w:leader="none" w:pos="1157" w:val="left"/>
        </w:tabs>
        <w:numPr>
          <w:ilvl w:val="0"/>
          <w:numId w:val="797"/>
        </w:numPr>
        <w:rPr>
          <w:rFonts w:ascii="Arial" w:cs="Arial" w:eastAsia="Arial" w:hAnsi="Arial"/>
          <w:sz w:val="22"/>
          <w:szCs w:val="22"/>
          <w:color w:val="auto"/>
        </w:rPr>
      </w:pPr>
      <w:r>
        <w:rPr>
          <w:rFonts w:ascii="Arial" w:cs="Arial" w:eastAsia="Arial" w:hAnsi="Arial"/>
          <w:sz w:val="22"/>
          <w:szCs w:val="22"/>
          <w:color w:val="auto"/>
        </w:rPr>
        <w:t>Until the Discharge of Senior Priority Obligations, except as may be separately otherwise agreed in writing by and between or among any applicable Senior Priority Agents, in each case, on behalf of itself and any Senior Priority Creditors represented thereby, each Senior Priority Agent, for and on behalf of itself and the Senior Priority Creditors represented thereby, hereby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261620</wp:posOffset>
            </wp:positionV>
            <wp:extent cx="68580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both"/>
        <w:ind w:left="660" w:hanging="652"/>
        <w:spacing w:after="0" w:line="225" w:lineRule="auto"/>
        <w:tabs>
          <w:tab w:leader="none" w:pos="660" w:val="left"/>
        </w:tabs>
        <w:numPr>
          <w:ilvl w:val="0"/>
          <w:numId w:val="798"/>
        </w:numPr>
        <w:rPr>
          <w:rFonts w:ascii="Arial" w:cs="Arial" w:eastAsia="Arial" w:hAnsi="Arial"/>
          <w:sz w:val="29"/>
          <w:szCs w:val="29"/>
          <w:color w:val="auto"/>
          <w:vertAlign w:val="superscript"/>
        </w:rPr>
      </w:pPr>
      <w:r>
        <w:rPr>
          <w:rFonts w:ascii="Arial" w:cs="Arial" w:eastAsia="Arial" w:hAnsi="Arial"/>
          <w:sz w:val="22"/>
          <w:szCs w:val="22"/>
          <w:color w:val="auto"/>
        </w:rPr>
        <w:t>Form note: clauses (a), (b) and (c) may be omitted (or modified, as appropriate) at the Borrower’s direction subject to consultation with the Administrative Agent in circumstances in which a Secured Party has, or may be entitled to have, Collateral or credit support that the other Secured Parties do not have.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5" w:name="page596"/>
    <w:bookmarkEnd w:id="595"/>
    <w:p>
      <w:pPr>
        <w:jc w:val="both"/>
        <w:ind w:left="660" w:firstLine="644"/>
        <w:spacing w:after="0" w:line="247" w:lineRule="auto"/>
        <w:tabs>
          <w:tab w:leader="none" w:pos="1930" w:val="left"/>
        </w:tabs>
        <w:numPr>
          <w:ilvl w:val="1"/>
          <w:numId w:val="799"/>
        </w:numPr>
        <w:rPr>
          <w:rFonts w:ascii="Arial" w:cs="Arial" w:eastAsia="Arial" w:hAnsi="Arial"/>
          <w:sz w:val="22"/>
          <w:szCs w:val="22"/>
          <w:color w:val="auto"/>
        </w:rPr>
      </w:pPr>
      <w:r>
        <w:rPr>
          <w:rFonts w:ascii="Arial" w:cs="Arial" w:eastAsia="Arial" w:hAnsi="Arial"/>
          <w:sz w:val="22"/>
          <w:szCs w:val="22"/>
          <w:color w:val="auto"/>
        </w:rPr>
        <w:t>no such Senior Priority Secured Party shall acquire or hold (x) any guaranty of any Senior Priority Obligations by any Person unless such Person also provides (or is prohibited by applicable law from providing) a guaranty of all the other Senior Priority Obligations, or (y) any Lien on (unless prohibited by any applicable law) any assets (other than any Excluded Cash Collateral) of any Loan Party securing any Senior Priority Obligation, which assets are not also subject to the Lien of each other Senior Priority Agent under the Senior Priority Documents, subject to the Lien Priority set forth herein; and</w:t>
      </w:r>
    </w:p>
    <w:p>
      <w:pPr>
        <w:spacing w:after="0" w:line="192" w:lineRule="exact"/>
        <w:rPr>
          <w:rFonts w:ascii="Arial" w:cs="Arial" w:eastAsia="Arial" w:hAnsi="Arial"/>
          <w:sz w:val="22"/>
          <w:szCs w:val="22"/>
          <w:color w:val="auto"/>
        </w:rPr>
      </w:pPr>
    </w:p>
    <w:p>
      <w:pPr>
        <w:jc w:val="both"/>
        <w:ind w:left="660" w:firstLine="644"/>
        <w:spacing w:after="0" w:line="289" w:lineRule="auto"/>
        <w:tabs>
          <w:tab w:leader="none" w:pos="1926" w:val="left"/>
        </w:tabs>
        <w:numPr>
          <w:ilvl w:val="1"/>
          <w:numId w:val="799"/>
        </w:numPr>
        <w:rPr>
          <w:rFonts w:ascii="Arial" w:cs="Arial" w:eastAsia="Arial" w:hAnsi="Arial"/>
          <w:sz w:val="19"/>
          <w:szCs w:val="19"/>
          <w:color w:val="auto"/>
        </w:rPr>
      </w:pPr>
      <w:r>
        <w:rPr>
          <w:rFonts w:ascii="Arial" w:cs="Arial" w:eastAsia="Arial" w:hAnsi="Arial"/>
          <w:sz w:val="19"/>
          <w:szCs w:val="19"/>
          <w:color w:val="auto"/>
        </w:rPr>
        <w:t>if any such Senior Priority Secured Party shall (nonetheless and in breach hereof) acquire or hold any guaranty of any Senior Priority Obligations by any Person who does not also provide a guaranty of all other Senior Priority Obligations or any Lien on any assets of any Loan Party securing any Senior Priority Obligation, which assets are not also subject to the Lien of each other Senior Priority Agent under the Senior Priority Documents, subject to the Lien Priority set forth herein, then such Senior Priority Agent (or the relevant Senior Priority Creditor) shall, without the need for any further consent of any other Senior Priority Secured Party and notwithstanding anything to the contrary in any other Senior Priority Document, be deemed to also hold and have held such guaranty or Lien for the benefit of each other Senior Priority Agent as security for the other Senior Priority Obligations (subject to the Lien Priority and other terms hereof) and shall promptly notify each Senior Priority Agent in writing of the existence of such Lien.</w:t>
      </w:r>
    </w:p>
    <w:p>
      <w:pPr>
        <w:spacing w:after="0" w:line="156" w:lineRule="exact"/>
        <w:rPr>
          <w:rFonts w:ascii="Arial" w:cs="Arial" w:eastAsia="Arial" w:hAnsi="Arial"/>
          <w:sz w:val="19"/>
          <w:szCs w:val="19"/>
          <w:color w:val="auto"/>
        </w:rPr>
      </w:pPr>
    </w:p>
    <w:p>
      <w:pPr>
        <w:jc w:val="both"/>
        <w:ind w:firstLine="656"/>
        <w:spacing w:after="0" w:line="250" w:lineRule="auto"/>
        <w:tabs>
          <w:tab w:leader="none" w:pos="1153" w:val="left"/>
        </w:tabs>
        <w:numPr>
          <w:ilvl w:val="0"/>
          <w:numId w:val="800"/>
        </w:numPr>
        <w:rPr>
          <w:rFonts w:ascii="Arial" w:cs="Arial" w:eastAsia="Arial" w:hAnsi="Arial"/>
          <w:sz w:val="22"/>
          <w:szCs w:val="22"/>
          <w:color w:val="auto"/>
        </w:rPr>
      </w:pPr>
      <w:r>
        <w:rPr>
          <w:rFonts w:ascii="Arial" w:cs="Arial" w:eastAsia="Arial" w:hAnsi="Arial"/>
          <w:sz w:val="22"/>
          <w:szCs w:val="22"/>
          <w:color w:val="auto"/>
        </w:rPr>
        <w:t>Until the Discharge of Junior Priority Obligations, except as may be separately otherwise agreed in writing by and between or among any applicable Junior Priority Agents, in each case, on behalf of itself and any Junior Priority Creditors represented thereby, each Junior Priority Agent, for and on behalf of itself and the Junior Priority Creditors represented thereby, hereby agrees that:</w:t>
      </w:r>
    </w:p>
    <w:p>
      <w:pPr>
        <w:spacing w:after="0" w:line="187" w:lineRule="exact"/>
        <w:rPr>
          <w:rFonts w:ascii="Arial" w:cs="Arial" w:eastAsia="Arial" w:hAnsi="Arial"/>
          <w:sz w:val="22"/>
          <w:szCs w:val="22"/>
          <w:color w:val="auto"/>
        </w:rPr>
      </w:pPr>
    </w:p>
    <w:p>
      <w:pPr>
        <w:jc w:val="both"/>
        <w:ind w:left="660" w:firstLine="644"/>
        <w:spacing w:after="0" w:line="297" w:lineRule="auto"/>
        <w:tabs>
          <w:tab w:leader="none" w:pos="1728" w:val="left"/>
        </w:tabs>
        <w:numPr>
          <w:ilvl w:val="1"/>
          <w:numId w:val="800"/>
        </w:numPr>
        <w:rPr>
          <w:rFonts w:ascii="Arial" w:cs="Arial" w:eastAsia="Arial" w:hAnsi="Arial"/>
          <w:sz w:val="19"/>
          <w:szCs w:val="19"/>
          <w:color w:val="auto"/>
        </w:rPr>
      </w:pPr>
      <w:r>
        <w:rPr>
          <w:rFonts w:ascii="Arial" w:cs="Arial" w:eastAsia="Arial" w:hAnsi="Arial"/>
          <w:sz w:val="19"/>
          <w:szCs w:val="19"/>
          <w:color w:val="auto"/>
        </w:rPr>
        <w:t>no such Junior Priority Secured Party shall acquire or hold (x) any guaranty of any Junior Priority Obligations by any Person unless such Person also provides (or is prohibited by applicable law from providing) a guaranty of all the other Junior Priority Obligations, or (y) any Lien on Lien on (unless prohibited by any applicable law) any assets of any Loan Party securing any Junior Priority Obligation, which assets are not also subject to the Lien of each other Junior Priority Agent under the Junior Priority Documents, subject to the Lien Priority set forth herein; and</w:t>
      </w:r>
    </w:p>
    <w:p>
      <w:pPr>
        <w:spacing w:after="0" w:line="146" w:lineRule="exact"/>
        <w:rPr>
          <w:rFonts w:ascii="Arial" w:cs="Arial" w:eastAsia="Arial" w:hAnsi="Arial"/>
          <w:sz w:val="19"/>
          <w:szCs w:val="19"/>
          <w:color w:val="auto"/>
        </w:rPr>
      </w:pPr>
    </w:p>
    <w:p>
      <w:pPr>
        <w:jc w:val="both"/>
        <w:ind w:left="660" w:firstLine="644"/>
        <w:spacing w:after="0" w:line="290" w:lineRule="auto"/>
        <w:tabs>
          <w:tab w:leader="none" w:pos="1931" w:val="left"/>
        </w:tabs>
        <w:numPr>
          <w:ilvl w:val="1"/>
          <w:numId w:val="800"/>
        </w:numPr>
        <w:rPr>
          <w:rFonts w:ascii="Arial" w:cs="Arial" w:eastAsia="Arial" w:hAnsi="Arial"/>
          <w:sz w:val="19"/>
          <w:szCs w:val="19"/>
          <w:color w:val="auto"/>
        </w:rPr>
      </w:pPr>
      <w:r>
        <w:rPr>
          <w:rFonts w:ascii="Arial" w:cs="Arial" w:eastAsia="Arial" w:hAnsi="Arial"/>
          <w:sz w:val="19"/>
          <w:szCs w:val="19"/>
          <w:color w:val="auto"/>
        </w:rPr>
        <w:t>if any such Junior Priority Secured Party shall (nonetheless and in breach hereof) acquire or hold any guaranty of any Junior Priority Obligations by any Person who does not also provide a guaranty of all other Junior Priority Obligations or any Lien on any assets of any Loan Party securing any Junior Priority Obligation, which assets are not also subject to the Lien of each other Junior Priority Agent under the Junior Priority Documents, subject to the Lien Priority set forth herein, then such Junior Priority Agent (or the relevant Junior Priority Creditor) shall, without the need for any further consent of any other Junior Priority Secured Party and notwithstanding anything to the contrary in any other Junior Priority Document, be deemed to also hold and have held such guaranty or Lien for the benefit of each other Junior Priority Agent as security for the other Junior Priority Obligations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6" w:name="page597"/>
    <w:bookmarkEnd w:id="596"/>
    <w:p>
      <w:pPr>
        <w:ind w:left="660"/>
        <w:spacing w:after="0" w:line="263" w:lineRule="auto"/>
        <w:rPr>
          <w:sz w:val="20"/>
          <w:szCs w:val="20"/>
          <w:color w:val="auto"/>
        </w:rPr>
      </w:pPr>
      <w:r>
        <w:rPr>
          <w:rFonts w:ascii="Arial" w:cs="Arial" w:eastAsia="Arial" w:hAnsi="Arial"/>
          <w:sz w:val="22"/>
          <w:szCs w:val="22"/>
          <w:color w:val="auto"/>
        </w:rPr>
        <w:t>(subject to the Lien Priority and other terms hereof) and shall promptly notify each Junior Priority Agent in writing of the existence of such Lien.</w:t>
      </w:r>
    </w:p>
    <w:p>
      <w:pPr>
        <w:spacing w:after="0" w:line="175" w:lineRule="exact"/>
        <w:rPr>
          <w:sz w:val="20"/>
          <w:szCs w:val="20"/>
          <w:color w:val="auto"/>
        </w:rPr>
      </w:pPr>
    </w:p>
    <w:p>
      <w:pPr>
        <w:jc w:val="both"/>
        <w:ind w:right="20" w:firstLine="656"/>
        <w:spacing w:after="0" w:line="253" w:lineRule="auto"/>
        <w:tabs>
          <w:tab w:leader="none" w:pos="1244" w:val="left"/>
        </w:tabs>
        <w:numPr>
          <w:ilvl w:val="0"/>
          <w:numId w:val="801"/>
        </w:numPr>
        <w:rPr>
          <w:rFonts w:ascii="Arial" w:cs="Arial" w:eastAsia="Arial" w:hAnsi="Arial"/>
          <w:sz w:val="22"/>
          <w:szCs w:val="22"/>
          <w:color w:val="auto"/>
        </w:rPr>
      </w:pPr>
      <w:r>
        <w:rPr>
          <w:rFonts w:ascii="Arial" w:cs="Arial" w:eastAsia="Arial" w:hAnsi="Arial"/>
          <w:sz w:val="22"/>
          <w:szCs w:val="22"/>
          <w:color w:val="auto"/>
        </w:rPr>
        <w:t xml:space="preserve">No Secured Party shall be deemed to be in breach of this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as a result of any other Secured Party expressly declining, in writing (by virtue of the scope of the grant of Liens, including exceptions thereto and exclusions therefrom), to acquire, hold or continue to hold any Lien in any asset of any Loan Party.</w:t>
      </w:r>
    </w:p>
    <w:p>
      <w:pPr>
        <w:spacing w:after="0" w:line="18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Waiver of Marshalling</w:t>
      </w:r>
      <w:r>
        <w:rPr>
          <w:rFonts w:ascii="Arial" w:cs="Arial" w:eastAsia="Arial" w:hAnsi="Arial"/>
          <w:sz w:val="22"/>
          <w:szCs w:val="22"/>
          <w:color w:val="auto"/>
        </w:rPr>
        <w:t xml:space="preserve"> . Until the Discharge of Senior Priority Obligations, each Junior Priority Agent (including in its capacity as Junior Priority Representative, if applicable), on behalf of itself and the Junior Priority Secured Parties represented thereby,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Collateral or any other similar rights a junior secured creditor may have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ACTIONS OF THE PARTIES</w:t>
      </w:r>
    </w:p>
    <w:p>
      <w:pPr>
        <w:spacing w:after="0" w:line="19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9"/>
          <w:szCs w:val="19"/>
          <w:b w:val="1"/>
          <w:bCs w:val="1"/>
          <w:u w:val="single" w:color="auto"/>
          <w:color w:val="auto"/>
        </w:rPr>
        <w:t xml:space="preserve">Agent for Perfection </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253" w:lineRule="auto"/>
        <w:tabs>
          <w:tab w:leader="none" w:pos="1118" w:val="left"/>
        </w:tabs>
        <w:numPr>
          <w:ilvl w:val="0"/>
          <w:numId w:val="802"/>
        </w:numPr>
        <w:rPr>
          <w:rFonts w:ascii="Arial" w:cs="Arial" w:eastAsia="Arial" w:hAnsi="Arial"/>
          <w:sz w:val="22"/>
          <w:szCs w:val="22"/>
          <w:color w:val="auto"/>
        </w:rPr>
      </w:pPr>
      <w:r>
        <w:rPr>
          <w:rFonts w:ascii="Arial" w:cs="Arial" w:eastAsia="Arial" w:hAnsi="Arial"/>
          <w:sz w:val="22"/>
          <w:szCs w:val="22"/>
          <w:color w:val="auto"/>
        </w:rPr>
        <w:t>Each Loan Party shall deliver all Cash Collateral or Control Collateral when required to be delivered pursuant to the Credit Documents to (x) until the Discharge of Senior Priority Obligations, the Senior Priority Representative and (y) thereafter, the Junior Priority Representative.</w:t>
      </w:r>
    </w:p>
    <w:p>
      <w:pPr>
        <w:spacing w:after="0" w:line="185" w:lineRule="exact"/>
        <w:rPr>
          <w:rFonts w:ascii="Arial" w:cs="Arial" w:eastAsia="Arial" w:hAnsi="Arial"/>
          <w:sz w:val="22"/>
          <w:szCs w:val="22"/>
          <w:color w:val="auto"/>
        </w:rPr>
      </w:pPr>
    </w:p>
    <w:p>
      <w:pPr>
        <w:jc w:val="both"/>
        <w:ind w:firstLine="656"/>
        <w:spacing w:after="0" w:line="258" w:lineRule="auto"/>
        <w:tabs>
          <w:tab w:leader="none" w:pos="1116" w:val="left"/>
        </w:tabs>
        <w:numPr>
          <w:ilvl w:val="0"/>
          <w:numId w:val="802"/>
        </w:numPr>
        <w:rPr>
          <w:rFonts w:ascii="Arial" w:cs="Arial" w:eastAsia="Arial" w:hAnsi="Arial"/>
          <w:sz w:val="21"/>
          <w:szCs w:val="21"/>
          <w:color w:val="auto"/>
        </w:rPr>
      </w:pPr>
      <w:r>
        <w:rPr>
          <w:rFonts w:ascii="Arial" w:cs="Arial" w:eastAsia="Arial" w:hAnsi="Arial"/>
          <w:sz w:val="21"/>
          <w:szCs w:val="21"/>
          <w:color w:val="auto"/>
        </w:rPr>
        <w:t xml:space="preserve">Each Agent, for and on behalf of itself and the Secured Parties represented thereby, agrees to hold all Cash Collateral and Control Collateral in its possession, custody, or control (or in the possession, custody, or control of agents or bailees therefor) for the benefit of, on behalf of and as agent for the other Secured Parties solely for the purpose of perfecting the security interest granted to each other Agent or Secured Party in such Cash Collateral and Control Collateral, subject to the terms and conditions of this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Such Agent shall not have any obligation whatsoever to the other Secured Parties to assure that such Cash Collateral and Control Collateral is genuine or owned by any Loan Party or any other Person or to preserve rights or benefits of any Person therein. The duties or responsibilities of such Agent under this </w:t>
      </w:r>
      <w:r>
        <w:rPr>
          <w:rFonts w:ascii="Arial" w:cs="Arial" w:eastAsia="Arial" w:hAnsi="Arial"/>
          <w:sz w:val="21"/>
          <w:szCs w:val="21"/>
          <w:u w:val="single" w:color="auto"/>
          <w:color w:val="auto"/>
        </w:rPr>
        <w:t>Section 3.01</w:t>
      </w:r>
      <w:r>
        <w:rPr>
          <w:rFonts w:ascii="Arial" w:cs="Arial" w:eastAsia="Arial" w:hAnsi="Arial"/>
          <w:sz w:val="21"/>
          <w:szCs w:val="21"/>
          <w:color w:val="auto"/>
        </w:rPr>
        <w:t xml:space="preserve"> are and shall be limited solely to holding or maintaining control of such Cash Collateral and Control Collateral as agent for the Secured Parties for purposes of perfecting the Lien held by the Secured Parties. Such Agent is not and shall not be deemed to be a fiduciary of any kind for any Secured Party or any other Person.</w:t>
      </w:r>
    </w:p>
    <w:p>
      <w:pPr>
        <w:spacing w:after="0" w:line="185" w:lineRule="exact"/>
        <w:rPr>
          <w:rFonts w:ascii="Arial" w:cs="Arial" w:eastAsia="Arial" w:hAnsi="Arial"/>
          <w:sz w:val="21"/>
          <w:szCs w:val="21"/>
          <w:color w:val="auto"/>
        </w:rPr>
      </w:pPr>
    </w:p>
    <w:p>
      <w:pPr>
        <w:jc w:val="both"/>
        <w:ind w:firstLine="656"/>
        <w:spacing w:after="0" w:line="302" w:lineRule="auto"/>
        <w:tabs>
          <w:tab w:leader="none" w:pos="1133" w:val="left"/>
        </w:tabs>
        <w:numPr>
          <w:ilvl w:val="0"/>
          <w:numId w:val="802"/>
        </w:numPr>
        <w:rPr>
          <w:rFonts w:ascii="Arial" w:cs="Arial" w:eastAsia="Arial" w:hAnsi="Arial"/>
          <w:sz w:val="19"/>
          <w:szCs w:val="19"/>
          <w:color w:val="auto"/>
        </w:rPr>
      </w:pPr>
      <w:r>
        <w:rPr>
          <w:rFonts w:ascii="Arial" w:cs="Arial" w:eastAsia="Arial" w:hAnsi="Arial"/>
          <w:sz w:val="19"/>
          <w:szCs w:val="19"/>
          <w:color w:val="auto"/>
        </w:rPr>
        <w:t xml:space="preserve">In the event that any Secured Party receives any Collateral or Proceeds of the Collateral in violation of the terms of this Agreement, then such Secured Party shall promptly pay over such Proceeds or Collateral to (x) until the Discharge of Senior Priority Obligations, the Senior Priority Representative, and (y) thereafter, the Junior Priority Representative, in the same form as received with any necessary endorsements, for application in accordance with the provisions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hereof.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7" w:name="page598"/>
    <w:bookmarkEnd w:id="597"/>
    <w:p>
      <w:pPr>
        <w:jc w:val="both"/>
        <w:ind w:firstLine="656"/>
        <w:spacing w:after="0" w:line="250" w:lineRule="auto"/>
        <w:tabs>
          <w:tab w:leader="none" w:pos="1138" w:val="left"/>
        </w:tabs>
        <w:numPr>
          <w:ilvl w:val="0"/>
          <w:numId w:val="803"/>
        </w:numPr>
        <w:rPr>
          <w:rFonts w:ascii="Arial" w:cs="Arial" w:eastAsia="Arial" w:hAnsi="Arial"/>
          <w:sz w:val="22"/>
          <w:szCs w:val="22"/>
          <w:color w:val="auto"/>
        </w:rPr>
      </w:pPr>
      <w:r>
        <w:rPr>
          <w:rFonts w:ascii="Arial" w:cs="Arial" w:eastAsia="Arial" w:hAnsi="Arial"/>
          <w:sz w:val="22"/>
          <w:szCs w:val="22"/>
          <w:color w:val="auto"/>
        </w:rPr>
        <w:t>It is understood and agreed that the interests of the Senior Priority Agents and the Senior Lien Creditors, on the one hand, and the Junior Priority Agent and the Junior Priority Creditors, on the other hand, may differ and the Senior Priority Agents and the Senior Priority Creditors shall be fully entitled to act in their own interest without taking into account the interests of the Junior Priority Agents or the Junior Priority Creditors.</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Sharing of Information and Access</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In the event that any Junior Priority Agent shall, in the exercise of its rights under the applicable Junior Priority Collateral Documents or otherwise, receive possession or control of any books and records of any Loan Party that contain information identifying or pertaining to the Collateral, such Junior Priority Agent shall, upon request from any other Agent, and as promptly as practicable thereafter, either make available to such Agent such books and records for inspection and duplication or provide to such Agent copies thereof. In the event that any Senior Priority Agent shall, in the exercise of its rights under the applicable Senior Priority Collateral Documents or otherwise, receive possession or control of any books and records of any Loan Party that contain information identifying or pertaining to the Collateral, such Senior Priority Agent shall, upon request from any other Agent, and as promptly as practicable thereafter, either make available to such Agent such books and records for inspection and duplication or provide to such Agent copies thereof.</w:t>
      </w:r>
    </w:p>
    <w:p>
      <w:pPr>
        <w:spacing w:after="0" w:line="1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w:t>
      </w:r>
      <w:r>
        <w:rPr>
          <w:rFonts w:ascii="Arial" w:cs="Arial" w:eastAsia="Arial" w:hAnsi="Arial"/>
          <w:sz w:val="21"/>
          <w:szCs w:val="21"/>
          <w:b w:val="1"/>
          <w:bCs w:val="1"/>
          <w:color w:val="auto"/>
        </w:rPr>
        <w:t>.</w:t>
      </w:r>
      <w:r>
        <w:rPr>
          <w:rFonts w:ascii="Arial" w:cs="Arial" w:eastAsia="Arial" w:hAnsi="Arial"/>
          <w:sz w:val="21"/>
          <w:szCs w:val="21"/>
          <w:color w:val="auto"/>
        </w:rPr>
        <w:t xml:space="preserve"> Proceeds of Collateral include insurance proceeds and, therefore, the Lien Priority shall govern the ultimate disposition of casualty insurance proceeds. The Senior Priority Representative and the Junior Priority Representative shall be named as additional insured or loss payee, as applicable, with respect to all insurance policies relating to Collateral. Until the Discharge of Senior Priority Obligations, (a) the Senior Priority Representative shall have the sole and exclusive right, as against any Secured Party, to adjust settlement of insurance claims in the event of any covered loss, theft or destruction of Collateral and (b) all proceeds of such insurance shall be remitted to the Senior Priority Representative, and each other Agent shall cooperate (if necessary) in a reasonable manner in effecting the payment of insurance proceeds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4.01.</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No Additional Rights for the Loan Parties Hereunder</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If any Secured Party shall enforce its rights or remedies in violation of the terms of this Agreement, the Loan Parties shall not be entitled to use such violation as a defense to any action by any Secured Party, nor to assert such violation as a counterclaim or basis for set off or recoupment against any Secured Party.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APPLICATION OF PROCEEDS</w:t>
      </w:r>
    </w:p>
    <w:p>
      <w:pPr>
        <w:spacing w:after="0" w:line="19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 xml:space="preserve">Application of Proceeds </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231" w:lineRule="auto"/>
        <w:tabs>
          <w:tab w:leader="none" w:pos="1171" w:val="left"/>
        </w:tabs>
        <w:numPr>
          <w:ilvl w:val="0"/>
          <w:numId w:val="804"/>
        </w:numPr>
        <w:rPr>
          <w:rFonts w:ascii="Arial" w:cs="Arial" w:eastAsia="Arial" w:hAnsi="Arial"/>
          <w:sz w:val="21"/>
          <w:szCs w:val="21"/>
          <w:color w:val="auto"/>
        </w:rPr>
      </w:pPr>
      <w:r>
        <w:rPr>
          <w:rFonts w:ascii="Arial" w:cs="Arial" w:eastAsia="Arial" w:hAnsi="Arial"/>
          <w:sz w:val="21"/>
          <w:szCs w:val="21"/>
          <w:i w:val="1"/>
          <w:iCs w:val="1"/>
          <w:u w:val="single" w:color="auto"/>
          <w:color w:val="auto"/>
        </w:rPr>
        <w:t>Revolving Nature of Certain First Lien Obligations</w:t>
      </w:r>
      <w:r>
        <w:rPr>
          <w:rFonts w:ascii="Arial" w:cs="Arial" w:eastAsia="Arial" w:hAnsi="Arial"/>
          <w:sz w:val="21"/>
          <w:szCs w:val="21"/>
          <w:i w:val="1"/>
          <w:iCs w:val="1"/>
          <w:color w:val="auto"/>
        </w:rPr>
        <w:t xml:space="preserve"> </w:t>
      </w:r>
      <w:r>
        <w:rPr>
          <w:rFonts w:ascii="Arial" w:cs="Arial" w:eastAsia="Arial" w:hAnsi="Arial"/>
          <w:sz w:val="21"/>
          <w:szCs w:val="21"/>
          <w:color w:val="auto"/>
        </w:rPr>
        <w:t>. Each Agent, for and on behalf of itself and the Secured Parties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represented thereby, expressly acknowledges and agrees that (i) the Original First Lien Credit Agreement [and the First Lien Credit Agreement] </w:t>
      </w:r>
      <w:r>
        <w:rPr>
          <w:rFonts w:ascii="Arial" w:cs="Arial" w:eastAsia="Arial" w:hAnsi="Arial"/>
          <w:sz w:val="27"/>
          <w:szCs w:val="27"/>
          <w:color w:val="auto"/>
          <w:vertAlign w:val="superscript"/>
        </w:rPr>
        <w:t>ix</w:t>
      </w:r>
      <w:r>
        <w:rPr>
          <w:rFonts w:ascii="Arial" w:cs="Arial" w:eastAsia="Arial" w:hAnsi="Arial"/>
          <w:sz w:val="21"/>
          <w:szCs w:val="21"/>
          <w:color w:val="auto"/>
        </w:rPr>
        <w:t xml:space="preserve"> includes one or more revolving commitments, that in the ordinary course of business the Original First Lien Agent and certain First Lien Credit Agreement Lenders[, the [ ] Agent and certain [ ] Lenders] </w:t>
      </w:r>
      <w:r>
        <w:rPr>
          <w:rFonts w:ascii="Arial" w:cs="Arial" w:eastAsia="Arial" w:hAnsi="Arial"/>
          <w:sz w:val="27"/>
          <w:szCs w:val="27"/>
          <w:color w:val="auto"/>
          <w:vertAlign w:val="superscript"/>
        </w:rPr>
        <w:t>x</w:t>
      </w:r>
      <w:r>
        <w:rPr>
          <w:rFonts w:ascii="Arial" w:cs="Arial" w:eastAsia="Arial" w:hAnsi="Arial"/>
          <w:sz w:val="21"/>
          <w:szCs w:val="21"/>
          <w:color w:val="auto"/>
        </w:rPr>
        <w:t xml:space="preserve"> may apply payments and make advances thereunder, and one or more incremental commitments of various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98" w:name="page599"/>
    <w:bookmarkEnd w:id="598"/>
    <w:p>
      <w:pPr>
        <w:jc w:val="both"/>
        <w:spacing w:after="0" w:line="247" w:lineRule="auto"/>
        <w:rPr>
          <w:sz w:val="20"/>
          <w:szCs w:val="20"/>
          <w:color w:val="auto"/>
        </w:rPr>
      </w:pPr>
      <w:r>
        <w:rPr>
          <w:rFonts w:ascii="Arial" w:cs="Arial" w:eastAsia="Arial" w:hAnsi="Arial"/>
          <w:sz w:val="19"/>
          <w:szCs w:val="19"/>
          <w:color w:val="auto"/>
        </w:rPr>
        <w:t xml:space="preserve">classes, and (ii) the amount of the Original First Lien Obligations [or [ ] Obligations] </w:t>
      </w:r>
      <w:r>
        <w:rPr>
          <w:rFonts w:ascii="Arial" w:cs="Arial" w:eastAsia="Arial" w:hAnsi="Arial"/>
          <w:sz w:val="25"/>
          <w:szCs w:val="25"/>
          <w:color w:val="auto"/>
          <w:vertAlign w:val="superscript"/>
        </w:rPr>
        <w:t>xi</w:t>
      </w:r>
      <w:r>
        <w:rPr>
          <w:rFonts w:ascii="Arial" w:cs="Arial" w:eastAsia="Arial" w:hAnsi="Arial"/>
          <w:sz w:val="19"/>
          <w:szCs w:val="19"/>
          <w:color w:val="auto"/>
        </w:rPr>
        <w:t xml:space="preserve"> that may be outstanding thereunder at any time or from time to time may be increased or reduced and subsequently reborrowed, and that the terms of the Original First Lien Obligations [or [ ] Obligations] </w:t>
      </w:r>
      <w:r>
        <w:rPr>
          <w:rFonts w:ascii="Arial" w:cs="Arial" w:eastAsia="Arial" w:hAnsi="Arial"/>
          <w:sz w:val="25"/>
          <w:szCs w:val="25"/>
          <w:color w:val="auto"/>
          <w:vertAlign w:val="superscript"/>
        </w:rPr>
        <w:t>xii</w:t>
      </w:r>
      <w:r>
        <w:rPr>
          <w:rFonts w:ascii="Arial" w:cs="Arial" w:eastAsia="Arial" w:hAnsi="Arial"/>
          <w:sz w:val="19"/>
          <w:szCs w:val="19"/>
          <w:color w:val="auto"/>
        </w:rPr>
        <w:t xml:space="preserve"> thereunder may be modified, extended or amended from time to time, and that the aggregate amount of the Original First Lien Obligations[, [ ] Obligations] </w:t>
      </w:r>
      <w:r>
        <w:rPr>
          <w:rFonts w:ascii="Arial" w:cs="Arial" w:eastAsia="Arial" w:hAnsi="Arial"/>
          <w:sz w:val="25"/>
          <w:szCs w:val="25"/>
          <w:color w:val="auto"/>
          <w:vertAlign w:val="superscript"/>
        </w:rPr>
        <w:t>xii</w:t>
      </w:r>
      <w:r>
        <w:rPr>
          <w:rFonts w:ascii="Arial" w:cs="Arial" w:eastAsia="Arial" w:hAnsi="Arial"/>
          <w:sz w:val="19"/>
          <w:szCs w:val="19"/>
          <w:color w:val="auto"/>
        </w:rPr>
        <w:t xml:space="preserve"> or Additional Obligations thereunder may be increased, replaced or refinanced, in each event, without notice to or consent by any other Secured Parties and without affecting the provisions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from and after the date on which the Original First Lien Agent or any Original First Lien Credit Agreement Lender [or the [ ] Agent or any [ ] Lenders] </w:t>
      </w:r>
      <w:r>
        <w:rPr>
          <w:rFonts w:ascii="Arial" w:cs="Arial" w:eastAsia="Arial" w:hAnsi="Arial"/>
          <w:sz w:val="25"/>
          <w:szCs w:val="25"/>
          <w:color w:val="auto"/>
          <w:vertAlign w:val="superscript"/>
        </w:rPr>
        <w:t>xi</w:t>
      </w:r>
      <w:r>
        <w:rPr>
          <w:rFonts w:ascii="Arial" w:cs="Arial" w:eastAsia="Arial" w:hAnsi="Arial"/>
          <w:sz w:val="19"/>
          <w:szCs w:val="19"/>
          <w:color w:val="auto"/>
        </w:rPr>
        <w:t xml:space="preserve"> commences the Exercise of Secured Creditor Remedies, all amounts received by the Original First Lien Agent or any such Original First Lien Credit Agreement Lender [or the [ ] Agent or any [ ] Lenders] </w:t>
      </w:r>
      <w:r>
        <w:rPr>
          <w:rFonts w:ascii="Arial" w:cs="Arial" w:eastAsia="Arial" w:hAnsi="Arial"/>
          <w:sz w:val="25"/>
          <w:szCs w:val="25"/>
          <w:color w:val="auto"/>
          <w:vertAlign w:val="superscript"/>
        </w:rPr>
        <w:t>xi</w:t>
      </w:r>
      <w:r>
        <w:rPr>
          <w:rFonts w:ascii="Arial" w:cs="Arial" w:eastAsia="Arial" w:hAnsi="Arial"/>
          <w:sz w:val="19"/>
          <w:szCs w:val="19"/>
          <w:color w:val="auto"/>
        </w:rPr>
        <w:t xml:space="preserve"> as a result of such Exercise of Secured Creditor Remedies shall be applied as specified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Lien Priority shall not be altered or otherwise affected by any such amendment, modification, supplement, extension, repayment, reborrowing, increase, replacement, renewal, restatement or refinancing of the Original First Lien Obligations, the</w:t>
      </w:r>
    </w:p>
    <w:p>
      <w:pPr>
        <w:spacing w:after="0" w:line="5" w:lineRule="exact"/>
        <w:rPr>
          <w:sz w:val="20"/>
          <w:szCs w:val="20"/>
          <w:color w:val="auto"/>
        </w:rPr>
      </w:pPr>
    </w:p>
    <w:p>
      <w:pPr>
        <w:ind w:left="360" w:hanging="352"/>
        <w:spacing w:after="0"/>
        <w:tabs>
          <w:tab w:leader="none" w:pos="360" w:val="left"/>
        </w:tabs>
        <w:numPr>
          <w:ilvl w:val="0"/>
          <w:numId w:val="805"/>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Obligations, or any Additional Obligations, or any portion thereof.</w:t>
      </w:r>
    </w:p>
    <w:p>
      <w:pPr>
        <w:spacing w:after="0" w:line="149" w:lineRule="exact"/>
        <w:rPr>
          <w:rFonts w:ascii="Arial" w:cs="Arial" w:eastAsia="Arial" w:hAnsi="Arial"/>
          <w:sz w:val="22"/>
          <w:szCs w:val="22"/>
          <w:color w:val="auto"/>
        </w:rPr>
      </w:pPr>
    </w:p>
    <w:p>
      <w:pPr>
        <w:jc w:val="both"/>
        <w:ind w:firstLine="656"/>
        <w:spacing w:after="0" w:line="281" w:lineRule="auto"/>
        <w:tabs>
          <w:tab w:leader="none" w:pos="1224" w:val="left"/>
        </w:tabs>
        <w:numPr>
          <w:ilvl w:val="1"/>
          <w:numId w:val="805"/>
        </w:numPr>
        <w:rPr>
          <w:rFonts w:ascii="Arial" w:cs="Arial" w:eastAsia="Arial" w:hAnsi="Arial"/>
          <w:sz w:val="19"/>
          <w:szCs w:val="19"/>
          <w:color w:val="auto"/>
        </w:rPr>
      </w:pPr>
      <w:r>
        <w:rPr>
          <w:rFonts w:ascii="Arial" w:cs="Arial" w:eastAsia="Arial" w:hAnsi="Arial"/>
          <w:sz w:val="19"/>
          <w:szCs w:val="19"/>
          <w:i w:val="1"/>
          <w:iCs w:val="1"/>
          <w:u w:val="single" w:color="auto"/>
          <w:color w:val="auto"/>
        </w:rPr>
        <w:t>Revolving Nature of Certain Junior Priority Obligations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 Each Agent, for and on behalf of itself and the Secured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Parties represented thereby, expressly acknowledges and agrees that (x) Junior Priority Credit Facilities may include one or more revolving commitments, that in the ordinary course of business any Junior Priority Agent and Junior Priority Secured Parties may apply payments and make advances thereunder, and one or more incremental commitments of various classes, and (y) the amount of Junior Priority Obligations that may be outstanding thereunder at any time or from time to time may be increased or reduced and subsequently reborrowed, and that the terms of Junior Priority Obligations thereunder may be modified, extended or amended from time to time, and that the aggregate amount of Junior Priority Obligations thereunder may be increased, replaced or refinanced, in each event, without notice to or consent by any other Secured Parties and without affecting the provisions hereof;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 that from and after the date on which any Junior Priority Agent or Junior Priority Secured Party commences the Exercise of Secured Creditor Remedies, all amounts received by any such Junior Priority Agent or Junior Priority Secured Party as a result of such Exercise of Secured Creditor Remedies shall be applied as specified in this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Lien Priority shall not be altered or otherwise affected by any such amendment, modification, supplement, extension, repayment,</w:t>
      </w:r>
    </w:p>
    <w:tbl>
      <w:tblPr>
        <w:tblLayout w:type="fixed"/>
        <w:tblInd w:w="0" w:type="dxa"/>
        <w:tblCellMar>
          <w:top w:w="0" w:type="dxa"/>
          <w:left w:w="0" w:type="dxa"/>
          <w:bottom w:w="0" w:type="dxa"/>
          <w:right w:w="0" w:type="dxa"/>
        </w:tblCellMar>
      </w:tblPr>
      <w:tr>
        <w:trPr>
          <w:trHeight w:val="254"/>
        </w:trPr>
        <w:tc>
          <w:tcPr>
            <w:tcW w:w="10800" w:type="dxa"/>
            <w:vAlign w:val="bottom"/>
          </w:tcPr>
          <w:p>
            <w:pPr>
              <w:spacing w:after="0"/>
              <w:rPr>
                <w:sz w:val="20"/>
                <w:szCs w:val="20"/>
                <w:color w:val="auto"/>
              </w:rPr>
            </w:pPr>
            <w:r>
              <w:rPr>
                <w:rFonts w:ascii="Arial" w:cs="Arial" w:eastAsia="Arial" w:hAnsi="Arial"/>
                <w:sz w:val="22"/>
                <w:szCs w:val="22"/>
                <w:color w:val="auto"/>
                <w:w w:val="96"/>
              </w:rPr>
              <w:t>reborrowing, increase, replacement, renewal, restatement or refinancing of the Original First Lien Obligations, the [</w:t>
            </w:r>
          </w:p>
        </w:tc>
        <w:tc>
          <w:tcPr>
            <w:tcW w:w="440" w:type="dxa"/>
            <w:vAlign w:val="bottom"/>
          </w:tcPr>
          <w:p>
            <w:pPr>
              <w:ind w:left="240"/>
              <w:spacing w:after="0" w:line="253"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2"/>
                <w:szCs w:val="12"/>
                <w:color w:val="auto"/>
              </w:rPr>
              <w:t xml:space="preserve"> i</w:t>
            </w:r>
          </w:p>
        </w:tc>
      </w:tr>
      <w:tr>
        <w:trPr>
          <w:trHeight w:val="375"/>
        </w:trPr>
        <w:tc>
          <w:tcPr>
            <w:tcW w:w="10800" w:type="dxa"/>
            <w:vAlign w:val="bottom"/>
          </w:tcPr>
          <w:p>
            <w:pPr>
              <w:spacing w:after="0"/>
              <w:rPr>
                <w:sz w:val="20"/>
                <w:szCs w:val="20"/>
                <w:color w:val="auto"/>
              </w:rPr>
            </w:pPr>
            <w:r>
              <w:rPr>
                <w:rFonts w:ascii="Arial" w:cs="Arial" w:eastAsia="Arial" w:hAnsi="Arial"/>
                <w:sz w:val="22"/>
                <w:szCs w:val="22"/>
                <w:color w:val="auto"/>
              </w:rPr>
              <w:t xml:space="preserve">[First/Second]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Obligations, or any Additional Obligations, or any portion thereof.</w:t>
            </w:r>
          </w:p>
        </w:tc>
        <w:tc>
          <w:tcPr>
            <w:tcW w:w="440" w:type="dxa"/>
            <w:vAlign w:val="bottom"/>
          </w:tcPr>
          <w:p>
            <w:pPr>
              <w:spacing w:after="0"/>
              <w:rPr>
                <w:sz w:val="24"/>
                <w:szCs w:val="24"/>
                <w:color w:val="auto"/>
              </w:rPr>
            </w:pPr>
          </w:p>
        </w:tc>
      </w:tr>
    </w:tbl>
    <w:p>
      <w:pPr>
        <w:spacing w:after="0" w:line="109" w:lineRule="exact"/>
        <w:rPr>
          <w:sz w:val="20"/>
          <w:szCs w:val="20"/>
          <w:color w:val="auto"/>
        </w:rPr>
      </w:pPr>
    </w:p>
    <w:p>
      <w:pPr>
        <w:jc w:val="both"/>
        <w:ind w:firstLine="656"/>
        <w:spacing w:after="0" w:line="292" w:lineRule="auto"/>
        <w:tabs>
          <w:tab w:leader="none" w:pos="1158" w:val="left"/>
        </w:tabs>
        <w:numPr>
          <w:ilvl w:val="0"/>
          <w:numId w:val="806"/>
        </w:numPr>
        <w:rPr>
          <w:rFonts w:ascii="Arial" w:cs="Arial" w:eastAsia="Arial" w:hAnsi="Arial"/>
          <w:sz w:val="19"/>
          <w:szCs w:val="19"/>
          <w:color w:val="auto"/>
        </w:rPr>
      </w:pPr>
      <w:r>
        <w:rPr>
          <w:rFonts w:ascii="Arial" w:cs="Arial" w:eastAsia="Arial" w:hAnsi="Arial"/>
          <w:sz w:val="19"/>
          <w:szCs w:val="19"/>
          <w:i w:val="1"/>
          <w:iCs w:val="1"/>
          <w:u w:val="single" w:color="auto"/>
          <w:color w:val="auto"/>
        </w:rPr>
        <w:t>Revolving Nature of Certain Additional Obligations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 Each Agent, for and on behalf of itself and the Secured Parties</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represented thereby, expressly acknowledges and agrees that (x) Additional Credit Facilities may include one or more revolving commitments, that in the ordinary course of business any Additional Agent and Additional Credit Facility Secured Parties may apply payments and make advances thereunder, and one or more incremental commitments of various classes, and (y) the amount of Additional Obligations that may be outstanding thereunder at any time or from time to time may be increased or reduced and subsequently reborrowed, and that the terms of Additional Obligations thereunder may be modified, extended or amended from time to time, and that the aggregate amount of Additional Obligations thereunder may be increased, replaced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99" w:name="page600"/>
    <w:bookmarkEnd w:id="599"/>
    <w:p>
      <w:pPr>
        <w:jc w:val="both"/>
        <w:spacing w:after="0" w:line="277" w:lineRule="auto"/>
        <w:rPr>
          <w:sz w:val="20"/>
          <w:szCs w:val="20"/>
          <w:color w:val="auto"/>
        </w:rPr>
      </w:pPr>
      <w:r>
        <w:rPr>
          <w:rFonts w:ascii="Arial" w:cs="Arial" w:eastAsia="Arial" w:hAnsi="Arial"/>
          <w:sz w:val="20"/>
          <w:szCs w:val="20"/>
          <w:color w:val="auto"/>
        </w:rPr>
        <w:t xml:space="preserve">or refinanced, in each event, without notice to or consent by any other Secured Parties and without affecting the provisions hereof;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 that from and after the date on which any Additional Agent or Additional Credit Facility Secured Party commences the Exercise of Secured Creditor Remedies, all amounts received by any such Additional Agent or Additional Credit Facility Secured Party as a result of such Exercise of Secured Creditor Remedies shall be applied as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The Lien Priority shall not be altered or otherwise affected by any such amendment, modification, supplement, extension, repayment, reborrowing, increase, replacement, renewal, restatement or refinancing of the Original First Lien Obligations,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Obligations, or any Additional Obligations, or any portion thereof.</w:t>
      </w:r>
    </w:p>
    <w:p>
      <w:pPr>
        <w:spacing w:after="0" w:line="74" w:lineRule="exact"/>
        <w:rPr>
          <w:sz w:val="20"/>
          <w:szCs w:val="20"/>
          <w:color w:val="auto"/>
        </w:rPr>
      </w:pPr>
    </w:p>
    <w:p>
      <w:pPr>
        <w:jc w:val="both"/>
        <w:ind w:firstLine="656"/>
        <w:spacing w:after="0" w:line="265" w:lineRule="auto"/>
        <w:tabs>
          <w:tab w:leader="none" w:pos="1197" w:val="left"/>
        </w:tabs>
        <w:numPr>
          <w:ilvl w:val="0"/>
          <w:numId w:val="807"/>
        </w:numPr>
        <w:rPr>
          <w:rFonts w:ascii="Arial" w:cs="Arial" w:eastAsia="Arial" w:hAnsi="Arial"/>
          <w:sz w:val="21"/>
          <w:szCs w:val="21"/>
          <w:color w:val="auto"/>
        </w:rPr>
      </w:pPr>
      <w:r>
        <w:rPr>
          <w:rFonts w:ascii="Arial" w:cs="Arial" w:eastAsia="Arial" w:hAnsi="Arial"/>
          <w:sz w:val="21"/>
          <w:szCs w:val="21"/>
          <w:i w:val="1"/>
          <w:iCs w:val="1"/>
          <w:u w:val="single" w:color="auto"/>
          <w:color w:val="auto"/>
        </w:rPr>
        <w:t>Application of Proceeds of Collateral</w:t>
      </w:r>
      <w:r>
        <w:rPr>
          <w:rFonts w:ascii="Arial" w:cs="Arial" w:eastAsia="Arial" w:hAnsi="Arial"/>
          <w:sz w:val="21"/>
          <w:szCs w:val="21"/>
          <w:i w:val="1"/>
          <w:iCs w:val="1"/>
          <w:color w:val="auto"/>
        </w:rPr>
        <w:t xml:space="preserve"> . </w:t>
      </w:r>
      <w:r>
        <w:rPr>
          <w:rFonts w:ascii="Arial" w:cs="Arial" w:eastAsia="Arial" w:hAnsi="Arial"/>
          <w:sz w:val="21"/>
          <w:szCs w:val="21"/>
          <w:color w:val="auto"/>
        </w:rPr>
        <w:t>Except as may be separately otherwise agreed in writing by and between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among any applicable Agents, each Agent for, and on behalf of itself and the Secured Parties represented thereby, hereby agrees that all Collateral, and all Proceeds thereof, in each case, received by any Agent in connection with any Exercise of Secured Creditor Remedies shall be applied as follows, subject to clause (e) of this </w:t>
      </w:r>
      <w:r>
        <w:rPr>
          <w:rFonts w:ascii="Arial" w:cs="Arial" w:eastAsia="Arial" w:hAnsi="Arial"/>
          <w:sz w:val="21"/>
          <w:szCs w:val="21"/>
          <w:u w:val="single" w:color="auto"/>
          <w:color w:val="auto"/>
        </w:rPr>
        <w:t>Section 4.01:</w:t>
      </w:r>
    </w:p>
    <w:p>
      <w:pPr>
        <w:spacing w:after="0" w:line="175"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i w:val="1"/>
          <w:iCs w:val="1"/>
          <w:u w:val="single" w:color="auto"/>
          <w:color w:val="auto"/>
        </w:rPr>
        <w:t>first</w:t>
      </w:r>
      <w:r>
        <w:rPr>
          <w:rFonts w:ascii="Arial" w:cs="Arial" w:eastAsia="Arial" w:hAnsi="Arial"/>
          <w:sz w:val="19"/>
          <w:szCs w:val="19"/>
          <w:i w:val="1"/>
          <w:iCs w:val="1"/>
          <w:color w:val="auto"/>
        </w:rPr>
        <w:t xml:space="preserve"> </w:t>
      </w:r>
      <w:r>
        <w:rPr>
          <w:rFonts w:ascii="Arial" w:cs="Arial" w:eastAsia="Arial" w:hAnsi="Arial"/>
          <w:sz w:val="19"/>
          <w:szCs w:val="19"/>
          <w:color w:val="auto"/>
        </w:rPr>
        <w:t>, to the payment, on a pro rata basis, of costs and expenses of each Agent, as applicable, in connection with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such Exercise of Secured Creditor Remedies (other than any costs and expenses of any Junior Priority Agent in connection with any Exercise of Secured Creditor Remedies by it in willful violation of this Agreement (as determined in good faith by the Senior Priority Agent), which costs and expenses shall be payable in accordance with clause </w:t>
      </w:r>
      <w:r>
        <w:rPr>
          <w:rFonts w:ascii="Arial" w:cs="Arial" w:eastAsia="Arial" w:hAnsi="Arial"/>
          <w:sz w:val="19"/>
          <w:szCs w:val="19"/>
          <w:i w:val="1"/>
          <w:iCs w:val="1"/>
          <w:color w:val="auto"/>
        </w:rPr>
        <w:t>third</w:t>
      </w:r>
      <w:r>
        <w:rPr>
          <w:rFonts w:ascii="Arial" w:cs="Arial" w:eastAsia="Arial" w:hAnsi="Arial"/>
          <w:sz w:val="19"/>
          <w:szCs w:val="19"/>
          <w:color w:val="auto"/>
        </w:rPr>
        <w:t xml:space="preserve"> of this paragraph (d) to the extent that such costs and expenses constitute Junior Priority Obligations);</w:t>
      </w:r>
    </w:p>
    <w:p>
      <w:pPr>
        <w:spacing w:after="0" w:line="147"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i w:val="1"/>
          <w:iCs w:val="1"/>
          <w:u w:val="single" w:color="auto"/>
          <w:color w:val="auto"/>
        </w:rPr>
        <w:t>second</w:t>
      </w:r>
      <w:r>
        <w:rPr>
          <w:rFonts w:ascii="Arial" w:cs="Arial" w:eastAsia="Arial" w:hAnsi="Arial"/>
          <w:sz w:val="22"/>
          <w:szCs w:val="22"/>
          <w:i w:val="1"/>
          <w:iCs w:val="1"/>
          <w:color w:val="auto"/>
        </w:rPr>
        <w:t xml:space="preserve"> </w:t>
      </w:r>
      <w:r>
        <w:rPr>
          <w:rFonts w:ascii="Arial" w:cs="Arial" w:eastAsia="Arial" w:hAnsi="Arial"/>
          <w:sz w:val="22"/>
          <w:szCs w:val="22"/>
          <w:color w:val="auto"/>
        </w:rPr>
        <w:t>, to the payment of Senior Priority Obligations owing to the Senior Priority Secured Parties represented by</w:t>
      </w:r>
      <w:r>
        <w:rPr>
          <w:rFonts w:ascii="Arial" w:cs="Arial" w:eastAsia="Arial" w:hAnsi="Arial"/>
          <w:sz w:val="22"/>
          <w:szCs w:val="22"/>
          <w:i w:val="1"/>
          <w:iCs w:val="1"/>
          <w:color w:val="auto"/>
        </w:rPr>
        <w:t xml:space="preserve"> </w:t>
      </w:r>
      <w:r>
        <w:rPr>
          <w:rFonts w:ascii="Arial" w:cs="Arial" w:eastAsia="Arial" w:hAnsi="Arial"/>
          <w:sz w:val="22"/>
          <w:szCs w:val="22"/>
          <w:color w:val="auto"/>
        </w:rPr>
        <w:t>each Senior Priority Agent in accordance with the applicable Senior Priority Credit Facility, which payment shall be made between and among the Senior Priority Obligations owing to Senior Priority Secured Parties represented by different Senior Priority Agents on a pro rata basis (except as may be separately otherwise agreed in writing by and between or among any applicable Senior Priority Agents, in each case on behalf of itself and the Senior Priority Secured Parties represented thereby);</w:t>
      </w:r>
    </w:p>
    <w:p>
      <w:pPr>
        <w:spacing w:after="0" w:line="193"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i w:val="1"/>
          <w:iCs w:val="1"/>
          <w:u w:val="single" w:color="auto"/>
          <w:color w:val="auto"/>
        </w:rPr>
        <w:t>third</w:t>
      </w:r>
      <w:r>
        <w:rPr>
          <w:rFonts w:ascii="Arial" w:cs="Arial" w:eastAsia="Arial" w:hAnsi="Arial"/>
          <w:sz w:val="22"/>
          <w:szCs w:val="22"/>
          <w:i w:val="1"/>
          <w:iCs w:val="1"/>
          <w:color w:val="auto"/>
        </w:rPr>
        <w:t xml:space="preserve"> </w:t>
      </w:r>
      <w:r>
        <w:rPr>
          <w:rFonts w:ascii="Arial" w:cs="Arial" w:eastAsia="Arial" w:hAnsi="Arial"/>
          <w:sz w:val="22"/>
          <w:szCs w:val="22"/>
          <w:color w:val="auto"/>
        </w:rPr>
        <w:t>, to the payment of Junior Priority Obligations owing to the Junior Priority Secured Parties represented by</w:t>
      </w:r>
      <w:r>
        <w:rPr>
          <w:rFonts w:ascii="Arial" w:cs="Arial" w:eastAsia="Arial" w:hAnsi="Arial"/>
          <w:sz w:val="22"/>
          <w:szCs w:val="22"/>
          <w:i w:val="1"/>
          <w:iCs w:val="1"/>
          <w:color w:val="auto"/>
        </w:rPr>
        <w:t xml:space="preserve"> </w:t>
      </w:r>
      <w:r>
        <w:rPr>
          <w:rFonts w:ascii="Arial" w:cs="Arial" w:eastAsia="Arial" w:hAnsi="Arial"/>
          <w:sz w:val="22"/>
          <w:szCs w:val="22"/>
          <w:color w:val="auto"/>
        </w:rPr>
        <w:t>each Junior Priority Agent in accordance with the applicable Junior Priority Credit Facility, which payment shall be made between and among the Junior Priority Obligations owing to Junior Priority Secured Parties represented by different Junior Priority Agents on a pro rata basis (except as may be separately otherwise agreed in writing by and between or among any applicable Junior Priority Agents, in each case on behalf of itself and the Junior Priority Secured Parties represented thereby); and</w:t>
      </w:r>
    </w:p>
    <w:p>
      <w:pPr>
        <w:spacing w:after="0" w:line="193"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i w:val="1"/>
          <w:iCs w:val="1"/>
          <w:u w:val="single" w:color="auto"/>
          <w:color w:val="auto"/>
        </w:rPr>
        <w:t>fourth</w:t>
      </w:r>
      <w:r>
        <w:rPr>
          <w:rFonts w:ascii="Arial" w:cs="Arial" w:eastAsia="Arial" w:hAnsi="Arial"/>
          <w:sz w:val="22"/>
          <w:szCs w:val="22"/>
          <w:i w:val="1"/>
          <w:iCs w:val="1"/>
          <w:color w:val="auto"/>
        </w:rPr>
        <w:t xml:space="preserve"> </w:t>
      </w:r>
      <w:r>
        <w:rPr>
          <w:rFonts w:ascii="Arial" w:cs="Arial" w:eastAsia="Arial" w:hAnsi="Arial"/>
          <w:sz w:val="22"/>
          <w:szCs w:val="22"/>
          <w:color w:val="auto"/>
        </w:rPr>
        <w:t>, the balance, if any, to the Loan Parties or to whomsoever may be lawfully entitled to receive the same or</w:t>
      </w:r>
      <w:r>
        <w:rPr>
          <w:rFonts w:ascii="Arial" w:cs="Arial" w:eastAsia="Arial" w:hAnsi="Arial"/>
          <w:sz w:val="22"/>
          <w:szCs w:val="22"/>
          <w:i w:val="1"/>
          <w:iCs w:val="1"/>
          <w:color w:val="auto"/>
        </w:rPr>
        <w:t xml:space="preserve"> </w:t>
      </w:r>
      <w:r>
        <w:rPr>
          <w:rFonts w:ascii="Arial" w:cs="Arial" w:eastAsia="Arial" w:hAnsi="Arial"/>
          <w:sz w:val="22"/>
          <w:szCs w:val="22"/>
          <w:color w:val="auto"/>
        </w:rPr>
        <w:t>as a court of competent jurisdiction may direct.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Each Senior Priority Agent shall provide the Senior Priority Representative with such information about the Senior Priority Obligations owing to the Senior Priority Secured Parties represented by it as they may reasonably request in order to carry out the purposes of this </w:t>
      </w:r>
      <w:r>
        <w:rPr>
          <w:rFonts w:ascii="Arial" w:cs="Arial" w:eastAsia="Arial" w:hAnsi="Arial"/>
          <w:sz w:val="22"/>
          <w:szCs w:val="22"/>
          <w:u w:val="single" w:color="auto"/>
          <w:color w:val="auto"/>
        </w:rPr>
        <w:t>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0" w:name="page601"/>
    <w:bookmarkEnd w:id="600"/>
    <w:p>
      <w:pPr>
        <w:jc w:val="both"/>
        <w:spacing w:after="0" w:line="253" w:lineRule="auto"/>
        <w:rPr>
          <w:sz w:val="20"/>
          <w:szCs w:val="20"/>
          <w:color w:val="auto"/>
        </w:rPr>
      </w:pPr>
      <w:r>
        <w:rPr>
          <w:rFonts w:ascii="Arial" w:cs="Arial" w:eastAsia="Arial" w:hAnsi="Arial"/>
          <w:sz w:val="22"/>
          <w:szCs w:val="22"/>
          <w:u w:val="single" w:color="auto"/>
          <w:color w:val="auto"/>
        </w:rPr>
        <w:t>4.01.</w:t>
      </w:r>
      <w:r>
        <w:rPr>
          <w:rFonts w:ascii="Arial" w:cs="Arial" w:eastAsia="Arial" w:hAnsi="Arial"/>
          <w:sz w:val="22"/>
          <w:szCs w:val="22"/>
          <w:color w:val="auto"/>
        </w:rPr>
        <w:t xml:space="preserve"> Each Junior Priority Agent shall provide the Junior Priority Representative with such information about the Junior Priority Obligations owing to the Junior Priority Secured Parties represented by it as they may reasonably request in order to carry out the purposes of this </w:t>
      </w:r>
      <w:r>
        <w:rPr>
          <w:rFonts w:ascii="Arial" w:cs="Arial" w:eastAsia="Arial" w:hAnsi="Arial"/>
          <w:sz w:val="22"/>
          <w:szCs w:val="22"/>
          <w:u w:val="single" w:color="auto"/>
          <w:color w:val="auto"/>
        </w:rPr>
        <w:t>Section 4.01.</w:t>
      </w:r>
    </w:p>
    <w:p>
      <w:pPr>
        <w:spacing w:after="0" w:line="185" w:lineRule="exact"/>
        <w:rPr>
          <w:sz w:val="20"/>
          <w:szCs w:val="20"/>
          <w:color w:val="auto"/>
        </w:rPr>
      </w:pPr>
    </w:p>
    <w:p>
      <w:pPr>
        <w:jc w:val="both"/>
        <w:ind w:firstLine="656"/>
        <w:spacing w:after="0" w:line="287" w:lineRule="auto"/>
        <w:tabs>
          <w:tab w:leader="none" w:pos="1293" w:val="left"/>
        </w:tabs>
        <w:numPr>
          <w:ilvl w:val="0"/>
          <w:numId w:val="808"/>
        </w:numPr>
        <w:rPr>
          <w:rFonts w:ascii="Arial" w:cs="Arial" w:eastAsia="Arial" w:hAnsi="Arial"/>
          <w:sz w:val="19"/>
          <w:szCs w:val="19"/>
          <w:color w:val="auto"/>
        </w:rPr>
      </w:pPr>
      <w:r>
        <w:rPr>
          <w:rFonts w:ascii="Arial" w:cs="Arial" w:eastAsia="Arial" w:hAnsi="Arial"/>
          <w:sz w:val="19"/>
          <w:szCs w:val="19"/>
          <w:i w:val="1"/>
          <w:iCs w:val="1"/>
          <w:u w:val="single" w:color="auto"/>
          <w:color w:val="auto"/>
        </w:rPr>
        <w:t>Limited Obligation or Liability</w:t>
      </w:r>
      <w:r>
        <w:rPr>
          <w:rFonts w:ascii="Arial" w:cs="Arial" w:eastAsia="Arial" w:hAnsi="Arial"/>
          <w:sz w:val="19"/>
          <w:szCs w:val="19"/>
          <w:i w:val="1"/>
          <w:iCs w:val="1"/>
          <w:color w:val="auto"/>
        </w:rPr>
        <w:t xml:space="preserve"> . </w:t>
      </w:r>
      <w:r>
        <w:rPr>
          <w:rFonts w:ascii="Arial" w:cs="Arial" w:eastAsia="Arial" w:hAnsi="Arial"/>
          <w:sz w:val="19"/>
          <w:szCs w:val="19"/>
          <w:color w:val="auto"/>
        </w:rPr>
        <w:t>In exercising remedies, whether as a secured creditor or otherwise, no Senior</w:t>
      </w:r>
      <w:r>
        <w:rPr>
          <w:rFonts w:ascii="Arial" w:cs="Arial" w:eastAsia="Arial" w:hAnsi="Arial"/>
          <w:sz w:val="19"/>
          <w:szCs w:val="19"/>
          <w:i w:val="1"/>
          <w:iCs w:val="1"/>
          <w:color w:val="auto"/>
        </w:rPr>
        <w:t xml:space="preserve"> </w:t>
      </w:r>
      <w:r>
        <w:rPr>
          <w:rFonts w:ascii="Arial" w:cs="Arial" w:eastAsia="Arial" w:hAnsi="Arial"/>
          <w:sz w:val="19"/>
          <w:szCs w:val="19"/>
          <w:color w:val="auto"/>
        </w:rPr>
        <w:t>Priority Agent shall have any obligation or liability to any Junior Priority Secured Party, or (except as may be separately agreed in writing by and between or among any applicable Senior Priority Agents, in each case on behalf of itself and the Senior Priority Creditors represented thereby) to any other Senior Priority Secured Party, in each case regarding the adequacy of any Proceeds or for any action or omission, save and except solely for an action or omission that breaches the express obligations undertaken by such Senior Priority Agent under the terms of this Agreement. In exercising remedies, whether as a secured creditor or otherwise, no Junior Priority Agent shall have any obligation or liability (except as may be separately agreed in writing by and between or among any applicable Junior Priority Agents, in each case on behalf of itself and the Junior Priority Creditors represented thereby) to any other Junior Priority Secured Party, in each case regarding the adequacy of any Proceeds or for any action or omission, save and except solely for an action or omission that breaches the express obligations undertaken by such Junior Priority Agent under the terms of this Agreement.</w:t>
      </w:r>
    </w:p>
    <w:p>
      <w:pPr>
        <w:spacing w:after="0" w:line="163" w:lineRule="exact"/>
        <w:rPr>
          <w:rFonts w:ascii="Arial" w:cs="Arial" w:eastAsia="Arial" w:hAnsi="Arial"/>
          <w:sz w:val="19"/>
          <w:szCs w:val="19"/>
          <w:color w:val="auto"/>
        </w:rPr>
      </w:pPr>
    </w:p>
    <w:p>
      <w:pPr>
        <w:jc w:val="both"/>
        <w:ind w:firstLine="656"/>
        <w:spacing w:after="0" w:line="246" w:lineRule="auto"/>
        <w:tabs>
          <w:tab w:leader="none" w:pos="1269" w:val="left"/>
        </w:tabs>
        <w:numPr>
          <w:ilvl w:val="0"/>
          <w:numId w:val="808"/>
        </w:numPr>
        <w:rPr>
          <w:rFonts w:ascii="Arial" w:cs="Arial" w:eastAsia="Arial" w:hAnsi="Arial"/>
          <w:sz w:val="22"/>
          <w:szCs w:val="22"/>
          <w:color w:val="auto"/>
        </w:rPr>
      </w:pPr>
      <w:r>
        <w:rPr>
          <w:rFonts w:ascii="Arial" w:cs="Arial" w:eastAsia="Arial" w:hAnsi="Arial"/>
          <w:sz w:val="22"/>
          <w:szCs w:val="22"/>
          <w:i w:val="1"/>
          <w:iCs w:val="1"/>
          <w:u w:val="single" w:color="auto"/>
          <w:color w:val="auto"/>
        </w:rPr>
        <w:t>Turnover of Cash Collateral After Discharge</w:t>
      </w:r>
      <w:r>
        <w:rPr>
          <w:rFonts w:ascii="Arial" w:cs="Arial" w:eastAsia="Arial" w:hAnsi="Arial"/>
          <w:sz w:val="22"/>
          <w:szCs w:val="22"/>
          <w:i w:val="1"/>
          <w:iCs w:val="1"/>
          <w:color w:val="auto"/>
        </w:rPr>
        <w:t xml:space="preserve"> </w:t>
      </w:r>
      <w:r>
        <w:rPr>
          <w:rFonts w:ascii="Arial" w:cs="Arial" w:eastAsia="Arial" w:hAnsi="Arial"/>
          <w:sz w:val="22"/>
          <w:szCs w:val="22"/>
          <w:color w:val="auto"/>
        </w:rPr>
        <w:t>. Upon the Discharge of Senior Priority Obligations, each Senior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Priority Agent shall deliver to the Junior Priority Representative or shall execute such documents as the Company or as the Junior Priority Representative may reasonably request to enable it to have control over any Cash Collateral or Control Collateral still in such Senior Priority Agent’s possession, custody or control in the same form as received with any necessary endorsements, or as a court of competent jurisdiction may otherwise direct. As between any Junior Priority Agent and any other Junior Priority Agent, any such Cash Collateral or Control Collateral held by any such Party shall be held by it subject to the terms and conditions of </w:t>
      </w:r>
      <w:r>
        <w:rPr>
          <w:rFonts w:ascii="Arial" w:cs="Arial" w:eastAsia="Arial" w:hAnsi="Arial"/>
          <w:sz w:val="22"/>
          <w:szCs w:val="22"/>
          <w:u w:val="single" w:color="auto"/>
          <w:color w:val="auto"/>
        </w:rPr>
        <w:t>Section 3.01.</w:t>
      </w:r>
    </w:p>
    <w:p>
      <w:pPr>
        <w:spacing w:after="0" w:line="196" w:lineRule="exact"/>
        <w:rPr>
          <w:rFonts w:ascii="Arial" w:cs="Arial" w:eastAsia="Arial" w:hAnsi="Arial"/>
          <w:sz w:val="22"/>
          <w:szCs w:val="22"/>
          <w:color w:val="auto"/>
        </w:rPr>
      </w:pPr>
    </w:p>
    <w:p>
      <w:pPr>
        <w:jc w:val="both"/>
        <w:ind w:firstLine="656"/>
        <w:spacing w:after="0" w:line="292" w:lineRule="auto"/>
        <w:tabs>
          <w:tab w:leader="none" w:pos="1291" w:val="left"/>
        </w:tabs>
        <w:numPr>
          <w:ilvl w:val="0"/>
          <w:numId w:val="808"/>
        </w:numPr>
        <w:rPr>
          <w:rFonts w:ascii="Arial" w:cs="Arial" w:eastAsia="Arial" w:hAnsi="Arial"/>
          <w:sz w:val="19"/>
          <w:szCs w:val="19"/>
          <w:color w:val="auto"/>
        </w:rPr>
      </w:pPr>
      <w:r>
        <w:rPr>
          <w:rFonts w:ascii="Arial" w:cs="Arial" w:eastAsia="Arial" w:hAnsi="Arial"/>
          <w:sz w:val="19"/>
          <w:szCs w:val="19"/>
          <w:i w:val="1"/>
          <w:iCs w:val="1"/>
          <w:u w:val="single" w:color="auto"/>
          <w:color w:val="auto"/>
        </w:rPr>
        <w:t>Senior Intervening Creditor</w:t>
      </w:r>
      <w:r>
        <w:rPr>
          <w:rFonts w:ascii="Arial" w:cs="Arial" w:eastAsia="Arial" w:hAnsi="Arial"/>
          <w:sz w:val="19"/>
          <w:szCs w:val="19"/>
          <w:i w:val="1"/>
          <w:iCs w:val="1"/>
          <w:color w:val="auto"/>
        </w:rPr>
        <w:t xml:space="preserve"> </w:t>
      </w:r>
      <w:r>
        <w:rPr>
          <w:rFonts w:ascii="Arial" w:cs="Arial" w:eastAsia="Arial" w:hAnsi="Arial"/>
          <w:sz w:val="19"/>
          <w:szCs w:val="19"/>
          <w:color w:val="auto"/>
        </w:rPr>
        <w:t>. Notwithstanding anything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4.01(d)</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contrary, solely as among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Senior Priority Secured Parties with respect to any Collateral for which a third party (other than a Senior Priority Secured Party) has a Lien or security interest that is junior in priority to the Lien or security interest of any Series of Senior Priority Debt but senior (as determined by appropriate legal proceedings in the case of any dispute) to the Lien or security interest of any other Series of Senior Priority Debt (such third party an “ </w:t>
      </w:r>
      <w:r>
        <w:rPr>
          <w:rFonts w:ascii="Arial" w:cs="Arial" w:eastAsia="Arial" w:hAnsi="Arial"/>
          <w:sz w:val="19"/>
          <w:szCs w:val="19"/>
          <w:u w:val="single" w:color="auto"/>
          <w:color w:val="auto"/>
        </w:rPr>
        <w:t>Senior Intervening Creditor</w:t>
      </w:r>
      <w:r>
        <w:rPr>
          <w:rFonts w:ascii="Arial" w:cs="Arial" w:eastAsia="Arial" w:hAnsi="Arial"/>
          <w:sz w:val="19"/>
          <w:szCs w:val="19"/>
          <w:color w:val="auto"/>
        </w:rPr>
        <w:t xml:space="preserve"> ”), the value of any Collateral or Proceeds that are allocated to such Senior Intervening Creditor shall be deducted on a ratable basis solely from the Collateral or Proceeds thereof to be distributed in respect of the Series of Senior Priority Debt with respect to which such Impairment exists.</w:t>
      </w:r>
    </w:p>
    <w:p>
      <w:pPr>
        <w:spacing w:after="0" w:line="150" w:lineRule="exact"/>
        <w:rPr>
          <w:rFonts w:ascii="Arial" w:cs="Arial" w:eastAsia="Arial" w:hAnsi="Arial"/>
          <w:sz w:val="19"/>
          <w:szCs w:val="19"/>
          <w:color w:val="auto"/>
        </w:rPr>
      </w:pPr>
    </w:p>
    <w:p>
      <w:pPr>
        <w:jc w:val="both"/>
        <w:ind w:firstLine="656"/>
        <w:spacing w:after="0" w:line="263" w:lineRule="auto"/>
        <w:tabs>
          <w:tab w:leader="none" w:pos="1291" w:val="left"/>
        </w:tabs>
        <w:numPr>
          <w:ilvl w:val="0"/>
          <w:numId w:val="808"/>
        </w:numPr>
        <w:rPr>
          <w:rFonts w:ascii="Arial" w:cs="Arial" w:eastAsia="Arial" w:hAnsi="Arial"/>
          <w:sz w:val="21"/>
          <w:szCs w:val="21"/>
          <w:color w:val="auto"/>
        </w:rPr>
      </w:pPr>
      <w:r>
        <w:rPr>
          <w:rFonts w:ascii="Arial" w:cs="Arial" w:eastAsia="Arial" w:hAnsi="Arial"/>
          <w:sz w:val="21"/>
          <w:szCs w:val="21"/>
          <w:i w:val="1"/>
          <w:iCs w:val="1"/>
          <w:u w:val="single" w:color="auto"/>
          <w:color w:val="auto"/>
        </w:rPr>
        <w:t>Junior Intervening Creditor</w:t>
      </w:r>
      <w:r>
        <w:rPr>
          <w:rFonts w:ascii="Arial" w:cs="Arial" w:eastAsia="Arial" w:hAnsi="Arial"/>
          <w:sz w:val="21"/>
          <w:szCs w:val="21"/>
          <w:i w:val="1"/>
          <w:iCs w:val="1"/>
          <w:color w:val="auto"/>
        </w:rPr>
        <w:t xml:space="preserve"> </w:t>
      </w:r>
      <w:r>
        <w:rPr>
          <w:rFonts w:ascii="Arial" w:cs="Arial" w:eastAsia="Arial" w:hAnsi="Arial"/>
          <w:sz w:val="21"/>
          <w:szCs w:val="21"/>
          <w:color w:val="auto"/>
        </w:rPr>
        <w:t>. Notwithstanding anything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4.01(d)</w:t>
      </w:r>
      <w:r>
        <w:rPr>
          <w:rFonts w:ascii="Arial" w:cs="Arial" w:eastAsia="Arial" w:hAnsi="Arial"/>
          <w:sz w:val="21"/>
          <w:szCs w:val="21"/>
          <w:i w:val="1"/>
          <w:iCs w:val="1"/>
          <w:color w:val="auto"/>
        </w:rPr>
        <w:t xml:space="preserve"> </w:t>
      </w:r>
      <w:r>
        <w:rPr>
          <w:rFonts w:ascii="Arial" w:cs="Arial" w:eastAsia="Arial" w:hAnsi="Arial"/>
          <w:sz w:val="21"/>
          <w:szCs w:val="21"/>
          <w:color w:val="auto"/>
        </w:rPr>
        <w:t>to the contrary, solely as among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Junior Priority Secured Parties with respect to any Collateral for which a third party (other than a Junior Priority Secured Party) has a Lien or security interest that is junior in priority to the Lien or security interest of any Series of Junior Priority Debt but senior (as determined by appropriate legal proceedings in the case of any dispute) to the Lien or security interest of any other Series of Junior Priority Debt (such third party an “ </w:t>
      </w:r>
      <w:r>
        <w:rPr>
          <w:rFonts w:ascii="Arial" w:cs="Arial" w:eastAsia="Arial" w:hAnsi="Arial"/>
          <w:sz w:val="21"/>
          <w:szCs w:val="21"/>
          <w:u w:val="single" w:color="auto"/>
          <w:color w:val="auto"/>
        </w:rPr>
        <w:t>Junior Intervening Creditor</w:t>
      </w:r>
      <w:r>
        <w:rPr>
          <w:rFonts w:ascii="Arial" w:cs="Arial" w:eastAsia="Arial" w:hAnsi="Arial"/>
          <w:sz w:val="21"/>
          <w:szCs w:val="21"/>
          <w:color w:val="auto"/>
        </w:rPr>
        <w:t xml:space="preserve"> ”),</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1" w:name="page602"/>
    <w:bookmarkEnd w:id="601"/>
    <w:p>
      <w:pPr>
        <w:jc w:val="both"/>
        <w:spacing w:after="0" w:line="253" w:lineRule="auto"/>
        <w:rPr>
          <w:sz w:val="20"/>
          <w:szCs w:val="20"/>
          <w:color w:val="auto"/>
        </w:rPr>
      </w:pPr>
      <w:r>
        <w:rPr>
          <w:rFonts w:ascii="Arial" w:cs="Arial" w:eastAsia="Arial" w:hAnsi="Arial"/>
          <w:sz w:val="22"/>
          <w:szCs w:val="22"/>
          <w:color w:val="auto"/>
        </w:rPr>
        <w:t>the value of any Collateral or Proceeds that are allocated to such Junior Intervening Creditor shall be deducted on a ratable basis solely from the Collateral or Proceeds thereof to be distributed in respect of the Series of Junior Priority Debt with respect to which such Impairment exists.</w:t>
      </w:r>
    </w:p>
    <w:p>
      <w:pPr>
        <w:spacing w:after="0" w:line="179"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Specific Performance and Other Relief</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Each Agent is hereby authorized to demand specific performance of this Agreement or obtain relief by injunction or other appropriate equitable relief, whether or not any Loan Party shall have complied with any of the provisions of any of the Credit Documents, at any time when any other Party shall have failed to comply with any of the provisions of this Agreement applicable to it. Each Agent, for and on behalf of itself and the Secured Parties represented thereby, hereby irrevocably waives any defense based on the adequacy of a remedy at law that might be asserted as a bar to such remedy of specific performance, injunctive relief or other equitable relief.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INTERCREDITOR ACKNOWLEDGEMENTS AND WAIVERS</w:t>
      </w:r>
    </w:p>
    <w:p>
      <w:pPr>
        <w:spacing w:after="0" w:line="19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 xml:space="preserve">Notice of Acceptance and Other Waivers </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248" w:lineRule="auto"/>
        <w:tabs>
          <w:tab w:leader="none" w:pos="1119" w:val="left"/>
        </w:tabs>
        <w:numPr>
          <w:ilvl w:val="0"/>
          <w:numId w:val="809"/>
        </w:numPr>
        <w:rPr>
          <w:rFonts w:ascii="Arial" w:cs="Arial" w:eastAsia="Arial" w:hAnsi="Arial"/>
          <w:sz w:val="22"/>
          <w:szCs w:val="22"/>
          <w:color w:val="auto"/>
        </w:rPr>
      </w:pPr>
      <w:r>
        <w:rPr>
          <w:rFonts w:ascii="Arial" w:cs="Arial" w:eastAsia="Arial" w:hAnsi="Arial"/>
          <w:sz w:val="22"/>
          <w:szCs w:val="22"/>
          <w:color w:val="auto"/>
        </w:rPr>
        <w:t>All Senior Priority Obligations at any time made or incurred by any Loan Party shall be deemed to have been made or incurred in reliance upon this Agreement, and each Junior Priority Agent, for and on behalf of itself and the Junior Priority Creditors represented thereby, hereby waives notice of acceptance of, or proof of reliance by any Senior Priority Agent or any Senior Priority Creditors on, this Agreement, and notice of the existence, increase, renewal, extension, accrual, creation, or nonpayment of all or any part of the Senior Priority Obligations.</w:t>
      </w:r>
    </w:p>
    <w:p>
      <w:pPr>
        <w:spacing w:after="0" w:line="191" w:lineRule="exact"/>
        <w:rPr>
          <w:rFonts w:ascii="Arial" w:cs="Arial" w:eastAsia="Arial" w:hAnsi="Arial"/>
          <w:sz w:val="22"/>
          <w:szCs w:val="22"/>
          <w:color w:val="auto"/>
        </w:rPr>
      </w:pPr>
    </w:p>
    <w:p>
      <w:pPr>
        <w:jc w:val="both"/>
        <w:ind w:firstLine="656"/>
        <w:spacing w:after="0" w:line="285" w:lineRule="auto"/>
        <w:tabs>
          <w:tab w:leader="none" w:pos="1326" w:val="left"/>
        </w:tabs>
        <w:numPr>
          <w:ilvl w:val="0"/>
          <w:numId w:val="809"/>
        </w:numPr>
        <w:rPr>
          <w:rFonts w:ascii="Arial" w:cs="Arial" w:eastAsia="Arial" w:hAnsi="Arial"/>
          <w:sz w:val="19"/>
          <w:szCs w:val="19"/>
          <w:color w:val="auto"/>
        </w:rPr>
      </w:pPr>
      <w:r>
        <w:rPr>
          <w:rFonts w:ascii="Arial" w:cs="Arial" w:eastAsia="Arial" w:hAnsi="Arial"/>
          <w:sz w:val="19"/>
          <w:szCs w:val="19"/>
          <w:color w:val="auto"/>
        </w:rPr>
        <w:t>None of the Senior Priority Agents (including any Senior Priority Agent in its capacity as Senior Priority Representative, if applicable), the Senior Priority Creditors, or any of their respective Affiliates, or any of the respective directors, officers, employees, or agents of any of the foregoing, shall be liable for failure to demand, collect, or realize upon any of the Collateral or any Proceeds, or for any delay in doing so, or shall be under any obligation to sell or otherwise dispose of any Collateral or Proceeds thereof or to take any other action whatsoever with regard to the Collateral or any part or Proceeds thereof, except as specifically provided in this Agreement. If any Senior Priority Agent or Senior Priority Creditor honors (or fails to honor) a request by any Borrower for an extension of credit pursuant to any Senior Priority Credit Facility or any other Senior Priority Document, whether or not such Senior Priority Agent or Senior Priority Creditor has knowledge that the honoring of (or failure to honor) any such request would constitute a default under the terms of any Junior Priority Credit Facility or any other Junior Priority Document (but not a default under this Agreement) or would constitute an act, condition, or event that, with the giving of notice or the passage of time, or both, would constitute such a default, or if any Senior Priority Agent or Senior Priority Creditor otherwise should exercise any of its contractual rights or remedies under any Senior Priority Documents (subject to the express terms and conditions hereof), no Senior Priority Agent or Senior Priority Creditor shall have any liability whatsoever to any Junior Priority Agent or Junior Priority Creditor as a result of such action, omission, or exercise, in each case so long as any such exercise does not breach the express terms and provisions of this Agreement. Each Senior Priority Secured Party shall be entitled to manage and supervise its loans and extensions of credit under the relevant Senior Priority Credit Facility and other Senior Priority Documents as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2" w:name="page603"/>
    <w:bookmarkEnd w:id="602"/>
    <w:p>
      <w:pPr>
        <w:jc w:val="both"/>
        <w:spacing w:after="0" w:line="246" w:lineRule="auto"/>
        <w:rPr>
          <w:sz w:val="20"/>
          <w:szCs w:val="20"/>
          <w:color w:val="auto"/>
        </w:rPr>
      </w:pPr>
      <w:r>
        <w:rPr>
          <w:rFonts w:ascii="Arial" w:cs="Arial" w:eastAsia="Arial" w:hAnsi="Arial"/>
          <w:sz w:val="22"/>
          <w:szCs w:val="22"/>
          <w:color w:val="auto"/>
        </w:rPr>
        <w:t>it may, in its sole discretion, deem appropriate, and may manage its loans and extensions of credit without regard to any rights or interests that the Junior Priority Agents or Junior Priority Creditors have in the Collateral, except as otherwise expressly set forth in this Agreement. Each Junior Priority Agent, on behalf of itself and the Junior Priority Creditors represented thereby, agrees that no Senior Priority Agent or Senior Priority Creditor shall incur any liability as a result of a sale, lease, license, application, or other disposition of all or any portion of the Collateral or Proceeds thereof pursuant to the Senior Priority Documents, in each case so long as such disposition is conducted in accordance with mandatory provisions of applicable law and does not breach the provisions of this Agreement.</w:t>
      </w:r>
    </w:p>
    <w:p>
      <w:pPr>
        <w:spacing w:after="0" w:line="196"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 xml:space="preserve">Modifications to Senior Priority Documents and Junior Priority Documents </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92" w:lineRule="auto"/>
        <w:tabs>
          <w:tab w:leader="none" w:pos="1142" w:val="left"/>
        </w:tabs>
        <w:numPr>
          <w:ilvl w:val="0"/>
          <w:numId w:val="810"/>
        </w:numPr>
        <w:rPr>
          <w:rFonts w:ascii="Arial" w:cs="Arial" w:eastAsia="Arial" w:hAnsi="Arial"/>
          <w:sz w:val="19"/>
          <w:szCs w:val="19"/>
          <w:color w:val="auto"/>
        </w:rPr>
      </w:pPr>
      <w:r>
        <w:rPr>
          <w:rFonts w:ascii="Arial" w:cs="Arial" w:eastAsia="Arial" w:hAnsi="Arial"/>
          <w:sz w:val="19"/>
          <w:szCs w:val="19"/>
          <w:color w:val="auto"/>
        </w:rPr>
        <w:t>Each Junior Priority Agent, for and on behalf of itself and the Junior Priority Creditors represented thereby, hereby agrees that, without affecting the obligations of such Junior Priority Secured Parties hereunder, each Senior Priority Agent and the Senior Priority Creditors represented thereby may, at any time and from time to time, in their sole discretion without the consent of or notice to any Junior Priority Secured Party (except to the extent such notice or consent is required pursuant to the express provisions of this Agreement), and without incurring any liability to any such Junior Priority Secured Party or impairing or releasing the subordination provided for herein, amend, restate, supplement, replace, refinance, extend, consolidate, restructure, or otherwise modify any of the Senior Priority Documents in any manner whatsoever, including, to:</w:t>
      </w:r>
    </w:p>
    <w:p>
      <w:pPr>
        <w:spacing w:after="0" w:line="150" w:lineRule="exact"/>
        <w:rPr>
          <w:rFonts w:ascii="Arial" w:cs="Arial" w:eastAsia="Arial" w:hAnsi="Arial"/>
          <w:sz w:val="19"/>
          <w:szCs w:val="19"/>
          <w:color w:val="auto"/>
        </w:rPr>
      </w:pPr>
    </w:p>
    <w:p>
      <w:pPr>
        <w:jc w:val="both"/>
        <w:ind w:left="660" w:firstLine="644"/>
        <w:spacing w:after="0" w:line="312" w:lineRule="auto"/>
        <w:tabs>
          <w:tab w:leader="none" w:pos="1831" w:val="left"/>
        </w:tabs>
        <w:numPr>
          <w:ilvl w:val="1"/>
          <w:numId w:val="810"/>
        </w:numPr>
        <w:rPr>
          <w:rFonts w:ascii="Arial" w:cs="Arial" w:eastAsia="Arial" w:hAnsi="Arial"/>
          <w:sz w:val="19"/>
          <w:szCs w:val="19"/>
          <w:color w:val="auto"/>
        </w:rPr>
      </w:pPr>
      <w:r>
        <w:rPr>
          <w:rFonts w:ascii="Arial" w:cs="Arial" w:eastAsia="Arial" w:hAnsi="Arial"/>
          <w:sz w:val="19"/>
          <w:szCs w:val="19"/>
          <w:color w:val="auto"/>
        </w:rPr>
        <w:t>change the manner, place, time, or terms of payment or renew, alter or increase, all or any of the Senior Priority Obligations or otherwise amend, restate, supplement, or otherwise modify in any manner, or grant any waiver or release with respect to, all or any part of the Senior Priority Obligations or any of the Senior Priority Documents;</w:t>
      </w:r>
    </w:p>
    <w:p>
      <w:pPr>
        <w:spacing w:after="0" w:line="133" w:lineRule="exact"/>
        <w:rPr>
          <w:rFonts w:ascii="Arial" w:cs="Arial" w:eastAsia="Arial" w:hAnsi="Arial"/>
          <w:sz w:val="19"/>
          <w:szCs w:val="19"/>
          <w:color w:val="auto"/>
        </w:rPr>
      </w:pPr>
    </w:p>
    <w:p>
      <w:pPr>
        <w:ind w:left="660" w:right="20" w:firstLine="644"/>
        <w:spacing w:after="0" w:line="263" w:lineRule="auto"/>
        <w:tabs>
          <w:tab w:leader="none" w:pos="1799" w:val="left"/>
        </w:tabs>
        <w:numPr>
          <w:ilvl w:val="1"/>
          <w:numId w:val="810"/>
        </w:numPr>
        <w:rPr>
          <w:rFonts w:ascii="Arial" w:cs="Arial" w:eastAsia="Arial" w:hAnsi="Arial"/>
          <w:sz w:val="22"/>
          <w:szCs w:val="22"/>
          <w:color w:val="auto"/>
        </w:rPr>
      </w:pPr>
      <w:r>
        <w:rPr>
          <w:rFonts w:ascii="Arial" w:cs="Arial" w:eastAsia="Arial" w:hAnsi="Arial"/>
          <w:sz w:val="22"/>
          <w:szCs w:val="22"/>
          <w:color w:val="auto"/>
        </w:rPr>
        <w:t>retain or obtain a Lien on any Property of any Person to secure any of the Senior Priority Obligations, and in connection therewith to enter into any additional Senior Priority Documents;</w:t>
      </w:r>
    </w:p>
    <w:p>
      <w:pPr>
        <w:spacing w:after="0" w:line="174" w:lineRule="exact"/>
        <w:rPr>
          <w:rFonts w:ascii="Arial" w:cs="Arial" w:eastAsia="Arial" w:hAnsi="Arial"/>
          <w:sz w:val="22"/>
          <w:szCs w:val="22"/>
          <w:color w:val="auto"/>
        </w:rPr>
      </w:pPr>
    </w:p>
    <w:p>
      <w:pPr>
        <w:jc w:val="both"/>
        <w:ind w:left="660" w:firstLine="644"/>
        <w:spacing w:after="0" w:line="343" w:lineRule="auto"/>
        <w:tabs>
          <w:tab w:leader="none" w:pos="1892" w:val="left"/>
        </w:tabs>
        <w:numPr>
          <w:ilvl w:val="1"/>
          <w:numId w:val="810"/>
        </w:numPr>
        <w:rPr>
          <w:rFonts w:ascii="Arial" w:cs="Arial" w:eastAsia="Arial" w:hAnsi="Arial"/>
          <w:sz w:val="19"/>
          <w:szCs w:val="19"/>
          <w:color w:val="auto"/>
        </w:rPr>
      </w:pPr>
      <w:r>
        <w:rPr>
          <w:rFonts w:ascii="Arial" w:cs="Arial" w:eastAsia="Arial" w:hAnsi="Arial"/>
          <w:sz w:val="19"/>
          <w:szCs w:val="19"/>
          <w:color w:val="auto"/>
        </w:rPr>
        <w:t>amend, or grant any waiver, compromise, or release with respect to, or consent to any departure from, any guaranty or other obligations of any Person obligated in any manner under or in respect of the Senior Priority Obligations;</w:t>
      </w:r>
    </w:p>
    <w:p>
      <w:pPr>
        <w:spacing w:after="0" w:line="104" w:lineRule="exact"/>
        <w:rPr>
          <w:rFonts w:ascii="Arial" w:cs="Arial" w:eastAsia="Arial" w:hAnsi="Arial"/>
          <w:sz w:val="19"/>
          <w:szCs w:val="19"/>
          <w:color w:val="auto"/>
        </w:rPr>
      </w:pPr>
    </w:p>
    <w:p>
      <w:pPr>
        <w:ind w:left="1840" w:hanging="536"/>
        <w:spacing w:after="0"/>
        <w:tabs>
          <w:tab w:leader="none" w:pos="1840" w:val="left"/>
        </w:tabs>
        <w:numPr>
          <w:ilvl w:val="1"/>
          <w:numId w:val="810"/>
        </w:numPr>
        <w:rPr>
          <w:rFonts w:ascii="Arial" w:cs="Arial" w:eastAsia="Arial" w:hAnsi="Arial"/>
          <w:sz w:val="22"/>
          <w:szCs w:val="22"/>
          <w:color w:val="auto"/>
        </w:rPr>
      </w:pPr>
      <w:r>
        <w:rPr>
          <w:rFonts w:ascii="Arial" w:cs="Arial" w:eastAsia="Arial" w:hAnsi="Arial"/>
          <w:sz w:val="22"/>
          <w:szCs w:val="22"/>
          <w:color w:val="auto"/>
        </w:rPr>
        <w:t>release its Lien on any Collateral and/or any Excluded Cash Collateral or other Property;</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810"/>
        </w:numPr>
        <w:rPr>
          <w:rFonts w:ascii="Arial" w:cs="Arial" w:eastAsia="Arial" w:hAnsi="Arial"/>
          <w:sz w:val="22"/>
          <w:szCs w:val="22"/>
          <w:color w:val="auto"/>
        </w:rPr>
      </w:pPr>
      <w:r>
        <w:rPr>
          <w:rFonts w:ascii="Arial" w:cs="Arial" w:eastAsia="Arial" w:hAnsi="Arial"/>
          <w:sz w:val="22"/>
          <w:szCs w:val="22"/>
          <w:color w:val="auto"/>
        </w:rPr>
        <w:t>exercise or refrain from exercising any rights against any Loan Party or any other Person;</w:t>
      </w:r>
    </w:p>
    <w:p>
      <w:pPr>
        <w:spacing w:after="0" w:line="219" w:lineRule="exact"/>
        <w:rPr>
          <w:rFonts w:ascii="Arial" w:cs="Arial" w:eastAsia="Arial" w:hAnsi="Arial"/>
          <w:sz w:val="22"/>
          <w:szCs w:val="22"/>
          <w:color w:val="auto"/>
        </w:rPr>
      </w:pPr>
    </w:p>
    <w:p>
      <w:pPr>
        <w:ind w:left="660" w:firstLine="644"/>
        <w:spacing w:after="0" w:line="263" w:lineRule="auto"/>
        <w:tabs>
          <w:tab w:leader="none" w:pos="1897" w:val="left"/>
        </w:tabs>
        <w:numPr>
          <w:ilvl w:val="1"/>
          <w:numId w:val="810"/>
        </w:numPr>
        <w:rPr>
          <w:rFonts w:ascii="Arial" w:cs="Arial" w:eastAsia="Arial" w:hAnsi="Arial"/>
          <w:sz w:val="22"/>
          <w:szCs w:val="22"/>
          <w:color w:val="auto"/>
        </w:rPr>
      </w:pPr>
      <w:r>
        <w:rPr>
          <w:rFonts w:ascii="Arial" w:cs="Arial" w:eastAsia="Arial" w:hAnsi="Arial"/>
          <w:sz w:val="22"/>
          <w:szCs w:val="22"/>
          <w:color w:val="auto"/>
        </w:rPr>
        <w:t>retain or obtain the primary or secondary obligation of any other Person with respect to any of the Senior Priority Obligations;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3" w:name="page604"/>
    <w:bookmarkEnd w:id="603"/>
    <w:p>
      <w:pPr>
        <w:ind w:left="660" w:firstLine="644"/>
        <w:spacing w:after="0" w:line="263" w:lineRule="auto"/>
        <w:tabs>
          <w:tab w:leader="none" w:pos="1994" w:val="left"/>
        </w:tabs>
        <w:numPr>
          <w:ilvl w:val="1"/>
          <w:numId w:val="811"/>
        </w:numPr>
        <w:rPr>
          <w:rFonts w:ascii="Arial" w:cs="Arial" w:eastAsia="Arial" w:hAnsi="Arial"/>
          <w:sz w:val="22"/>
          <w:szCs w:val="22"/>
          <w:color w:val="auto"/>
        </w:rPr>
      </w:pPr>
      <w:r>
        <w:rPr>
          <w:rFonts w:ascii="Arial" w:cs="Arial" w:eastAsia="Arial" w:hAnsi="Arial"/>
          <w:sz w:val="22"/>
          <w:szCs w:val="22"/>
          <w:color w:val="auto"/>
        </w:rPr>
        <w:t>otherwise manage and supervise the Senior Priority Obligations as the applicable Senior Priority Agent shall deem appropriate.</w:t>
      </w:r>
    </w:p>
    <w:p>
      <w:pPr>
        <w:spacing w:after="0" w:line="174" w:lineRule="exact"/>
        <w:rPr>
          <w:rFonts w:ascii="Arial" w:cs="Arial" w:eastAsia="Arial" w:hAnsi="Arial"/>
          <w:sz w:val="22"/>
          <w:szCs w:val="22"/>
          <w:color w:val="auto"/>
        </w:rPr>
      </w:pPr>
    </w:p>
    <w:p>
      <w:pPr>
        <w:jc w:val="both"/>
        <w:ind w:firstLine="656"/>
        <w:spacing w:after="0" w:line="292" w:lineRule="auto"/>
        <w:tabs>
          <w:tab w:leader="none" w:pos="1144" w:val="left"/>
        </w:tabs>
        <w:numPr>
          <w:ilvl w:val="0"/>
          <w:numId w:val="812"/>
        </w:numPr>
        <w:rPr>
          <w:rFonts w:ascii="Arial" w:cs="Arial" w:eastAsia="Arial" w:hAnsi="Arial"/>
          <w:sz w:val="19"/>
          <w:szCs w:val="19"/>
          <w:color w:val="auto"/>
        </w:rPr>
      </w:pPr>
      <w:r>
        <w:rPr>
          <w:rFonts w:ascii="Arial" w:cs="Arial" w:eastAsia="Arial" w:hAnsi="Arial"/>
          <w:sz w:val="19"/>
          <w:szCs w:val="19"/>
          <w:color w:val="auto"/>
        </w:rPr>
        <w:t>Each Senior Priority Agent, for and on behalf of itself and the Senior Priority Creditors represented thereby, hereby agrees that, without affecting the obligations of such Senior Priority Secured Parties hereunder, each Junior Priority Agent and the Junior Priority Creditors represented thereby may, at any time and from time to time, in their sole discretion without the consent of or notice to any such Senior Priority Secured Party (except to the extent such notice or consent is required pursuant to the express provisions of this Agreement), and without incurring any liability to any such Senior Priority Secured Party or impairing or releasing the priority provided for herein, amend, restate, supplement, replace, refinance, extend, consolidate, restructure, or otherwise modify any of the Junior Priority Documents in any manner whatsoever, including, to:</w:t>
      </w:r>
    </w:p>
    <w:p>
      <w:pPr>
        <w:spacing w:after="0" w:line="150" w:lineRule="exact"/>
        <w:rPr>
          <w:rFonts w:ascii="Arial" w:cs="Arial" w:eastAsia="Arial" w:hAnsi="Arial"/>
          <w:sz w:val="19"/>
          <w:szCs w:val="19"/>
          <w:color w:val="auto"/>
        </w:rPr>
      </w:pPr>
    </w:p>
    <w:p>
      <w:pPr>
        <w:jc w:val="both"/>
        <w:ind w:left="660" w:firstLine="644"/>
        <w:spacing w:after="0" w:line="312" w:lineRule="auto"/>
        <w:tabs>
          <w:tab w:leader="none" w:pos="1836" w:val="left"/>
        </w:tabs>
        <w:numPr>
          <w:ilvl w:val="1"/>
          <w:numId w:val="812"/>
        </w:numPr>
        <w:rPr>
          <w:rFonts w:ascii="Arial" w:cs="Arial" w:eastAsia="Arial" w:hAnsi="Arial"/>
          <w:sz w:val="19"/>
          <w:szCs w:val="19"/>
          <w:color w:val="auto"/>
        </w:rPr>
      </w:pPr>
      <w:r>
        <w:rPr>
          <w:rFonts w:ascii="Arial" w:cs="Arial" w:eastAsia="Arial" w:hAnsi="Arial"/>
          <w:sz w:val="19"/>
          <w:szCs w:val="19"/>
          <w:color w:val="auto"/>
        </w:rPr>
        <w:t>change the manner, place, time, or terms of payment or renew, alter or increase, all or any of the Junior Priority Obligations or otherwise amend, restate, supplement, or otherwise modify in any manner, or grant any waiver or release with respect to, all or any part of the Junior Priority Obligations or any of the Junior Priority Documents;</w:t>
      </w:r>
    </w:p>
    <w:p>
      <w:pPr>
        <w:spacing w:after="0" w:line="133" w:lineRule="exact"/>
        <w:rPr>
          <w:rFonts w:ascii="Arial" w:cs="Arial" w:eastAsia="Arial" w:hAnsi="Arial"/>
          <w:sz w:val="19"/>
          <w:szCs w:val="19"/>
          <w:color w:val="auto"/>
        </w:rPr>
      </w:pPr>
    </w:p>
    <w:p>
      <w:pPr>
        <w:ind w:left="660" w:firstLine="644"/>
        <w:spacing w:after="0" w:line="263" w:lineRule="auto"/>
        <w:tabs>
          <w:tab w:leader="none" w:pos="1804" w:val="left"/>
        </w:tabs>
        <w:numPr>
          <w:ilvl w:val="1"/>
          <w:numId w:val="812"/>
        </w:numPr>
        <w:rPr>
          <w:rFonts w:ascii="Arial" w:cs="Arial" w:eastAsia="Arial" w:hAnsi="Arial"/>
          <w:sz w:val="22"/>
          <w:szCs w:val="22"/>
          <w:color w:val="auto"/>
        </w:rPr>
      </w:pPr>
      <w:r>
        <w:rPr>
          <w:rFonts w:ascii="Arial" w:cs="Arial" w:eastAsia="Arial" w:hAnsi="Arial"/>
          <w:sz w:val="22"/>
          <w:szCs w:val="22"/>
          <w:color w:val="auto"/>
        </w:rPr>
        <w:t>retain or obtain a Lien on any Property of any Person to secure any of the Junior Priority Obligations, and in connection therewith to enter into any additional Junior Priority Documents;</w:t>
      </w:r>
    </w:p>
    <w:p>
      <w:pPr>
        <w:spacing w:after="0" w:line="174" w:lineRule="exact"/>
        <w:rPr>
          <w:rFonts w:ascii="Arial" w:cs="Arial" w:eastAsia="Arial" w:hAnsi="Arial"/>
          <w:sz w:val="22"/>
          <w:szCs w:val="22"/>
          <w:color w:val="auto"/>
        </w:rPr>
      </w:pPr>
    </w:p>
    <w:p>
      <w:pPr>
        <w:jc w:val="both"/>
        <w:ind w:left="660" w:firstLine="644"/>
        <w:spacing w:after="0" w:line="343" w:lineRule="auto"/>
        <w:tabs>
          <w:tab w:leader="none" w:pos="1892" w:val="left"/>
        </w:tabs>
        <w:numPr>
          <w:ilvl w:val="1"/>
          <w:numId w:val="812"/>
        </w:numPr>
        <w:rPr>
          <w:rFonts w:ascii="Arial" w:cs="Arial" w:eastAsia="Arial" w:hAnsi="Arial"/>
          <w:sz w:val="19"/>
          <w:szCs w:val="19"/>
          <w:color w:val="auto"/>
        </w:rPr>
      </w:pPr>
      <w:r>
        <w:rPr>
          <w:rFonts w:ascii="Arial" w:cs="Arial" w:eastAsia="Arial" w:hAnsi="Arial"/>
          <w:sz w:val="19"/>
          <w:szCs w:val="19"/>
          <w:color w:val="auto"/>
        </w:rPr>
        <w:t>amend, or grant any waiver, compromise, or release with respect to, or consent to any departure from, any guaranty or other obligations of any Person obligated in any manner under or in respect of the Junior Priority Obligations;</w:t>
      </w:r>
    </w:p>
    <w:p>
      <w:pPr>
        <w:spacing w:after="0" w:line="104" w:lineRule="exact"/>
        <w:rPr>
          <w:rFonts w:ascii="Arial" w:cs="Arial" w:eastAsia="Arial" w:hAnsi="Arial"/>
          <w:sz w:val="19"/>
          <w:szCs w:val="19"/>
          <w:color w:val="auto"/>
        </w:rPr>
      </w:pPr>
    </w:p>
    <w:p>
      <w:pPr>
        <w:ind w:left="1840" w:hanging="536"/>
        <w:spacing w:after="0"/>
        <w:tabs>
          <w:tab w:leader="none" w:pos="1840" w:val="left"/>
        </w:tabs>
        <w:numPr>
          <w:ilvl w:val="1"/>
          <w:numId w:val="812"/>
        </w:numPr>
        <w:rPr>
          <w:rFonts w:ascii="Arial" w:cs="Arial" w:eastAsia="Arial" w:hAnsi="Arial"/>
          <w:sz w:val="22"/>
          <w:szCs w:val="22"/>
          <w:color w:val="auto"/>
        </w:rPr>
      </w:pPr>
      <w:r>
        <w:rPr>
          <w:rFonts w:ascii="Arial" w:cs="Arial" w:eastAsia="Arial" w:hAnsi="Arial"/>
          <w:sz w:val="22"/>
          <w:szCs w:val="22"/>
          <w:color w:val="auto"/>
        </w:rPr>
        <w:t>release its Lien on any Collateral or other Property;</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812"/>
        </w:numPr>
        <w:rPr>
          <w:rFonts w:ascii="Arial" w:cs="Arial" w:eastAsia="Arial" w:hAnsi="Arial"/>
          <w:sz w:val="22"/>
          <w:szCs w:val="22"/>
          <w:color w:val="auto"/>
        </w:rPr>
      </w:pPr>
      <w:r>
        <w:rPr>
          <w:rFonts w:ascii="Arial" w:cs="Arial" w:eastAsia="Arial" w:hAnsi="Arial"/>
          <w:sz w:val="22"/>
          <w:szCs w:val="22"/>
          <w:color w:val="auto"/>
        </w:rPr>
        <w:t>exercise or refrain from exercising any rights against any Loan Party or any other Person;</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00" w:val="left"/>
        </w:tabs>
        <w:numPr>
          <w:ilvl w:val="1"/>
          <w:numId w:val="812"/>
        </w:numPr>
        <w:rPr>
          <w:rFonts w:ascii="Arial" w:cs="Arial" w:eastAsia="Arial" w:hAnsi="Arial"/>
          <w:sz w:val="22"/>
          <w:szCs w:val="22"/>
          <w:color w:val="auto"/>
        </w:rPr>
      </w:pPr>
      <w:r>
        <w:rPr>
          <w:rFonts w:ascii="Arial" w:cs="Arial" w:eastAsia="Arial" w:hAnsi="Arial"/>
          <w:sz w:val="22"/>
          <w:szCs w:val="22"/>
          <w:color w:val="auto"/>
        </w:rPr>
        <w:t>retain or obtain the primary or secondary obligation of any other Person with respect to any of the Junior Priority Obligations; and</w:t>
      </w:r>
    </w:p>
    <w:p>
      <w:pPr>
        <w:spacing w:after="0" w:line="174" w:lineRule="exact"/>
        <w:rPr>
          <w:rFonts w:ascii="Arial" w:cs="Arial" w:eastAsia="Arial" w:hAnsi="Arial"/>
          <w:sz w:val="22"/>
          <w:szCs w:val="22"/>
          <w:color w:val="auto"/>
        </w:rPr>
      </w:pPr>
    </w:p>
    <w:p>
      <w:pPr>
        <w:ind w:left="1980" w:hanging="676"/>
        <w:spacing w:after="0"/>
        <w:tabs>
          <w:tab w:leader="none" w:pos="1980" w:val="left"/>
        </w:tabs>
        <w:numPr>
          <w:ilvl w:val="1"/>
          <w:numId w:val="812"/>
        </w:numPr>
        <w:rPr>
          <w:rFonts w:ascii="Arial" w:cs="Arial" w:eastAsia="Arial" w:hAnsi="Arial"/>
          <w:sz w:val="19"/>
          <w:szCs w:val="19"/>
          <w:color w:val="auto"/>
        </w:rPr>
      </w:pPr>
      <w:r>
        <w:rPr>
          <w:rFonts w:ascii="Arial" w:cs="Arial" w:eastAsia="Arial" w:hAnsi="Arial"/>
          <w:sz w:val="19"/>
          <w:szCs w:val="19"/>
          <w:color w:val="auto"/>
        </w:rPr>
        <w:t>otherwise manage and supervise the Junior Priority Obligations as the Junior Priority Agent shall deem</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appropriate.</w:t>
      </w:r>
    </w:p>
    <w:p>
      <w:pPr>
        <w:spacing w:after="0" w:line="201" w:lineRule="exact"/>
        <w:rPr>
          <w:rFonts w:ascii="Arial" w:cs="Arial" w:eastAsia="Arial" w:hAnsi="Arial"/>
          <w:sz w:val="19"/>
          <w:szCs w:val="19"/>
          <w:color w:val="auto"/>
        </w:rPr>
      </w:pPr>
    </w:p>
    <w:p>
      <w:pPr>
        <w:ind w:right="20" w:firstLine="656"/>
        <w:spacing w:after="0" w:line="343" w:lineRule="auto"/>
        <w:tabs>
          <w:tab w:leader="none" w:pos="1163" w:val="left"/>
        </w:tabs>
        <w:numPr>
          <w:ilvl w:val="0"/>
          <w:numId w:val="812"/>
        </w:numPr>
        <w:rPr>
          <w:rFonts w:ascii="Arial" w:cs="Arial" w:eastAsia="Arial" w:hAnsi="Arial"/>
          <w:sz w:val="19"/>
          <w:szCs w:val="19"/>
          <w:color w:val="auto"/>
        </w:rPr>
      </w:pPr>
      <w:r>
        <w:rPr>
          <w:rFonts w:ascii="Arial" w:cs="Arial" w:eastAsia="Arial" w:hAnsi="Arial"/>
          <w:sz w:val="19"/>
          <w:szCs w:val="19"/>
          <w:color w:val="auto"/>
        </w:rPr>
        <w:t>Each Junior Priority Agent, for and on behalf of itself and the Junior Priority Secured Parties represented thereby, agrees that each Junior Priority Collateral Document shall include the following language (or language to similar effect):</w:t>
      </w:r>
    </w:p>
    <w:p>
      <w:pPr>
        <w:spacing w:after="0" w:line="320"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“Notwithstanding anything herein to the contrary, the lien and security interest granted to [name of Junior Priority Agent] pursuant to this Agreement and the exercise of any right or remedy by [name of Junior Priority Agent] hereunder are subject to the provisions of the Intercreditor Agreement, dated as of [ ] (as amended, restated, supplemented or otherwise modified, replaced or refinanced from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4" w:name="page605"/>
    <w:bookmarkEnd w:id="604"/>
    <w:p>
      <w:pPr>
        <w:ind w:left="1300"/>
        <w:spacing w:after="0"/>
        <w:tabs>
          <w:tab w:leader="none" w:pos="7060" w:val="left"/>
          <w:tab w:leader="none" w:pos="10900" w:val="left"/>
        </w:tabs>
        <w:rPr>
          <w:sz w:val="20"/>
          <w:szCs w:val="20"/>
          <w:color w:val="auto"/>
        </w:rPr>
      </w:pPr>
      <w:r>
        <w:rPr>
          <w:rFonts w:ascii="Arial" w:cs="Arial" w:eastAsia="Arial" w:hAnsi="Arial"/>
          <w:sz w:val="22"/>
          <w:szCs w:val="22"/>
          <w:color w:val="auto"/>
        </w:rPr>
        <w:t xml:space="preserve">time to time, the “ </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xml:space="preserve"> ”), initially among [</w:t>
        <w:tab/>
        <w:t>], as the Original First Lien Agent, and [</w:t>
      </w:r>
      <w:r>
        <w:rPr>
          <w:sz w:val="20"/>
          <w:szCs w:val="20"/>
          <w:color w:val="auto"/>
        </w:rPr>
        <w:tab/>
      </w:r>
      <w:r>
        <w:rPr>
          <w:rFonts w:ascii="Arial" w:cs="Arial" w:eastAsia="Arial" w:hAnsi="Arial"/>
          <w:sz w:val="19"/>
          <w:szCs w:val="19"/>
          <w:color w:val="auto"/>
        </w:rPr>
        <w:t>] as</w:t>
      </w:r>
    </w:p>
    <w:p>
      <w:pPr>
        <w:spacing w:after="0" w:line="5" w:lineRule="exact"/>
        <w:rPr>
          <w:sz w:val="20"/>
          <w:szCs w:val="20"/>
          <w:color w:val="auto"/>
        </w:rPr>
      </w:pPr>
    </w:p>
    <w:p>
      <w:pPr>
        <w:jc w:val="both"/>
        <w:ind w:left="1300" w:firstLine="4"/>
        <w:spacing w:after="0" w:line="227" w:lineRule="auto"/>
        <w:tabs>
          <w:tab w:leader="none" w:pos="1676" w:val="left"/>
        </w:tabs>
        <w:numPr>
          <w:ilvl w:val="0"/>
          <w:numId w:val="813"/>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Second Lien Agent, and certain other persons party or that may become party thereto from time to time. In the event of any conflict between the terms of the Intercreditor Agreement and this Agreement, the terms of the Intercreditor Agreement shall govern and control.”</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addition, each Junior Priority Agent, for and on behalf of itself and the Junior Priority Secured Parties represented thereby, agrees that each Junior Priority Collateral Document consisting of a mortgage covering any Collateral consisting of real estate shall contain language appropriate to reflect the subordination of such Junior Priority Collateral Documents to the corresponding Senior Priority Collateral Documents.</w:t>
      </w:r>
    </w:p>
    <w:p>
      <w:pPr>
        <w:spacing w:after="0" w:line="188" w:lineRule="exact"/>
        <w:rPr>
          <w:sz w:val="20"/>
          <w:szCs w:val="20"/>
          <w:color w:val="auto"/>
        </w:rPr>
      </w:pPr>
    </w:p>
    <w:p>
      <w:pPr>
        <w:jc w:val="both"/>
        <w:ind w:firstLine="656"/>
        <w:spacing w:after="0" w:line="289" w:lineRule="auto"/>
        <w:tabs>
          <w:tab w:leader="none" w:pos="1175" w:val="left"/>
        </w:tabs>
        <w:numPr>
          <w:ilvl w:val="0"/>
          <w:numId w:val="814"/>
        </w:numPr>
        <w:rPr>
          <w:rFonts w:ascii="Arial" w:cs="Arial" w:eastAsia="Arial" w:hAnsi="Arial"/>
          <w:sz w:val="19"/>
          <w:szCs w:val="19"/>
          <w:color w:val="auto"/>
        </w:rPr>
      </w:pPr>
      <w:r>
        <w:rPr>
          <w:rFonts w:ascii="Arial" w:cs="Arial" w:eastAsia="Arial" w:hAnsi="Arial"/>
          <w:sz w:val="19"/>
          <w:szCs w:val="19"/>
          <w:color w:val="auto"/>
        </w:rPr>
        <w:t>Except as may be separately otherwise agreed in writing by and between or among any applicable Senior Priority Agents, in each case on behalf of itself and the Senior Priority Creditors represented thereby, each Senior Priority Agent, for and on behalf of itself and the Senior Priority Creditors represented thereby, hereby agrees that, without affecting the obligations of such Senior Priority Secured Parties hereunder, any other Senior Priority Agent and any Senior Priority Creditors represented thereby may, at any time and from time to time, in their sole discretion without the consent of or notice to any such Senior Priority Secured Party (except to the extent such notice or consent is required pursuant to the express provisions of this Agreement) and without incurring any liability to any such Senior Priority Secured Party, amend, restate, supplement, replace, refinance, extend, consolidate, restructure, or otherwise modify any of the Senior Priority Documents to which such other Senior Priority Agent or any Senior Priority Creditor represented thereby is party or beneficiary in any manner whatsoever, including, to:</w:t>
      </w:r>
    </w:p>
    <w:p>
      <w:pPr>
        <w:spacing w:after="0" w:line="156" w:lineRule="exact"/>
        <w:rPr>
          <w:rFonts w:ascii="Arial" w:cs="Arial" w:eastAsia="Arial" w:hAnsi="Arial"/>
          <w:sz w:val="19"/>
          <w:szCs w:val="19"/>
          <w:color w:val="auto"/>
        </w:rPr>
      </w:pPr>
    </w:p>
    <w:p>
      <w:pPr>
        <w:jc w:val="both"/>
        <w:ind w:left="660" w:firstLine="644"/>
        <w:spacing w:after="0" w:line="312" w:lineRule="auto"/>
        <w:tabs>
          <w:tab w:leader="none" w:pos="1831" w:val="left"/>
        </w:tabs>
        <w:numPr>
          <w:ilvl w:val="1"/>
          <w:numId w:val="814"/>
        </w:numPr>
        <w:rPr>
          <w:rFonts w:ascii="Arial" w:cs="Arial" w:eastAsia="Arial" w:hAnsi="Arial"/>
          <w:sz w:val="19"/>
          <w:szCs w:val="19"/>
          <w:color w:val="auto"/>
        </w:rPr>
      </w:pPr>
      <w:r>
        <w:rPr>
          <w:rFonts w:ascii="Arial" w:cs="Arial" w:eastAsia="Arial" w:hAnsi="Arial"/>
          <w:sz w:val="19"/>
          <w:szCs w:val="19"/>
          <w:color w:val="auto"/>
        </w:rPr>
        <w:t>change the manner, place, time, or terms of payment or renew, alter or increase, all or any of the Senior Priority Obligations or otherwise amend, restate, supplement, or otherwise modify in any manner, or grant any waiver or release with respect to, all or any part of the Senior Priority Obligations or any of the Senior Priority Documents;</w:t>
      </w:r>
    </w:p>
    <w:p>
      <w:pPr>
        <w:spacing w:after="0" w:line="133" w:lineRule="exact"/>
        <w:rPr>
          <w:rFonts w:ascii="Arial" w:cs="Arial" w:eastAsia="Arial" w:hAnsi="Arial"/>
          <w:sz w:val="19"/>
          <w:szCs w:val="19"/>
          <w:color w:val="auto"/>
        </w:rPr>
      </w:pPr>
    </w:p>
    <w:p>
      <w:pPr>
        <w:ind w:left="660" w:right="20" w:firstLine="644"/>
        <w:spacing w:after="0" w:line="263" w:lineRule="auto"/>
        <w:tabs>
          <w:tab w:leader="none" w:pos="1799" w:val="left"/>
        </w:tabs>
        <w:numPr>
          <w:ilvl w:val="1"/>
          <w:numId w:val="814"/>
        </w:numPr>
        <w:rPr>
          <w:rFonts w:ascii="Arial" w:cs="Arial" w:eastAsia="Arial" w:hAnsi="Arial"/>
          <w:sz w:val="22"/>
          <w:szCs w:val="22"/>
          <w:color w:val="auto"/>
        </w:rPr>
      </w:pPr>
      <w:r>
        <w:rPr>
          <w:rFonts w:ascii="Arial" w:cs="Arial" w:eastAsia="Arial" w:hAnsi="Arial"/>
          <w:sz w:val="22"/>
          <w:szCs w:val="22"/>
          <w:color w:val="auto"/>
        </w:rPr>
        <w:t>retain or obtain a Lien on any Property of any Person to secure any of the Senior Priority Obligations, and in connection therewith to enter into any Senior Priority Documents;</w:t>
      </w:r>
    </w:p>
    <w:p>
      <w:pPr>
        <w:spacing w:after="0" w:line="174" w:lineRule="exact"/>
        <w:rPr>
          <w:rFonts w:ascii="Arial" w:cs="Arial" w:eastAsia="Arial" w:hAnsi="Arial"/>
          <w:sz w:val="22"/>
          <w:szCs w:val="22"/>
          <w:color w:val="auto"/>
        </w:rPr>
      </w:pPr>
    </w:p>
    <w:p>
      <w:pPr>
        <w:jc w:val="both"/>
        <w:ind w:left="660" w:firstLine="644"/>
        <w:spacing w:after="0" w:line="343" w:lineRule="auto"/>
        <w:tabs>
          <w:tab w:leader="none" w:pos="1892" w:val="left"/>
        </w:tabs>
        <w:numPr>
          <w:ilvl w:val="1"/>
          <w:numId w:val="814"/>
        </w:numPr>
        <w:rPr>
          <w:rFonts w:ascii="Arial" w:cs="Arial" w:eastAsia="Arial" w:hAnsi="Arial"/>
          <w:sz w:val="19"/>
          <w:szCs w:val="19"/>
          <w:color w:val="auto"/>
        </w:rPr>
      </w:pPr>
      <w:r>
        <w:rPr>
          <w:rFonts w:ascii="Arial" w:cs="Arial" w:eastAsia="Arial" w:hAnsi="Arial"/>
          <w:sz w:val="19"/>
          <w:szCs w:val="19"/>
          <w:color w:val="auto"/>
        </w:rPr>
        <w:t>amend, or grant any waiver, compromise, or release with respect to, or consent to any departure from, any guaranty or other obligations of any Person obligated in any manner under or in respect of the Senior Priority Obligations;</w:t>
      </w:r>
    </w:p>
    <w:p>
      <w:pPr>
        <w:spacing w:after="0" w:line="104" w:lineRule="exact"/>
        <w:rPr>
          <w:rFonts w:ascii="Arial" w:cs="Arial" w:eastAsia="Arial" w:hAnsi="Arial"/>
          <w:sz w:val="19"/>
          <w:szCs w:val="19"/>
          <w:color w:val="auto"/>
        </w:rPr>
      </w:pPr>
    </w:p>
    <w:p>
      <w:pPr>
        <w:ind w:left="1840" w:hanging="536"/>
        <w:spacing w:after="0"/>
        <w:tabs>
          <w:tab w:leader="none" w:pos="1840" w:val="left"/>
        </w:tabs>
        <w:numPr>
          <w:ilvl w:val="1"/>
          <w:numId w:val="814"/>
        </w:numPr>
        <w:rPr>
          <w:rFonts w:ascii="Arial" w:cs="Arial" w:eastAsia="Arial" w:hAnsi="Arial"/>
          <w:sz w:val="22"/>
          <w:szCs w:val="22"/>
          <w:color w:val="auto"/>
        </w:rPr>
      </w:pPr>
      <w:r>
        <w:rPr>
          <w:rFonts w:ascii="Arial" w:cs="Arial" w:eastAsia="Arial" w:hAnsi="Arial"/>
          <w:sz w:val="22"/>
          <w:szCs w:val="22"/>
          <w:color w:val="auto"/>
        </w:rPr>
        <w:t>release its Lien on any Collateral and/or any Excluded Cash Collateral or other Property;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605" w:name="page606"/>
    <w:bookmarkEnd w:id="605"/>
    <w:p>
      <w:pPr>
        <w:ind w:left="1780" w:hanging="476"/>
        <w:spacing w:after="0"/>
        <w:tabs>
          <w:tab w:leader="none" w:pos="1780" w:val="left"/>
        </w:tabs>
        <w:numPr>
          <w:ilvl w:val="1"/>
          <w:numId w:val="815"/>
        </w:numPr>
        <w:rPr>
          <w:rFonts w:ascii="Arial" w:cs="Arial" w:eastAsia="Arial" w:hAnsi="Arial"/>
          <w:sz w:val="22"/>
          <w:szCs w:val="22"/>
          <w:color w:val="auto"/>
        </w:rPr>
      </w:pPr>
      <w:r>
        <w:rPr>
          <w:rFonts w:ascii="Arial" w:cs="Arial" w:eastAsia="Arial" w:hAnsi="Arial"/>
          <w:sz w:val="22"/>
          <w:szCs w:val="22"/>
          <w:color w:val="auto"/>
        </w:rPr>
        <w:t>exercise or refrain from exercising any rights against any Loan Party or any other Person;</w:t>
      </w:r>
    </w:p>
    <w:p>
      <w:pPr>
        <w:spacing w:after="0" w:line="219" w:lineRule="exact"/>
        <w:rPr>
          <w:rFonts w:ascii="Arial" w:cs="Arial" w:eastAsia="Arial" w:hAnsi="Arial"/>
          <w:sz w:val="22"/>
          <w:szCs w:val="22"/>
          <w:color w:val="auto"/>
        </w:rPr>
      </w:pPr>
    </w:p>
    <w:p>
      <w:pPr>
        <w:ind w:left="660" w:firstLine="644"/>
        <w:spacing w:after="0" w:line="263" w:lineRule="auto"/>
        <w:tabs>
          <w:tab w:leader="none" w:pos="1897" w:val="left"/>
        </w:tabs>
        <w:numPr>
          <w:ilvl w:val="1"/>
          <w:numId w:val="815"/>
        </w:numPr>
        <w:rPr>
          <w:rFonts w:ascii="Arial" w:cs="Arial" w:eastAsia="Arial" w:hAnsi="Arial"/>
          <w:sz w:val="22"/>
          <w:szCs w:val="22"/>
          <w:color w:val="auto"/>
        </w:rPr>
      </w:pPr>
      <w:r>
        <w:rPr>
          <w:rFonts w:ascii="Arial" w:cs="Arial" w:eastAsia="Arial" w:hAnsi="Arial"/>
          <w:sz w:val="22"/>
          <w:szCs w:val="22"/>
          <w:color w:val="auto"/>
        </w:rPr>
        <w:t>retain or obtain the primary or secondary obligation of any other Person with respect to any of the Senior Priority Obligations; and</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815"/>
        </w:numPr>
        <w:rPr>
          <w:rFonts w:ascii="Arial" w:cs="Arial" w:eastAsia="Arial" w:hAnsi="Arial"/>
          <w:sz w:val="22"/>
          <w:szCs w:val="22"/>
          <w:color w:val="auto"/>
        </w:rPr>
      </w:pPr>
      <w:r>
        <w:rPr>
          <w:rFonts w:ascii="Arial" w:cs="Arial" w:eastAsia="Arial" w:hAnsi="Arial"/>
          <w:sz w:val="22"/>
          <w:szCs w:val="22"/>
          <w:color w:val="auto"/>
        </w:rPr>
        <w:t>otherwise manage and supervise the Senior Priority Obligations as such other Senior Priority Agent shall deem appropriate.</w:t>
      </w:r>
    </w:p>
    <w:p>
      <w:pPr>
        <w:spacing w:after="0" w:line="174" w:lineRule="exact"/>
        <w:rPr>
          <w:rFonts w:ascii="Arial" w:cs="Arial" w:eastAsia="Arial" w:hAnsi="Arial"/>
          <w:sz w:val="22"/>
          <w:szCs w:val="22"/>
          <w:color w:val="auto"/>
        </w:rPr>
      </w:pPr>
    </w:p>
    <w:p>
      <w:pPr>
        <w:jc w:val="both"/>
        <w:ind w:firstLine="656"/>
        <w:spacing w:after="0" w:line="289" w:lineRule="auto"/>
        <w:tabs>
          <w:tab w:leader="none" w:pos="1187" w:val="left"/>
        </w:tabs>
        <w:numPr>
          <w:ilvl w:val="0"/>
          <w:numId w:val="816"/>
        </w:numPr>
        <w:rPr>
          <w:rFonts w:ascii="Arial" w:cs="Arial" w:eastAsia="Arial" w:hAnsi="Arial"/>
          <w:sz w:val="19"/>
          <w:szCs w:val="19"/>
          <w:color w:val="auto"/>
        </w:rPr>
      </w:pPr>
      <w:r>
        <w:rPr>
          <w:rFonts w:ascii="Arial" w:cs="Arial" w:eastAsia="Arial" w:hAnsi="Arial"/>
          <w:sz w:val="19"/>
          <w:szCs w:val="19"/>
          <w:color w:val="auto"/>
        </w:rPr>
        <w:t>Except, in each case, as may be separately otherwise agreed in writing by and between or among any applicable Junior Priority Agents, in each case on behalf of itself and the Junior Priority Creditors represented thereby, each Junior Priority Agent, for and on behalf of itself and the Junior Priority Creditors represented thereby, hereby agrees that, without affecting the obligations of such Junior Priority Secured Parties hereunder, any other Junior Priority Agent and any Junior Priority Creditors represented thereby may, at any time and from time to time, in their sole discretion without the consent of or notice to any such Junior Priority Secured Party (except to the extent such notice or consent is required pursuant to the express provisions of this Agreement), and without incurring any liability to any such Junior Priority Secured Party, amend, restate, supplement, replace, refinance, extend, consolidate, restructure, or otherwise modify any of the Junior Priority Documents to which such other Junior Priority Agent or any Junior Priority Creditor represented thereby is party or beneficiary in any manner whatsoever, including, to:</w:t>
      </w:r>
    </w:p>
    <w:p>
      <w:pPr>
        <w:spacing w:after="0" w:line="156" w:lineRule="exact"/>
        <w:rPr>
          <w:rFonts w:ascii="Arial" w:cs="Arial" w:eastAsia="Arial" w:hAnsi="Arial"/>
          <w:sz w:val="19"/>
          <w:szCs w:val="19"/>
          <w:color w:val="auto"/>
        </w:rPr>
      </w:pPr>
    </w:p>
    <w:p>
      <w:pPr>
        <w:jc w:val="both"/>
        <w:ind w:left="660" w:firstLine="644"/>
        <w:spacing w:after="0" w:line="312" w:lineRule="auto"/>
        <w:tabs>
          <w:tab w:leader="none" w:pos="1836" w:val="left"/>
        </w:tabs>
        <w:numPr>
          <w:ilvl w:val="1"/>
          <w:numId w:val="816"/>
        </w:numPr>
        <w:rPr>
          <w:rFonts w:ascii="Arial" w:cs="Arial" w:eastAsia="Arial" w:hAnsi="Arial"/>
          <w:sz w:val="19"/>
          <w:szCs w:val="19"/>
          <w:color w:val="auto"/>
        </w:rPr>
      </w:pPr>
      <w:r>
        <w:rPr>
          <w:rFonts w:ascii="Arial" w:cs="Arial" w:eastAsia="Arial" w:hAnsi="Arial"/>
          <w:sz w:val="19"/>
          <w:szCs w:val="19"/>
          <w:color w:val="auto"/>
        </w:rPr>
        <w:t>change the manner, place, time, or terms of payment or renew, alter or increase, all or any of the Junior Priority Obligations or otherwise amend, restate, supplement, or otherwise modify in any manner, or grant any waiver or release with respect to, all or any part of the Junior Priority Obligations or any of the Junior Priority Documents;</w:t>
      </w:r>
    </w:p>
    <w:p>
      <w:pPr>
        <w:spacing w:after="0" w:line="133" w:lineRule="exact"/>
        <w:rPr>
          <w:rFonts w:ascii="Arial" w:cs="Arial" w:eastAsia="Arial" w:hAnsi="Arial"/>
          <w:sz w:val="19"/>
          <w:szCs w:val="19"/>
          <w:color w:val="auto"/>
        </w:rPr>
      </w:pPr>
    </w:p>
    <w:p>
      <w:pPr>
        <w:ind w:left="660" w:firstLine="644"/>
        <w:spacing w:after="0" w:line="263" w:lineRule="auto"/>
        <w:tabs>
          <w:tab w:leader="none" w:pos="1804" w:val="left"/>
        </w:tabs>
        <w:numPr>
          <w:ilvl w:val="1"/>
          <w:numId w:val="816"/>
        </w:numPr>
        <w:rPr>
          <w:rFonts w:ascii="Arial" w:cs="Arial" w:eastAsia="Arial" w:hAnsi="Arial"/>
          <w:sz w:val="22"/>
          <w:szCs w:val="22"/>
          <w:color w:val="auto"/>
        </w:rPr>
      </w:pPr>
      <w:r>
        <w:rPr>
          <w:rFonts w:ascii="Arial" w:cs="Arial" w:eastAsia="Arial" w:hAnsi="Arial"/>
          <w:sz w:val="22"/>
          <w:szCs w:val="22"/>
          <w:color w:val="auto"/>
        </w:rPr>
        <w:t>retain or obtain a Lien on any Property of any Person to secure any of the Junior Priority Obligations, and in connection therewith to enter into any Junior Priority Documents;</w:t>
      </w:r>
    </w:p>
    <w:p>
      <w:pPr>
        <w:spacing w:after="0" w:line="174" w:lineRule="exact"/>
        <w:rPr>
          <w:rFonts w:ascii="Arial" w:cs="Arial" w:eastAsia="Arial" w:hAnsi="Arial"/>
          <w:sz w:val="22"/>
          <w:szCs w:val="22"/>
          <w:color w:val="auto"/>
        </w:rPr>
      </w:pPr>
    </w:p>
    <w:p>
      <w:pPr>
        <w:jc w:val="both"/>
        <w:ind w:left="660" w:firstLine="644"/>
        <w:spacing w:after="0" w:line="343" w:lineRule="auto"/>
        <w:tabs>
          <w:tab w:leader="none" w:pos="1892" w:val="left"/>
        </w:tabs>
        <w:numPr>
          <w:ilvl w:val="1"/>
          <w:numId w:val="816"/>
        </w:numPr>
        <w:rPr>
          <w:rFonts w:ascii="Arial" w:cs="Arial" w:eastAsia="Arial" w:hAnsi="Arial"/>
          <w:sz w:val="19"/>
          <w:szCs w:val="19"/>
          <w:color w:val="auto"/>
        </w:rPr>
      </w:pPr>
      <w:r>
        <w:rPr>
          <w:rFonts w:ascii="Arial" w:cs="Arial" w:eastAsia="Arial" w:hAnsi="Arial"/>
          <w:sz w:val="19"/>
          <w:szCs w:val="19"/>
          <w:color w:val="auto"/>
        </w:rPr>
        <w:t>amend, or grant any waiver, compromise, or release with respect to, or consent to any departure from, any guaranty or other obligations of any Person obligated in any manner under or in respect of the Junior Priority Obligations;</w:t>
      </w:r>
    </w:p>
    <w:p>
      <w:pPr>
        <w:spacing w:after="0" w:line="104" w:lineRule="exact"/>
        <w:rPr>
          <w:rFonts w:ascii="Arial" w:cs="Arial" w:eastAsia="Arial" w:hAnsi="Arial"/>
          <w:sz w:val="19"/>
          <w:szCs w:val="19"/>
          <w:color w:val="auto"/>
        </w:rPr>
      </w:pPr>
    </w:p>
    <w:p>
      <w:pPr>
        <w:ind w:left="1840" w:hanging="536"/>
        <w:spacing w:after="0"/>
        <w:tabs>
          <w:tab w:leader="none" w:pos="1840" w:val="left"/>
        </w:tabs>
        <w:numPr>
          <w:ilvl w:val="1"/>
          <w:numId w:val="816"/>
        </w:numPr>
        <w:rPr>
          <w:rFonts w:ascii="Arial" w:cs="Arial" w:eastAsia="Arial" w:hAnsi="Arial"/>
          <w:sz w:val="22"/>
          <w:szCs w:val="22"/>
          <w:color w:val="auto"/>
        </w:rPr>
      </w:pPr>
      <w:r>
        <w:rPr>
          <w:rFonts w:ascii="Arial" w:cs="Arial" w:eastAsia="Arial" w:hAnsi="Arial"/>
          <w:sz w:val="22"/>
          <w:szCs w:val="22"/>
          <w:color w:val="auto"/>
        </w:rPr>
        <w:t>release its Lien on any Collateral or other Property;</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816"/>
        </w:numPr>
        <w:rPr>
          <w:rFonts w:ascii="Arial" w:cs="Arial" w:eastAsia="Arial" w:hAnsi="Arial"/>
          <w:sz w:val="22"/>
          <w:szCs w:val="22"/>
          <w:color w:val="auto"/>
        </w:rPr>
      </w:pPr>
      <w:r>
        <w:rPr>
          <w:rFonts w:ascii="Arial" w:cs="Arial" w:eastAsia="Arial" w:hAnsi="Arial"/>
          <w:sz w:val="22"/>
          <w:szCs w:val="22"/>
          <w:color w:val="auto"/>
        </w:rPr>
        <w:t>exercise or refrain from exercising any rights against any Loan Party or any other Person;</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900" w:val="left"/>
        </w:tabs>
        <w:numPr>
          <w:ilvl w:val="1"/>
          <w:numId w:val="816"/>
        </w:numPr>
        <w:rPr>
          <w:rFonts w:ascii="Arial" w:cs="Arial" w:eastAsia="Arial" w:hAnsi="Arial"/>
          <w:sz w:val="22"/>
          <w:szCs w:val="22"/>
          <w:color w:val="auto"/>
        </w:rPr>
      </w:pPr>
      <w:r>
        <w:rPr>
          <w:rFonts w:ascii="Arial" w:cs="Arial" w:eastAsia="Arial" w:hAnsi="Arial"/>
          <w:sz w:val="22"/>
          <w:szCs w:val="22"/>
          <w:color w:val="auto"/>
        </w:rPr>
        <w:t>retain or obtain the primary or secondary obligation of any other Person with respect to any of the Junior Priority Obligations; and</w:t>
      </w:r>
    </w:p>
    <w:p>
      <w:pPr>
        <w:spacing w:after="0" w:line="174" w:lineRule="exact"/>
        <w:rPr>
          <w:rFonts w:ascii="Arial" w:cs="Arial" w:eastAsia="Arial" w:hAnsi="Arial"/>
          <w:sz w:val="22"/>
          <w:szCs w:val="22"/>
          <w:color w:val="auto"/>
        </w:rPr>
      </w:pPr>
    </w:p>
    <w:p>
      <w:pPr>
        <w:ind w:left="660" w:firstLine="644"/>
        <w:spacing w:after="0" w:line="263" w:lineRule="auto"/>
        <w:tabs>
          <w:tab w:leader="none" w:pos="1968" w:val="left"/>
        </w:tabs>
        <w:numPr>
          <w:ilvl w:val="1"/>
          <w:numId w:val="816"/>
        </w:numPr>
        <w:rPr>
          <w:rFonts w:ascii="Arial" w:cs="Arial" w:eastAsia="Arial" w:hAnsi="Arial"/>
          <w:sz w:val="22"/>
          <w:szCs w:val="22"/>
          <w:color w:val="auto"/>
        </w:rPr>
      </w:pPr>
      <w:r>
        <w:rPr>
          <w:rFonts w:ascii="Arial" w:cs="Arial" w:eastAsia="Arial" w:hAnsi="Arial"/>
          <w:sz w:val="22"/>
          <w:szCs w:val="22"/>
          <w:color w:val="auto"/>
        </w:rPr>
        <w:t>otherwise manage and supervise the Junior Priority Obligations as such other Junior Priority Agent shall deem appropriate.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6" w:name="page607"/>
    <w:bookmarkEnd w:id="606"/>
    <w:p>
      <w:pPr>
        <w:jc w:val="both"/>
        <w:ind w:firstLine="656"/>
        <w:spacing w:after="0" w:line="285" w:lineRule="auto"/>
        <w:tabs>
          <w:tab w:leader="none" w:pos="1190" w:val="left"/>
        </w:tabs>
        <w:numPr>
          <w:ilvl w:val="0"/>
          <w:numId w:val="817"/>
        </w:numPr>
        <w:rPr>
          <w:rFonts w:ascii="Arial" w:cs="Arial" w:eastAsia="Arial" w:hAnsi="Arial"/>
          <w:sz w:val="19"/>
          <w:szCs w:val="19"/>
          <w:color w:val="auto"/>
        </w:rPr>
      </w:pPr>
      <w:r>
        <w:rPr>
          <w:rFonts w:ascii="Arial" w:cs="Arial" w:eastAsia="Arial" w:hAnsi="Arial"/>
          <w:sz w:val="19"/>
          <w:szCs w:val="19"/>
          <w:color w:val="auto"/>
        </w:rPr>
        <w:t xml:space="preserve">The Senior Priority Obligations and the Junior Priority Obligations may be refunded, replaced or refinanced, in whole or in part, in each case, without notice to, or the consent (except to the extent a consent is required to permit the refunding, replacement or refinancing transaction under any Senior Priority Document or any Junior Priority Document) of any Senior Priority Agent, Senior Priority Creditors, Junior Priority Agent or Junior Priority Creditors, as the case may be, all without affecting the Lien Priorities provided for herein or the other provisions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 that, if the indebtedness refunding, replacing or refinancing any such Senior Priority Obligations or Junior Priority Obligations is to constitute Senior Priority Obligations or Junior Priority Obligations hereunder (as designated by the Company), as the case may be, the holders of such indebtedness (or an authorized agent or trustee on their behalf) bind themselves in writing to the terms of this Agreement pursuant to a joinder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hereto or otherwise in form and substance reasonably satisfactory to the Senior Priority Agents (other than any Designated Agent) and Junior Priority Agents (other than any Designated Agent) (or, if there is no continuing Agent other than Designated Agent, as designated by the Company), and any such refunding, replacement or refinancing transaction shall be in accordance with any applicable provisions of the Senior Priority Documents and the Junior Priority Documents. For the avoidance of doubt, the Senior Priority Obligations and Junior Priority Obligations may be refunded, replaced or refinanced, in whole or in part, in each case, without notice to, or the consent (except to the extent a consent is required to permit the refunding, replacement or refinancing transaction under any Senior Priority Document or any Junior Priority Document) of any Senior Priority Agent, Senior Priority Creditors, Junior Priority Agent or Junior Priority Creditors, as the case may be, through the incurrence of Additional Indebtedness, subject to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hereof.</w:t>
      </w:r>
    </w:p>
    <w:p>
      <w:pPr>
        <w:spacing w:after="0" w:line="1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Reinstatement and Continuation of Agreement</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If any Senior Priority Agent or Senior Priority Creditor is required in any Insolvency Proceeding or otherwise to turn over or otherwise pay to the estate of any Loan Party or any other Person any payment made in satisfaction of all or any portion of the Senior Priority Obligations (a “ </w:t>
      </w:r>
      <w:r>
        <w:rPr>
          <w:rFonts w:ascii="Arial" w:cs="Arial" w:eastAsia="Arial" w:hAnsi="Arial"/>
          <w:sz w:val="19"/>
          <w:szCs w:val="19"/>
          <w:u w:val="single" w:color="auto"/>
          <w:color w:val="auto"/>
        </w:rPr>
        <w:t>Senior Priority Recovery</w:t>
      </w:r>
      <w:r>
        <w:rPr>
          <w:rFonts w:ascii="Arial" w:cs="Arial" w:eastAsia="Arial" w:hAnsi="Arial"/>
          <w:sz w:val="19"/>
          <w:szCs w:val="19"/>
          <w:color w:val="auto"/>
        </w:rPr>
        <w:t xml:space="preserve"> ”), then the relevant Senior Priority Obligations shall be reinstated to the extent of such Senior Priority Recovery. In the event that</w:t>
      </w:r>
    </w:p>
    <w:p>
      <w:pPr>
        <w:spacing w:after="0" w:line="1" w:lineRule="exact"/>
        <w:rPr>
          <w:sz w:val="20"/>
          <w:szCs w:val="20"/>
          <w:color w:val="auto"/>
        </w:rPr>
      </w:pPr>
    </w:p>
    <w:p>
      <w:pPr>
        <w:jc w:val="both"/>
        <w:ind w:firstLine="8"/>
        <w:spacing w:after="0" w:line="285" w:lineRule="auto"/>
        <w:tabs>
          <w:tab w:leader="none" w:pos="325" w:val="left"/>
        </w:tabs>
        <w:numPr>
          <w:ilvl w:val="0"/>
          <w:numId w:val="818"/>
        </w:numPr>
        <w:rPr>
          <w:rFonts w:ascii="Arial" w:cs="Arial" w:eastAsia="Arial" w:hAnsi="Arial"/>
          <w:sz w:val="19"/>
          <w:szCs w:val="19"/>
          <w:color w:val="auto"/>
        </w:rPr>
      </w:pPr>
      <w:r>
        <w:rPr>
          <w:rFonts w:ascii="Arial" w:cs="Arial" w:eastAsia="Arial" w:hAnsi="Arial"/>
          <w:sz w:val="19"/>
          <w:szCs w:val="19"/>
          <w:color w:val="auto"/>
        </w:rPr>
        <w:t>this Agreement shall have been terminated prior to such Senior Priority Recovery and (b) there exist any Junior Priority Obligations at the time of such Senior Priority Recovery, then this Agreement shall be reinstated in full force and effect in the event of such Senior Priority Recovery, and such prior termination shall not diminish, release, discharge, impair, or otherwise affect the obligations of the Parties from such date of reinstatement. All rights, interests, agreements, and obligations of each Agent, each Senior Priority Creditor, and each Junior Priority Creditor under this Agreement shall remain in full force and effect and shall continue irrespective of the commencement of, or any discharge, confirmation, conversion, or dismissal of, any Insolvency Proceeding by or against any Loan Party or any other circumstance which otherwise might constitute a defense available to, or a discharge of, any Loan Party in respect of the Senior Priority Obligations or the Junior Priority Obligations. No priority or right of any Senior Priority Agent or any Senior Priority Creditor shall at any time be prejudiced or impaired in any way by any act or failure to act on the part of any Borrower or any Guarantor or by the noncompliance by any Person with the terms, provisions, or covenants of any of the Senior Priority Documents, regardless of any knowledge thereof which any Senior Priority Agent or any Senior Priority Creditor may have.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7" w:name="page608"/>
    <w:bookmarkEnd w:id="607"/>
    <w:p>
      <w:pPr>
        <w:jc w:val="both"/>
        <w:ind w:firstLine="648"/>
        <w:spacing w:after="0" w:line="28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Excluded Cash Collateral</w:t>
      </w:r>
      <w:r>
        <w:rPr>
          <w:rFonts w:ascii="Arial" w:cs="Arial" w:eastAsia="Arial" w:hAnsi="Arial"/>
          <w:sz w:val="19"/>
          <w:szCs w:val="19"/>
          <w:color w:val="auto"/>
        </w:rPr>
        <w:t xml:space="preserve"> . Notwithstanding any other provision to the contrary contained in this Agreement, it is understood and agreed that this Agreement shall not restrict the rights of the Original First Lien Agent or the other Original First Lien Secured Parties to pursue enforcement proceedings, exercise remedies or make determinations with respect to the Excluded Cash Collateral or otherwise take actions with respect to the Excluded Cash Collateral in accordance with the Original First Lien Credit Agreement and such Excluded Cash Collateral shall be applied as specified in the Original First Lien Credit Agreement and will not constitute Collateral hereunder. Nothing in this Agreement shall be construed to impair the right of any Original First Lien Secured Party to recoup, set off, net or off-set amounts (including amounts delivered as margin or cash collateral) to satisfy such Original First Lien Obligations secured by Excluded Cash Collateral to the extent permitted under the Original First Lien Credit Agreement, or exercise its rights and remedies with respect to any Excluded Cash Collateral pledged for its sole benefit or as a beneficiary under and pursuant to any other credit support issued solely in its favor, each of which will be governed by the terms of the Original First Lien Credit Agreement.</w:t>
      </w:r>
    </w:p>
    <w:p>
      <w:pPr>
        <w:spacing w:after="0" w:line="15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INSOLVENCY PROCEEDINGS</w:t>
      </w:r>
    </w:p>
    <w:p>
      <w:pPr>
        <w:spacing w:after="0" w:line="20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 xml:space="preserve">DIP Financing </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4" w:lineRule="auto"/>
        <w:tabs>
          <w:tab w:leader="none" w:pos="1179" w:val="left"/>
        </w:tabs>
        <w:numPr>
          <w:ilvl w:val="0"/>
          <w:numId w:val="819"/>
        </w:numPr>
        <w:rPr>
          <w:rFonts w:ascii="Arial" w:cs="Arial" w:eastAsia="Arial" w:hAnsi="Arial"/>
          <w:sz w:val="19"/>
          <w:szCs w:val="19"/>
          <w:color w:val="auto"/>
        </w:rPr>
      </w:pPr>
      <w:r>
        <w:rPr>
          <w:rFonts w:ascii="Arial" w:cs="Arial" w:eastAsia="Arial" w:hAnsi="Arial"/>
          <w:sz w:val="19"/>
          <w:szCs w:val="19"/>
          <w:color w:val="auto"/>
        </w:rPr>
        <w:t xml:space="preserve">If any Borrower or any Guarantor shall be subject to any Insolvency Proceeding in the United States at any time prior to the Discharge of Senior Priority Obligations, and the Senior Priority Representative shall agree on behalf of the Senior Priority Creditors to allow all one or more Senior Priority Creditors to provide any Borrower or any Guarantor with, or the Senior Priority Representative shall consent to a third party providing, any financing under Section 364 of the Bankruptcy Code or consent to any order for the use of cash collateral under Section 363 of the Bankruptcy Code (“ </w:t>
      </w:r>
      <w:r>
        <w:rPr>
          <w:rFonts w:ascii="Arial" w:cs="Arial" w:eastAsia="Arial" w:hAnsi="Arial"/>
          <w:sz w:val="19"/>
          <w:szCs w:val="19"/>
          <w:u w:val="single" w:color="auto"/>
          <w:color w:val="auto"/>
        </w:rPr>
        <w:t>DIP Financing</w:t>
      </w:r>
      <w:r>
        <w:rPr>
          <w:rFonts w:ascii="Arial" w:cs="Arial" w:eastAsia="Arial" w:hAnsi="Arial"/>
          <w:sz w:val="19"/>
          <w:szCs w:val="19"/>
          <w:color w:val="auto"/>
        </w:rPr>
        <w:t xml:space="preserve"> ”), with such DIP Financing to be secured by all or any portion of the Collateral (including assets that, but for the application of Section 552 of the Bankruptcy Code would be Collateral) and/or entitled to a superpriority claim under Section 364 or 507 of the Bankruptcy Code, then any Junior Priority Agent, each on behalf of itself and any Junior Priority Secured Parties represented thereby, agrees that it will raise no objection and will not directly or indirectly support any objection to such DIP Financing or to Liens securing the same or the superpriority claim to which such DIP Financing is entitled on the grounds of a failure to provide “adequate protection” for the Liens of any Junior Priority Agent securing the Junior Priority Obligations or on any other grounds (and will not request any adequate protection solely as a result of such DIP Financing) so long as (i) such Junior Priority Agent retains its Lien on the Collateral to secure the relevant Junior Priority Obligations (in each case, including Proceeds thereof arising after the commencement of the case under the Bankruptcy Code) and such Lien has the same priority relative to the Senior Priority Liens as existed prior to the commencement of the case under the Bankruptcy Code and (ii) if the Senior Priority Agent receives an adequate protection Lien on assets of such Borrower or Guarantor to secure the Senior Priority Obligations, as the case may be, each Junior Priority Agent also receives an adequate protection Lien on such assets of such Borrower or Guarantor to secure the relevant Junior Priority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such Liens in favor of the Senior Priority Agent and the Junior Priority Agent shall be subject to the provisions of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hereof and (y) the foregoing provisions of this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shall not prevent any Junior Priority Agent and the Junior Priority Secured Parties from objecting to any provision in any DIP</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08" w:name="page609"/>
    <w:bookmarkEnd w:id="608"/>
    <w:p>
      <w:pPr>
        <w:spacing w:after="0"/>
        <w:rPr>
          <w:sz w:val="20"/>
          <w:szCs w:val="20"/>
          <w:color w:val="auto"/>
        </w:rPr>
      </w:pPr>
      <w:r>
        <w:rPr>
          <w:rFonts w:ascii="Arial" w:cs="Arial" w:eastAsia="Arial" w:hAnsi="Arial"/>
          <w:sz w:val="21"/>
          <w:szCs w:val="21"/>
          <w:color w:val="auto"/>
        </w:rPr>
        <w:t>Financing relating to any provision or content of a Plan of Reorganization that is not a Conforming Plan Reorganization.</w:t>
      </w:r>
    </w:p>
    <w:p>
      <w:pPr>
        <w:spacing w:after="0" w:line="231" w:lineRule="exact"/>
        <w:rPr>
          <w:sz w:val="20"/>
          <w:szCs w:val="20"/>
          <w:color w:val="auto"/>
        </w:rPr>
      </w:pPr>
    </w:p>
    <w:p>
      <w:pPr>
        <w:jc w:val="both"/>
        <w:ind w:firstLine="656"/>
        <w:spacing w:after="0" w:line="250" w:lineRule="auto"/>
        <w:tabs>
          <w:tab w:leader="none" w:pos="1168" w:val="left"/>
        </w:tabs>
        <w:numPr>
          <w:ilvl w:val="0"/>
          <w:numId w:val="820"/>
        </w:numPr>
        <w:rPr>
          <w:rFonts w:ascii="Arial" w:cs="Arial" w:eastAsia="Arial" w:hAnsi="Arial"/>
          <w:sz w:val="22"/>
          <w:szCs w:val="22"/>
          <w:color w:val="auto"/>
        </w:rPr>
      </w:pPr>
      <w:r>
        <w:rPr>
          <w:rFonts w:ascii="Arial" w:cs="Arial" w:eastAsia="Arial" w:hAnsi="Arial"/>
          <w:sz w:val="22"/>
          <w:szCs w:val="22"/>
          <w:color w:val="auto"/>
        </w:rPr>
        <w:t xml:space="preserve">All Liens granted to any Senior Priority Agent or Junior Priority Agent in any Insolvency Proceeding, whether as adequate protection or otherwise, are intended by the Parties to be and shall be deemed to be subject to the Lien Priority and the other terms and conditions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however, that the foregoing shall not alter any super-priority of any Liens securing any DIP Financing in accordance with this </w:t>
      </w:r>
      <w:r>
        <w:rPr>
          <w:rFonts w:ascii="Arial" w:cs="Arial" w:eastAsia="Arial" w:hAnsi="Arial"/>
          <w:sz w:val="22"/>
          <w:szCs w:val="22"/>
          <w:u w:val="single" w:color="auto"/>
          <w:color w:val="auto"/>
        </w:rPr>
        <w:t>Section 6.01.</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Relief from Stay</w:t>
      </w:r>
      <w:r>
        <w:rPr>
          <w:rFonts w:ascii="Arial" w:cs="Arial" w:eastAsia="Arial" w:hAnsi="Arial"/>
          <w:sz w:val="22"/>
          <w:szCs w:val="22"/>
          <w:color w:val="auto"/>
        </w:rPr>
        <w:t xml:space="preserve"> . Until the Discharge of Senior Priority Obligations, each Junior Priority Agent, for and on behalf of itself and the Junior Priority Creditors represented thereby, agrees not to seek relief from the automatic stay or any other stay in any Insolvency Proceeding in respect of any portion of the Collateral without each Senior Priority Agent’s express written consent.</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No Contest</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Each Junior Priority Agent, for and on behalf of itself and the Junior Priority Creditors represented thereby, agrees that, prior to the Discharge of Senior Priority Obligations, none of them shall contest (or directly or indirectly support any other Person contesting) (i) any request by any Senior Priority Agent or Senior Priority Creditor for adequate protection of its interest in the Collateral (unless in contravention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hereof), or (ii) any objection by any Senior Priority Agent or Senior Priority Creditor to any motion, relief, action or proceeding based on a claim by such Senior Priority Agent or Senior Priority Creditor that its interests in the Collateral (unless in contravention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hereof) are not adequately protected (or any other similar request under any law applicable to an Insolvency Proceeding), so long as any Liens granted to such Senior Priority Agent as adequate protection of its interests are subject to this Agreement. Except as may be separately otherwise agreed in writing by and between or among any applicable Senior Priority Agents, in each case on behalf of itself and any Senior Priority Creditors represented thereby, any Senior Priority Agent, for and on behalf of itself and any Senior Priority Creditors represented thereby, agrees that, prior to the applicable Discharge of Senior Priority Obligations, none of them shall directly or indirectly contest (or support any other Person contesting) (a) any request by any other Senior Priority Agent or any Senior Priority Creditor represented by such other Senior Priority Agent for adequate protection of its interest in the Collateral (unless in contravention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hereof), or (b) any objection by such other Senior Priority Agent or any Senior Priority Creditor to any motion, relief, action, or proceeding based on a claim by such other Senior Priority Agent or any Senior Priority Creditor represented by such other Senior Priority Agent that its interests in the Collateral (unless in contravention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hereof) are not adequately protected (or any other similar request under any law applicable to an Insolvency Proceeding), so long as any Liens granted to such other Senior Priority Agent as adequate protection of its interests are subject to this Agreement. Except as may be separately otherwise agreed in writing by and between or among any applicable Junior Priority Agents, in each case on behalf of itself and any Junior Priority Creditors represented thereby, any Junior Priority Agent, for and on behalf of itself and any Junior Priority Creditors represented thereby, agrees that, prior to the applicable Discharge of Junior Priority Obligations, none of them shall directly or indirectly contest (or support any other Person contesting) (a) any request by any other Junior Priority Agent or any Junior Priority Creditor represented by such other Junior Priority Agent for adequate protection of its interest in the Collateral (unless in contravention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hereof), or (b) any objection by such other Junior Priority Agent or any Junior Priority Creditor to any motion, relief, action, or proceeding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09" w:name="page610"/>
    <w:bookmarkEnd w:id="609"/>
    <w:p>
      <w:pPr>
        <w:jc w:val="both"/>
        <w:spacing w:after="0" w:line="265" w:lineRule="auto"/>
        <w:rPr>
          <w:sz w:val="20"/>
          <w:szCs w:val="20"/>
          <w:color w:val="auto"/>
        </w:rPr>
      </w:pPr>
      <w:r>
        <w:rPr>
          <w:rFonts w:ascii="Arial" w:cs="Arial" w:eastAsia="Arial" w:hAnsi="Arial"/>
          <w:sz w:val="21"/>
          <w:szCs w:val="21"/>
          <w:color w:val="auto"/>
        </w:rPr>
        <w:t xml:space="preserve">based on a claim by such other Junior Priority Agent or any Junior Priority Creditor represented by such other Junior Priority Agent that its interests in the Collateral (unless in contravention of </w:t>
      </w:r>
      <w:r>
        <w:rPr>
          <w:rFonts w:ascii="Arial" w:cs="Arial" w:eastAsia="Arial" w:hAnsi="Arial"/>
          <w:sz w:val="21"/>
          <w:szCs w:val="21"/>
          <w:u w:val="single" w:color="auto"/>
          <w:color w:val="auto"/>
        </w:rPr>
        <w:t>Section 6.01</w:t>
      </w:r>
      <w:r>
        <w:rPr>
          <w:rFonts w:ascii="Arial" w:cs="Arial" w:eastAsia="Arial" w:hAnsi="Arial"/>
          <w:sz w:val="21"/>
          <w:szCs w:val="21"/>
          <w:color w:val="auto"/>
        </w:rPr>
        <w:t xml:space="preserve"> hereof) are not adequately protected (or any other similar request under any law applicable to an Insolvency Proceeding), so long as any Liens granted to such other Junior Priority Agent as adequate protection of its interests are subject to this Agreement.</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Asset Sales</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Each Junior Priority Agent agrees, for and on behalf of itself and the Junior Priority Creditors represented thereby, that it will not oppose any sale consented to by the Senior Priority Representative of any Collateral pursuant to Section 363(f) of the Bankruptcy Code (or any similar provision under the law applicable to any Insolvency Proceeding) so long as the Liens granted to the Junior Priority Agents attach to the proceeds of such sale with the same priority and validity as such Liens or such Collateral and the proceeds of such sale are applied in accordance with this Agreement. Nothing in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shall prevent any Junior Priority Creditors or the Junior Priority Agent on their behalf from (x) presenting a cash bid for any assets of any Loan Party, or purchasing such assets for cash at any sale hearing under Section 363 of the Bankruptcy Code or at any public or judicial foreclosure sale or (y) making a credit bid for any assets of any Loan Party pursuant to Section 363(k) of the Bankruptcy Code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credit bid may only be made if either the Discharge of Senior Priority Obligations has occurred or will occur concurrently as a result of a cash bid for such assets in addition to such credit bid or the Senior Priority Agent approves such credit bid).</w:t>
      </w:r>
    </w:p>
    <w:p>
      <w:pPr>
        <w:spacing w:after="0" w:line="15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Separate Grants of Security and Separate Classification</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Each Secured Party acknowledges and agrees that (i) the grants of Liens pursuant to the Senior Priority Collateral Documents and the Junior Priority Collateral Documents constitute separate and distinct grants of Liens and (ii) the Senior Priority Obligations are fundamentally different from the Junior Priority Obligations and must be separately classified in any Plan of Reorganization proposed or adopted in an Insolvency Proceeding because of, among other things, their differing rights in the Collateral. To further effectuate the intent of the parties as provided in the immediately preceding sentence, if it is held that the claims of the Senior Priority Secured Parties, on the one hand, and the Junior Priority Secured Parties, on the other hand, in respect of the Collateral constitute only one secured claim (rather than separate classes of senior and junior secured claims) or are classified in the same class of secured claims in any Plan of Reorganization, then the Secured Parties hereby acknowledge and agree that all distributions with respect to the Collateral shall be made as if there were separate classes of Senior Priority Obligation claims and Junior Priority Obligation claims against the Loan Parties, with the effect being that, to the extent that the aggregate value of the Collateral is sufficient (for this purpose ignoring all claims held by the Junior Priority Secured Parties), the Senior Priority Secured Parties shall be entitled to receive, in addition to amounts distributed to them in respect of principal, prepetition interest and other claims, all amounts owing in respect of postpetition interest that is available from the Collateral for each of the Senior Priority Secured Parties, before any distribution is made in respect of the claims held by the Junior Priority Secured Parties, with the Junior Priority Secured Parties hereby acknowledging and agreeing to turn over to the Senior Priority Secured Parties amounts otherwise received or receivable by them to the extent necessary to effectuate the intent of this sentence, even if such turnover has the effect of reducing their aggregate recoveries. The foregoing sentence is subject to any separate agreement by and between any Additional Agent, on behalf of itself and the Additional Credit Facility Secured Parties represented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0" w:name="page611"/>
    <w:bookmarkEnd w:id="610"/>
    <w:p>
      <w:pPr>
        <w:jc w:val="both"/>
        <w:spacing w:after="0" w:line="343" w:lineRule="auto"/>
        <w:rPr>
          <w:sz w:val="20"/>
          <w:szCs w:val="20"/>
          <w:color w:val="auto"/>
        </w:rPr>
      </w:pPr>
      <w:r>
        <w:rPr>
          <w:rFonts w:ascii="Arial" w:cs="Arial" w:eastAsia="Arial" w:hAnsi="Arial"/>
          <w:sz w:val="19"/>
          <w:szCs w:val="19"/>
          <w:color w:val="auto"/>
        </w:rPr>
        <w:t>thereby, and any other Additional Agent, on behalf of itself and the Additional Credit Facility Secured Parties represented thereby, with respect to the Obligations owing to any such Additional Agent and Additional Credit Facility Secured Parties.</w:t>
      </w:r>
    </w:p>
    <w:p>
      <w:pPr>
        <w:spacing w:after="0" w:line="10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Enforceability.</w:t>
      </w:r>
      <w:r>
        <w:rPr>
          <w:rFonts w:ascii="Arial" w:cs="Arial" w:eastAsia="Arial" w:hAnsi="Arial"/>
          <w:sz w:val="22"/>
          <w:szCs w:val="22"/>
          <w:color w:val="auto"/>
        </w:rPr>
        <w:t xml:space="preserve"> The provisions of this Agreement are intended to be and shall be enforceable as a “subordination agreement” under Section 510(a) of the Bankruptcy Code.</w:t>
      </w:r>
    </w:p>
    <w:p>
      <w:pPr>
        <w:spacing w:after="0" w:line="16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Senior Priority Obligations Unconditional</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All rights of the Senior Priority Agents hereunder, and all agreements and obligations of the Junior Priority Agents and the Loan Parties (to the extent applicable) hereunder, shall remain in full force and effect irrespective of:</w:t>
      </w:r>
    </w:p>
    <w:p>
      <w:pPr>
        <w:spacing w:after="0" w:line="182" w:lineRule="exact"/>
        <w:rPr>
          <w:sz w:val="20"/>
          <w:szCs w:val="20"/>
          <w:color w:val="auto"/>
        </w:rPr>
      </w:pPr>
    </w:p>
    <w:p>
      <w:pPr>
        <w:ind w:left="1720" w:hanging="416"/>
        <w:spacing w:after="0"/>
        <w:tabs>
          <w:tab w:leader="none" w:pos="1720" w:val="left"/>
        </w:tabs>
        <w:numPr>
          <w:ilvl w:val="0"/>
          <w:numId w:val="821"/>
        </w:numPr>
        <w:rPr>
          <w:rFonts w:ascii="Arial" w:cs="Arial" w:eastAsia="Arial" w:hAnsi="Arial"/>
          <w:sz w:val="22"/>
          <w:szCs w:val="22"/>
          <w:color w:val="auto"/>
        </w:rPr>
      </w:pPr>
      <w:r>
        <w:rPr>
          <w:rFonts w:ascii="Arial" w:cs="Arial" w:eastAsia="Arial" w:hAnsi="Arial"/>
          <w:sz w:val="22"/>
          <w:szCs w:val="22"/>
          <w:color w:val="auto"/>
        </w:rPr>
        <w:t>any lack of validity or enforceability of any Senior Priority Document;</w:t>
      </w:r>
    </w:p>
    <w:p>
      <w:pPr>
        <w:spacing w:after="0" w:line="219" w:lineRule="exact"/>
        <w:rPr>
          <w:rFonts w:ascii="Arial" w:cs="Arial" w:eastAsia="Arial" w:hAnsi="Arial"/>
          <w:sz w:val="22"/>
          <w:szCs w:val="22"/>
          <w:color w:val="auto"/>
        </w:rPr>
      </w:pPr>
    </w:p>
    <w:p>
      <w:pPr>
        <w:jc w:val="both"/>
        <w:ind w:left="660" w:firstLine="644"/>
        <w:spacing w:after="0" w:line="271" w:lineRule="auto"/>
        <w:tabs>
          <w:tab w:leader="none" w:pos="1867" w:val="left"/>
        </w:tabs>
        <w:numPr>
          <w:ilvl w:val="0"/>
          <w:numId w:val="821"/>
        </w:numPr>
        <w:rPr>
          <w:rFonts w:ascii="Arial" w:cs="Arial" w:eastAsia="Arial" w:hAnsi="Arial"/>
          <w:sz w:val="21"/>
          <w:szCs w:val="21"/>
          <w:color w:val="auto"/>
        </w:rPr>
      </w:pPr>
      <w:r>
        <w:rPr>
          <w:rFonts w:ascii="Arial" w:cs="Arial" w:eastAsia="Arial" w:hAnsi="Arial"/>
          <w:sz w:val="21"/>
          <w:szCs w:val="21"/>
          <w:color w:val="auto"/>
        </w:rPr>
        <w:t>any change in the time, place or manner of payment of, or in any other term of, all or any portion of the Senior Priority Obligations, or any amendment, waiver or other modification, whether by course of conduct or otherwise, or any refinancing, replacement, refunding or restatement of any Senior Priority Document;</w:t>
      </w:r>
    </w:p>
    <w:p>
      <w:pPr>
        <w:spacing w:after="0" w:line="167" w:lineRule="exact"/>
        <w:rPr>
          <w:rFonts w:ascii="Arial" w:cs="Arial" w:eastAsia="Arial" w:hAnsi="Arial"/>
          <w:sz w:val="21"/>
          <w:szCs w:val="21"/>
          <w:color w:val="auto"/>
        </w:rPr>
      </w:pPr>
    </w:p>
    <w:p>
      <w:pPr>
        <w:jc w:val="both"/>
        <w:ind w:left="660" w:firstLine="644"/>
        <w:spacing w:after="0" w:line="250" w:lineRule="auto"/>
        <w:tabs>
          <w:tab w:leader="none" w:pos="1864" w:val="left"/>
        </w:tabs>
        <w:numPr>
          <w:ilvl w:val="0"/>
          <w:numId w:val="821"/>
        </w:numPr>
        <w:rPr>
          <w:rFonts w:ascii="Arial" w:cs="Arial" w:eastAsia="Arial" w:hAnsi="Arial"/>
          <w:sz w:val="22"/>
          <w:szCs w:val="22"/>
          <w:color w:val="auto"/>
        </w:rPr>
      </w:pPr>
      <w:r>
        <w:rPr>
          <w:rFonts w:ascii="Arial" w:cs="Arial" w:eastAsia="Arial" w:hAnsi="Arial"/>
          <w:sz w:val="22"/>
          <w:szCs w:val="22"/>
          <w:color w:val="auto"/>
        </w:rPr>
        <w:t>any exchange, release, voiding, avoidance or non perfection of any security interest in any Collateral or any other collateral, or any release, amendment, waiver or other modification, whether by course of conduct or otherwise, or any refinancing, replacement, refunding, restatement or increase of all or any portion of the Senior Priority Obligations or any guarantee or guaranty thereof;</w:t>
      </w:r>
    </w:p>
    <w:p>
      <w:pPr>
        <w:spacing w:after="0" w:line="187" w:lineRule="exact"/>
        <w:rPr>
          <w:rFonts w:ascii="Arial" w:cs="Arial" w:eastAsia="Arial" w:hAnsi="Arial"/>
          <w:sz w:val="22"/>
          <w:szCs w:val="22"/>
          <w:color w:val="auto"/>
        </w:rPr>
      </w:pPr>
    </w:p>
    <w:p>
      <w:pPr>
        <w:ind w:left="1840" w:hanging="536"/>
        <w:spacing w:after="0"/>
        <w:tabs>
          <w:tab w:leader="none" w:pos="1840" w:val="left"/>
        </w:tabs>
        <w:numPr>
          <w:ilvl w:val="0"/>
          <w:numId w:val="821"/>
        </w:numPr>
        <w:rPr>
          <w:rFonts w:ascii="Arial" w:cs="Arial" w:eastAsia="Arial" w:hAnsi="Arial"/>
          <w:sz w:val="19"/>
          <w:szCs w:val="19"/>
          <w:color w:val="auto"/>
        </w:rPr>
      </w:pPr>
      <w:r>
        <w:rPr>
          <w:rFonts w:ascii="Arial" w:cs="Arial" w:eastAsia="Arial" w:hAnsi="Arial"/>
          <w:sz w:val="19"/>
          <w:szCs w:val="19"/>
          <w:color w:val="auto"/>
        </w:rPr>
        <w:t>the commencement of any Insolvency Proceeding in respect of any Borrower or any other Loan Party; or</w:t>
      </w:r>
    </w:p>
    <w:p>
      <w:pPr>
        <w:spacing w:after="0" w:line="254" w:lineRule="exact"/>
        <w:rPr>
          <w:rFonts w:ascii="Arial" w:cs="Arial" w:eastAsia="Arial" w:hAnsi="Arial"/>
          <w:sz w:val="19"/>
          <w:szCs w:val="19"/>
          <w:color w:val="auto"/>
        </w:rPr>
      </w:pPr>
    </w:p>
    <w:p>
      <w:pPr>
        <w:jc w:val="both"/>
        <w:ind w:left="660" w:firstLine="644"/>
        <w:spacing w:after="0" w:line="253" w:lineRule="auto"/>
        <w:tabs>
          <w:tab w:leader="none" w:pos="1830" w:val="left"/>
        </w:tabs>
        <w:numPr>
          <w:ilvl w:val="0"/>
          <w:numId w:val="821"/>
        </w:numPr>
        <w:rPr>
          <w:rFonts w:ascii="Arial" w:cs="Arial" w:eastAsia="Arial" w:hAnsi="Arial"/>
          <w:sz w:val="22"/>
          <w:szCs w:val="22"/>
          <w:color w:val="auto"/>
        </w:rPr>
      </w:pPr>
      <w:r>
        <w:rPr>
          <w:rFonts w:ascii="Arial" w:cs="Arial" w:eastAsia="Arial" w:hAnsi="Arial"/>
          <w:sz w:val="22"/>
          <w:szCs w:val="22"/>
          <w:color w:val="auto"/>
        </w:rPr>
        <w:t>any other circumstances that otherwise might constitute a defense available to, or a discharge of, any Loan Party in respect of the Senior Priority Obligations, or of any of the Junior Priority Agent or any Loan Party, to the extent applicable, in respect of this Agreement.</w:t>
      </w:r>
    </w:p>
    <w:p>
      <w:pPr>
        <w:spacing w:after="0" w:line="17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Junior Priority Obligations Unconditional</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All rights of the Junior Priority Agents hereunder, and all agreements and obligations of the Senior Priority Agents and the Loan Parties (to the extent applicable) hereunder, shall remain in full force and effect irrespective of:</w:t>
      </w:r>
    </w:p>
    <w:p>
      <w:pPr>
        <w:spacing w:after="0" w:line="182" w:lineRule="exact"/>
        <w:rPr>
          <w:sz w:val="20"/>
          <w:szCs w:val="20"/>
          <w:color w:val="auto"/>
        </w:rPr>
      </w:pPr>
    </w:p>
    <w:p>
      <w:pPr>
        <w:ind w:left="1720" w:hanging="416"/>
        <w:spacing w:after="0"/>
        <w:tabs>
          <w:tab w:leader="none" w:pos="1720" w:val="left"/>
        </w:tabs>
        <w:numPr>
          <w:ilvl w:val="0"/>
          <w:numId w:val="822"/>
        </w:numPr>
        <w:rPr>
          <w:rFonts w:ascii="Arial" w:cs="Arial" w:eastAsia="Arial" w:hAnsi="Arial"/>
          <w:sz w:val="22"/>
          <w:szCs w:val="22"/>
          <w:color w:val="auto"/>
        </w:rPr>
      </w:pPr>
      <w:r>
        <w:rPr>
          <w:rFonts w:ascii="Arial" w:cs="Arial" w:eastAsia="Arial" w:hAnsi="Arial"/>
          <w:sz w:val="22"/>
          <w:szCs w:val="22"/>
          <w:color w:val="auto"/>
        </w:rPr>
        <w:t>any lack of validity or enforceability of any Junior Priority Document;</w:t>
      </w:r>
    </w:p>
    <w:p>
      <w:pPr>
        <w:spacing w:after="0" w:line="219" w:lineRule="exact"/>
        <w:rPr>
          <w:rFonts w:ascii="Arial" w:cs="Arial" w:eastAsia="Arial" w:hAnsi="Arial"/>
          <w:sz w:val="22"/>
          <w:szCs w:val="22"/>
          <w:color w:val="auto"/>
        </w:rPr>
      </w:pPr>
    </w:p>
    <w:p>
      <w:pPr>
        <w:jc w:val="both"/>
        <w:ind w:left="660" w:firstLine="644"/>
        <w:spacing w:after="0" w:line="271" w:lineRule="auto"/>
        <w:tabs>
          <w:tab w:leader="none" w:pos="1867" w:val="left"/>
        </w:tabs>
        <w:numPr>
          <w:ilvl w:val="0"/>
          <w:numId w:val="822"/>
        </w:numPr>
        <w:rPr>
          <w:rFonts w:ascii="Arial" w:cs="Arial" w:eastAsia="Arial" w:hAnsi="Arial"/>
          <w:sz w:val="21"/>
          <w:szCs w:val="21"/>
          <w:color w:val="auto"/>
        </w:rPr>
      </w:pPr>
      <w:r>
        <w:rPr>
          <w:rFonts w:ascii="Arial" w:cs="Arial" w:eastAsia="Arial" w:hAnsi="Arial"/>
          <w:sz w:val="21"/>
          <w:szCs w:val="21"/>
          <w:color w:val="auto"/>
        </w:rPr>
        <w:t>any change in the time, place or manner of payment of, or in any other term of, all or any portion of the Junior Priority Obligations, or any amendment, waiver or other modification, whether by course of conduct or otherwise, or any refinancing, replacement, refunding or restatement of any Junior Priority Document;</w:t>
      </w:r>
    </w:p>
    <w:p>
      <w:pPr>
        <w:spacing w:after="0" w:line="167" w:lineRule="exact"/>
        <w:rPr>
          <w:rFonts w:ascii="Arial" w:cs="Arial" w:eastAsia="Arial" w:hAnsi="Arial"/>
          <w:sz w:val="21"/>
          <w:szCs w:val="21"/>
          <w:color w:val="auto"/>
        </w:rPr>
      </w:pPr>
    </w:p>
    <w:p>
      <w:pPr>
        <w:jc w:val="both"/>
        <w:ind w:left="660" w:firstLine="644"/>
        <w:spacing w:after="0" w:line="253" w:lineRule="auto"/>
        <w:tabs>
          <w:tab w:leader="none" w:pos="1853" w:val="left"/>
        </w:tabs>
        <w:numPr>
          <w:ilvl w:val="0"/>
          <w:numId w:val="822"/>
        </w:numPr>
        <w:rPr>
          <w:rFonts w:ascii="Arial" w:cs="Arial" w:eastAsia="Arial" w:hAnsi="Arial"/>
          <w:sz w:val="22"/>
          <w:szCs w:val="22"/>
          <w:color w:val="auto"/>
        </w:rPr>
      </w:pPr>
      <w:r>
        <w:rPr>
          <w:rFonts w:ascii="Arial" w:cs="Arial" w:eastAsia="Arial" w:hAnsi="Arial"/>
          <w:sz w:val="22"/>
          <w:szCs w:val="22"/>
          <w:color w:val="auto"/>
        </w:rPr>
        <w:t>any exchange, release, voiding, avoidance or non perfection of any security interest in any Collateral, or any other collateral, or any release, amendment, waiver or other modification, whether by course of conduct or otherwise, or any refinancing, replacement,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1" w:name="page612"/>
    <w:bookmarkEnd w:id="611"/>
    <w:p>
      <w:pPr>
        <w:ind w:left="660"/>
        <w:spacing w:after="0" w:line="263" w:lineRule="auto"/>
        <w:rPr>
          <w:sz w:val="20"/>
          <w:szCs w:val="20"/>
          <w:color w:val="auto"/>
        </w:rPr>
      </w:pPr>
      <w:r>
        <w:rPr>
          <w:rFonts w:ascii="Arial" w:cs="Arial" w:eastAsia="Arial" w:hAnsi="Arial"/>
          <w:sz w:val="22"/>
          <w:szCs w:val="22"/>
          <w:color w:val="auto"/>
        </w:rPr>
        <w:t>refunding, restatement or increase of all or any portion of the Junior Priority Obligations or any guarantee or guaranty thereof;</w:t>
      </w:r>
    </w:p>
    <w:p>
      <w:pPr>
        <w:spacing w:after="0" w:line="175" w:lineRule="exact"/>
        <w:rPr>
          <w:sz w:val="20"/>
          <w:szCs w:val="20"/>
          <w:color w:val="auto"/>
        </w:rPr>
      </w:pPr>
    </w:p>
    <w:p>
      <w:pPr>
        <w:ind w:left="1840" w:hanging="536"/>
        <w:spacing w:after="0"/>
        <w:tabs>
          <w:tab w:leader="none" w:pos="1840" w:val="left"/>
        </w:tabs>
        <w:numPr>
          <w:ilvl w:val="0"/>
          <w:numId w:val="823"/>
        </w:numPr>
        <w:rPr>
          <w:rFonts w:ascii="Arial" w:cs="Arial" w:eastAsia="Arial" w:hAnsi="Arial"/>
          <w:sz w:val="19"/>
          <w:szCs w:val="19"/>
          <w:color w:val="auto"/>
        </w:rPr>
      </w:pPr>
      <w:r>
        <w:rPr>
          <w:rFonts w:ascii="Arial" w:cs="Arial" w:eastAsia="Arial" w:hAnsi="Arial"/>
          <w:sz w:val="19"/>
          <w:szCs w:val="19"/>
          <w:color w:val="auto"/>
        </w:rPr>
        <w:t>the commencement of any Insolvency Proceeding in respect of any Borrower or any other Loan Party; or</w:t>
      </w:r>
    </w:p>
    <w:p>
      <w:pPr>
        <w:spacing w:after="0" w:line="254" w:lineRule="exact"/>
        <w:rPr>
          <w:rFonts w:ascii="Arial" w:cs="Arial" w:eastAsia="Arial" w:hAnsi="Arial"/>
          <w:sz w:val="19"/>
          <w:szCs w:val="19"/>
          <w:color w:val="auto"/>
        </w:rPr>
      </w:pPr>
    </w:p>
    <w:p>
      <w:pPr>
        <w:jc w:val="both"/>
        <w:ind w:left="660" w:firstLine="644"/>
        <w:spacing w:after="0" w:line="253" w:lineRule="auto"/>
        <w:tabs>
          <w:tab w:leader="none" w:pos="1830" w:val="left"/>
        </w:tabs>
        <w:numPr>
          <w:ilvl w:val="0"/>
          <w:numId w:val="823"/>
        </w:numPr>
        <w:rPr>
          <w:rFonts w:ascii="Arial" w:cs="Arial" w:eastAsia="Arial" w:hAnsi="Arial"/>
          <w:sz w:val="22"/>
          <w:szCs w:val="22"/>
          <w:color w:val="auto"/>
        </w:rPr>
      </w:pPr>
      <w:r>
        <w:rPr>
          <w:rFonts w:ascii="Arial" w:cs="Arial" w:eastAsia="Arial" w:hAnsi="Arial"/>
          <w:sz w:val="22"/>
          <w:szCs w:val="22"/>
          <w:color w:val="auto"/>
        </w:rPr>
        <w:t>any other circumstances that otherwise might constitute a defense available to, or a discharge of, any Loan Party in respect of the Junior Priority Obligations, or of any of the Senior Priority Agent or any Loan Party, to the extent applicable, in respect of this Agreement.</w:t>
      </w:r>
    </w:p>
    <w:p>
      <w:pPr>
        <w:spacing w:after="0" w:line="17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6.09</w:t>
      </w:r>
      <w:r>
        <w:rPr>
          <w:sz w:val="20"/>
          <w:szCs w:val="20"/>
          <w:color w:val="auto"/>
        </w:rPr>
        <w:tab/>
      </w:r>
      <w:r>
        <w:rPr>
          <w:rFonts w:ascii="Arial" w:cs="Arial" w:eastAsia="Arial" w:hAnsi="Arial"/>
          <w:sz w:val="19"/>
          <w:szCs w:val="19"/>
          <w:u w:val="single" w:color="auto"/>
          <w:color w:val="auto"/>
        </w:rPr>
        <w:t xml:space="preserve">Adequate Protection </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284" w:lineRule="auto"/>
        <w:tabs>
          <w:tab w:leader="none" w:pos="1212" w:val="left"/>
        </w:tabs>
        <w:numPr>
          <w:ilvl w:val="0"/>
          <w:numId w:val="824"/>
        </w:numPr>
        <w:rPr>
          <w:rFonts w:ascii="Arial" w:cs="Arial" w:eastAsia="Arial" w:hAnsi="Arial"/>
          <w:sz w:val="19"/>
          <w:szCs w:val="19"/>
          <w:color w:val="auto"/>
        </w:rPr>
      </w:pPr>
      <w:r>
        <w:rPr>
          <w:rFonts w:ascii="Arial" w:cs="Arial" w:eastAsia="Arial" w:hAnsi="Arial"/>
          <w:sz w:val="19"/>
          <w:szCs w:val="19"/>
          <w:color w:val="auto"/>
        </w:rPr>
        <w:t xml:space="preserve">Except as expressly provided in this Agreement (including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 nothing in this Agreement shall limit the rights of any Agent and the Secured Parties represented thereby from seeking or requesting adequate protection with respect to their interests in the applicable Collateral in any Insolvency Proceeding, including adequate protection in the form of payments, periodic cash payments, cash payments of interest, additional collateral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in the event that any Junior Priority Agent, on behalf of itself or any of the Junior Priority Creditors represented thereby, seeks or requests adequate protection in respect of the relevant Junior Priority Obligations and such adequate protection is granted in the form of a Lien on additional collateral, then each Junior Priority Agent, on behalf of itself and the Junior Priority Creditors represented thereby, agrees that (i) each Senior Priority Agent shall also be granted a senior Lien on such collateral as security for the Senior Priority Obligations owing to such Senior Priority Agent and the Senior Priority Secured Parties represented thereby, and that any Lien on such collateral securing the Junior Priority Obligations shall be junior to any Lien on such collateral securing the Senior Priority Obligations and (ii) each other Junior Priority Agent shall also be granted a pari passu Lien on such collateral as security for the Junior Priority Obligations owing to such other Junior Priority Agent and the Junior Priority Secured Parties represented thereby, and that any such Lien on such collateral securing such Junior Priority Obligations shall be pari passu to each such other Lien on such collateral securing such other Junior Priority Obligations (except as may be separately otherwise agreed in writing by and between or among any applicable Junior Priority Agents, in each case on behalf of itself and the Junior Priority Secured Parties represented thereby), and (b) in the event that any Senior Priority Agent, for or on behalf of itself or any Senior Priority Creditor represented thereby, seeks or requests adequate protection in respect of the Senior Priority Obligations and such adequate protection is granted in the form of a Lien on additional collateral, then such Senior Priority Agent, for and on behalf of itself and the Senior Priority Creditors represented thereby, agrees that (i) each other Senior Priority Agent shall also be granted a pari passu Lien on such collateral as security for the Senior Priority Obligations owing to such other Senior Priority Agent and the Senior Priority Secured Parties represented thereby, and that any such Lien on such collateral securing such Senior Priority Obligations shall be pari passu to each such other Lien on such collateral securing such other Senior Priority Obligations (except as may be separately otherwise agreed in writing by and between or among any applicable Senior Priority Agents, in each case on behalf of itself and the Senior Priority Secured Parties represented thereby) and (ii) each Junior Priority Agent shall also be granted a junior Lien on such collateral as security for the Junior Priority Obligations owing to such other Junior Priority Agent and the Junior Priority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2" w:name="page613"/>
    <w:bookmarkEnd w:id="612"/>
    <w:p>
      <w:pPr>
        <w:spacing w:after="0" w:line="263" w:lineRule="auto"/>
        <w:rPr>
          <w:sz w:val="20"/>
          <w:szCs w:val="20"/>
          <w:color w:val="auto"/>
        </w:rPr>
      </w:pPr>
      <w:r>
        <w:rPr>
          <w:rFonts w:ascii="Arial" w:cs="Arial" w:eastAsia="Arial" w:hAnsi="Arial"/>
          <w:sz w:val="22"/>
          <w:szCs w:val="22"/>
          <w:color w:val="auto"/>
        </w:rPr>
        <w:t>Secured Parties represented thereby, and that any such Lien on such collateral securing such Junior Priority Obligations shall be junior to each Lien on such collateral securing Senior Priority Obligations.</w:t>
      </w:r>
    </w:p>
    <w:p>
      <w:pPr>
        <w:spacing w:after="0" w:line="175" w:lineRule="exact"/>
        <w:rPr>
          <w:sz w:val="20"/>
          <w:szCs w:val="20"/>
          <w:color w:val="auto"/>
        </w:rPr>
      </w:pPr>
    </w:p>
    <w:p>
      <w:pPr>
        <w:jc w:val="both"/>
        <w:ind w:firstLine="656"/>
        <w:spacing w:after="0" w:line="247" w:lineRule="auto"/>
        <w:tabs>
          <w:tab w:leader="none" w:pos="1119" w:val="left"/>
        </w:tabs>
        <w:numPr>
          <w:ilvl w:val="0"/>
          <w:numId w:val="825"/>
        </w:numPr>
        <w:rPr>
          <w:rFonts w:ascii="Arial" w:cs="Arial" w:eastAsia="Arial" w:hAnsi="Arial"/>
          <w:sz w:val="22"/>
          <w:szCs w:val="22"/>
          <w:color w:val="auto"/>
        </w:rPr>
      </w:pPr>
      <w:r>
        <w:rPr>
          <w:rFonts w:ascii="Arial" w:cs="Arial" w:eastAsia="Arial" w:hAnsi="Arial"/>
          <w:sz w:val="22"/>
          <w:szCs w:val="22"/>
          <w:color w:val="auto"/>
        </w:rPr>
        <w:t xml:space="preserve">Any claim by any Junior Priority Secured Party under Section 507(b) of the Bankruptcy Code will be subordinate in right of payment to any claim of any Senior Priority Secured Party under Section 507(b) of the Bankruptcy Code and any payment thereof will be deemed to be Proceeds of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Junior Priority Secured Party will be deemed to have agreed pursuant to Section 1129(a)(9) of the Bankruptcy Code that such Section 507(b) claims may be paid under a Plan of Reorganization in any form having a value on the effective date of such Plan of Reorganization equal to the allowed amount of such claims.</w:t>
      </w:r>
    </w:p>
    <w:p>
      <w:pPr>
        <w:spacing w:after="0" w:line="187"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 xml:space="preserve">Certain Waivers </w:t>
      </w:r>
      <w:r>
        <w:rPr>
          <w:rFonts w:ascii="Arial" w:cs="Arial" w:eastAsia="Arial" w:hAnsi="Arial"/>
          <w:sz w:val="19"/>
          <w:szCs w:val="19"/>
          <w:b w:val="1"/>
          <w:bCs w:val="1"/>
          <w:color w:val="auto"/>
        </w:rPr>
        <w:t>.</w:t>
      </w:r>
    </w:p>
    <w:p>
      <w:pPr>
        <w:spacing w:after="0" w:line="226" w:lineRule="exact"/>
        <w:rPr>
          <w:sz w:val="20"/>
          <w:szCs w:val="20"/>
          <w:color w:val="auto"/>
        </w:rPr>
      </w:pPr>
    </w:p>
    <w:p>
      <w:pPr>
        <w:jc w:val="both"/>
        <w:ind w:firstLine="656"/>
        <w:spacing w:after="0" w:line="250" w:lineRule="auto"/>
        <w:tabs>
          <w:tab w:leader="none" w:pos="1142" w:val="left"/>
        </w:tabs>
        <w:numPr>
          <w:ilvl w:val="1"/>
          <w:numId w:val="826"/>
        </w:numPr>
        <w:rPr>
          <w:rFonts w:ascii="Arial" w:cs="Arial" w:eastAsia="Arial" w:hAnsi="Arial"/>
          <w:sz w:val="22"/>
          <w:szCs w:val="22"/>
          <w:color w:val="auto"/>
        </w:rPr>
      </w:pPr>
      <w:r>
        <w:rPr>
          <w:rFonts w:ascii="Arial" w:cs="Arial" w:eastAsia="Arial" w:hAnsi="Arial"/>
          <w:sz w:val="22"/>
          <w:szCs w:val="22"/>
          <w:color w:val="auto"/>
        </w:rPr>
        <w:t>Each Junior Priority Agent, for itself and on behalf of the Junior Priority Creditors represented thereby, waives any claim any Junior Priority Creditor may hereafter have against any Senior Priority Creditor arising out of the election by any Senior Priority Creditor of the application of Section 1111(b)(2) of the Bankruptcy Code, or any comparable provision of any other Bankruptcy Law.</w:t>
      </w:r>
    </w:p>
    <w:p>
      <w:pPr>
        <w:spacing w:after="0" w:line="187" w:lineRule="exact"/>
        <w:rPr>
          <w:rFonts w:ascii="Arial" w:cs="Arial" w:eastAsia="Arial" w:hAnsi="Arial"/>
          <w:sz w:val="22"/>
          <w:szCs w:val="22"/>
          <w:color w:val="auto"/>
        </w:rPr>
      </w:pPr>
    </w:p>
    <w:p>
      <w:pPr>
        <w:jc w:val="both"/>
        <w:ind w:firstLine="656"/>
        <w:spacing w:after="0" w:line="286" w:lineRule="auto"/>
        <w:tabs>
          <w:tab w:leader="none" w:pos="1126" w:val="left"/>
        </w:tabs>
        <w:numPr>
          <w:ilvl w:val="1"/>
          <w:numId w:val="826"/>
        </w:numPr>
        <w:rPr>
          <w:rFonts w:ascii="Arial" w:cs="Arial" w:eastAsia="Arial" w:hAnsi="Arial"/>
          <w:sz w:val="19"/>
          <w:szCs w:val="19"/>
          <w:color w:val="auto"/>
        </w:rPr>
      </w:pPr>
      <w:r>
        <w:rPr>
          <w:rFonts w:ascii="Arial" w:cs="Arial" w:eastAsia="Arial" w:hAnsi="Arial"/>
          <w:sz w:val="19"/>
          <w:szCs w:val="19"/>
          <w:color w:val="auto"/>
        </w:rPr>
        <w:t>Each Junior Priority Agent, on behalf of itself and the Junior Priority Creditors represented thereby, agrees that none of them shall (i) object, contest, or directly or indirectly support any other Person objecting to or contesting, any request by any Senior Priority Agent or any of the other Senior Priority Creditors for the payment of interest, fees, expenses or other amounts to such Senior Priority Agent or any other Senior Priority Creditor under Section 506(b) of the Bankruptcy Code or otherwise, or</w:t>
      </w:r>
    </w:p>
    <w:p>
      <w:pPr>
        <w:spacing w:after="0" w:line="2" w:lineRule="exact"/>
        <w:rPr>
          <w:rFonts w:ascii="Arial" w:cs="Arial" w:eastAsia="Arial" w:hAnsi="Arial"/>
          <w:sz w:val="19"/>
          <w:szCs w:val="19"/>
          <w:color w:val="auto"/>
        </w:rPr>
      </w:pPr>
    </w:p>
    <w:p>
      <w:pPr>
        <w:ind w:firstLine="8"/>
        <w:spacing w:after="0" w:line="323" w:lineRule="auto"/>
        <w:tabs>
          <w:tab w:leader="none" w:pos="334" w:val="left"/>
        </w:tabs>
        <w:numPr>
          <w:ilvl w:val="0"/>
          <w:numId w:val="827"/>
        </w:numPr>
        <w:rPr>
          <w:rFonts w:ascii="Arial" w:cs="Arial" w:eastAsia="Arial" w:hAnsi="Arial"/>
          <w:sz w:val="19"/>
          <w:szCs w:val="19"/>
          <w:color w:val="auto"/>
        </w:rPr>
      </w:pPr>
      <w:r>
        <w:rPr>
          <w:rFonts w:ascii="Arial" w:cs="Arial" w:eastAsia="Arial" w:hAnsi="Arial"/>
          <w:sz w:val="19"/>
          <w:szCs w:val="19"/>
          <w:color w:val="auto"/>
        </w:rPr>
        <w:t>assert or directly or indirectly support any claim against any Senior Priority Creditor for costs or expenses of preserving or disposing of any Collateral under Section 506(c) of the Bankruptcy Code or any similar provision of any other Bankruptcy Law.</w:t>
      </w:r>
    </w:p>
    <w:p>
      <w:pPr>
        <w:spacing w:after="0" w:line="122" w:lineRule="exact"/>
        <w:rPr>
          <w:rFonts w:ascii="Arial" w:cs="Arial" w:eastAsia="Arial" w:hAnsi="Arial"/>
          <w:sz w:val="19"/>
          <w:szCs w:val="19"/>
          <w:color w:val="auto"/>
        </w:rPr>
      </w:pPr>
    </w:p>
    <w:p>
      <w:pPr>
        <w:jc w:val="both"/>
        <w:ind w:firstLine="656"/>
        <w:spacing w:after="0" w:line="312" w:lineRule="auto"/>
        <w:tabs>
          <w:tab w:leader="none" w:pos="1171" w:val="left"/>
        </w:tabs>
        <w:numPr>
          <w:ilvl w:val="1"/>
          <w:numId w:val="827"/>
        </w:numPr>
        <w:rPr>
          <w:rFonts w:ascii="Arial" w:cs="Arial" w:eastAsia="Arial" w:hAnsi="Arial"/>
          <w:sz w:val="19"/>
          <w:szCs w:val="19"/>
          <w:color w:val="auto"/>
        </w:rPr>
      </w:pPr>
      <w:r>
        <w:rPr>
          <w:rFonts w:ascii="Arial" w:cs="Arial" w:eastAsia="Arial" w:hAnsi="Arial"/>
          <w:sz w:val="19"/>
          <w:szCs w:val="19"/>
          <w:color w:val="auto"/>
        </w:rPr>
        <w:t>No Senior Priority Agent nor any other holder of Senior Priority Obligations shall object to, oppose, or challenge any claim by the Junior Priority Agent or any holder of Junior Priority Obligations for allowance in any Insolvency Proceeding of Junior Priority Obligations consisting of post-petition interest, default interest, premiums, fees, or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Rights of Subrogation</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Each Junior Priority Agent, for and on behalf of itself and the Junior Priority Creditors represented thereby, agrees that no payment by such Junior Priority Agent or any such Junior Priority Creditor to any Senior Priority Agent or Senior Priority Creditor pursuant to the provisions of this Agreement shall entitle such Junior Priority Agent or Junior Priority Creditor to exercise any rights of subrogation in respect thereof until the Discharge of Senior Priority Obligations. Following the Discharge of Senior Priority Obligations with respect to the Senior Priority Obligations, each Senior Priority Agent agrees to execute such documents, agreements, and instruments as any Junior Priority Agent or Junior Priority Creditor may reasonably request to evidence the transfer by subrogation to any such Person of an interest in the Senior Priority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3" w:name="page614"/>
    <w:bookmarkEnd w:id="613"/>
    <w:p>
      <w:pPr>
        <w:jc w:val="both"/>
        <w:ind w:right="20"/>
        <w:spacing w:after="0" w:line="253" w:lineRule="auto"/>
        <w:rPr>
          <w:sz w:val="20"/>
          <w:szCs w:val="20"/>
          <w:color w:val="auto"/>
        </w:rPr>
      </w:pPr>
      <w:r>
        <w:rPr>
          <w:rFonts w:ascii="Arial" w:cs="Arial" w:eastAsia="Arial" w:hAnsi="Arial"/>
          <w:sz w:val="22"/>
          <w:szCs w:val="22"/>
          <w:color w:val="auto"/>
        </w:rPr>
        <w:t>Obligations resulting from payments to such Senior Priority Agent by such Person, so long as all costs and expenses (including all reasonable legal fees and disbursements) incurred in connection therewith by such Senior Priority Agent are paid by such Person upon request for payment thereof.</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u w:val="single" w:color="auto"/>
          <w:color w:val="auto"/>
        </w:rPr>
        <w:t>Further Assurances</w:t>
      </w:r>
      <w:r>
        <w:rPr>
          <w:rFonts w:ascii="Arial" w:cs="Arial" w:eastAsia="Arial" w:hAnsi="Arial"/>
          <w:sz w:val="21"/>
          <w:szCs w:val="21"/>
          <w:color w:val="auto"/>
        </w:rPr>
        <w:t xml:space="preserve"> </w:t>
      </w:r>
      <w:r>
        <w:rPr>
          <w:rFonts w:ascii="Arial" w:cs="Arial" w:eastAsia="Arial" w:hAnsi="Arial"/>
          <w:sz w:val="21"/>
          <w:szCs w:val="21"/>
          <w:b w:val="1"/>
          <w:bCs w:val="1"/>
          <w:color w:val="auto"/>
        </w:rPr>
        <w:t>.</w:t>
      </w:r>
      <w:r>
        <w:rPr>
          <w:rFonts w:ascii="Arial" w:cs="Arial" w:eastAsia="Arial" w:hAnsi="Arial"/>
          <w:sz w:val="21"/>
          <w:szCs w:val="21"/>
          <w:color w:val="auto"/>
        </w:rPr>
        <w:t xml:space="preserve"> The Parties will, at their own expense and at any time and from time to time, promptly execute and deliver all further instruments and documents, and take all further action, that may be necessary or desirable, or that any Party may reasonably request, in order to protect any right or interest granted or purported to be granted hereby or to enable such Party to exercise and enforce its rights and remedies hereunder;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 that no Party shall be required to pay over any payment or distribution, execute any instruments or documents, or take any other action referred to in this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to the extent that such action would contravene any law, order or other legal requirement or any of the terms or provisions of this Agreement, and in the event of a controversy or dispute, such Party may interplead any payment or distribution in any court of competent jurisdiction, without further responsibility in respect of such payment or distribution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7.02.</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Agent Representations</w:t>
      </w:r>
      <w:r>
        <w:rPr>
          <w:rFonts w:ascii="Arial" w:cs="Arial" w:eastAsia="Arial" w:hAnsi="Arial"/>
          <w:sz w:val="19"/>
          <w:szCs w:val="19"/>
          <w:color w:val="auto"/>
        </w:rPr>
        <w:t xml:space="preserve"> . The Original First Lien Agent represents and warrants to each other Agent that it has the requisite power and authority under the Original First Lien Documents to enter into, execute, deliver, and carry out the</w:t>
      </w:r>
    </w:p>
    <w:tbl>
      <w:tblPr>
        <w:tblLayout w:type="fixed"/>
        <w:tblInd w:w="0" w:type="dxa"/>
        <w:tblCellMar>
          <w:top w:w="0" w:type="dxa"/>
          <w:left w:w="0" w:type="dxa"/>
          <w:bottom w:w="0" w:type="dxa"/>
          <w:right w:w="0" w:type="dxa"/>
        </w:tblCellMar>
      </w:tblPr>
      <w:tr>
        <w:trPr>
          <w:trHeight w:val="245"/>
        </w:trPr>
        <w:tc>
          <w:tcPr>
            <w:tcW w:w="8400" w:type="dxa"/>
            <w:vAlign w:val="bottom"/>
          </w:tcPr>
          <w:p>
            <w:pPr>
              <w:spacing w:after="0" w:line="245" w:lineRule="exact"/>
              <w:rPr>
                <w:sz w:val="20"/>
                <w:szCs w:val="20"/>
                <w:color w:val="auto"/>
              </w:rPr>
            </w:pPr>
            <w:r>
              <w:rPr>
                <w:rFonts w:ascii="Arial" w:cs="Arial" w:eastAsia="Arial" w:hAnsi="Arial"/>
                <w:sz w:val="22"/>
                <w:szCs w:val="22"/>
                <w:color w:val="auto"/>
                <w:w w:val="94"/>
              </w:rPr>
              <w:t>terms of this Agreement on behalf of itself and the Original First Lien Secured Parties. The [</w:t>
            </w:r>
          </w:p>
        </w:tc>
        <w:tc>
          <w:tcPr>
            <w:tcW w:w="2840" w:type="dxa"/>
            <w:vAlign w:val="bottom"/>
            <w:gridSpan w:val="3"/>
          </w:tcPr>
          <w:p>
            <w:pPr>
              <w:jc w:val="right"/>
              <w:spacing w:after="0" w:line="245" w:lineRule="exact"/>
              <w:rPr>
                <w:sz w:val="20"/>
                <w:szCs w:val="20"/>
                <w:color w:val="auto"/>
              </w:rPr>
            </w:pPr>
            <w:r>
              <w:rPr>
                <w:rFonts w:ascii="Arial" w:cs="Arial" w:eastAsia="Arial" w:hAnsi="Arial"/>
                <w:sz w:val="22"/>
                <w:szCs w:val="22"/>
                <w:color w:val="auto"/>
                <w:w w:val="99"/>
              </w:rPr>
              <w:t xml:space="preserve">] </w:t>
            </w:r>
            <w:r>
              <w:rPr>
                <w:rFonts w:ascii="Arial" w:cs="Arial" w:eastAsia="Arial" w:hAnsi="Arial"/>
                <w:sz w:val="28"/>
                <w:szCs w:val="28"/>
                <w:color w:val="auto"/>
                <w:w w:val="99"/>
                <w:vertAlign w:val="superscript"/>
              </w:rPr>
              <w:t>i</w:t>
            </w:r>
            <w:r>
              <w:rPr>
                <w:rFonts w:ascii="Arial" w:cs="Arial" w:eastAsia="Arial" w:hAnsi="Arial"/>
                <w:sz w:val="22"/>
                <w:szCs w:val="22"/>
                <w:color w:val="auto"/>
                <w:w w:val="99"/>
              </w:rPr>
              <w:t xml:space="preserve"> [First/Second] </w:t>
            </w:r>
            <w:r>
              <w:rPr>
                <w:rFonts w:ascii="Arial" w:cs="Arial" w:eastAsia="Arial" w:hAnsi="Arial"/>
                <w:sz w:val="28"/>
                <w:szCs w:val="28"/>
                <w:color w:val="auto"/>
                <w:w w:val="99"/>
                <w:vertAlign w:val="superscript"/>
              </w:rPr>
              <w:t>ii</w:t>
            </w:r>
            <w:r>
              <w:rPr>
                <w:rFonts w:ascii="Arial" w:cs="Arial" w:eastAsia="Arial" w:hAnsi="Arial"/>
                <w:sz w:val="22"/>
                <w:szCs w:val="22"/>
                <w:color w:val="auto"/>
                <w:w w:val="99"/>
              </w:rPr>
              <w:t xml:space="preserve"> Lien Agent</w:t>
            </w:r>
          </w:p>
        </w:tc>
      </w:tr>
      <w:tr>
        <w:trPr>
          <w:trHeight w:val="257"/>
        </w:trPr>
        <w:tc>
          <w:tcPr>
            <w:tcW w:w="9000" w:type="dxa"/>
            <w:vAlign w:val="bottom"/>
            <w:gridSpan w:val="2"/>
          </w:tcPr>
          <w:p>
            <w:pPr>
              <w:spacing w:after="0"/>
              <w:rPr>
                <w:sz w:val="20"/>
                <w:szCs w:val="20"/>
                <w:color w:val="auto"/>
              </w:rPr>
            </w:pPr>
            <w:r>
              <w:rPr>
                <w:rFonts w:ascii="Arial" w:cs="Arial" w:eastAsia="Arial" w:hAnsi="Arial"/>
                <w:sz w:val="22"/>
                <w:szCs w:val="22"/>
                <w:color w:val="auto"/>
                <w:w w:val="92"/>
              </w:rPr>
              <w:t>represents and warrants to each other Agent that it has the requisite power and authority under the [</w:t>
            </w:r>
          </w:p>
        </w:tc>
        <w:tc>
          <w:tcPr>
            <w:tcW w:w="2240" w:type="dxa"/>
            <w:vAlign w:val="bottom"/>
            <w:gridSpan w:val="2"/>
          </w:tcPr>
          <w:p>
            <w:pPr>
              <w:jc w:val="right"/>
              <w:spacing w:after="0" w:line="257" w:lineRule="exact"/>
              <w:rPr>
                <w:sz w:val="20"/>
                <w:szCs w:val="20"/>
                <w:color w:val="auto"/>
              </w:rPr>
            </w:pPr>
            <w:r>
              <w:rPr>
                <w:rFonts w:ascii="Arial" w:cs="Arial" w:eastAsia="Arial" w:hAnsi="Arial"/>
                <w:sz w:val="22"/>
                <w:szCs w:val="22"/>
                <w:color w:val="auto"/>
                <w:w w:val="99"/>
              </w:rPr>
              <w:t xml:space="preserve">] </w:t>
            </w:r>
            <w:r>
              <w:rPr>
                <w:rFonts w:ascii="Arial" w:cs="Arial" w:eastAsia="Arial" w:hAnsi="Arial"/>
                <w:sz w:val="28"/>
                <w:szCs w:val="28"/>
                <w:color w:val="auto"/>
                <w:w w:val="99"/>
                <w:vertAlign w:val="superscript"/>
              </w:rPr>
              <w:t>i</w:t>
            </w:r>
            <w:r>
              <w:rPr>
                <w:rFonts w:ascii="Arial" w:cs="Arial" w:eastAsia="Arial" w:hAnsi="Arial"/>
                <w:sz w:val="22"/>
                <w:szCs w:val="22"/>
                <w:color w:val="auto"/>
                <w:w w:val="99"/>
              </w:rPr>
              <w:t xml:space="preserve"> [First/Second] </w:t>
            </w:r>
            <w:r>
              <w:rPr>
                <w:rFonts w:ascii="Arial" w:cs="Arial" w:eastAsia="Arial" w:hAnsi="Arial"/>
                <w:sz w:val="28"/>
                <w:szCs w:val="28"/>
                <w:color w:val="auto"/>
                <w:w w:val="99"/>
                <w:vertAlign w:val="superscript"/>
              </w:rPr>
              <w:t>ii</w:t>
            </w:r>
            <w:r>
              <w:rPr>
                <w:rFonts w:ascii="Arial" w:cs="Arial" w:eastAsia="Arial" w:hAnsi="Arial"/>
                <w:sz w:val="22"/>
                <w:szCs w:val="22"/>
                <w:color w:val="auto"/>
                <w:w w:val="99"/>
              </w:rPr>
              <w:t xml:space="preserve"> Lien</w:t>
            </w:r>
          </w:p>
        </w:tc>
      </w:tr>
      <w:tr>
        <w:trPr>
          <w:trHeight w:val="268"/>
        </w:trPr>
        <w:tc>
          <w:tcPr>
            <w:tcW w:w="10780" w:type="dxa"/>
            <w:vAlign w:val="bottom"/>
            <w:gridSpan w:val="3"/>
          </w:tcPr>
          <w:p>
            <w:pPr>
              <w:spacing w:after="0"/>
              <w:rPr>
                <w:sz w:val="20"/>
                <w:szCs w:val="20"/>
                <w:color w:val="auto"/>
              </w:rPr>
            </w:pPr>
            <w:r>
              <w:rPr>
                <w:rFonts w:ascii="Arial" w:cs="Arial" w:eastAsia="Arial" w:hAnsi="Arial"/>
                <w:sz w:val="22"/>
                <w:szCs w:val="22"/>
                <w:color w:val="auto"/>
                <w:w w:val="99"/>
              </w:rPr>
              <w:t>Documents to enter into, execute, deliver, and carry out the terms of this Agreement on behalf of itself and the [</w:t>
            </w:r>
          </w:p>
        </w:tc>
        <w:tc>
          <w:tcPr>
            <w:tcW w:w="460" w:type="dxa"/>
            <w:vAlign w:val="bottom"/>
          </w:tcPr>
          <w:p>
            <w:pPr>
              <w:jc w:val="right"/>
              <w:spacing w:after="0" w:line="268"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i</w:t>
            </w:r>
          </w:p>
        </w:tc>
      </w:tr>
    </w:tbl>
    <w:p>
      <w:pPr>
        <w:jc w:val="both"/>
        <w:spacing w:after="0" w:line="237" w:lineRule="auto"/>
        <w:rPr>
          <w:sz w:val="20"/>
          <w:szCs w:val="20"/>
          <w:color w:val="auto"/>
        </w:rPr>
      </w:pPr>
      <w:r>
        <w:rPr>
          <w:rFonts w:ascii="Arial" w:cs="Arial" w:eastAsia="Arial" w:hAnsi="Arial"/>
          <w:sz w:val="21"/>
          <w:szCs w:val="21"/>
          <w:color w:val="auto"/>
        </w:rPr>
        <w:t xml:space="preserve">[First/Second]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Creditors. Each Additional Agent represents and warrants to each other Agent that it has the requisite power and authority under the applicable Additional Documents to enter into, execute, deliver, and carry out the terms of this Agreement on behalf of itself and any Additional Credit Facility Secured Parties represented thereby.</w:t>
      </w:r>
    </w:p>
    <w:p>
      <w:pPr>
        <w:spacing w:after="0" w:line="20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u w:val="single" w:color="auto"/>
          <w:color w:val="auto"/>
        </w:rPr>
        <w:t xml:space="preserve">Amendments </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86" w:lineRule="auto"/>
        <w:tabs>
          <w:tab w:leader="none" w:pos="1128" w:val="left"/>
        </w:tabs>
        <w:numPr>
          <w:ilvl w:val="0"/>
          <w:numId w:val="828"/>
        </w:numPr>
        <w:rPr>
          <w:rFonts w:ascii="Arial" w:cs="Arial" w:eastAsia="Arial" w:hAnsi="Arial"/>
          <w:sz w:val="19"/>
          <w:szCs w:val="19"/>
          <w:color w:val="auto"/>
        </w:rPr>
      </w:pPr>
      <w:r>
        <w:rPr>
          <w:rFonts w:ascii="Arial" w:cs="Arial" w:eastAsia="Arial" w:hAnsi="Arial"/>
          <w:sz w:val="19"/>
          <w:szCs w:val="19"/>
          <w:color w:val="auto"/>
        </w:rPr>
        <w:t xml:space="preserve">No amendment, modification or waiver of any provision of this Agreement, and no consent to any departure by any Party hereto, shall be effective unless it is in a written agreement executed by each Senior Priority Agent and each Junior Priority Agent. Notwithstanding the foregoing, the Original First Lien Borrower may, without the consent of any Party hereto, amend this Agreement to add an Additional Agent by (x) executing an Additional Indebtedness Joinder as provided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or (y) executing a joinder agreement substantially in the form of Exhibit C attached hereto. No amendment, modification or waiver of any provision of this Agreement, and no consent to any departure therefrom by any Party hereto, that changes, alters, modifies or otherwise affects any power, privilege, right, remedy, liability or obligation of, or otherwise affects in any manner, any Additional Agent that is not then a Party, or any Additional Credit Facility Secured Party not then represented by an Additional Agent that is then a Party (including but not limited to any change, alteration, modification or other effect upon any power, privilege, right, remedy, liability or obligation of or other effect upon any such Additional Agent or Additional Credit Facility Secured Party that may at any subsequent time become a Party or beneficiary hereof) shall be effective unless it is consented to in writing by the Original First Lien Borrower (regardless of whether any such Additional Agent or Additional Credit Facility Secured Party ever becomes a Party or beneficiary hereof). Any amendment, modification or waiver of any provision of this Agreement that would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4" w:name="page615"/>
    <w:bookmarkEnd w:id="614"/>
    <w:p>
      <w:pPr>
        <w:jc w:val="both"/>
        <w:spacing w:after="0" w:line="297" w:lineRule="auto"/>
        <w:rPr>
          <w:sz w:val="20"/>
          <w:szCs w:val="20"/>
          <w:color w:val="auto"/>
        </w:rPr>
      </w:pPr>
      <w:r>
        <w:rPr>
          <w:rFonts w:ascii="Arial" w:cs="Arial" w:eastAsia="Arial" w:hAnsi="Arial"/>
          <w:sz w:val="19"/>
          <w:szCs w:val="19"/>
          <w:color w:val="auto"/>
        </w:rPr>
        <w:t xml:space="preserve">have the effect, directly or indirectly, through any reference in any Credit Document to this Agreement or otherwise, of waiving, amending, supplementing or otherwise modifying any Credit Document, or any term or provision thereof, or any right or obligation of the Original First Lien Borrower or any other Loan Party thereunder or in respect thereof, shall not be given such effect except pursuant to a written instrument executed by the Original First Lien Borrower and each other affected Loan Party. No amendment to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effective unless it is consented to in writing by the Original First Lien Borrower.</w:t>
      </w:r>
    </w:p>
    <w:p>
      <w:pPr>
        <w:spacing w:after="0" w:line="147" w:lineRule="exact"/>
        <w:rPr>
          <w:sz w:val="20"/>
          <w:szCs w:val="20"/>
          <w:color w:val="auto"/>
        </w:rPr>
      </w:pPr>
    </w:p>
    <w:p>
      <w:pPr>
        <w:jc w:val="both"/>
        <w:ind w:firstLine="656"/>
        <w:spacing w:after="0" w:line="286" w:lineRule="auto"/>
        <w:tabs>
          <w:tab w:leader="none" w:pos="1219" w:val="left"/>
        </w:tabs>
        <w:numPr>
          <w:ilvl w:val="0"/>
          <w:numId w:val="829"/>
        </w:numPr>
        <w:rPr>
          <w:rFonts w:ascii="Arial" w:cs="Arial" w:eastAsia="Arial" w:hAnsi="Arial"/>
          <w:sz w:val="19"/>
          <w:szCs w:val="19"/>
          <w:color w:val="auto"/>
        </w:rPr>
      </w:pPr>
      <w:r>
        <w:rPr>
          <w:rFonts w:ascii="Arial" w:cs="Arial" w:eastAsia="Arial" w:hAnsi="Arial"/>
          <w:sz w:val="19"/>
          <w:szCs w:val="19"/>
          <w:color w:val="auto"/>
        </w:rPr>
        <w:t xml:space="preserve">In the event that any Senior Priority Agent or the requisite Senior Priority Creditors enter into any amendment, waiver or consent in respect of or replace any Senior Priority Collateral Document for the purpose of adding to, or deleting from, or waiving or consenting to any departures from any provisions of, any Senior Priority Collateral Document relating to the Collateral and/or any Excluded Cash Collateral or changing in any manner the rights of the Senior Priority Agent, the Senior Priority Creditors, or any Loan Party with respect to the Collateral and/or any Excluded Cash Collateral (including, subject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 the release of any Liens on Collateral), then such amendment, waiver or consent shall apply automatically to any comparable provision of each Junior Priority Collateral Document without the consent of or any actions by any Junior Priority Agent or any Junior Priority Creditors;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amendment, waiver or consent does not materially adversely affect the rights or interests of the Junior Priority Creditors in the Collateral (including any license or right of use granted to them by any Loan Party pursuant to any Junior Priority Collateral Document with respect to intellectual property owned by such Loan Party as it pertains to the rights or interests of the Junior Priority Creditors in the Collateral). The applicable Senior Priority Agent shall give written notice of such amendment, waiver or consent to the Junior Priority Agents and, if requested by any Junior Priority Agent, promptly provide copies of any documents executed and delivered in connection with such amendment, waiver or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or provide such documents shall not affect the effectiveness of such amendment, waiver or consent with respect to the provisions of any Junior Priority Collateral Document as set forth in this </w:t>
      </w:r>
      <w:r>
        <w:rPr>
          <w:rFonts w:ascii="Arial" w:cs="Arial" w:eastAsia="Arial" w:hAnsi="Arial"/>
          <w:sz w:val="19"/>
          <w:szCs w:val="19"/>
          <w:u w:val="single" w:color="auto"/>
          <w:color w:val="auto"/>
        </w:rPr>
        <w:t>Section 7.04(b)</w:t>
      </w:r>
      <w:r>
        <w:rPr>
          <w:rFonts w:ascii="Arial" w:cs="Arial" w:eastAsia="Arial" w:hAnsi="Arial"/>
          <w:sz w:val="19"/>
          <w:szCs w:val="19"/>
          <w:color w:val="auto"/>
        </w:rPr>
        <w:t xml:space="preserve"> .</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u w:val="single" w:color="auto"/>
          <w:color w:val="auto"/>
        </w:rPr>
        <w:t>Addresses for Notices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Unless otherwise specifically provided herein, any notice or other communication herein required or permitted to be given shall be in writing and may be personally served, faxed, or sent by overnight express courier service or United States mail and shall be deemed to have been given when delivered in person or by courier service, upon receipt of a facsimile or five days after deposit in the United States mail (certified, with postage prepaid and properly addressed). For the purposes hereof, the addresses of the parties hereto (until notice of a change thereof is delivered as provided in this Section) shall be as set forth below or, as to each party, at such other address as may be designated by such party in a written notice to all of the other parties.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 xml:space="preserve">Original First Lien Agent </w:t>
      </w:r>
      <w:r>
        <w:rPr>
          <w:rFonts w:ascii="Arial" w:cs="Arial" w:eastAsia="Arial" w:hAnsi="Arial"/>
          <w:sz w:val="22"/>
          <w:szCs w:val="22"/>
          <w:color w:val="auto"/>
        </w:rPr>
        <w:t>:</w:t>
      </w:r>
    </w:p>
    <w:p>
      <w:pPr>
        <w:spacing w:after="0" w:line="220" w:lineRule="exact"/>
        <w:rPr>
          <w:sz w:val="20"/>
          <w:szCs w:val="20"/>
          <w:color w:val="auto"/>
        </w:rPr>
      </w:pPr>
    </w:p>
    <w:p>
      <w:pPr>
        <w:ind w:left="1000" w:hanging="344"/>
        <w:spacing w:after="0"/>
        <w:tabs>
          <w:tab w:leader="none" w:pos="1000" w:val="left"/>
        </w:tabs>
        <w:numPr>
          <w:ilvl w:val="0"/>
          <w:numId w:val="830"/>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and</w:t>
      </w:r>
    </w:p>
    <w:p>
      <w:pPr>
        <w:spacing w:after="0" w:line="219" w:lineRule="exact"/>
        <w:rPr>
          <w:rFonts w:ascii="Arial" w:cs="Arial" w:eastAsia="Arial" w:hAnsi="Arial"/>
          <w:sz w:val="22"/>
          <w:szCs w:val="22"/>
          <w:color w:val="auto"/>
        </w:rPr>
      </w:pPr>
    </w:p>
    <w:p>
      <w:pPr>
        <w:ind w:left="1000" w:hanging="344"/>
        <w:spacing w:after="0"/>
        <w:tabs>
          <w:tab w:leader="none" w:pos="1000" w:val="left"/>
        </w:tabs>
        <w:numPr>
          <w:ilvl w:val="0"/>
          <w:numId w:val="83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5" w:name="page616"/>
    <w:bookmarkEnd w:id="615"/>
    <w:p>
      <w:pPr>
        <w:ind w:left="660"/>
        <w:spacing w:after="0"/>
        <w:rPr>
          <w:sz w:val="20"/>
          <w:szCs w:val="20"/>
          <w:color w:val="auto"/>
        </w:rPr>
      </w:pPr>
      <w:r>
        <w:rPr>
          <w:rFonts w:ascii="Arial" w:cs="Arial" w:eastAsia="Arial" w:hAnsi="Arial"/>
          <w:sz w:val="22"/>
          <w:szCs w:val="22"/>
          <w:color w:val="auto"/>
        </w:rPr>
        <w:t>With copies (which shall not constitute notice) to:</w:t>
      </w:r>
    </w:p>
    <w:p>
      <w:pPr>
        <w:spacing w:after="0" w:line="220" w:lineRule="exact"/>
        <w:rPr>
          <w:sz w:val="20"/>
          <w:szCs w:val="20"/>
          <w:color w:val="auto"/>
        </w:rPr>
      </w:pPr>
    </w:p>
    <w:p>
      <w:pPr>
        <w:ind w:left="1000" w:hanging="344"/>
        <w:spacing w:after="0"/>
        <w:tabs>
          <w:tab w:leader="none" w:pos="1000" w:val="left"/>
        </w:tabs>
        <w:numPr>
          <w:ilvl w:val="0"/>
          <w:numId w:val="831"/>
        </w:numPr>
        <w:rPr>
          <w:rFonts w:ascii="Arial" w:cs="Arial" w:eastAsia="Arial" w:hAnsi="Arial"/>
          <w:sz w:val="22"/>
          <w:szCs w:val="22"/>
          <w:color w:val="auto"/>
        </w:rPr>
      </w:pPr>
      <w:r>
        <w:rPr>
          <w:rFonts w:ascii="Arial" w:cs="Arial" w:eastAsia="Arial" w:hAnsi="Arial"/>
          <w:sz w:val="22"/>
          <w:szCs w:val="22"/>
          <w:color w:val="auto"/>
        </w:rPr>
        <w:t>]</w:t>
      </w:r>
    </w:p>
    <w:p>
      <w:pPr>
        <w:spacing w:after="0" w:line="209" w:lineRule="exact"/>
        <w:rPr>
          <w:sz w:val="20"/>
          <w:szCs w:val="20"/>
          <w:color w:val="auto"/>
        </w:rPr>
      </w:pPr>
    </w:p>
    <w:p>
      <w:pPr>
        <w:ind w:left="1000" w:hanging="344"/>
        <w:spacing w:after="0"/>
        <w:tabs>
          <w:tab w:leader="none" w:pos="1000" w:val="left"/>
        </w:tabs>
        <w:numPr>
          <w:ilvl w:val="0"/>
          <w:numId w:val="832"/>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[First/Second</w:t>
      </w:r>
      <w:r>
        <w:rPr>
          <w:rFonts w:ascii="Arial" w:cs="Arial" w:eastAsia="Arial" w:hAnsi="Arial"/>
          <w:sz w:val="22"/>
          <w:szCs w:val="22"/>
          <w:color w:val="auto"/>
        </w:rPr>
        <w:t xml:space="preserve"> ]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Lien Agent</w:t>
      </w:r>
      <w:r>
        <w:rPr>
          <w:rFonts w:ascii="Arial" w:cs="Arial" w:eastAsia="Arial" w:hAnsi="Arial"/>
          <w:sz w:val="22"/>
          <w:szCs w:val="22"/>
          <w:color w:val="auto"/>
        </w:rPr>
        <w:t xml:space="preserve"> :</w:t>
      </w:r>
    </w:p>
    <w:p>
      <w:pPr>
        <w:spacing w:after="0" w:line="161" w:lineRule="exact"/>
        <w:rPr>
          <w:rFonts w:ascii="Arial" w:cs="Arial" w:eastAsia="Arial" w:hAnsi="Arial"/>
          <w:sz w:val="22"/>
          <w:szCs w:val="22"/>
          <w:color w:val="auto"/>
        </w:rPr>
      </w:pPr>
    </w:p>
    <w:p>
      <w:pPr>
        <w:ind w:left="1000" w:hanging="344"/>
        <w:spacing w:after="0"/>
        <w:tabs>
          <w:tab w:leader="none" w:pos="1000" w:val="left"/>
        </w:tabs>
        <w:numPr>
          <w:ilvl w:val="0"/>
          <w:numId w:val="832"/>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and</w:t>
      </w:r>
    </w:p>
    <w:p>
      <w:pPr>
        <w:spacing w:after="0" w:line="219" w:lineRule="exact"/>
        <w:rPr>
          <w:rFonts w:ascii="Arial" w:cs="Arial" w:eastAsia="Arial" w:hAnsi="Arial"/>
          <w:sz w:val="22"/>
          <w:szCs w:val="22"/>
          <w:color w:val="auto"/>
        </w:rPr>
      </w:pPr>
    </w:p>
    <w:p>
      <w:pPr>
        <w:ind w:left="1000" w:hanging="344"/>
        <w:spacing w:after="0"/>
        <w:tabs>
          <w:tab w:leader="none" w:pos="1000" w:val="left"/>
        </w:tabs>
        <w:numPr>
          <w:ilvl w:val="0"/>
          <w:numId w:val="832"/>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With copies (which shall not constitute notice) to:</w:t>
      </w:r>
    </w:p>
    <w:p>
      <w:pPr>
        <w:spacing w:after="0" w:line="219" w:lineRule="exact"/>
        <w:rPr>
          <w:rFonts w:ascii="Arial" w:cs="Arial" w:eastAsia="Arial" w:hAnsi="Arial"/>
          <w:sz w:val="22"/>
          <w:szCs w:val="22"/>
          <w:color w:val="auto"/>
        </w:rPr>
      </w:pPr>
    </w:p>
    <w:p>
      <w:pPr>
        <w:ind w:left="1000" w:hanging="344"/>
        <w:spacing w:after="0"/>
        <w:tabs>
          <w:tab w:leader="none" w:pos="1000" w:val="left"/>
        </w:tabs>
        <w:numPr>
          <w:ilvl w:val="0"/>
          <w:numId w:val="832"/>
        </w:numPr>
        <w:rPr>
          <w:rFonts w:ascii="Arial" w:cs="Arial" w:eastAsia="Arial" w:hAnsi="Arial"/>
          <w:sz w:val="22"/>
          <w:szCs w:val="22"/>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Any Additional Agent: As set forth in the Additional Indebtedness Joinder executed and delivered by such Additional Agent pursuant to </w:t>
      </w:r>
      <w:r>
        <w:rPr>
          <w:rFonts w:ascii="Arial" w:cs="Arial" w:eastAsia="Arial" w:hAnsi="Arial"/>
          <w:sz w:val="22"/>
          <w:szCs w:val="22"/>
          <w:u w:val="single" w:color="auto"/>
          <w:color w:val="auto"/>
        </w:rPr>
        <w:t>Section 7.11.</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u w:val="single" w:color="auto"/>
          <w:color w:val="auto"/>
        </w:rPr>
        <w:t>No Waiver, Cumulative Remedies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No failure on the part of any Party to exercise, and no delay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u w:val="single" w:color="auto"/>
          <w:color w:val="auto"/>
        </w:rPr>
        <w:t>Continuing Agreement, Transfer of Secured Obligations</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is a continuing agreement and shall (a) remain in full force and effect (x) with respect to all Senior Priority Secured Parties and Senior Priority Obligations, until the Discharge of Senior Priority Obligations, subject to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and (y) with respect to all Junior Priority Secured Parties and Junior Priority Obligations, until the later of the Discharge of Senior Priority Obligations and the Discharge of Junior Priority Obligations, (b) be binding upon the Parties and their successors and assigns, and (c) inure to the benefit of and be enforceable by the Parties and their respective successors, transferees and assigns. Nothing herein is intended, or shall be construed to give, any other Person any right, remedy or claim under, to or in respect of this Agreement or any Collateral, subject to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All references to any Loan Party shall include any Loan Party as debtor-in-possession and any receiver or trustee for such Loan Party in any Insolvency Proceeding. Without limiting the generality of the foregoing clause (c), any Senior Priority Agent, Senior Priority Creditor, Junior Priority Agent or Junior Priority Creditor may assign or otherwise transfer all or any portion of the Senior Priority Obligations or the Junior Priority Obligations, as applicable, to any other Person, and such other Person shall thereupon become vested with all the rights and obligations in respect thereof granted to such Senior Priority Agent, Junior Priority Agent, Senior Priority Creditor or Junior Priority Creditor, as the case may be, herein or otherwise. The Senior Priority Secured Parties and the Junior Priority Secured Parties may continue, at any time and without notice to the other Parties hereto, to extend credit and other financial accommodations, lend monies and provide Indebtedness to, or for the benefit of, any Loan Party on the faith hereof.</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6" w:name="page617"/>
    <w:bookmarkEnd w:id="616"/>
    <w:p>
      <w:pPr>
        <w:jc w:val="both"/>
        <w:ind w:firstLine="648"/>
        <w:spacing w:after="0" w:line="265" w:lineRule="auto"/>
        <w:rPr>
          <w:sz w:val="20"/>
          <w:szCs w:val="20"/>
          <w:color w:val="auto"/>
        </w:rPr>
      </w:pPr>
      <w:r>
        <w:rPr>
          <w:rFonts w:ascii="Arial" w:cs="Arial" w:eastAsia="Arial" w:hAnsi="Arial"/>
          <w:sz w:val="21"/>
          <w:szCs w:val="21"/>
          <w:color w:val="auto"/>
        </w:rPr>
        <w:t xml:space="preserve">Section 7.08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AGREEMENT AND ANY CLAIMS, CONTROVERSY, DISPUTE OR CAUSE OF ACTION (WHETHER IN CONTRACT OR TORT OR OTHERWISE) BASED UPON, ARISING OUT OF OR RELATING TO THIS AGREEMENT SHALL BE GOVERNED BY, AND CONSTRUED IN ACCORDANCE WITH, THE LAW OF THE STATE OF NEW YORK, WITHOUT REGARD TO ITS CONFLICT OF LAWS PRINCIPLES.</w:t>
      </w:r>
    </w:p>
    <w:p>
      <w:pPr>
        <w:spacing w:after="0" w:line="1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transmission shall be effective as delivery of a manually executed counterpart hereof.</w:t>
      </w:r>
    </w:p>
    <w:p>
      <w:pPr>
        <w:spacing w:after="0" w:line="18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 xml:space="preserve"> </w:t>
      </w:r>
      <w:r>
        <w:rPr>
          <w:rFonts w:ascii="Arial" w:cs="Arial" w:eastAsia="Arial" w:hAnsi="Arial"/>
          <w:sz w:val="19"/>
          <w:szCs w:val="19"/>
          <w:b w:val="1"/>
          <w:bCs w:val="1"/>
          <w:color w:val="auto"/>
        </w:rPr>
        <w:t>.</w:t>
      </w:r>
      <w:r>
        <w:rPr>
          <w:rFonts w:ascii="Arial" w:cs="Arial" w:eastAsia="Arial" w:hAnsi="Arial"/>
          <w:sz w:val="19"/>
          <w:szCs w:val="19"/>
          <w:color w:val="auto"/>
        </w:rPr>
        <w:t xml:space="preserve"> This Agreement and the rights and benefits hereof shall inure to the benefit of each of the Parties hereto and its respective successors and assigns and shall inure to the benefit of each of the Senior Priority Agents, the Senior Priority Creditors, the Junior Priority Agents, the Junior Priority Creditors and the Original First Lien Borrower and the other Loan Parties. No other Person shall have or be entitled to assert rights or benefits hereunder.</w:t>
      </w:r>
    </w:p>
    <w:p>
      <w:pPr>
        <w:spacing w:after="0" w:line="14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 xml:space="preserve">Designation of Additional Indebtedness; Joinder of Additional Agents </w:t>
      </w:r>
      <w:r>
        <w:rPr>
          <w:rFonts w:ascii="Arial" w:cs="Arial" w:eastAsia="Arial" w:hAnsi="Arial"/>
          <w:sz w:val="19"/>
          <w:szCs w:val="19"/>
          <w:color w:val="auto"/>
        </w:rPr>
        <w:t>.</w:t>
      </w:r>
    </w:p>
    <w:p>
      <w:pPr>
        <w:spacing w:after="0" w:line="220" w:lineRule="exact"/>
        <w:rPr>
          <w:sz w:val="20"/>
          <w:szCs w:val="20"/>
          <w:color w:val="auto"/>
        </w:rPr>
      </w:pPr>
    </w:p>
    <w:p>
      <w:pPr>
        <w:jc w:val="both"/>
        <w:ind w:firstLine="656"/>
        <w:spacing w:after="0" w:line="253" w:lineRule="auto"/>
        <w:tabs>
          <w:tab w:leader="none" w:pos="1160" w:val="left"/>
        </w:tabs>
        <w:numPr>
          <w:ilvl w:val="0"/>
          <w:numId w:val="833"/>
        </w:numPr>
        <w:rPr>
          <w:rFonts w:ascii="Arial" w:cs="Arial" w:eastAsia="Arial" w:hAnsi="Arial"/>
          <w:sz w:val="22"/>
          <w:szCs w:val="22"/>
          <w:color w:val="auto"/>
        </w:rPr>
      </w:pPr>
      <w:r>
        <w:rPr>
          <w:rFonts w:ascii="Arial" w:cs="Arial" w:eastAsia="Arial" w:hAnsi="Arial"/>
          <w:sz w:val="22"/>
          <w:szCs w:val="22"/>
          <w:color w:val="auto"/>
        </w:rPr>
        <w:t xml:space="preserve">The Original First Lien Borrower may designate any Additional Indebtedness complying with the requirements of the definition of “ </w:t>
      </w:r>
      <w:r>
        <w:rPr>
          <w:rFonts w:ascii="Arial" w:cs="Arial" w:eastAsia="Arial" w:hAnsi="Arial"/>
          <w:sz w:val="22"/>
          <w:szCs w:val="22"/>
          <w:u w:val="single" w:color="auto"/>
          <w:color w:val="auto"/>
        </w:rPr>
        <w:t>Additional Indebtedness</w:t>
      </w:r>
      <w:r>
        <w:rPr>
          <w:rFonts w:ascii="Arial" w:cs="Arial" w:eastAsia="Arial" w:hAnsi="Arial"/>
          <w:sz w:val="22"/>
          <w:szCs w:val="22"/>
          <w:color w:val="auto"/>
        </w:rPr>
        <w:t xml:space="preserve"> ” as Additional Indebtedness for purposes of this Agreement, upon complying with the following conditions:</w:t>
      </w:r>
    </w:p>
    <w:p>
      <w:pPr>
        <w:spacing w:after="0" w:line="185" w:lineRule="exact"/>
        <w:rPr>
          <w:rFonts w:ascii="Arial" w:cs="Arial" w:eastAsia="Arial" w:hAnsi="Arial"/>
          <w:sz w:val="22"/>
          <w:szCs w:val="22"/>
          <w:color w:val="auto"/>
        </w:rPr>
      </w:pPr>
    </w:p>
    <w:p>
      <w:pPr>
        <w:jc w:val="both"/>
        <w:ind w:left="660" w:firstLine="644"/>
        <w:spacing w:after="0" w:line="291" w:lineRule="auto"/>
        <w:tabs>
          <w:tab w:leader="none" w:pos="1761" w:val="left"/>
        </w:tabs>
        <w:numPr>
          <w:ilvl w:val="1"/>
          <w:numId w:val="833"/>
        </w:numPr>
        <w:rPr>
          <w:rFonts w:ascii="Arial" w:cs="Arial" w:eastAsia="Arial" w:hAnsi="Arial"/>
          <w:sz w:val="19"/>
          <w:szCs w:val="19"/>
          <w:color w:val="auto"/>
        </w:rPr>
      </w:pPr>
      <w:r>
        <w:rPr>
          <w:rFonts w:ascii="Arial" w:cs="Arial" w:eastAsia="Arial" w:hAnsi="Arial"/>
          <w:sz w:val="19"/>
          <w:szCs w:val="19"/>
          <w:color w:val="auto"/>
        </w:rPr>
        <w:t>one or more Additional Agents for one or more Additional Credit Facility Secured Parties in respect of such Additional Indebtedness shall have executed the Additional Indebtedness Joinder with respect to such Additional</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Indebtedness, and the Original First Lien Borrower or any such Additional Agent shall have delivered such executed</w:t>
      </w:r>
    </w:p>
    <w:p>
      <w:pPr>
        <w:spacing w:after="0" w:line="229" w:lineRule="exact"/>
        <w:rPr>
          <w:sz w:val="20"/>
          <w:szCs w:val="20"/>
          <w:color w:val="auto"/>
        </w:rPr>
      </w:pPr>
    </w:p>
    <w:p>
      <w:pPr>
        <w:jc w:val="both"/>
        <w:ind w:left="660"/>
        <w:spacing w:after="0" w:line="273" w:lineRule="auto"/>
        <w:rPr>
          <w:sz w:val="20"/>
          <w:szCs w:val="20"/>
          <w:color w:val="auto"/>
        </w:rPr>
      </w:pPr>
      <w:r>
        <w:rPr>
          <w:rFonts w:ascii="Arial" w:cs="Arial" w:eastAsia="Arial" w:hAnsi="Arial"/>
          <w:sz w:val="22"/>
          <w:szCs w:val="22"/>
          <w:color w:val="auto"/>
        </w:rPr>
        <w:t xml:space="preserve">Additional Indebtedness Joinder to the Original First Lien Agent, the [ ] </w:t>
      </w:r>
      <w:r>
        <w:rPr>
          <w:rFonts w:ascii="Arial" w:cs="Arial" w:eastAsia="Arial" w:hAnsi="Arial"/>
          <w:sz w:val="14"/>
          <w:szCs w:val="14"/>
          <w:color w:val="auto"/>
        </w:rPr>
        <w:t>i</w:t>
      </w:r>
      <w:r>
        <w:rPr>
          <w:rFonts w:ascii="Arial" w:cs="Arial" w:eastAsia="Arial" w:hAnsi="Arial"/>
          <w:sz w:val="22"/>
          <w:szCs w:val="22"/>
          <w:color w:val="auto"/>
        </w:rPr>
        <w:t xml:space="preserve"> [First/Second] </w:t>
      </w:r>
      <w:r>
        <w:rPr>
          <w:rFonts w:ascii="Arial" w:cs="Arial" w:eastAsia="Arial" w:hAnsi="Arial"/>
          <w:sz w:val="14"/>
          <w:szCs w:val="14"/>
          <w:color w:val="auto"/>
        </w:rPr>
        <w:t>ii</w:t>
      </w:r>
      <w:r>
        <w:rPr>
          <w:rFonts w:ascii="Arial" w:cs="Arial" w:eastAsia="Arial" w:hAnsi="Arial"/>
          <w:sz w:val="22"/>
          <w:szCs w:val="22"/>
          <w:color w:val="auto"/>
        </w:rPr>
        <w:t xml:space="preserve"> Lien Agent and any other Additional Agent then party to this Agreement;</w:t>
      </w:r>
    </w:p>
    <w:p>
      <w:pPr>
        <w:spacing w:after="0" w:line="164" w:lineRule="exact"/>
        <w:rPr>
          <w:sz w:val="20"/>
          <w:szCs w:val="20"/>
          <w:color w:val="auto"/>
        </w:rPr>
      </w:pPr>
    </w:p>
    <w:p>
      <w:pPr>
        <w:jc w:val="both"/>
        <w:ind w:left="660" w:firstLine="644"/>
        <w:spacing w:after="0" w:line="236" w:lineRule="auto"/>
        <w:tabs>
          <w:tab w:leader="none" w:pos="1821" w:val="left"/>
        </w:tabs>
        <w:numPr>
          <w:ilvl w:val="0"/>
          <w:numId w:val="834"/>
        </w:numPr>
        <w:rPr>
          <w:rFonts w:ascii="Arial" w:cs="Arial" w:eastAsia="Arial" w:hAnsi="Arial"/>
          <w:sz w:val="22"/>
          <w:szCs w:val="22"/>
          <w:color w:val="auto"/>
        </w:rPr>
      </w:pPr>
      <w:r>
        <w:rPr>
          <w:rFonts w:ascii="Arial" w:cs="Arial" w:eastAsia="Arial" w:hAnsi="Arial"/>
          <w:sz w:val="22"/>
          <w:szCs w:val="22"/>
          <w:color w:val="auto"/>
        </w:rPr>
        <w:t xml:space="preserve">at least five Business Days (unless a shorter period is agreed in writing by the Parties and the Original First Lien Borrower) prior to delivery of the Additional Indebtedness Joinder, the Original First Lien Borrower shall have delivered to the Original First Lien Agent,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and any other Additional Agent then party to this Agreement complete and correct copies of any Additional Credit Facility, Additional Guarantees and Additional Collateral Documents that will govern such Additional Indebtedness upon giving effect to such designation (which may be unexecuted copies of Additional Documents to be executed and delivered concurrently with the effectiveness of such designation);</w:t>
      </w:r>
    </w:p>
    <w:p>
      <w:pPr>
        <w:spacing w:after="0" w:line="202" w:lineRule="exact"/>
        <w:rPr>
          <w:rFonts w:ascii="Arial" w:cs="Arial" w:eastAsia="Arial" w:hAnsi="Arial"/>
          <w:sz w:val="22"/>
          <w:szCs w:val="22"/>
          <w:color w:val="auto"/>
        </w:rPr>
      </w:pPr>
    </w:p>
    <w:p>
      <w:pPr>
        <w:ind w:left="1940" w:hanging="636"/>
        <w:spacing w:after="0"/>
        <w:tabs>
          <w:tab w:leader="none" w:pos="1940" w:val="left"/>
        </w:tabs>
        <w:numPr>
          <w:ilvl w:val="0"/>
          <w:numId w:val="834"/>
        </w:numPr>
        <w:rPr>
          <w:rFonts w:ascii="Arial" w:cs="Arial" w:eastAsia="Arial" w:hAnsi="Arial"/>
          <w:sz w:val="19"/>
          <w:szCs w:val="19"/>
          <w:color w:val="auto"/>
        </w:rPr>
      </w:pPr>
      <w:r>
        <w:rPr>
          <w:rFonts w:ascii="Arial" w:cs="Arial" w:eastAsia="Arial" w:hAnsi="Arial"/>
          <w:sz w:val="19"/>
          <w:szCs w:val="19"/>
          <w:color w:val="auto"/>
        </w:rPr>
        <w:t>the Original First Lien Borrower shall have executed and delivered to the Original First Lien Agent, the</w:t>
      </w:r>
    </w:p>
    <w:p>
      <w:pPr>
        <w:spacing w:after="0" w:line="55" w:lineRule="exact"/>
        <w:rPr>
          <w:rFonts w:ascii="Arial" w:cs="Arial" w:eastAsia="Arial" w:hAnsi="Arial"/>
          <w:sz w:val="19"/>
          <w:szCs w:val="19"/>
          <w:color w:val="auto"/>
        </w:rPr>
      </w:pPr>
    </w:p>
    <w:p>
      <w:pPr>
        <w:ind w:left="660"/>
        <w:spacing w:after="0" w:line="214" w:lineRule="auto"/>
        <w:rPr>
          <w:rFonts w:ascii="Arial" w:cs="Arial" w:eastAsia="Arial" w:hAnsi="Arial"/>
          <w:sz w:val="19"/>
          <w:szCs w:val="19"/>
          <w:color w:val="auto"/>
        </w:rPr>
      </w:pPr>
      <w:r>
        <w:rPr>
          <w:rFonts w:ascii="Arial" w:cs="Arial" w:eastAsia="Arial" w:hAnsi="Arial"/>
          <w:sz w:val="22"/>
          <w:szCs w:val="22"/>
          <w:color w:val="auto"/>
        </w:rPr>
        <w:t xml:space="preserve">[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and any other Additional Agent then party to this Agreement the Additional Indebtedness Designation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7" w:name="page618"/>
    <w:bookmarkEnd w:id="617"/>
    <w:p>
      <w:pPr>
        <w:ind w:left="660"/>
        <w:spacing w:after="0" w:line="263" w:lineRule="auto"/>
        <w:rPr>
          <w:sz w:val="20"/>
          <w:szCs w:val="20"/>
          <w:color w:val="auto"/>
        </w:rPr>
      </w:pPr>
      <w:r>
        <w:rPr>
          <w:rFonts w:ascii="Arial" w:cs="Arial" w:eastAsia="Arial" w:hAnsi="Arial"/>
          <w:sz w:val="22"/>
          <w:szCs w:val="22"/>
          <w:color w:val="auto"/>
        </w:rPr>
        <w:t>whether such Additional Indebtedness is designated Senior Priority Debt or Junior Priority Debt) with respect to such Additional Indebtedness;</w:t>
      </w:r>
    </w:p>
    <w:p>
      <w:pPr>
        <w:spacing w:after="0" w:line="175" w:lineRule="exact"/>
        <w:rPr>
          <w:sz w:val="20"/>
          <w:szCs w:val="20"/>
          <w:color w:val="auto"/>
        </w:rPr>
      </w:pPr>
    </w:p>
    <w:p>
      <w:pPr>
        <w:ind w:left="1900" w:hanging="596"/>
        <w:spacing w:after="0"/>
        <w:tabs>
          <w:tab w:leader="none" w:pos="1900" w:val="left"/>
        </w:tabs>
        <w:numPr>
          <w:ilvl w:val="0"/>
          <w:numId w:val="835"/>
        </w:numPr>
        <w:rPr>
          <w:rFonts w:ascii="Arial" w:cs="Arial" w:eastAsia="Arial" w:hAnsi="Arial"/>
          <w:sz w:val="19"/>
          <w:szCs w:val="19"/>
          <w:color w:val="auto"/>
        </w:rPr>
      </w:pPr>
      <w:r>
        <w:rPr>
          <w:rFonts w:ascii="Arial" w:cs="Arial" w:eastAsia="Arial" w:hAnsi="Arial"/>
          <w:sz w:val="19"/>
          <w:szCs w:val="19"/>
          <w:color w:val="auto"/>
        </w:rPr>
        <w:t>all state and local stamp, recording, filing, intangible and similar taxes or fees (if any) that are payable in</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19"/>
          <w:szCs w:val="19"/>
          <w:color w:val="auto"/>
        </w:rPr>
        <w:t>connection with the inclusion of such Additional Indebtedness under this Agreement shall have been paid and reasonable</w:t>
      </w:r>
    </w:p>
    <w:p>
      <w:pPr>
        <w:spacing w:after="0" w:line="284" w:lineRule="exact"/>
        <w:rPr>
          <w:sz w:val="20"/>
          <w:szCs w:val="20"/>
          <w:color w:val="auto"/>
        </w:rPr>
      </w:pPr>
    </w:p>
    <w:p>
      <w:pPr>
        <w:jc w:val="both"/>
        <w:ind w:left="660"/>
        <w:spacing w:after="0" w:line="273" w:lineRule="auto"/>
        <w:rPr>
          <w:sz w:val="20"/>
          <w:szCs w:val="20"/>
          <w:color w:val="auto"/>
        </w:rPr>
      </w:pPr>
      <w:r>
        <w:rPr>
          <w:rFonts w:ascii="Arial" w:cs="Arial" w:eastAsia="Arial" w:hAnsi="Arial"/>
          <w:sz w:val="22"/>
          <w:szCs w:val="22"/>
          <w:color w:val="auto"/>
        </w:rPr>
        <w:t xml:space="preserve">evidence thereof shall have been given to the Original First Lien Agent, the [ ] </w:t>
      </w:r>
      <w:r>
        <w:rPr>
          <w:rFonts w:ascii="Arial" w:cs="Arial" w:eastAsia="Arial" w:hAnsi="Arial"/>
          <w:sz w:val="14"/>
          <w:szCs w:val="14"/>
          <w:color w:val="auto"/>
        </w:rPr>
        <w:t>i</w:t>
      </w:r>
      <w:r>
        <w:rPr>
          <w:rFonts w:ascii="Arial" w:cs="Arial" w:eastAsia="Arial" w:hAnsi="Arial"/>
          <w:sz w:val="22"/>
          <w:szCs w:val="22"/>
          <w:color w:val="auto"/>
        </w:rPr>
        <w:t xml:space="preserve"> [First/Second] </w:t>
      </w:r>
      <w:r>
        <w:rPr>
          <w:rFonts w:ascii="Arial" w:cs="Arial" w:eastAsia="Arial" w:hAnsi="Arial"/>
          <w:sz w:val="14"/>
          <w:szCs w:val="14"/>
          <w:color w:val="auto"/>
        </w:rPr>
        <w:t>ii</w:t>
      </w:r>
      <w:r>
        <w:rPr>
          <w:rFonts w:ascii="Arial" w:cs="Arial" w:eastAsia="Arial" w:hAnsi="Arial"/>
          <w:sz w:val="22"/>
          <w:szCs w:val="22"/>
          <w:color w:val="auto"/>
        </w:rPr>
        <w:t xml:space="preserve"> Lien Agent and any other Additional Agent then party to this Agreement; and</w:t>
      </w:r>
    </w:p>
    <w:p>
      <w:pPr>
        <w:spacing w:after="0" w:line="164" w:lineRule="exact"/>
        <w:rPr>
          <w:sz w:val="20"/>
          <w:szCs w:val="20"/>
          <w:color w:val="auto"/>
        </w:rPr>
      </w:pPr>
    </w:p>
    <w:p>
      <w:pPr>
        <w:ind w:left="660" w:firstLine="644"/>
        <w:spacing w:after="0" w:line="263" w:lineRule="auto"/>
        <w:tabs>
          <w:tab w:leader="none" w:pos="1857" w:val="left"/>
        </w:tabs>
        <w:numPr>
          <w:ilvl w:val="0"/>
          <w:numId w:val="836"/>
        </w:numPr>
        <w:rPr>
          <w:rFonts w:ascii="Arial" w:cs="Arial" w:eastAsia="Arial" w:hAnsi="Arial"/>
          <w:sz w:val="22"/>
          <w:szCs w:val="22"/>
          <w:color w:val="auto"/>
        </w:rPr>
      </w:pPr>
      <w:r>
        <w:rPr>
          <w:rFonts w:ascii="Arial" w:cs="Arial" w:eastAsia="Arial" w:hAnsi="Arial"/>
          <w:sz w:val="22"/>
          <w:szCs w:val="22"/>
          <w:color w:val="auto"/>
        </w:rPr>
        <w:t>any applicable requirement that no Event of Default exists or arises from the issuance of such Additional Indebtedness, or any applicable comparable requirement, shall have been satisfied or waived.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No Additional Indebtedness may be designated both Senior Priority Debt and Junior Priority Debt.</w:t>
      </w:r>
    </w:p>
    <w:p>
      <w:pPr>
        <w:spacing w:after="0" w:line="220" w:lineRule="exact"/>
        <w:rPr>
          <w:sz w:val="20"/>
          <w:szCs w:val="20"/>
          <w:color w:val="auto"/>
        </w:rPr>
      </w:pPr>
    </w:p>
    <w:p>
      <w:pPr>
        <w:jc w:val="both"/>
        <w:ind w:firstLine="656"/>
        <w:spacing w:after="0" w:line="274" w:lineRule="auto"/>
        <w:tabs>
          <w:tab w:leader="none" w:pos="1353" w:val="left"/>
        </w:tabs>
        <w:numPr>
          <w:ilvl w:val="0"/>
          <w:numId w:val="837"/>
        </w:numPr>
        <w:rPr>
          <w:rFonts w:ascii="Arial" w:cs="Arial" w:eastAsia="Arial" w:hAnsi="Arial"/>
          <w:sz w:val="19"/>
          <w:szCs w:val="19"/>
          <w:color w:val="auto"/>
        </w:rPr>
      </w:pPr>
      <w:r>
        <w:rPr>
          <w:rFonts w:ascii="Arial" w:cs="Arial" w:eastAsia="Arial" w:hAnsi="Arial"/>
          <w:sz w:val="19"/>
          <w:szCs w:val="19"/>
          <w:color w:val="auto"/>
        </w:rPr>
        <w:t xml:space="preserve">Upon satisfaction of the conditions specified in the preceding </w:t>
      </w:r>
      <w:r>
        <w:rPr>
          <w:rFonts w:ascii="Arial" w:cs="Arial" w:eastAsia="Arial" w:hAnsi="Arial"/>
          <w:sz w:val="19"/>
          <w:szCs w:val="19"/>
          <w:u w:val="single" w:color="auto"/>
          <w:color w:val="auto"/>
        </w:rPr>
        <w:t>Section 7.11(a)</w:t>
      </w:r>
      <w:r>
        <w:rPr>
          <w:rFonts w:ascii="Arial" w:cs="Arial" w:eastAsia="Arial" w:hAnsi="Arial"/>
          <w:sz w:val="19"/>
          <w:szCs w:val="19"/>
          <w:color w:val="auto"/>
        </w:rPr>
        <w:t xml:space="preserve"> , the designated Additional Indebtedness shall constitute “ </w:t>
      </w:r>
      <w:r>
        <w:rPr>
          <w:rFonts w:ascii="Arial" w:cs="Arial" w:eastAsia="Arial" w:hAnsi="Arial"/>
          <w:sz w:val="19"/>
          <w:szCs w:val="19"/>
          <w:u w:val="single" w:color="auto"/>
          <w:color w:val="auto"/>
        </w:rPr>
        <w:t>Additional Indebtedness</w:t>
      </w:r>
      <w:r>
        <w:rPr>
          <w:rFonts w:ascii="Arial" w:cs="Arial" w:eastAsia="Arial" w:hAnsi="Arial"/>
          <w:sz w:val="19"/>
          <w:szCs w:val="19"/>
          <w:color w:val="auto"/>
        </w:rPr>
        <w:t xml:space="preserve"> ”, any Additional Credit Facility under which such Additional Indebtedness is or may be incurred shall constitute an “ </w:t>
      </w:r>
      <w:r>
        <w:rPr>
          <w:rFonts w:ascii="Arial" w:cs="Arial" w:eastAsia="Arial" w:hAnsi="Arial"/>
          <w:sz w:val="19"/>
          <w:szCs w:val="19"/>
          <w:u w:val="single" w:color="auto"/>
          <w:color w:val="auto"/>
        </w:rPr>
        <w:t>Additional Credit Facility</w:t>
      </w:r>
      <w:r>
        <w:rPr>
          <w:rFonts w:ascii="Arial" w:cs="Arial" w:eastAsia="Arial" w:hAnsi="Arial"/>
          <w:sz w:val="19"/>
          <w:szCs w:val="19"/>
          <w:color w:val="auto"/>
        </w:rPr>
        <w:t xml:space="preserve"> ”, any holder of such Additional Indebtedness or other applicable Additional Credit Facility Secured Party shall constitute an “ </w:t>
      </w:r>
      <w:r>
        <w:rPr>
          <w:rFonts w:ascii="Arial" w:cs="Arial" w:eastAsia="Arial" w:hAnsi="Arial"/>
          <w:sz w:val="19"/>
          <w:szCs w:val="19"/>
          <w:u w:val="single" w:color="auto"/>
          <w:color w:val="auto"/>
        </w:rPr>
        <w:t>Additional Credit Facility Secured Party</w:t>
      </w:r>
      <w:r>
        <w:rPr>
          <w:rFonts w:ascii="Arial" w:cs="Arial" w:eastAsia="Arial" w:hAnsi="Arial"/>
          <w:sz w:val="19"/>
          <w:szCs w:val="19"/>
          <w:color w:val="auto"/>
        </w:rPr>
        <w:t xml:space="preserve"> ”, and any Additional Agent for any such Additional Credit Facility Secured Party shall constitute an “ </w:t>
      </w:r>
      <w:r>
        <w:rPr>
          <w:rFonts w:ascii="Arial" w:cs="Arial" w:eastAsia="Arial" w:hAnsi="Arial"/>
          <w:sz w:val="19"/>
          <w:szCs w:val="19"/>
          <w:u w:val="single" w:color="auto"/>
          <w:color w:val="auto"/>
        </w:rPr>
        <w:t>Additional Agent</w:t>
      </w:r>
      <w:r>
        <w:rPr>
          <w:rFonts w:ascii="Arial" w:cs="Arial" w:eastAsia="Arial" w:hAnsi="Arial"/>
          <w:sz w:val="19"/>
          <w:szCs w:val="19"/>
          <w:color w:val="auto"/>
        </w:rPr>
        <w:t xml:space="preserve"> ” for all purposes under this Agreement. The date on which such conditions specified in clause (a) shall have been satisfied with respect to any Additional Indebtedness is herein called the “ </w:t>
      </w:r>
      <w:r>
        <w:rPr>
          <w:rFonts w:ascii="Arial" w:cs="Arial" w:eastAsia="Arial" w:hAnsi="Arial"/>
          <w:sz w:val="19"/>
          <w:szCs w:val="19"/>
          <w:u w:val="single" w:color="auto"/>
          <w:color w:val="auto"/>
        </w:rPr>
        <w:t>Additional Effective Date</w:t>
      </w:r>
      <w:r>
        <w:rPr>
          <w:rFonts w:ascii="Arial" w:cs="Arial" w:eastAsia="Arial" w:hAnsi="Arial"/>
          <w:sz w:val="19"/>
          <w:szCs w:val="19"/>
          <w:color w:val="auto"/>
        </w:rPr>
        <w:t xml:space="preserve"> ” with respect to such Additional Indebtedness. Prior to the Additional Effective Date with respect to any Additional Indebtedness, all references herein to Additional Indebtedness shall be deemed not to take into account such Additional Indebtedness, and the rights and obligations of the Original First Lien Agent,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Agent and each other Additional Agent then party to this Agreement shall be determined on the basis that such Additional Indebtedness is not then designated. On and after the Additional Effective Date with respect to such Additional Indebtedness, all references herein to Additional Indebtedness shall be deemed to take into</w:t>
      </w:r>
    </w:p>
    <w:p>
      <w:pPr>
        <w:spacing w:after="0" w:line="7" w:lineRule="exact"/>
        <w:rPr>
          <w:sz w:val="20"/>
          <w:szCs w:val="20"/>
          <w:color w:val="auto"/>
        </w:rPr>
      </w:pPr>
    </w:p>
    <w:p>
      <w:pPr>
        <w:jc w:val="both"/>
        <w:spacing w:after="0" w:line="210" w:lineRule="auto"/>
        <w:rPr>
          <w:sz w:val="20"/>
          <w:szCs w:val="20"/>
          <w:color w:val="auto"/>
        </w:rPr>
      </w:pPr>
      <w:r>
        <w:rPr>
          <w:rFonts w:ascii="Arial" w:cs="Arial" w:eastAsia="Arial" w:hAnsi="Arial"/>
          <w:sz w:val="22"/>
          <w:szCs w:val="22"/>
          <w:color w:val="auto"/>
        </w:rPr>
        <w:t xml:space="preserve">account such Additional Indebtedness, and the rights and obligations of the Original First Lien Agent,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and each other Additional Agent then party to this Agreement shall be determined on the basis that such Additional Indebtedness is then designated.</w:t>
      </w:r>
    </w:p>
    <w:p>
      <w:pPr>
        <w:spacing w:after="0" w:line="199" w:lineRule="exact"/>
        <w:rPr>
          <w:sz w:val="20"/>
          <w:szCs w:val="20"/>
          <w:color w:val="auto"/>
        </w:rPr>
      </w:pPr>
    </w:p>
    <w:p>
      <w:pPr>
        <w:jc w:val="both"/>
        <w:ind w:firstLine="656"/>
        <w:spacing w:after="0" w:line="255" w:lineRule="auto"/>
        <w:tabs>
          <w:tab w:leader="none" w:pos="1172" w:val="left"/>
        </w:tabs>
        <w:numPr>
          <w:ilvl w:val="0"/>
          <w:numId w:val="838"/>
        </w:numPr>
        <w:rPr>
          <w:rFonts w:ascii="Arial" w:cs="Arial" w:eastAsia="Arial" w:hAnsi="Arial"/>
          <w:sz w:val="19"/>
          <w:szCs w:val="19"/>
          <w:color w:val="auto"/>
        </w:rPr>
      </w:pPr>
      <w:r>
        <w:rPr>
          <w:rFonts w:ascii="Arial" w:cs="Arial" w:eastAsia="Arial" w:hAnsi="Arial"/>
          <w:sz w:val="19"/>
          <w:szCs w:val="19"/>
          <w:color w:val="auto"/>
        </w:rPr>
        <w:t xml:space="preserve">In connection with any designation of Additional Indebtedness pursuant to this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each of the Original First Lien Agent,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Agent and each Additional Agent then party hereto agrees at the Original First Lien Borrower’s expense (x) to execute and deliver any amendments, amendments and restatements, restatements or waivers of</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or supplements to or other modifications to, any Original First Lien Collateral Documents,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Priority Collateral Documents or Additional Collateral Documents, as applicable, and any agreements relating to any security interest in Control Collateral and Cash Collateral, and to make or consent to any filings or take any other actions (including executing and recording any mortgage subordination or similar agreement), as may be reasonably deemed by the Original First Lien Borrower to be necessary or reasonably desirable for any Lien on any Collateral to secure such Additional Indebtedness to become a valid and perfected Lien (with the priority contemplated 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8" w:name="page619"/>
    <w:bookmarkEnd w:id="618"/>
    <w:p>
      <w:pPr>
        <w:jc w:val="both"/>
        <w:spacing w:after="0" w:line="250" w:lineRule="auto"/>
        <w:rPr>
          <w:sz w:val="20"/>
          <w:szCs w:val="20"/>
          <w:color w:val="auto"/>
        </w:rPr>
      </w:pPr>
      <w:r>
        <w:rPr>
          <w:rFonts w:ascii="Arial" w:cs="Arial" w:eastAsia="Arial" w:hAnsi="Arial"/>
          <w:sz w:val="22"/>
          <w:szCs w:val="22"/>
          <w:color w:val="auto"/>
        </w:rPr>
        <w:t xml:space="preserve">the applicable Additional Indebtedness Designation delivered pursuant to this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and by this Agreement), and (y) otherwise to reasonably cooperate to effectuate a designation of Additional Indebtedness pursuant to this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(including if requested, by executing an acknowledgment of any Additional Indebtedness Joinder or of the occurrence of any Additional Effective Date).</w:t>
      </w:r>
    </w:p>
    <w:p>
      <w:pPr>
        <w:spacing w:after="0" w:line="18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7.12 </w:t>
      </w:r>
      <w:r>
        <w:rPr>
          <w:rFonts w:ascii="Arial" w:cs="Arial" w:eastAsia="Arial" w:hAnsi="Arial"/>
          <w:sz w:val="21"/>
          <w:szCs w:val="21"/>
          <w:u w:val="single" w:color="auto"/>
          <w:color w:val="auto"/>
        </w:rPr>
        <w:t>Senior Priority Representative; Notice of Senior Priority Representative Change</w:t>
      </w:r>
      <w:r>
        <w:rPr>
          <w:rFonts w:ascii="Arial" w:cs="Arial" w:eastAsia="Arial" w:hAnsi="Arial"/>
          <w:sz w:val="21"/>
          <w:szCs w:val="21"/>
          <w:color w:val="auto"/>
        </w:rPr>
        <w:t xml:space="preserve"> </w:t>
      </w:r>
      <w:r>
        <w:rPr>
          <w:rFonts w:ascii="Arial" w:cs="Arial" w:eastAsia="Arial" w:hAnsi="Arial"/>
          <w:sz w:val="21"/>
          <w:szCs w:val="21"/>
          <w:b w:val="1"/>
          <w:bCs w:val="1"/>
          <w:color w:val="auto"/>
        </w:rPr>
        <w:t>.</w:t>
      </w:r>
      <w:r>
        <w:rPr>
          <w:rFonts w:ascii="Arial" w:cs="Arial" w:eastAsia="Arial" w:hAnsi="Arial"/>
          <w:sz w:val="21"/>
          <w:szCs w:val="21"/>
          <w:color w:val="auto"/>
        </w:rPr>
        <w:t xml:space="preserve"> The Senior Priority Representative shall act for the Senior Priority Secured Parties as provided in this Agreement, and shall be entitled to so act at the direction of the Requisite Senior Priority Holders from time to time. Until a Party (other than the existing Senior Priority Representative) receives written notice from the existing Senior Priority Representative, in accordance with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of this Agreement, of a change in the identity of the Senior Priority Representative, such Party shall be entitled to act as if the existing Senior Priority Representative is in fact the Senior Priority Representative. Each Party (other than the existing Senior Priority Representative) shall be entitled to rely upon any written notice of a change in the identity of the Senior Priority Representative which facially appears to be from the then existing Senior Priority Representative and is delivered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7.05</w:t>
      </w:r>
      <w:r>
        <w:rPr>
          <w:rFonts w:ascii="Arial" w:cs="Arial" w:eastAsia="Arial" w:hAnsi="Arial"/>
          <w:sz w:val="21"/>
          <w:szCs w:val="21"/>
          <w:color w:val="auto"/>
        </w:rPr>
        <w:t xml:space="preserve"> and such Agent shall not be required to inquire into the veracity or genuineness of such notice. Each existing Senior Priority Representative from time to time agrees to give prompt written notice to each Party of any change in the identity of the Senior Priority Representative.</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 xml:space="preserve">[Reserved] </w:t>
      </w:r>
      <w:r>
        <w:rPr>
          <w:rFonts w:ascii="Arial" w:cs="Arial" w:eastAsia="Arial" w:hAnsi="Arial"/>
          <w:sz w:val="19"/>
          <w:szCs w:val="19"/>
          <w:b w:val="1"/>
          <w:bCs w:val="1"/>
          <w:color w:val="auto"/>
        </w:rPr>
        <w:t>.</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u w:val="single" w:color="auto"/>
          <w:color w:val="auto"/>
        </w:rPr>
        <w:t>Provisions Solely to Define Relative Rights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The provisions of this Agreement are and are intended solely for the purpose of defining the relative rights of the Senior Priority Secured Parties and the Junior Priority Secured Parties, respectively. Nothing in this Agreement is intended to or shall impair the rights of the Original First Lien Borrower or any other Loan Party, or the obligations of the Original First Lien Borrower or any other Loan Party to pay the Original First Lien Obligations,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Obligations and any Additional Obligations as and when the same shall become due and payable in accordance with their terms.</w:t>
      </w:r>
    </w:p>
    <w:p>
      <w:pPr>
        <w:spacing w:after="0" w:line="20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Section 7.15 </w:t>
      </w:r>
      <w:r>
        <w:rPr>
          <w:rFonts w:ascii="Arial" w:cs="Arial" w:eastAsia="Arial" w:hAnsi="Arial"/>
          <w:sz w:val="21"/>
          <w:szCs w:val="21"/>
          <w:u w:val="single" w:color="auto"/>
          <w:color w:val="auto"/>
        </w:rPr>
        <w:t>Headings</w:t>
      </w:r>
      <w:r>
        <w:rPr>
          <w:rFonts w:ascii="Arial" w:cs="Arial" w:eastAsia="Arial" w:hAnsi="Arial"/>
          <w:sz w:val="21"/>
          <w:szCs w:val="21"/>
          <w:color w:val="auto"/>
        </w:rPr>
        <w:t xml:space="preserve"> . The headings of the articles and sections of this Agreement are inserted for purposes of convenience only and shall not be construed to affect the meaning or construction of any of the provisions hereof.</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 If any of the provisions in this Agreement shall, for any reason, be held invalid, illegal or unenforceable in any respect, such invalidity, illegality, or unenforceability shall not affect any other provision of this Agreement and shall not invalidate the Lien Priority or the application of Proceeds and other priorities set forth in this Agreement.</w:t>
      </w:r>
    </w:p>
    <w:p>
      <w:pPr>
        <w:spacing w:after="0" w:line="1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Section 7.17 </w:t>
      </w:r>
      <w:r>
        <w:rPr>
          <w:rFonts w:ascii="Arial" w:cs="Arial" w:eastAsia="Arial" w:hAnsi="Arial"/>
          <w:sz w:val="22"/>
          <w:szCs w:val="22"/>
          <w:u w:val="single" w:color="auto"/>
          <w:color w:val="auto"/>
        </w:rPr>
        <w:t>Attorneys’ Fees</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xml:space="preserve"> The Parties agree that if any dispute, arbitration, litigation, or other proceeding is brought with respect to the enforcement of this Agreement or any provision hereof, the prevailing party in such dispute, arbitration, litigation, or other proceeding shall be entitled to recover its reasonable attorneys’ fees and all other costs and expenses incurred in the enforcement of this Agreement, irrespective of whether suit is brought.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19" w:name="page620"/>
    <w:bookmarkEnd w:id="619"/>
    <w:p>
      <w:pPr>
        <w:ind w:left="660"/>
        <w:spacing w:after="0"/>
        <w:tabs>
          <w:tab w:leader="none" w:pos="1980" w:val="left"/>
        </w:tabs>
        <w:rPr>
          <w:sz w:val="20"/>
          <w:szCs w:val="20"/>
          <w:color w:val="auto"/>
        </w:rPr>
      </w:pPr>
      <w:r>
        <w:rPr>
          <w:rFonts w:ascii="Arial" w:cs="Arial" w:eastAsia="Arial" w:hAnsi="Arial"/>
          <w:sz w:val="22"/>
          <w:szCs w:val="22"/>
          <w:color w:val="auto"/>
        </w:rPr>
        <w:t>Section 7.18</w:t>
      </w:r>
      <w:r>
        <w:rPr>
          <w:sz w:val="20"/>
          <w:szCs w:val="20"/>
          <w:color w:val="auto"/>
        </w:rPr>
        <w:tab/>
      </w:r>
      <w:r>
        <w:rPr>
          <w:rFonts w:ascii="Arial" w:cs="Arial" w:eastAsia="Arial" w:hAnsi="Arial"/>
          <w:sz w:val="21"/>
          <w:szCs w:val="21"/>
          <w:u w:val="single" w:color="auto"/>
          <w:color w:val="auto"/>
        </w:rPr>
        <w:t xml:space="preserve">VENUE; JURY TRIAL WAIVER </w:t>
      </w:r>
      <w:r>
        <w:rPr>
          <w:rFonts w:ascii="Arial" w:cs="Arial" w:eastAsia="Arial" w:hAnsi="Arial"/>
          <w:sz w:val="21"/>
          <w:szCs w:val="21"/>
          <w:b w:val="1"/>
          <w:bCs w:val="1"/>
          <w:color w:val="auto"/>
        </w:rPr>
        <w:t>.</w:t>
      </w:r>
    </w:p>
    <w:p>
      <w:pPr>
        <w:spacing w:after="0" w:line="226" w:lineRule="exact"/>
        <w:rPr>
          <w:sz w:val="20"/>
          <w:szCs w:val="20"/>
          <w:color w:val="auto"/>
        </w:rPr>
      </w:pPr>
    </w:p>
    <w:p>
      <w:pPr>
        <w:jc w:val="both"/>
        <w:ind w:firstLine="656"/>
        <w:spacing w:after="0" w:line="258" w:lineRule="auto"/>
        <w:tabs>
          <w:tab w:leader="none" w:pos="1257" w:val="left"/>
        </w:tabs>
        <w:numPr>
          <w:ilvl w:val="0"/>
          <w:numId w:val="839"/>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RELATED THERETO,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181" w:lineRule="exact"/>
        <w:rPr>
          <w:rFonts w:ascii="Arial" w:cs="Arial" w:eastAsia="Arial" w:hAnsi="Arial"/>
          <w:sz w:val="21"/>
          <w:szCs w:val="21"/>
          <w:color w:val="auto"/>
        </w:rPr>
      </w:pPr>
    </w:p>
    <w:p>
      <w:pPr>
        <w:jc w:val="both"/>
        <w:ind w:firstLine="656"/>
        <w:spacing w:after="0" w:line="260" w:lineRule="auto"/>
        <w:tabs>
          <w:tab w:leader="none" w:pos="1146" w:val="left"/>
        </w:tabs>
        <w:numPr>
          <w:ilvl w:val="0"/>
          <w:numId w:val="839"/>
        </w:numPr>
        <w:rPr>
          <w:rFonts w:ascii="Arial" w:cs="Arial" w:eastAsia="Arial" w:hAnsi="Arial"/>
          <w:sz w:val="21"/>
          <w:szCs w:val="21"/>
          <w:color w:val="auto"/>
        </w:rPr>
      </w:pPr>
      <w:r>
        <w:rPr>
          <w:rFonts w:ascii="Arial" w:cs="Arial" w:eastAsia="Arial" w:hAnsi="Arial"/>
          <w:sz w:val="21"/>
          <w:szCs w:val="21"/>
          <w:color w:val="auto"/>
        </w:rPr>
        <w:t>EACH PARTY HERETO HEREBY WAIVES ITS RESPECTIVE RIGHTS TO A JURY TRIAL OF ANY CLAIM OR CAUSE OF ACTION BASED UPON OR ARISING OUT OF THIS AGREEMENT OR ANY OF THE TRANSACTIONS CONTEMPLATED HEREIN, INCLUDING CONTRACT CLAIMS, TORT CLAIMS, BREACH OF DUTY CLAIMS, AND ALL OTHER COMMON LAW OR STATUTORY CLAIMS. EACH PARTY HERETO REPRESENTS THAT IT HAS REVIEWED THIS WAIVER AND IT KNOWINGLY AND VOLUNTARILY WAIVES ITS JURY TRIAL RIGHTS FOLLOWING CONSULTATION WITH LEGAL COUNSEL. IN THE EVENT OF LITIGATION, A COPY OF THIS AGREEMENT MAY BE FILED AS A WRITTEN CONSENT TO A TRIAL BY THE COURT.</w:t>
      </w:r>
    </w:p>
    <w:p>
      <w:pPr>
        <w:spacing w:after="0" w:line="180" w:lineRule="exact"/>
        <w:rPr>
          <w:rFonts w:ascii="Arial" w:cs="Arial" w:eastAsia="Arial" w:hAnsi="Arial"/>
          <w:sz w:val="21"/>
          <w:szCs w:val="21"/>
          <w:color w:val="auto"/>
        </w:rPr>
      </w:pPr>
    </w:p>
    <w:p>
      <w:pPr>
        <w:jc w:val="both"/>
        <w:ind w:firstLine="656"/>
        <w:spacing w:after="0" w:line="271" w:lineRule="auto"/>
        <w:tabs>
          <w:tab w:leader="none" w:pos="1218" w:val="left"/>
        </w:tabs>
        <w:numPr>
          <w:ilvl w:val="0"/>
          <w:numId w:val="839"/>
        </w:numPr>
        <w:rPr>
          <w:rFonts w:ascii="Arial" w:cs="Arial" w:eastAsia="Arial" w:hAnsi="Arial"/>
          <w:sz w:val="21"/>
          <w:szCs w:val="21"/>
          <w:color w:val="auto"/>
        </w:rPr>
      </w:pPr>
      <w:r>
        <w:rPr>
          <w:rFonts w:ascii="Arial" w:cs="Arial" w:eastAsia="Arial" w:hAnsi="Arial"/>
          <w:sz w:val="21"/>
          <w:szCs w:val="21"/>
          <w:color w:val="auto"/>
        </w:rPr>
        <w:t xml:space="preserve">EACH PARTY TO THIS AGREEMENT IRREVOCABLY CONSENTS TO SERVICE OF PROCESS IN THE MANNER PROVIDED FOR NOTICES IN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NOTHING IN THIS AGREEMENT WILL AFFECT THE RIGHT OF ANY PARTY TO THIS AGREEMENT TO SERVE PROCESS IN ANY OTHER MANNER PERMITTED BY LAW.</w:t>
      </w:r>
    </w:p>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Section 7.19 </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This Agreement is the “Intercreditor Agreement” referred to in the Original First Lien Credit Agreement,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Priority Credit Facility and each Additional Credit Facility. Nothing in this Agreement shall be deemed to subordinate the right of any Junior Priority Secured Party to receive payment to the right of any Senior Priority Secured Party (whether before or after the occurrence of an Insolvency Proceeding), it being the intent of the Parties that this Agreement shall effectuate a subordination of Liens as between the Senior Priority Secured Parties, on the one hand, and the Junior Priority Secured Parties, on the other hand, but not a subordination of Indebtedness.</w:t>
      </w:r>
    </w:p>
    <w:p>
      <w:pPr>
        <w:spacing w:after="0" w:line="179"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 xml:space="preserve">Section 7.20 </w:t>
      </w:r>
      <w:r>
        <w:rPr>
          <w:rFonts w:ascii="Arial" w:cs="Arial" w:eastAsia="Arial" w:hAnsi="Arial"/>
          <w:sz w:val="22"/>
          <w:szCs w:val="22"/>
          <w:u w:val="single" w:color="auto"/>
          <w:color w:val="auto"/>
        </w:rPr>
        <w:t>No Warranties or Liability</w:t>
      </w:r>
      <w:r>
        <w:rPr>
          <w:rFonts w:ascii="Arial" w:cs="Arial" w:eastAsia="Arial" w:hAnsi="Arial"/>
          <w:sz w:val="22"/>
          <w:szCs w:val="22"/>
          <w:color w:val="auto"/>
        </w:rPr>
        <w:t xml:space="preserve"> . Each Party acknowledges and agrees that none of the other Parties has made any representation or warranty with respect to the execution, validity, legality, completeness, collectability or enforceability of any other Original First Lien Document, any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Document or any other Additional Document. Except as otherwise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620" w:name="page621"/>
    <w:bookmarkEnd w:id="620"/>
    <w:p>
      <w:pPr>
        <w:jc w:val="both"/>
        <w:spacing w:after="0" w:line="287" w:lineRule="auto"/>
        <w:rPr>
          <w:sz w:val="20"/>
          <w:szCs w:val="20"/>
          <w:color w:val="auto"/>
        </w:rPr>
      </w:pPr>
      <w:r>
        <w:rPr>
          <w:rFonts w:ascii="Arial" w:cs="Arial" w:eastAsia="Arial" w:hAnsi="Arial"/>
          <w:sz w:val="21"/>
          <w:szCs w:val="21"/>
          <w:color w:val="auto"/>
        </w:rPr>
        <w:t>provided in this Agreement, each Party will be entitled to manage and supervise its respective extensions of credit to any Loan Party in accordance with law and their usual practices, modified from time to time as they deem appropriate.</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1"/>
          <w:szCs w:val="21"/>
          <w:color w:val="auto"/>
        </w:rPr>
        <w:t xml:space="preserve">Section 7.21 </w:t>
      </w:r>
      <w:r>
        <w:rPr>
          <w:rFonts w:ascii="Arial" w:cs="Arial" w:eastAsia="Arial" w:hAnsi="Arial"/>
          <w:sz w:val="21"/>
          <w:szCs w:val="21"/>
          <w:u w:val="single" w:color="auto"/>
          <w:color w:val="auto"/>
        </w:rPr>
        <w:t>Conflicts</w:t>
      </w:r>
      <w:r>
        <w:rPr>
          <w:rFonts w:ascii="Arial" w:cs="Arial" w:eastAsia="Arial" w:hAnsi="Arial"/>
          <w:sz w:val="21"/>
          <w:szCs w:val="21"/>
          <w:color w:val="auto"/>
        </w:rPr>
        <w:t xml:space="preserve"> </w:t>
      </w:r>
      <w:r>
        <w:rPr>
          <w:rFonts w:ascii="Arial" w:cs="Arial" w:eastAsia="Arial" w:hAnsi="Arial"/>
          <w:sz w:val="21"/>
          <w:szCs w:val="21"/>
          <w:b w:val="1"/>
          <w:bCs w:val="1"/>
          <w:color w:val="auto"/>
        </w:rPr>
        <w:t>.</w:t>
      </w:r>
      <w:r>
        <w:rPr>
          <w:rFonts w:ascii="Arial" w:cs="Arial" w:eastAsia="Arial" w:hAnsi="Arial"/>
          <w:sz w:val="21"/>
          <w:szCs w:val="21"/>
          <w:color w:val="auto"/>
        </w:rPr>
        <w:t xml:space="preserve"> In the event of any conflict between the provisions of this Agreement and the provisions of any Original First Lien Document, any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Document or any Additional Document, the provisions of this Agreement shall govern. The parties hereto acknowledge that the terms of this Agreement are not intended to negate any specific rights granted to, or obligations of, the Original First Lien Borrower or any other Loan Party in the Original First Lien Documents, the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Lien Documents or any Additional Documents.</w:t>
      </w:r>
    </w:p>
    <w:p>
      <w:pPr>
        <w:spacing w:after="0" w:line="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 xml:space="preserve">Section 7.22 </w:t>
      </w:r>
      <w:r>
        <w:rPr>
          <w:rFonts w:ascii="Arial" w:cs="Arial" w:eastAsia="Arial" w:hAnsi="Arial"/>
          <w:sz w:val="20"/>
          <w:szCs w:val="20"/>
          <w:u w:val="single" w:color="auto"/>
          <w:color w:val="auto"/>
        </w:rPr>
        <w:t>Information Concerning Financial Condition of the Loan Parties</w:t>
      </w:r>
      <w:r>
        <w:rPr>
          <w:rFonts w:ascii="Arial" w:cs="Arial" w:eastAsia="Arial" w:hAnsi="Arial"/>
          <w:sz w:val="20"/>
          <w:szCs w:val="20"/>
          <w:color w:val="auto"/>
        </w:rPr>
        <w:t xml:space="preserve"> </w:t>
      </w:r>
      <w:r>
        <w:rPr>
          <w:rFonts w:ascii="Arial" w:cs="Arial" w:eastAsia="Arial" w:hAnsi="Arial"/>
          <w:sz w:val="20"/>
          <w:szCs w:val="20"/>
          <w:b w:val="1"/>
          <w:bCs w:val="1"/>
          <w:color w:val="auto"/>
        </w:rPr>
        <w:t>.</w:t>
      </w:r>
      <w:r>
        <w:rPr>
          <w:rFonts w:ascii="Arial" w:cs="Arial" w:eastAsia="Arial" w:hAnsi="Arial"/>
          <w:sz w:val="20"/>
          <w:szCs w:val="20"/>
          <w:color w:val="auto"/>
        </w:rPr>
        <w:t xml:space="preserve"> No Party has any responsibility for keeping any other Party informed of the financial condition of the Loan Parties or of other circumstances bearing upon the risk of nonpayment of the Original First Lien Obligations,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Obligations or any Additional Obligations, as applicable. Each Party hereby agrees that no Party shall have any duty to advise any other Party of information known to it regarding such condition or any such circumstances. In the event any Party, in its sole discretion, undertakes at any time or from time to time to provide any information to any other Party to this Agreement, it shall be under no obligation (a) to provide any such information to such other Party or any other Party on any subsequent occasion, (b) to undertake any investigation not a part of its regular business routine, (c) to disclose any other information or (d) make any express or implied representation or warranty, including with respect to the accuracy, completeness, truthfulness or validity of any such information so provided.</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 xml:space="preserve">Section 7.23 </w:t>
      </w:r>
      <w:r>
        <w:rPr>
          <w:rFonts w:ascii="Arial" w:cs="Arial" w:eastAsia="Arial" w:hAnsi="Arial"/>
          <w:sz w:val="21"/>
          <w:szCs w:val="21"/>
          <w:u w:val="single" w:color="auto"/>
          <w:color w:val="auto"/>
        </w:rPr>
        <w:t>Excluded Assets</w:t>
      </w:r>
      <w:r>
        <w:rPr>
          <w:rFonts w:ascii="Arial" w:cs="Arial" w:eastAsia="Arial" w:hAnsi="Arial"/>
          <w:sz w:val="21"/>
          <w:szCs w:val="21"/>
          <w:color w:val="auto"/>
        </w:rPr>
        <w:t xml:space="preserve"> </w:t>
      </w:r>
      <w:r>
        <w:rPr>
          <w:rFonts w:ascii="Arial" w:cs="Arial" w:eastAsia="Arial" w:hAnsi="Arial"/>
          <w:sz w:val="21"/>
          <w:szCs w:val="21"/>
          <w:b w:val="1"/>
          <w:bCs w:val="1"/>
          <w:color w:val="auto"/>
        </w:rPr>
        <w:t>.</w:t>
      </w:r>
      <w:r>
        <w:rPr>
          <w:rFonts w:ascii="Arial" w:cs="Arial" w:eastAsia="Arial" w:hAnsi="Arial"/>
          <w:sz w:val="21"/>
          <w:szCs w:val="21"/>
          <w:color w:val="auto"/>
        </w:rPr>
        <w:t xml:space="preserve"> For the avoidance of doubt, nothing in this Agreement (including </w:t>
      </w:r>
      <w:r>
        <w:rPr>
          <w:rFonts w:ascii="Arial" w:cs="Arial" w:eastAsia="Arial" w:hAnsi="Arial"/>
          <w:sz w:val="21"/>
          <w:szCs w:val="21"/>
          <w:u w:val="single" w:color="auto"/>
          <w:color w:val="auto"/>
        </w:rPr>
        <w:t>Sections 2.01, 4.01,</w:t>
      </w:r>
      <w:r>
        <w:rPr>
          <w:rFonts w:ascii="Arial" w:cs="Arial" w:eastAsia="Arial" w:hAnsi="Arial"/>
          <w:sz w:val="21"/>
          <w:szCs w:val="21"/>
          <w:color w:val="auto"/>
        </w:rPr>
        <w:t xml:space="preserve"> </w:t>
      </w:r>
      <w:r>
        <w:rPr>
          <w:rFonts w:ascii="Arial" w:cs="Arial" w:eastAsia="Arial" w:hAnsi="Arial"/>
          <w:sz w:val="21"/>
          <w:szCs w:val="21"/>
          <w:u w:val="single" w:color="auto"/>
          <w:color w:val="auto"/>
        </w:rPr>
        <w:t>6.01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6.09</w:t>
      </w:r>
      <w:r>
        <w:rPr>
          <w:rFonts w:ascii="Arial" w:cs="Arial" w:eastAsia="Arial" w:hAnsi="Arial"/>
          <w:sz w:val="21"/>
          <w:szCs w:val="21"/>
          <w:color w:val="auto"/>
        </w:rPr>
        <w:t xml:space="preserve"> hereof) shall be deemed to provide or require that any Agent or any Secured Party represented thereby receive any Proceeds of, or any Lien on, any Property of any Loan Party that constitutes “Excluded Assets” under (and as defined in) the applicable Credit Facility or any related Credit Document to which such Agent is a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21" w:name="page622"/>
    <w:bookmarkEnd w:id="621"/>
    <w:p>
      <w:pPr>
        <w:jc w:val="both"/>
        <w:ind w:firstLine="648"/>
        <w:spacing w:after="0" w:line="228" w:lineRule="auto"/>
        <w:rPr>
          <w:sz w:val="20"/>
          <w:szCs w:val="20"/>
          <w:color w:val="auto"/>
        </w:rPr>
      </w:pPr>
      <w:r>
        <w:rPr>
          <w:rFonts w:ascii="Arial" w:cs="Arial" w:eastAsia="Arial" w:hAnsi="Arial"/>
          <w:sz w:val="22"/>
          <w:szCs w:val="22"/>
          <w:color w:val="auto"/>
        </w:rPr>
        <w:t xml:space="preserve">IN WITNESS WHEREOF, the Original First Lien Agent, for and on behalf of itself and the Original First Lien Secured Parties, and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for and on behalf of itself and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Creditors, have caused this Agreement to be duly executed and delivered as of the date first above written.</w:t>
      </w: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in its capacity as Original First Lien Agent</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82296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1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in its capacity as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w:t>
      </w: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82296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622" w:name="page623"/>
    <w:bookmarkEnd w:id="622"/>
    <w:p>
      <w:pPr>
        <w:ind w:left="4540"/>
        <w:spacing w:after="0"/>
        <w:rPr>
          <w:sz w:val="20"/>
          <w:szCs w:val="20"/>
          <w:color w:val="auto"/>
        </w:rPr>
      </w:pPr>
      <w:r>
        <w:rPr>
          <w:rFonts w:ascii="Arial" w:cs="Arial" w:eastAsia="Arial" w:hAnsi="Arial"/>
          <w:sz w:val="22"/>
          <w:szCs w:val="22"/>
          <w:color w:val="auto"/>
        </w:rPr>
        <w:t>ACKNOWLEDGMENT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Loan Party hereby acknowledges that it has received a copy of this Agreement and consents thereto, agrees to</w:t>
      </w:r>
    </w:p>
    <w:p>
      <w:pPr>
        <w:spacing w:after="0" w:line="39"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 xml:space="preserve">recognize all rights granted thereby to the Original First Lien Agent, the Original First Lien Secured Parties,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Creditors, any Additional Agent and any Additional Credit Facility Secured Parties, and will not do any act or perform any obligation which is not in accordance with the agreements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2440" w:val="left"/>
        </w:tabs>
        <w:rPr>
          <w:sz w:val="20"/>
          <w:szCs w:val="20"/>
          <w:color w:val="auto"/>
        </w:rPr>
      </w:pPr>
      <w:r>
        <w:rPr>
          <w:rFonts w:ascii="Arial" w:cs="Arial" w:eastAsia="Arial" w:hAnsi="Arial"/>
          <w:sz w:val="22"/>
          <w:szCs w:val="22"/>
          <w:color w:val="auto"/>
        </w:rPr>
        <w:t>LOAN PARTIES:</w:t>
      </w:r>
      <w:r>
        <w:rPr>
          <w:sz w:val="20"/>
          <w:szCs w:val="20"/>
          <w:color w:val="auto"/>
        </w:rPr>
        <w:tab/>
      </w:r>
      <w:r>
        <w:rPr>
          <w:rFonts w:ascii="Arial" w:cs="Arial" w:eastAsia="Arial" w:hAnsi="Arial"/>
          <w:sz w:val="21"/>
          <w:szCs w:val="2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6858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AMERICAN AIRLINES GROUP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-17780</wp:posOffset>
            </wp:positionV>
            <wp:extent cx="68580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to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623" w:name="page624"/>
    <w:bookmarkEnd w:id="623"/>
    <w:p>
      <w:pPr>
        <w:jc w:val="right"/>
        <w:spacing w:after="0"/>
        <w:rPr>
          <w:sz w:val="20"/>
          <w:szCs w:val="20"/>
          <w:color w:val="auto"/>
        </w:rPr>
      </w:pPr>
      <w:r>
        <w:rPr>
          <w:rFonts w:ascii="Arial" w:cs="Arial" w:eastAsia="Arial" w:hAnsi="Arial"/>
          <w:sz w:val="22"/>
          <w:szCs w:val="22"/>
          <w:b w:val="1"/>
          <w:bCs w:val="1"/>
          <w:color w:val="auto"/>
        </w:rPr>
        <w:t>Exhibit A to the Intercreditor Agreement</w:t>
      </w:r>
    </w:p>
    <w:p>
      <w:pPr>
        <w:spacing w:after="0" w:line="220" w:lineRule="exact"/>
        <w:rPr>
          <w:sz w:val="20"/>
          <w:szCs w:val="20"/>
          <w:color w:val="auto"/>
        </w:rPr>
      </w:pPr>
    </w:p>
    <w:p>
      <w:pPr>
        <w:ind w:left="4140" w:hanging="432"/>
        <w:spacing w:after="0"/>
        <w:tabs>
          <w:tab w:leader="none" w:pos="4140" w:val="left"/>
        </w:tabs>
        <w:numPr>
          <w:ilvl w:val="0"/>
          <w:numId w:val="840"/>
        </w:numPr>
        <w:rPr>
          <w:rFonts w:ascii="Arial" w:cs="Arial" w:eastAsia="Arial" w:hAnsi="Arial"/>
          <w:sz w:val="20"/>
          <w:szCs w:val="20"/>
          <w:b w:val="1"/>
          <w:bCs w:val="1"/>
          <w:color w:val="auto"/>
        </w:rPr>
      </w:pPr>
      <w:r>
        <w:rPr>
          <w:rFonts w:ascii="Arial" w:cs="Arial" w:eastAsia="Arial" w:hAnsi="Arial"/>
          <w:sz w:val="22"/>
          <w:szCs w:val="22"/>
          <w:b w:val="1"/>
          <w:bCs w:val="1"/>
          <w:color w:val="auto"/>
        </w:rPr>
        <w:t>ADDITIONAL INDEBTEDNESS DESIGNATION</w:t>
      </w:r>
    </w:p>
    <w:p>
      <w:pPr>
        <w:spacing w:after="0" w:line="2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 xml:space="preserve">DESIGNATION dated as of , 20__, by [COMPANY]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(the “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 Capitalized terms used herein and not otherwise defined herein shall have the meaning specified in the Intercreditor Agreement (as amended, supplemented, waived or otherwise modified from time to time, the “ </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xml:space="preserve"> ”) entered into as of [ ], among [ ], in its capacity as collateral agent (together with its successors and assigns in such capacity from time to time, and as further defined in the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Intercreditor Agreement, the “ </w:t>
      </w:r>
      <w:r>
        <w:rPr>
          <w:rFonts w:ascii="Arial" w:cs="Arial" w:eastAsia="Arial" w:hAnsi="Arial"/>
          <w:sz w:val="21"/>
          <w:szCs w:val="21"/>
          <w:u w:val="single" w:color="auto"/>
          <w:color w:val="auto"/>
        </w:rPr>
        <w:t>Original First Lien Agent</w:t>
      </w:r>
      <w:r>
        <w:rPr>
          <w:rFonts w:ascii="Arial" w:cs="Arial" w:eastAsia="Arial" w:hAnsi="Arial"/>
          <w:sz w:val="21"/>
          <w:szCs w:val="21"/>
          <w:color w:val="auto"/>
        </w:rPr>
        <w:t xml:space="preserve"> ”) for the Original First Lien Secured Parties, [ ], in its capacity as collateral agent (together with its successors and assigns in such capacity from time to time, and as further defined in the</w:t>
      </w:r>
    </w:p>
    <w:p>
      <w:pPr>
        <w:spacing w:after="0" w:line="1" w:lineRule="exact"/>
        <w:rPr>
          <w:sz w:val="20"/>
          <w:szCs w:val="20"/>
          <w:color w:val="auto"/>
        </w:rPr>
      </w:pPr>
    </w:p>
    <w:p>
      <w:pPr>
        <w:jc w:val="both"/>
        <w:ind w:right="20"/>
        <w:spacing w:after="0" w:line="242" w:lineRule="auto"/>
        <w:rPr>
          <w:sz w:val="20"/>
          <w:szCs w:val="20"/>
          <w:color w:val="auto"/>
        </w:rPr>
      </w:pPr>
      <w:r>
        <w:rPr>
          <w:rFonts w:ascii="Arial" w:cs="Arial" w:eastAsia="Arial" w:hAnsi="Arial"/>
          <w:sz w:val="19"/>
          <w:szCs w:val="19"/>
          <w:color w:val="auto"/>
        </w:rPr>
        <w:t xml:space="preserve">Intercreditor Agreement,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Agent”) for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 </w:t>
      </w:r>
      <w:r>
        <w:rPr>
          <w:rFonts w:ascii="Arial" w:cs="Arial" w:eastAsia="Arial" w:hAnsi="Arial"/>
          <w:sz w:val="19"/>
          <w:szCs w:val="19"/>
          <w:u w:val="single" w:color="auto"/>
          <w:color w:val="auto"/>
        </w:rPr>
        <w:t>First/Second</w:t>
      </w:r>
      <w:r>
        <w:rPr>
          <w:rFonts w:ascii="Arial" w:cs="Arial" w:eastAsia="Arial" w:hAnsi="Arial"/>
          <w:sz w:val="19"/>
          <w:szCs w:val="19"/>
          <w:color w:val="auto"/>
        </w:rPr>
        <w:t xml:space="preserve"> ]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Lien Secured Parties</w:t>
      </w:r>
      <w:r>
        <w:rPr>
          <w:rFonts w:ascii="Arial" w:cs="Arial" w:eastAsia="Arial" w:hAnsi="Arial"/>
          <w:sz w:val="19"/>
          <w:szCs w:val="19"/>
          <w:color w:val="auto"/>
        </w:rPr>
        <w:t xml:space="preserve"> [[ ], as Additional Agent for the Additional Credit Facility Creditors under the [describe applicable Additional Credit Facility]]. </w:t>
      </w:r>
      <w:r>
        <w:rPr>
          <w:rFonts w:ascii="Arial" w:cs="Arial" w:eastAsia="Arial" w:hAnsi="Arial"/>
          <w:sz w:val="25"/>
          <w:szCs w:val="25"/>
          <w:color w:val="auto"/>
          <w:vertAlign w:val="superscript"/>
        </w:rPr>
        <w:t>2</w:t>
      </w:r>
      <w:r>
        <w:rPr>
          <w:rFonts w:ascii="Arial" w:cs="Arial" w:eastAsia="Arial" w:hAnsi="Arial"/>
          <w:sz w:val="19"/>
          <w:szCs w:val="19"/>
          <w:color w:val="auto"/>
        </w:rPr>
        <w:t xml:space="preserve"> Capitalized terms used herein and not otherwise defined herein shall have the meaning specified in the Intercreditor Agreement.</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Reference is made to that certain [insert name of Additional Credit Facility], dated as of , 20 (the “ </w:t>
      </w:r>
      <w:r>
        <w:rPr>
          <w:rFonts w:ascii="Arial" w:cs="Arial" w:eastAsia="Arial" w:hAnsi="Arial"/>
          <w:sz w:val="22"/>
          <w:szCs w:val="22"/>
          <w:u w:val="single" w:color="auto"/>
          <w:color w:val="auto"/>
        </w:rPr>
        <w:t>Additional 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Facility</w:t>
      </w:r>
      <w:r>
        <w:rPr>
          <w:rFonts w:ascii="Arial" w:cs="Arial" w:eastAsia="Arial" w:hAnsi="Arial"/>
          <w:sz w:val="22"/>
          <w:szCs w:val="22"/>
          <w:color w:val="auto"/>
        </w:rPr>
        <w:t xml:space="preserve"> ”), among [list any applicable Loan Party], [list Additional Credit Facility Secured Parties] [and Additional Agent, as agent (the “ </w:t>
      </w:r>
      <w:r>
        <w:rPr>
          <w:rFonts w:ascii="Arial" w:cs="Arial" w:eastAsia="Arial" w:hAnsi="Arial"/>
          <w:sz w:val="22"/>
          <w:szCs w:val="22"/>
          <w:u w:val="single" w:color="auto"/>
          <w:color w:val="auto"/>
        </w:rPr>
        <w:t>Additional Agent</w:t>
      </w:r>
      <w:r>
        <w:rPr>
          <w:rFonts w:ascii="Arial" w:cs="Arial" w:eastAsia="Arial" w:hAnsi="Arial"/>
          <w:sz w:val="22"/>
          <w:szCs w:val="22"/>
          <w:color w:val="auto"/>
        </w:rPr>
        <w:t xml:space="preserve"> ”)]. </w:t>
      </w:r>
      <w:r>
        <w:rPr>
          <w:rFonts w:ascii="Arial" w:cs="Arial" w:eastAsia="Arial" w:hAnsi="Arial"/>
          <w:sz w:val="28"/>
          <w:szCs w:val="28"/>
          <w:color w:val="auto"/>
          <w:vertAlign w:val="superscript"/>
        </w:rPr>
        <w:t>3</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Section 7.11 of the Intercreditor Agreement permits the Company to designate Additional Indebtedness under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Intercreditor Agreement. Accordingly:</w:t>
      </w:r>
    </w:p>
    <w:p>
      <w:pPr>
        <w:spacing w:after="0" w:line="202" w:lineRule="exact"/>
        <w:rPr>
          <w:sz w:val="20"/>
          <w:szCs w:val="20"/>
          <w:color w:val="auto"/>
        </w:rPr>
      </w:pPr>
    </w:p>
    <w:p>
      <w:pPr>
        <w:ind w:firstLine="656"/>
        <w:spacing w:after="0" w:line="283" w:lineRule="auto"/>
        <w:tabs>
          <w:tab w:leader="none" w:pos="1153" w:val="left"/>
        </w:tabs>
        <w:numPr>
          <w:ilvl w:val="1"/>
          <w:numId w:val="841"/>
        </w:numPr>
        <w:rPr>
          <w:rFonts w:ascii="Arial" w:cs="Arial" w:eastAsia="Arial" w:hAnsi="Arial"/>
          <w:sz w:val="20"/>
          <w:szCs w:val="20"/>
          <w:b w:val="1"/>
          <w:bCs w:val="1"/>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xml:space="preserve"> . The Company hereby represents and warrants to the Original First Lien Agent,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and any Additional Agent that:</w:t>
      </w:r>
    </w:p>
    <w:p>
      <w:pPr>
        <w:spacing w:after="0" w:line="64" w:lineRule="exact"/>
        <w:rPr>
          <w:rFonts w:ascii="Arial" w:cs="Arial" w:eastAsia="Arial" w:hAnsi="Arial"/>
          <w:sz w:val="20"/>
          <w:szCs w:val="20"/>
          <w:b w:val="1"/>
          <w:bCs w:val="1"/>
          <w:color w:val="auto"/>
        </w:rPr>
      </w:pPr>
    </w:p>
    <w:p>
      <w:pPr>
        <w:ind w:left="660" w:firstLine="644"/>
        <w:spacing w:after="0" w:line="358" w:lineRule="auto"/>
        <w:tabs>
          <w:tab w:leader="none" w:pos="1877" w:val="left"/>
        </w:tabs>
        <w:numPr>
          <w:ilvl w:val="2"/>
          <w:numId w:val="841"/>
        </w:numPr>
        <w:rPr>
          <w:rFonts w:ascii="Arial" w:cs="Arial" w:eastAsia="Arial" w:hAnsi="Arial"/>
          <w:sz w:val="18"/>
          <w:szCs w:val="18"/>
          <w:b w:val="1"/>
          <w:bCs w:val="1"/>
          <w:color w:val="auto"/>
        </w:rPr>
      </w:pPr>
      <w:r>
        <w:rPr>
          <w:rFonts w:ascii="Arial" w:cs="Arial" w:eastAsia="Arial" w:hAnsi="Arial"/>
          <w:sz w:val="19"/>
          <w:szCs w:val="19"/>
          <w:color w:val="auto"/>
        </w:rPr>
        <w:t xml:space="preserve">The Additional Indebtedness incurred or to be incurred under the Additional Credit Facility constitutes “ </w:t>
      </w:r>
      <w:r>
        <w:rPr>
          <w:rFonts w:ascii="Arial" w:cs="Arial" w:eastAsia="Arial" w:hAnsi="Arial"/>
          <w:sz w:val="19"/>
          <w:szCs w:val="19"/>
          <w:u w:val="single" w:color="auto"/>
          <w:color w:val="auto"/>
        </w:rPr>
        <w:t>Additional Indebtedness</w:t>
      </w:r>
      <w:r>
        <w:rPr>
          <w:rFonts w:ascii="Arial" w:cs="Arial" w:eastAsia="Arial" w:hAnsi="Arial"/>
          <w:sz w:val="19"/>
          <w:szCs w:val="19"/>
          <w:color w:val="auto"/>
        </w:rPr>
        <w:t xml:space="preserve"> ” which complies with the definition of such term in the Intercreditor Agreement;</w:t>
      </w:r>
    </w:p>
    <w:p>
      <w:pPr>
        <w:spacing w:after="0" w:line="90" w:lineRule="exact"/>
        <w:rPr>
          <w:rFonts w:ascii="Arial" w:cs="Arial" w:eastAsia="Arial" w:hAnsi="Arial"/>
          <w:sz w:val="18"/>
          <w:szCs w:val="18"/>
          <w:b w:val="1"/>
          <w:bCs w:val="1"/>
          <w:color w:val="auto"/>
        </w:rPr>
      </w:pPr>
    </w:p>
    <w:p>
      <w:pPr>
        <w:ind w:left="660" w:firstLine="644"/>
        <w:spacing w:after="0" w:line="276" w:lineRule="auto"/>
        <w:tabs>
          <w:tab w:leader="none" w:pos="1999" w:val="left"/>
        </w:tabs>
        <w:numPr>
          <w:ilvl w:val="2"/>
          <w:numId w:val="841"/>
        </w:numPr>
        <w:rPr>
          <w:rFonts w:ascii="Arial" w:cs="Arial" w:eastAsia="Arial" w:hAnsi="Arial"/>
          <w:sz w:val="20"/>
          <w:szCs w:val="20"/>
          <w:b w:val="1"/>
          <w:bCs w:val="1"/>
          <w:color w:val="auto"/>
        </w:rPr>
      </w:pPr>
      <w:r>
        <w:rPr>
          <w:rFonts w:ascii="Arial" w:cs="Arial" w:eastAsia="Arial" w:hAnsi="Arial"/>
          <w:sz w:val="22"/>
          <w:szCs w:val="22"/>
          <w:color w:val="auto"/>
        </w:rPr>
        <w:t>all conditions set forth in Section 7.11 of the Intercreditor Agreement with respect to the Additional Indebtedness have been satisfied; and</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65" w:lineRule="exact"/>
        <w:rPr>
          <w:rFonts w:ascii="Arial" w:cs="Arial" w:eastAsia="Arial" w:hAnsi="Arial"/>
          <w:sz w:val="20"/>
          <w:szCs w:val="20"/>
          <w:b w:val="1"/>
          <w:bCs w:val="1"/>
          <w:color w:val="auto"/>
        </w:rPr>
      </w:pPr>
    </w:p>
    <w:p>
      <w:pPr>
        <w:ind w:left="660" w:hanging="652"/>
        <w:spacing w:after="0"/>
        <w:tabs>
          <w:tab w:leader="none" w:pos="660" w:val="left"/>
        </w:tabs>
        <w:numPr>
          <w:ilvl w:val="0"/>
          <w:numId w:val="842"/>
        </w:numPr>
        <w:rPr>
          <w:rFonts w:ascii="Arial" w:cs="Arial" w:eastAsia="Arial" w:hAnsi="Arial"/>
          <w:sz w:val="29"/>
          <w:szCs w:val="29"/>
          <w:color w:val="auto"/>
          <w:vertAlign w:val="superscript"/>
        </w:rPr>
      </w:pPr>
      <w:r>
        <w:rPr>
          <w:rFonts w:ascii="Arial" w:cs="Arial" w:eastAsia="Arial" w:hAnsi="Arial"/>
          <w:sz w:val="22"/>
          <w:szCs w:val="22"/>
          <w:color w:val="auto"/>
        </w:rPr>
        <w:t>Revise as appropriate to refer to any permitted successor or assign.</w:t>
      </w:r>
    </w:p>
    <w:p>
      <w:pPr>
        <w:spacing w:after="0" w:line="106" w:lineRule="exact"/>
        <w:rPr>
          <w:rFonts w:ascii="Arial" w:cs="Arial" w:eastAsia="Arial" w:hAnsi="Arial"/>
          <w:sz w:val="29"/>
          <w:szCs w:val="29"/>
          <w:color w:val="auto"/>
          <w:vertAlign w:val="superscript"/>
        </w:rPr>
      </w:pPr>
    </w:p>
    <w:p>
      <w:pPr>
        <w:ind w:left="660" w:hanging="652"/>
        <w:spacing w:after="0" w:line="221" w:lineRule="auto"/>
        <w:tabs>
          <w:tab w:leader="none" w:pos="660" w:val="left"/>
        </w:tabs>
        <w:numPr>
          <w:ilvl w:val="0"/>
          <w:numId w:val="842"/>
        </w:numPr>
        <w:rPr>
          <w:rFonts w:ascii="Arial" w:cs="Arial" w:eastAsia="Arial" w:hAnsi="Arial"/>
          <w:sz w:val="29"/>
          <w:szCs w:val="29"/>
          <w:color w:val="auto"/>
          <w:vertAlign w:val="superscript"/>
        </w:rPr>
      </w:pPr>
      <w:r>
        <w:rPr>
          <w:rFonts w:ascii="Arial" w:cs="Arial" w:eastAsia="Arial" w:hAnsi="Arial"/>
          <w:sz w:val="22"/>
          <w:szCs w:val="22"/>
          <w:color w:val="auto"/>
        </w:rPr>
        <w:t xml:space="preserve">Revise as appropriate to refer to any successor First Lien Agent or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and to add reference to any previously added Additional Agent.</w:t>
      </w:r>
    </w:p>
    <w:p>
      <w:pPr>
        <w:spacing w:after="0" w:line="118" w:lineRule="exact"/>
        <w:rPr>
          <w:rFonts w:ascii="Arial" w:cs="Arial" w:eastAsia="Arial" w:hAnsi="Arial"/>
          <w:sz w:val="29"/>
          <w:szCs w:val="29"/>
          <w:color w:val="auto"/>
          <w:vertAlign w:val="superscript"/>
        </w:rPr>
      </w:pPr>
    </w:p>
    <w:p>
      <w:pPr>
        <w:ind w:left="660" w:hanging="652"/>
        <w:spacing w:after="0" w:line="217" w:lineRule="auto"/>
        <w:tabs>
          <w:tab w:leader="none" w:pos="660" w:val="left"/>
        </w:tabs>
        <w:numPr>
          <w:ilvl w:val="0"/>
          <w:numId w:val="842"/>
        </w:numPr>
        <w:rPr>
          <w:rFonts w:ascii="Arial" w:cs="Arial" w:eastAsia="Arial" w:hAnsi="Arial"/>
          <w:sz w:val="29"/>
          <w:szCs w:val="29"/>
          <w:color w:val="auto"/>
          <w:vertAlign w:val="superscript"/>
        </w:rPr>
      </w:pPr>
      <w:r>
        <w:rPr>
          <w:rFonts w:ascii="Arial" w:cs="Arial" w:eastAsia="Arial" w:hAnsi="Arial"/>
          <w:sz w:val="22"/>
          <w:szCs w:val="22"/>
          <w:color w:val="auto"/>
        </w:rPr>
        <w:t>Revise as appropriate to refer to the relevant Additional Credit Facility, Additional Credit Facility Secured Parties and any Additional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-1102360</wp:posOffset>
            </wp:positionV>
            <wp:extent cx="6858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624" w:name="page625"/>
    <w:bookmarkEnd w:id="624"/>
    <w:p>
      <w:pPr>
        <w:ind w:left="660" w:right="20" w:firstLine="644"/>
        <w:spacing w:after="0" w:line="276" w:lineRule="auto"/>
        <w:tabs>
          <w:tab w:leader="none" w:pos="1864" w:val="left"/>
        </w:tabs>
        <w:numPr>
          <w:ilvl w:val="1"/>
          <w:numId w:val="843"/>
        </w:numPr>
        <w:rPr>
          <w:rFonts w:ascii="Arial" w:cs="Arial" w:eastAsia="Arial" w:hAnsi="Arial"/>
          <w:sz w:val="20"/>
          <w:szCs w:val="20"/>
          <w:b w:val="1"/>
          <w:bCs w:val="1"/>
          <w:color w:val="auto"/>
        </w:rPr>
      </w:pPr>
      <w:r>
        <w:rPr>
          <w:rFonts w:ascii="Arial" w:cs="Arial" w:eastAsia="Arial" w:hAnsi="Arial"/>
          <w:sz w:val="22"/>
          <w:szCs w:val="22"/>
          <w:color w:val="auto"/>
        </w:rPr>
        <w:t>any applicable requirement that no Event of Default exists or arises from the issuance of such Additional Indebtedness, or any applicable comparable requirement, has been satisfied or waived.</w:t>
      </w:r>
    </w:p>
    <w:p>
      <w:pPr>
        <w:spacing w:after="0" w:line="160" w:lineRule="exact"/>
        <w:rPr>
          <w:rFonts w:ascii="Arial" w:cs="Arial" w:eastAsia="Arial" w:hAnsi="Arial"/>
          <w:sz w:val="20"/>
          <w:szCs w:val="20"/>
          <w:b w:val="1"/>
          <w:bCs w:val="1"/>
          <w:color w:val="auto"/>
        </w:rPr>
      </w:pPr>
    </w:p>
    <w:p>
      <w:pPr>
        <w:jc w:val="both"/>
        <w:ind w:firstLine="656"/>
        <w:spacing w:after="0" w:line="259" w:lineRule="auto"/>
        <w:tabs>
          <w:tab w:leader="none" w:pos="1399" w:val="left"/>
        </w:tabs>
        <w:numPr>
          <w:ilvl w:val="0"/>
          <w:numId w:val="844"/>
        </w:numPr>
        <w:rPr>
          <w:rFonts w:ascii="Arial" w:cs="Arial" w:eastAsia="Arial" w:hAnsi="Arial"/>
          <w:sz w:val="20"/>
          <w:szCs w:val="20"/>
          <w:b w:val="1"/>
          <w:bCs w:val="1"/>
          <w:color w:val="auto"/>
        </w:rPr>
      </w:pPr>
      <w:r>
        <w:rPr>
          <w:rFonts w:ascii="Arial" w:cs="Arial" w:eastAsia="Arial" w:hAnsi="Arial"/>
          <w:sz w:val="22"/>
          <w:szCs w:val="22"/>
          <w:u w:val="single" w:color="auto"/>
          <w:color w:val="auto"/>
        </w:rPr>
        <w:t>Designation of Additional Indebtedness</w:t>
      </w:r>
      <w:r>
        <w:rPr>
          <w:rFonts w:ascii="Arial" w:cs="Arial" w:eastAsia="Arial" w:hAnsi="Arial"/>
          <w:sz w:val="22"/>
          <w:szCs w:val="22"/>
          <w:color w:val="auto"/>
        </w:rPr>
        <w:t xml:space="preserve"> . The Company hereby designates such Additional Indebtedness as Additional Indebtedness under the Intercreditor Agreement and such Additional Indebtedness shall constitute [Senior Priority Debt]/[Junior Priority Debt].</w:t>
      </w:r>
    </w:p>
    <w:p>
      <w:pPr>
        <w:spacing w:after="0" w:line="18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undersigned has caused this Designation to be duly executed by its duly authorized officer or other representative, all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82296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25" w:name="page626"/>
    <w:bookmarkEnd w:id="625"/>
    <w:p>
      <w:pPr>
        <w:jc w:val="right"/>
        <w:spacing w:after="0"/>
        <w:rPr>
          <w:sz w:val="20"/>
          <w:szCs w:val="20"/>
          <w:color w:val="auto"/>
        </w:rPr>
      </w:pPr>
      <w:r>
        <w:rPr>
          <w:rFonts w:ascii="Arial" w:cs="Arial" w:eastAsia="Arial" w:hAnsi="Arial"/>
          <w:sz w:val="22"/>
          <w:szCs w:val="22"/>
          <w:b w:val="1"/>
          <w:bCs w:val="1"/>
          <w:color w:val="auto"/>
        </w:rPr>
        <w:t>Exhibit B to the Intercreditor Agreement</w:t>
      </w:r>
    </w:p>
    <w:p>
      <w:pPr>
        <w:spacing w:after="0" w:line="220" w:lineRule="exact"/>
        <w:rPr>
          <w:sz w:val="20"/>
          <w:szCs w:val="20"/>
          <w:color w:val="auto"/>
        </w:rPr>
      </w:pPr>
    </w:p>
    <w:p>
      <w:pPr>
        <w:ind w:left="4780" w:hanging="512"/>
        <w:spacing w:after="0"/>
        <w:tabs>
          <w:tab w:leader="none" w:pos="4780" w:val="left"/>
        </w:tabs>
        <w:numPr>
          <w:ilvl w:val="0"/>
          <w:numId w:val="845"/>
        </w:numPr>
        <w:rPr>
          <w:rFonts w:ascii="Arial" w:cs="Arial" w:eastAsia="Arial" w:hAnsi="Arial"/>
          <w:sz w:val="20"/>
          <w:szCs w:val="20"/>
          <w:b w:val="1"/>
          <w:bCs w:val="1"/>
          <w:color w:val="auto"/>
        </w:rPr>
      </w:pPr>
      <w:r>
        <w:rPr>
          <w:rFonts w:ascii="Arial" w:cs="Arial" w:eastAsia="Arial" w:hAnsi="Arial"/>
          <w:sz w:val="22"/>
          <w:szCs w:val="22"/>
          <w:b w:val="1"/>
          <w:bCs w:val="1"/>
          <w:color w:val="auto"/>
        </w:rPr>
        <w:t>ADDITIONAL INDEBTEDNESS JOINDER</w:t>
      </w:r>
    </w:p>
    <w:p>
      <w:pPr>
        <w:spacing w:after="0" w:line="2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 xml:space="preserve">JOINDER, dated as of , 20__, among [COMPANY], a Delaware corporation (“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 [ ], in its capacity as collateral agent (together with its successors and assigns in such capacity from time to time, and as further defined in the Intercreditor Agreement, the “ </w:t>
      </w:r>
      <w:r>
        <w:rPr>
          <w:rFonts w:ascii="Arial" w:cs="Arial" w:eastAsia="Arial" w:hAnsi="Arial"/>
          <w:sz w:val="19"/>
          <w:szCs w:val="19"/>
          <w:u w:val="single" w:color="auto"/>
          <w:color w:val="auto"/>
        </w:rPr>
        <w:t>Original First Lien Agent</w:t>
      </w:r>
      <w:r>
        <w:rPr>
          <w:rFonts w:ascii="Arial" w:cs="Arial" w:eastAsia="Arial" w:hAnsi="Arial"/>
          <w:sz w:val="19"/>
          <w:szCs w:val="19"/>
          <w:color w:val="auto"/>
        </w:rPr>
        <w:t xml:space="preserve"> ”) </w:t>
      </w:r>
      <w:r>
        <w:rPr>
          <w:rFonts w:ascii="Arial" w:cs="Arial" w:eastAsia="Arial" w:hAnsi="Arial"/>
          <w:sz w:val="25"/>
          <w:szCs w:val="25"/>
          <w:color w:val="auto"/>
          <w:vertAlign w:val="superscript"/>
        </w:rPr>
        <w:t>5</w:t>
      </w:r>
      <w:r>
        <w:rPr>
          <w:rFonts w:ascii="Arial" w:cs="Arial" w:eastAsia="Arial" w:hAnsi="Arial"/>
          <w:sz w:val="19"/>
          <w:szCs w:val="19"/>
          <w:color w:val="auto"/>
        </w:rPr>
        <w:t xml:space="preserve"> for the Original First Lien Secured Parties, [ ], in its capacity as collateral agent (together with its successors and assigns in such capacity from time to time, and as further defined in the Intercreditor Agreement,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[First/Second]ii Lien Agent”) </w:t>
      </w:r>
      <w:r>
        <w:rPr>
          <w:rFonts w:ascii="Arial" w:cs="Arial" w:eastAsia="Arial" w:hAnsi="Arial"/>
          <w:sz w:val="25"/>
          <w:szCs w:val="25"/>
          <w:color w:val="auto"/>
          <w:vertAlign w:val="superscript"/>
        </w:rPr>
        <w:t>6</w:t>
      </w:r>
      <w:r>
        <w:rPr>
          <w:rFonts w:ascii="Arial" w:cs="Arial" w:eastAsia="Arial" w:hAnsi="Arial"/>
          <w:sz w:val="19"/>
          <w:szCs w:val="19"/>
          <w:color w:val="auto"/>
        </w:rPr>
        <w:t xml:space="preserve"> for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Secured Parties, [list any previously added Additional Agent] [and insert name of each Additional Agent under any Additional Credit Facility being added hereby as party] and any successors or assigns thereof, to the Intercreditor Agreement dated as of [ ] (as amended, supplemented, waived or otherwise modified from time to time, the “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 among the Original First Lien Agent, [and] the</w:t>
      </w:r>
    </w:p>
    <w:p>
      <w:pPr>
        <w:spacing w:after="0" w:line="6" w:lineRule="exact"/>
        <w:rPr>
          <w:sz w:val="20"/>
          <w:szCs w:val="20"/>
          <w:color w:val="auto"/>
        </w:rPr>
      </w:pPr>
    </w:p>
    <w:p>
      <w:pPr>
        <w:ind w:firstLine="8"/>
        <w:spacing w:after="0" w:line="221" w:lineRule="auto"/>
        <w:tabs>
          <w:tab w:leader="none" w:pos="153" w:val="left"/>
        </w:tabs>
        <w:numPr>
          <w:ilvl w:val="0"/>
          <w:numId w:val="846"/>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[and (list any previously added Additional Agent)]. Capitalized terms used herein and not otherwise defined herein shall have the meaning specified in the Intercreditor Agreement.</w:t>
      </w:r>
    </w:p>
    <w:p>
      <w:pPr>
        <w:spacing w:after="0" w:line="19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Reference is made to that certain [insert name of Additional Credit Facility], dated as of , 20 (the “ </w:t>
      </w:r>
      <w:r>
        <w:rPr>
          <w:rFonts w:ascii="Arial" w:cs="Arial" w:eastAsia="Arial" w:hAnsi="Arial"/>
          <w:sz w:val="21"/>
          <w:szCs w:val="21"/>
          <w:u w:val="single" w:color="auto"/>
          <w:color w:val="auto"/>
        </w:rPr>
        <w:t>Additional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Facility</w:t>
      </w:r>
      <w:r>
        <w:rPr>
          <w:rFonts w:ascii="Arial" w:cs="Arial" w:eastAsia="Arial" w:hAnsi="Arial"/>
          <w:sz w:val="21"/>
          <w:szCs w:val="21"/>
          <w:color w:val="auto"/>
        </w:rPr>
        <w:t xml:space="preserve"> ”), among [list any applicable Grantor], [list any applicable Additional Credit Facility Secured Parties (the “ </w:t>
      </w:r>
      <w:r>
        <w:rPr>
          <w:rFonts w:ascii="Arial" w:cs="Arial" w:eastAsia="Arial" w:hAnsi="Arial"/>
          <w:sz w:val="21"/>
          <w:szCs w:val="21"/>
          <w:u w:val="single" w:color="auto"/>
          <w:color w:val="auto"/>
        </w:rPr>
        <w:t>Joining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Additional Creditors</w:t>
      </w:r>
      <w:r>
        <w:rPr>
          <w:rFonts w:ascii="Arial" w:cs="Arial" w:eastAsia="Arial" w:hAnsi="Arial"/>
          <w:sz w:val="21"/>
          <w:szCs w:val="21"/>
          <w:color w:val="auto"/>
        </w:rPr>
        <w:t xml:space="preserve"> ”)] [and insert name of each applicable Additional Agent (the “ </w:t>
      </w:r>
      <w:r>
        <w:rPr>
          <w:rFonts w:ascii="Arial" w:cs="Arial" w:eastAsia="Arial" w:hAnsi="Arial"/>
          <w:sz w:val="21"/>
          <w:szCs w:val="21"/>
          <w:u w:val="single" w:color="auto"/>
          <w:color w:val="auto"/>
        </w:rPr>
        <w:t>Joining Additional Agent</w:t>
      </w:r>
      <w:r>
        <w:rPr>
          <w:rFonts w:ascii="Arial" w:cs="Arial" w:eastAsia="Arial" w:hAnsi="Arial"/>
          <w:sz w:val="21"/>
          <w:szCs w:val="21"/>
          <w:color w:val="auto"/>
        </w:rPr>
        <w:t xml:space="preserve"> ”)]. </w:t>
      </w:r>
      <w:r>
        <w:rPr>
          <w:rFonts w:ascii="Arial" w:cs="Arial" w:eastAsia="Arial" w:hAnsi="Arial"/>
          <w:sz w:val="27"/>
          <w:szCs w:val="27"/>
          <w:color w:val="auto"/>
          <w:vertAlign w:val="superscript"/>
        </w:rPr>
        <w:t>6</w:t>
      </w:r>
      <w:r>
        <w:rPr>
          <w:rFonts w:ascii="Arial" w:cs="Arial" w:eastAsia="Arial" w:hAnsi="Arial"/>
          <w:sz w:val="21"/>
          <w:szCs w:val="21"/>
          <w:color w:val="auto"/>
        </w:rPr>
        <w:t xml:space="preserve"> Section 7.11 of the Intercreditor Agreement permits the Company to designate Additional Indebtedness under the Intercreditor Agreement. The Company has so designated Additional Indebtedness incurred or to be incurred under the Additional Credit Facility as Additional Indebtedness by means of an Additional Indebtedness Designation.</w:t>
      </w:r>
    </w:p>
    <w:p>
      <w:pPr>
        <w:spacing w:after="0" w:line="18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color w:val="auto"/>
        </w:rPr>
        <w:t xml:space="preserve">Accordingly, [the Joining Additional Agent, for itself and on behalf of the Joining Additional Creditors,] </w:t>
      </w:r>
      <w:r>
        <w:rPr>
          <w:rFonts w:ascii="Arial" w:cs="Arial" w:eastAsia="Arial" w:hAnsi="Arial"/>
          <w:sz w:val="28"/>
          <w:szCs w:val="28"/>
          <w:color w:val="auto"/>
          <w:vertAlign w:val="superscript"/>
        </w:rPr>
        <w:t>7</w:t>
      </w:r>
      <w:r>
        <w:rPr>
          <w:rFonts w:ascii="Arial" w:cs="Arial" w:eastAsia="Arial" w:hAnsi="Arial"/>
          <w:sz w:val="22"/>
          <w:szCs w:val="22"/>
          <w:color w:val="auto"/>
        </w:rPr>
        <w:t xml:space="preserve"> hereby agrees with the Original First Lien Agent,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and any other Additional Agent party to the Intercreditor Agreement as follows:</w:t>
      </w:r>
    </w:p>
    <w:p>
      <w:pPr>
        <w:spacing w:after="0" w:line="200" w:lineRule="exact"/>
        <w:rPr>
          <w:sz w:val="20"/>
          <w:szCs w:val="20"/>
          <w:color w:val="auto"/>
        </w:rPr>
      </w:pPr>
    </w:p>
    <w:p>
      <w:pPr>
        <w:ind w:firstLine="656"/>
        <w:spacing w:after="0" w:line="283" w:lineRule="auto"/>
        <w:tabs>
          <w:tab w:leader="none" w:pos="1355" w:val="left"/>
        </w:tabs>
        <w:numPr>
          <w:ilvl w:val="0"/>
          <w:numId w:val="847"/>
        </w:numPr>
        <w:rPr>
          <w:rFonts w:ascii="Arial" w:cs="Arial" w:eastAsia="Arial" w:hAnsi="Arial"/>
          <w:sz w:val="20"/>
          <w:szCs w:val="20"/>
          <w:b w:val="1"/>
          <w:bCs w:val="1"/>
          <w:color w:val="auto"/>
        </w:rPr>
      </w:pPr>
      <w:r>
        <w:rPr>
          <w:rFonts w:ascii="Arial" w:cs="Arial" w:eastAsia="Arial" w:hAnsi="Arial"/>
          <w:sz w:val="22"/>
          <w:szCs w:val="22"/>
          <w:u w:val="single" w:color="auto"/>
          <w:color w:val="auto"/>
        </w:rPr>
        <w:t>Agreement to be Bound</w:t>
      </w:r>
      <w:r>
        <w:rPr>
          <w:rFonts w:ascii="Arial" w:cs="Arial" w:eastAsia="Arial" w:hAnsi="Arial"/>
          <w:sz w:val="22"/>
          <w:szCs w:val="22"/>
          <w:color w:val="auto"/>
        </w:rPr>
        <w:t xml:space="preserve"> . The [Joining Additional Agent, for itself and on behalf of the Joining Additional Creditors,] </w:t>
      </w:r>
      <w:r>
        <w:rPr>
          <w:rFonts w:ascii="Arial" w:cs="Arial" w:eastAsia="Arial" w:hAnsi="Arial"/>
          <w:sz w:val="28"/>
          <w:szCs w:val="28"/>
          <w:color w:val="auto"/>
          <w:vertAlign w:val="superscript"/>
        </w:rPr>
        <w:t>8</w:t>
      </w:r>
      <w:r>
        <w:rPr>
          <w:rFonts w:ascii="Arial" w:cs="Arial" w:eastAsia="Arial" w:hAnsi="Arial"/>
          <w:sz w:val="22"/>
          <w:szCs w:val="22"/>
          <w:color w:val="auto"/>
        </w:rPr>
        <w:t xml:space="preserve"> hereby agrees to be bound by the terms and provisions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346075</wp:posOffset>
            </wp:positionV>
            <wp:extent cx="6858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Revise as appropriate to refer to any successor First Lien Agent.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Revise as appropriate to refer to any successor [ ]i [First/Second]ii Lien Agent.</w:t>
      </w:r>
    </w:p>
    <w:p>
      <w:pPr>
        <w:spacing w:after="0" w:line="1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Revise as appropriate to refer to the relevant Additional Credit Facility, Additional Credit Facility Secured Parties and any Additional Agent.</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Revise as appropriate to refer to any Additional Agent being added hereby and any Additional Credit Facility Secured Parties represented thereby.</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Revise references throughout as appropriate to refer to the party or parties being added.</w:t>
      </w:r>
    </w:p>
    <w:p>
      <w:pPr>
        <w:spacing w:after="0" w:line="220"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7132320"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0" w:space="540"/>
            <w:col w:w="10580"/>
          </w:cols>
          <w:pgMar w:left="320" w:top="558" w:right="339" w:bottom="1440" w:gutter="0" w:footer="0" w:header="0"/>
          <w:type w:val="continuous"/>
        </w:sectPr>
      </w:pPr>
    </w:p>
    <w:bookmarkStart w:id="626" w:name="page627"/>
    <w:bookmarkEnd w:id="626"/>
    <w:p>
      <w:pPr>
        <w:spacing w:after="0" w:line="263" w:lineRule="auto"/>
        <w:rPr>
          <w:sz w:val="20"/>
          <w:szCs w:val="20"/>
          <w:color w:val="auto"/>
        </w:rPr>
      </w:pPr>
      <w:r>
        <w:rPr>
          <w:rFonts w:ascii="Arial" w:cs="Arial" w:eastAsia="Arial" w:hAnsi="Arial"/>
          <w:sz w:val="22"/>
          <w:szCs w:val="22"/>
          <w:color w:val="auto"/>
        </w:rPr>
        <w:t>Intercreditor Agreement and shall, as of the Additional Effective Date with respect to the Additional Credit Facility, be deemed to be a party to the Intercreditor Agreement.</w:t>
      </w:r>
    </w:p>
    <w:p>
      <w:pPr>
        <w:spacing w:after="0" w:line="175" w:lineRule="exact"/>
        <w:rPr>
          <w:sz w:val="20"/>
          <w:szCs w:val="20"/>
          <w:color w:val="auto"/>
        </w:rPr>
      </w:pPr>
    </w:p>
    <w:p>
      <w:pPr>
        <w:jc w:val="both"/>
        <w:ind w:firstLine="656"/>
        <w:spacing w:after="0" w:line="245" w:lineRule="auto"/>
        <w:tabs>
          <w:tab w:leader="none" w:pos="1196" w:val="left"/>
        </w:tabs>
        <w:numPr>
          <w:ilvl w:val="0"/>
          <w:numId w:val="848"/>
        </w:numPr>
        <w:rPr>
          <w:rFonts w:ascii="Arial" w:cs="Arial" w:eastAsia="Arial" w:hAnsi="Arial"/>
          <w:sz w:val="19"/>
          <w:szCs w:val="19"/>
          <w:b w:val="1"/>
          <w:bCs w:val="1"/>
          <w:color w:val="auto"/>
        </w:rPr>
      </w:pPr>
      <w:r>
        <w:rPr>
          <w:rFonts w:ascii="Arial" w:cs="Arial" w:eastAsia="Arial" w:hAnsi="Arial"/>
          <w:sz w:val="20"/>
          <w:szCs w:val="20"/>
          <w:u w:val="single" w:color="auto"/>
          <w:color w:val="auto"/>
        </w:rPr>
        <w:t>Recognition of Claims</w:t>
      </w:r>
      <w:r>
        <w:rPr>
          <w:rFonts w:ascii="Arial" w:cs="Arial" w:eastAsia="Arial" w:hAnsi="Arial"/>
          <w:sz w:val="20"/>
          <w:szCs w:val="20"/>
          <w:color w:val="auto"/>
        </w:rPr>
        <w:t xml:space="preserve"> . The Original First Lien Agent (for itself and on behalf of the Original First Lien Secured Parties),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(for itself and on behalf of the [ ]i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Secured Parties) and [each of] the Additional Agent[s](for itself and on behalf of any Additional Credit Facility Secured Parties represented thereby) hereby agree that the interests of the respective Creditors in the Liens granted to the Original First Lien Agent,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or any Additional Agent, as applicable, under the applicable Credit Documents shall be treated, as among the Creditors, as having the priorities provided for in Section 2.01 of the Intercreditor Agreement, and shall at all times be allocated among the Creditors as provided therein regardless of any claim or defense (including any claims under the fraudulent transfer, preference or similar avoidance provisions of applicable bankruptcy, insolvency or other laws affecting the rights of creditors generally) to which the Original First Lien Agent,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any Additional Agent or any Creditor may be entitled or subject. The Original First Lien Agent (for itself and on behalf of the Original First Lien Secured Parties),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(for itself and on behalf of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Creditors), and any Additional Agent party to the Intercreditor Agreement (for itself and on behalf of any Additional Credit Facility Secured Parties represented thereby) (a) recognize the existence and validity of the Additional Obligations represented by the Additional Credit Facility, and (b) agree to refrain from making or asserting any claim that the Additional Credit Facility or other applicable Additional Documents are invalid or not enforceable in accordance with their terms as a result of the circumstances surrounding the incurrence of such obligations. The [Joining Additional Agent (for itself and on behalf of the Joining Additional Creditors)] (a) recognize[s] the</w:t>
      </w:r>
    </w:p>
    <w:p>
      <w:pPr>
        <w:spacing w:after="0" w:line="10" w:lineRule="exact"/>
        <w:rPr>
          <w:sz w:val="20"/>
          <w:szCs w:val="20"/>
          <w:color w:val="auto"/>
        </w:rPr>
      </w:pPr>
    </w:p>
    <w:p>
      <w:pPr>
        <w:jc w:val="both"/>
        <w:spacing w:after="0" w:line="206" w:lineRule="auto"/>
        <w:rPr>
          <w:sz w:val="20"/>
          <w:szCs w:val="20"/>
          <w:color w:val="auto"/>
        </w:rPr>
      </w:pPr>
      <w:r>
        <w:rPr>
          <w:rFonts w:ascii="Arial" w:cs="Arial" w:eastAsia="Arial" w:hAnsi="Arial"/>
          <w:sz w:val="22"/>
          <w:szCs w:val="22"/>
          <w:color w:val="auto"/>
        </w:rPr>
        <w:t xml:space="preserve">existence and validity of the Original First Lien Obligations and the existence and validity of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Obligations </w:t>
      </w:r>
      <w:r>
        <w:rPr>
          <w:rFonts w:ascii="Arial" w:cs="Arial" w:eastAsia="Arial" w:hAnsi="Arial"/>
          <w:sz w:val="28"/>
          <w:szCs w:val="28"/>
          <w:color w:val="auto"/>
          <w:vertAlign w:val="superscript"/>
        </w:rPr>
        <w:t>9</w:t>
      </w:r>
      <w:r>
        <w:rPr>
          <w:rFonts w:ascii="Arial" w:cs="Arial" w:eastAsia="Arial" w:hAnsi="Arial"/>
          <w:sz w:val="22"/>
          <w:szCs w:val="22"/>
          <w:color w:val="auto"/>
        </w:rPr>
        <w:t xml:space="preserve"> and (b) agree[s] to refrain from making or asserting any claim that the Original First Lien Credit Agreement,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 or other Original First Lien Documents or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Documents, </w:t>
      </w:r>
      <w:r>
        <w:rPr>
          <w:rFonts w:ascii="Arial" w:cs="Arial" w:eastAsia="Arial" w:hAnsi="Arial"/>
          <w:sz w:val="28"/>
          <w:szCs w:val="28"/>
          <w:color w:val="auto"/>
          <w:vertAlign w:val="superscript"/>
        </w:rPr>
        <w:t>10</w:t>
      </w:r>
      <w:r>
        <w:rPr>
          <w:rFonts w:ascii="Arial" w:cs="Arial" w:eastAsia="Arial" w:hAnsi="Arial"/>
          <w:sz w:val="22"/>
          <w:szCs w:val="22"/>
          <w:color w:val="auto"/>
        </w:rPr>
        <w:t xml:space="preserve"> as the case may be, are invalid or not enforceable in accordance with their terms as a result of the circumstances surrounding the incurrence of such obligations.</w:t>
      </w:r>
    </w:p>
    <w:p>
      <w:pPr>
        <w:spacing w:after="0" w:line="202" w:lineRule="exact"/>
        <w:rPr>
          <w:sz w:val="20"/>
          <w:szCs w:val="20"/>
          <w:color w:val="auto"/>
        </w:rPr>
      </w:pPr>
    </w:p>
    <w:p>
      <w:pPr>
        <w:jc w:val="both"/>
        <w:ind w:firstLine="656"/>
        <w:spacing w:after="0" w:line="259" w:lineRule="auto"/>
        <w:tabs>
          <w:tab w:leader="none" w:pos="1180" w:val="left"/>
        </w:tabs>
        <w:numPr>
          <w:ilvl w:val="1"/>
          <w:numId w:val="849"/>
        </w:numPr>
        <w:rPr>
          <w:rFonts w:ascii="Arial" w:cs="Arial" w:eastAsia="Arial" w:hAnsi="Arial"/>
          <w:sz w:val="20"/>
          <w:szCs w:val="20"/>
          <w:b w:val="1"/>
          <w:bCs w:val="1"/>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 Notices and other communications provided for under the Intercreditor Agreement to be provided to [the Joining Additional Agent] shall be sent to the address set forth on Annex 1 attached hereto (until notice of a change thereof is delivered as provided in Section 7.05 of the Intercreditor Agreement).</w:t>
      </w:r>
    </w:p>
    <w:p>
      <w:pPr>
        <w:spacing w:after="0" w:line="174" w:lineRule="exact"/>
        <w:rPr>
          <w:rFonts w:ascii="Arial" w:cs="Arial" w:eastAsia="Arial" w:hAnsi="Arial"/>
          <w:sz w:val="20"/>
          <w:szCs w:val="20"/>
          <w:b w:val="1"/>
          <w:bCs w:val="1"/>
          <w:color w:val="auto"/>
        </w:rPr>
      </w:pPr>
    </w:p>
    <w:p>
      <w:pPr>
        <w:ind w:left="1220" w:hanging="564"/>
        <w:spacing w:after="0"/>
        <w:tabs>
          <w:tab w:leader="none" w:pos="1220" w:val="left"/>
        </w:tabs>
        <w:numPr>
          <w:ilvl w:val="1"/>
          <w:numId w:val="849"/>
        </w:numPr>
        <w:rPr>
          <w:rFonts w:ascii="Arial" w:cs="Arial" w:eastAsia="Arial" w:hAnsi="Arial"/>
          <w:sz w:val="19"/>
          <w:szCs w:val="19"/>
          <w:b w:val="1"/>
          <w:bCs w:val="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 </w:t>
      </w:r>
      <w:r>
        <w:rPr>
          <w:rFonts w:ascii="Arial" w:cs="Arial" w:eastAsia="Arial" w:hAnsi="Arial"/>
          <w:sz w:val="21"/>
          <w:szCs w:val="21"/>
          <w:b w:val="1"/>
          <w:bCs w:val="1"/>
          <w:color w:val="auto"/>
        </w:rPr>
        <w:t>THIS JOINDER SHALL BE CONSTRUED AND ENFORCED IN ACCORDANCE WITH</w:t>
      </w:r>
    </w:p>
    <w:p>
      <w:pPr>
        <w:spacing w:after="0" w:line="38" w:lineRule="exact"/>
        <w:rPr>
          <w:rFonts w:ascii="Arial" w:cs="Arial" w:eastAsia="Arial" w:hAnsi="Arial"/>
          <w:sz w:val="19"/>
          <w:szCs w:val="19"/>
          <w:b w:val="1"/>
          <w:bCs w:val="1"/>
          <w:color w:val="auto"/>
        </w:rPr>
      </w:pPr>
    </w:p>
    <w:p>
      <w:pPr>
        <w:spacing w:after="0" w:line="259" w:lineRule="auto"/>
        <w:rPr>
          <w:rFonts w:ascii="Arial" w:cs="Arial" w:eastAsia="Arial" w:hAnsi="Arial"/>
          <w:sz w:val="19"/>
          <w:szCs w:val="19"/>
          <w:b w:val="1"/>
          <w:bCs w:val="1"/>
          <w:color w:val="auto"/>
        </w:rPr>
      </w:pPr>
      <w:r>
        <w:rPr>
          <w:rFonts w:ascii="Arial" w:cs="Arial" w:eastAsia="Arial" w:hAnsi="Arial"/>
          <w:sz w:val="22"/>
          <w:szCs w:val="22"/>
          <w:b w:val="1"/>
          <w:bCs w:val="1"/>
          <w:color w:val="auto"/>
        </w:rPr>
        <w:t>AND GOVERNED BY THE LAW OF THE STATE OF NEW YORK, WITHOUT REGARD TO ITS CONFLICT OF LAWS PRINCIPLES.</w:t>
      </w:r>
    </w:p>
    <w:p>
      <w:pPr>
        <w:spacing w:after="0" w:line="200" w:lineRule="exact"/>
        <w:rPr>
          <w:rFonts w:ascii="Arial" w:cs="Arial" w:eastAsia="Arial" w:hAnsi="Arial"/>
          <w:sz w:val="19"/>
          <w:szCs w:val="19"/>
          <w:b w:val="1"/>
          <w:bCs w:val="1"/>
          <w:color w:val="auto"/>
        </w:rPr>
      </w:pPr>
    </w:p>
    <w:p>
      <w:pPr>
        <w:spacing w:after="0" w:line="322" w:lineRule="exact"/>
        <w:rPr>
          <w:rFonts w:ascii="Arial" w:cs="Arial" w:eastAsia="Arial" w:hAnsi="Arial"/>
          <w:sz w:val="19"/>
          <w:szCs w:val="19"/>
          <w:b w:val="1"/>
          <w:bCs w:val="1"/>
          <w:color w:val="auto"/>
        </w:rPr>
      </w:pPr>
    </w:p>
    <w:p>
      <w:pPr>
        <w:ind w:left="660" w:hanging="652"/>
        <w:spacing w:after="0"/>
        <w:tabs>
          <w:tab w:leader="none" w:pos="660" w:val="left"/>
        </w:tabs>
        <w:numPr>
          <w:ilvl w:val="0"/>
          <w:numId w:val="850"/>
        </w:numPr>
        <w:rPr>
          <w:rFonts w:ascii="Arial" w:cs="Arial" w:eastAsia="Arial" w:hAnsi="Arial"/>
          <w:sz w:val="28"/>
          <w:szCs w:val="28"/>
          <w:color w:val="auto"/>
          <w:vertAlign w:val="superscript"/>
        </w:rPr>
      </w:pPr>
      <w:r>
        <w:rPr>
          <w:rFonts w:ascii="Arial" w:cs="Arial" w:eastAsia="Arial" w:hAnsi="Arial"/>
          <w:sz w:val="21"/>
          <w:szCs w:val="21"/>
          <w:color w:val="auto"/>
        </w:rPr>
        <w:t>Add reference to any previously added Additional Credit Facility and related Additional Obligations as appropriate.</w:t>
      </w:r>
    </w:p>
    <w:p>
      <w:pPr>
        <w:spacing w:after="0" w:line="89" w:lineRule="exact"/>
        <w:rPr>
          <w:rFonts w:ascii="Arial" w:cs="Arial" w:eastAsia="Arial" w:hAnsi="Arial"/>
          <w:sz w:val="28"/>
          <w:szCs w:val="28"/>
          <w:color w:val="auto"/>
          <w:vertAlign w:val="superscript"/>
        </w:rPr>
      </w:pPr>
    </w:p>
    <w:p>
      <w:pPr>
        <w:ind w:left="660" w:hanging="652"/>
        <w:spacing w:after="0" w:line="225" w:lineRule="auto"/>
        <w:tabs>
          <w:tab w:leader="none" w:pos="660" w:val="left"/>
        </w:tabs>
        <w:numPr>
          <w:ilvl w:val="0"/>
          <w:numId w:val="850"/>
        </w:numPr>
        <w:rPr>
          <w:rFonts w:ascii="Arial" w:cs="Arial" w:eastAsia="Arial" w:hAnsi="Arial"/>
          <w:sz w:val="28"/>
          <w:szCs w:val="28"/>
          <w:color w:val="auto"/>
          <w:vertAlign w:val="superscript"/>
        </w:rPr>
      </w:pPr>
      <w:r>
        <w:rPr>
          <w:rFonts w:ascii="Arial" w:cs="Arial" w:eastAsia="Arial" w:hAnsi="Arial"/>
          <w:sz w:val="21"/>
          <w:szCs w:val="21"/>
          <w:color w:val="auto"/>
        </w:rPr>
        <w:t>Add reference to any previously added Additional Credit Facility and related Additional Documents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-528320</wp:posOffset>
            </wp:positionV>
            <wp:extent cx="68580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27" w:name="page628"/>
    <w:bookmarkEnd w:id="627"/>
    <w:p>
      <w:pPr>
        <w:ind w:firstLine="648"/>
        <w:spacing w:after="0" w:line="263" w:lineRule="auto"/>
        <w:rPr>
          <w:sz w:val="20"/>
          <w:szCs w:val="20"/>
          <w:color w:val="auto"/>
        </w:rPr>
      </w:pPr>
      <w:r>
        <w:rPr>
          <w:rFonts w:ascii="Arial" w:cs="Arial" w:eastAsia="Arial" w:hAnsi="Arial"/>
          <w:sz w:val="22"/>
          <w:szCs w:val="22"/>
          <w:color w:val="auto"/>
        </w:rPr>
        <w:t>IN WITNESS WHEREOF, the undersigned has caused this Joinder to be duly executed by its duly authorized officer or other representative, all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-17780</wp:posOffset>
            </wp:positionV>
            <wp:extent cx="82296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82296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28" w:name="page629"/>
    <w:bookmarkEnd w:id="628"/>
    <w:p>
      <w:pPr>
        <w:ind w:left="7440"/>
        <w:spacing w:after="0"/>
        <w:rPr>
          <w:sz w:val="20"/>
          <w:szCs w:val="20"/>
          <w:color w:val="auto"/>
        </w:rPr>
      </w:pPr>
      <w:r>
        <w:rPr>
          <w:rFonts w:ascii="Arial" w:cs="Arial" w:eastAsia="Arial" w:hAnsi="Arial"/>
          <w:sz w:val="19"/>
          <w:szCs w:val="19"/>
          <w:b w:val="1"/>
          <w:bCs w:val="1"/>
          <w:color w:val="auto"/>
        </w:rPr>
        <w:t>Exhibit C to the Intercreditor Agreement</w:t>
      </w:r>
    </w:p>
    <w:p>
      <w:pPr>
        <w:sectPr>
          <w:pgSz w:w="11900" w:h="16838" w:orient="portrait"/>
          <w:cols w:equalWidth="0" w:num="1">
            <w:col w:w="11240"/>
          </w:cols>
          <w:pgMar w:left="320" w:top="558" w:right="339" w:bottom="1440" w:gutter="0" w:footer="0" w:header="0"/>
        </w:sectPr>
      </w:pPr>
    </w:p>
    <w:p>
      <w:pPr>
        <w:spacing w:after="0" w:line="254" w:lineRule="exact"/>
        <w:rPr>
          <w:sz w:val="20"/>
          <w:szCs w:val="20"/>
          <w:color w:val="auto"/>
        </w:rPr>
      </w:pPr>
    </w:p>
    <w:p>
      <w:pPr>
        <w:ind w:left="2740" w:firstLine="118"/>
        <w:spacing w:after="0" w:line="435" w:lineRule="auto"/>
        <w:rPr>
          <w:sz w:val="20"/>
          <w:szCs w:val="20"/>
          <w:color w:val="auto"/>
        </w:rPr>
      </w:pPr>
      <w:r>
        <w:rPr>
          <w:rFonts w:ascii="Arial" w:cs="Arial" w:eastAsia="Arial" w:hAnsi="Arial"/>
          <w:sz w:val="16"/>
          <w:szCs w:val="16"/>
          <w:b w:val="1"/>
          <w:bCs w:val="1"/>
          <w:color w:val="auto"/>
        </w:rPr>
        <w:t xml:space="preserve">III. </w:t>
      </w:r>
      <w:r>
        <w:rPr>
          <w:rFonts w:ascii="Arial" w:cs="Arial" w:eastAsia="Arial" w:hAnsi="Arial"/>
          <w:sz w:val="17"/>
          <w:szCs w:val="17"/>
          <w:b w:val="1"/>
          <w:bCs w:val="1"/>
          <w:color w:val="auto"/>
        </w:rPr>
        <w:t>[ORIGINAL FIRST LIEN CREDIT AGREEMENT][[</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[FIRST/SECOND LIEN] CREDIT AGREEMENT] JOINDER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541" w:lineRule="exact"/>
        <w:rPr>
          <w:sz w:val="20"/>
          <w:szCs w:val="20"/>
          <w:color w:val="auto"/>
        </w:rPr>
      </w:pPr>
    </w:p>
    <w:p>
      <w:pPr>
        <w:sectPr>
          <w:pgSz w:w="11900" w:h="16838" w:orient="portrait"/>
          <w:cols w:equalWidth="0" w:num="2">
            <w:col w:w="8520" w:space="460"/>
            <w:col w:w="2260"/>
          </w:cols>
          <w:pgMar w:left="320" w:top="558" w:right="339" w:bottom="1440" w:gutter="0" w:footer="0" w:header="0"/>
          <w:type w:val="continuous"/>
        </w:sectPr>
      </w:pPr>
    </w:p>
    <w:p>
      <w:pPr>
        <w:ind w:left="660"/>
        <w:spacing w:after="0"/>
        <w:tabs>
          <w:tab w:leader="none" w:pos="3160" w:val="left"/>
        </w:tabs>
        <w:rPr>
          <w:sz w:val="20"/>
          <w:szCs w:val="20"/>
          <w:color w:val="auto"/>
        </w:rPr>
      </w:pPr>
      <w:r>
        <w:rPr>
          <w:rFonts w:ascii="Arial" w:cs="Arial" w:eastAsia="Arial" w:hAnsi="Arial"/>
          <w:sz w:val="22"/>
          <w:szCs w:val="22"/>
          <w:color w:val="auto"/>
        </w:rPr>
        <w:t>JOINDER, dated as of</w:t>
      </w:r>
      <w:r>
        <w:rPr>
          <w:sz w:val="20"/>
          <w:szCs w:val="20"/>
          <w:color w:val="auto"/>
        </w:rPr>
        <w:tab/>
      </w:r>
      <w:r>
        <w:rPr>
          <w:rFonts w:ascii="Arial" w:cs="Arial" w:eastAsia="Arial" w:hAnsi="Arial"/>
          <w:sz w:val="19"/>
          <w:szCs w:val="19"/>
          <w:color w:val="auto"/>
        </w:rPr>
        <w:t>, 20__, among [ ], in its capacity as collateral agent (together with its successors and assigns</w:t>
      </w:r>
    </w:p>
    <w:p>
      <w:pPr>
        <w:sectPr>
          <w:pgSz w:w="11900" w:h="16838" w:orient="portrait"/>
          <w:cols w:equalWidth="0" w:num="1">
            <w:col w:w="11240"/>
          </w:cols>
          <w:pgMar w:left="320" w:top="558" w:right="339" w:bottom="1440" w:gutter="0" w:footer="0" w:header="0"/>
          <w:type w:val="continuous"/>
        </w:sectPr>
      </w:pPr>
    </w:p>
    <w:p>
      <w:pPr>
        <w:spacing w:after="0" w:line="21" w:lineRule="exact"/>
        <w:rPr>
          <w:sz w:val="20"/>
          <w:szCs w:val="20"/>
          <w:color w:val="auto"/>
        </w:rPr>
      </w:pPr>
    </w:p>
    <w:p>
      <w:pPr>
        <w:jc w:val="both"/>
        <w:spacing w:after="0" w:line="222" w:lineRule="auto"/>
        <w:rPr>
          <w:sz w:val="20"/>
          <w:szCs w:val="20"/>
          <w:color w:val="auto"/>
        </w:rPr>
      </w:pPr>
      <w:r>
        <w:rPr>
          <w:rFonts w:ascii="Arial" w:cs="Arial" w:eastAsia="Arial" w:hAnsi="Arial"/>
          <w:sz w:val="20"/>
          <w:szCs w:val="20"/>
          <w:color w:val="auto"/>
        </w:rPr>
        <w:t xml:space="preserve">in such capacity from time to time, and as further defined in the Intercreditor Agreement, the “ </w:t>
      </w:r>
      <w:r>
        <w:rPr>
          <w:rFonts w:ascii="Arial" w:cs="Arial" w:eastAsia="Arial" w:hAnsi="Arial"/>
          <w:sz w:val="20"/>
          <w:szCs w:val="20"/>
          <w:u w:val="single" w:color="auto"/>
          <w:color w:val="auto"/>
        </w:rPr>
        <w:t>Original First Lien Agent</w:t>
      </w:r>
      <w:r>
        <w:rPr>
          <w:rFonts w:ascii="Arial" w:cs="Arial" w:eastAsia="Arial" w:hAnsi="Arial"/>
          <w:sz w:val="20"/>
          <w:szCs w:val="20"/>
          <w:color w:val="auto"/>
        </w:rPr>
        <w:t xml:space="preserve"> ”) </w:t>
      </w:r>
      <w:r>
        <w:rPr>
          <w:rFonts w:ascii="Arial" w:cs="Arial" w:eastAsia="Arial" w:hAnsi="Arial"/>
          <w:sz w:val="26"/>
          <w:szCs w:val="26"/>
          <w:color w:val="auto"/>
          <w:vertAlign w:val="superscript"/>
        </w:rPr>
        <w:t>xii</w:t>
      </w:r>
      <w:r>
        <w:rPr>
          <w:rFonts w:ascii="Arial" w:cs="Arial" w:eastAsia="Arial" w:hAnsi="Arial"/>
          <w:sz w:val="20"/>
          <w:szCs w:val="20"/>
          <w:color w:val="auto"/>
        </w:rPr>
        <w:t xml:space="preserve"> for the Original First Lien Secured Parties, [ ], in its capacity as collateral agent (together with its successors and assigns in such capacity from time to time, and as further defined in the Intercreditor Agreement,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[First/Second]ii Lien Agent”) </w:t>
      </w:r>
      <w:r>
        <w:rPr>
          <w:rFonts w:ascii="Arial" w:cs="Arial" w:eastAsia="Arial" w:hAnsi="Arial"/>
          <w:sz w:val="26"/>
          <w:szCs w:val="26"/>
          <w:color w:val="auto"/>
          <w:vertAlign w:val="superscript"/>
        </w:rPr>
        <w:t>xiii</w:t>
      </w:r>
      <w:r>
        <w:rPr>
          <w:rFonts w:ascii="Arial" w:cs="Arial" w:eastAsia="Arial" w:hAnsi="Arial"/>
          <w:sz w:val="20"/>
          <w:szCs w:val="20"/>
          <w:color w:val="auto"/>
        </w:rPr>
        <w:t xml:space="preserve"> for the</w:t>
      </w:r>
    </w:p>
    <w:p>
      <w:pPr>
        <w:jc w:val="both"/>
        <w:ind w:firstLine="8"/>
        <w:spacing w:after="0" w:line="212" w:lineRule="auto"/>
        <w:tabs>
          <w:tab w:leader="none" w:pos="139" w:val="left"/>
        </w:tabs>
        <w:numPr>
          <w:ilvl w:val="0"/>
          <w:numId w:val="851"/>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Secured Parties, [list any previously added Additional Agent] [and insert name of additional Original First Lien Secured Parties, Original First Lien Agent,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Secured Parties or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[First/Second]ii Lien Agent, as applicable, being added hereby as party] and any successors or assigns thereof, to the Intercreditor Agreement dated as of [ ], 20[__] (as amended, supplemented, waived or otherwise modified from time to time, the “Intercreditor Agreement”) among the Original First Lien Agent </w:t>
      </w:r>
      <w:r>
        <w:rPr>
          <w:rFonts w:ascii="Arial" w:cs="Arial" w:eastAsia="Arial" w:hAnsi="Arial"/>
          <w:sz w:val="28"/>
          <w:szCs w:val="28"/>
          <w:color w:val="auto"/>
          <w:vertAlign w:val="superscript"/>
        </w:rPr>
        <w:t>xiv</w:t>
      </w:r>
      <w:r>
        <w:rPr>
          <w:rFonts w:ascii="Arial" w:cs="Arial" w:eastAsia="Arial" w:hAnsi="Arial"/>
          <w:sz w:val="22"/>
          <w:szCs w:val="22"/>
          <w:color w:val="auto"/>
        </w:rPr>
        <w:t xml:space="preserve"> , [and]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w:t>
      </w:r>
      <w:r>
        <w:rPr>
          <w:rFonts w:ascii="Arial" w:cs="Arial" w:eastAsia="Arial" w:hAnsi="Arial"/>
          <w:sz w:val="28"/>
          <w:szCs w:val="28"/>
          <w:color w:val="auto"/>
          <w:vertAlign w:val="superscript"/>
        </w:rPr>
        <w:t>xv</w:t>
      </w:r>
      <w:r>
        <w:rPr>
          <w:rFonts w:ascii="Arial" w:cs="Arial" w:eastAsia="Arial" w:hAnsi="Arial"/>
          <w:sz w:val="22"/>
          <w:szCs w:val="22"/>
          <w:color w:val="auto"/>
        </w:rPr>
        <w:t xml:space="preserve"> [and (list any previously added Additional Agent)]. Capitalized terms used herein and not otherwise defined herein shall have the meaning specified in the Intercreditor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0" w:type="dxa"/>
            <w:vAlign w:val="bottom"/>
            <w:gridSpan w:val="7"/>
          </w:tcPr>
          <w:p>
            <w:pPr>
              <w:ind w:left="660"/>
              <w:spacing w:after="0"/>
              <w:rPr>
                <w:sz w:val="20"/>
                <w:szCs w:val="20"/>
                <w:color w:val="auto"/>
              </w:rPr>
            </w:pPr>
            <w:r>
              <w:rPr>
                <w:rFonts w:ascii="Arial" w:cs="Arial" w:eastAsia="Arial" w:hAnsi="Arial"/>
                <w:sz w:val="22"/>
                <w:szCs w:val="22"/>
                <w:color w:val="auto"/>
                <w:w w:val="93"/>
              </w:rPr>
              <w:t>Reference is made to that certain [insert name of new facility], dated as of</w:t>
            </w:r>
          </w:p>
        </w:tc>
        <w:tc>
          <w:tcPr>
            <w:tcW w:w="3840" w:type="dxa"/>
            <w:vAlign w:val="bottom"/>
            <w:gridSpan w:val="2"/>
          </w:tcPr>
          <w:p>
            <w:pPr>
              <w:jc w:val="right"/>
              <w:spacing w:after="0"/>
              <w:rPr>
                <w:sz w:val="20"/>
                <w:szCs w:val="20"/>
                <w:color w:val="auto"/>
              </w:rPr>
            </w:pPr>
            <w:r>
              <w:rPr>
                <w:rFonts w:ascii="Arial" w:cs="Arial" w:eastAsia="Arial" w:hAnsi="Arial"/>
                <w:sz w:val="22"/>
                <w:szCs w:val="22"/>
                <w:color w:val="auto"/>
              </w:rPr>
              <w:t>, 20__ (the “ Joining [Original First Lien</w:t>
            </w:r>
          </w:p>
        </w:tc>
      </w:tr>
      <w:tr>
        <w:trPr>
          <w:trHeight w:val="20"/>
        </w:trPr>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250"/>
        </w:trPr>
        <w:tc>
          <w:tcPr>
            <w:tcW w:w="2160" w:type="dxa"/>
            <w:vAlign w:val="bottom"/>
            <w:gridSpan w:val="2"/>
          </w:tcPr>
          <w:p>
            <w:pPr>
              <w:spacing w:after="0" w:line="250" w:lineRule="exact"/>
              <w:rPr>
                <w:sz w:val="20"/>
                <w:szCs w:val="20"/>
                <w:color w:val="auto"/>
              </w:rPr>
            </w:pPr>
            <w:r>
              <w:rPr>
                <w:rFonts w:ascii="Arial" w:cs="Arial" w:eastAsia="Arial" w:hAnsi="Arial"/>
                <w:sz w:val="22"/>
                <w:szCs w:val="22"/>
                <w:color w:val="auto"/>
              </w:rPr>
              <w:t>Credit Agreement ][ [</w:t>
            </w:r>
          </w:p>
        </w:tc>
        <w:tc>
          <w:tcPr>
            <w:tcW w:w="9080" w:type="dxa"/>
            <w:vAlign w:val="bottom"/>
            <w:gridSpan w:val="7"/>
          </w:tcPr>
          <w:p>
            <w:pPr>
              <w:jc w:val="right"/>
              <w:ind w:right="20"/>
              <w:spacing w:after="0" w:line="250" w:lineRule="exact"/>
              <w:rPr>
                <w:sz w:val="20"/>
                <w:szCs w:val="20"/>
                <w:color w:val="auto"/>
              </w:rPr>
            </w:pPr>
            <w:r>
              <w:rPr>
                <w:rFonts w:ascii="Arial" w:cs="Arial" w:eastAsia="Arial" w:hAnsi="Arial"/>
                <w:sz w:val="22"/>
                <w:szCs w:val="22"/>
                <w:color w:val="auto"/>
                <w:w w:val="98"/>
              </w:rPr>
              <w:t xml:space="preserve">] </w:t>
            </w:r>
            <w:r>
              <w:rPr>
                <w:rFonts w:ascii="Arial" w:cs="Arial" w:eastAsia="Arial" w:hAnsi="Arial"/>
                <w:sz w:val="28"/>
                <w:szCs w:val="28"/>
                <w:color w:val="auto"/>
                <w:w w:val="98"/>
                <w:vertAlign w:val="superscript"/>
              </w:rPr>
              <w:t>i</w:t>
            </w:r>
            <w:r>
              <w:rPr>
                <w:rFonts w:ascii="Arial" w:cs="Arial" w:eastAsia="Arial" w:hAnsi="Arial"/>
                <w:sz w:val="22"/>
                <w:szCs w:val="22"/>
                <w:color w:val="auto"/>
                <w:w w:val="98"/>
              </w:rPr>
              <w:t xml:space="preserve"> [ First/Second ] </w:t>
            </w:r>
            <w:r>
              <w:rPr>
                <w:rFonts w:ascii="Arial" w:cs="Arial" w:eastAsia="Arial" w:hAnsi="Arial"/>
                <w:sz w:val="28"/>
                <w:szCs w:val="28"/>
                <w:color w:val="auto"/>
                <w:w w:val="98"/>
                <w:vertAlign w:val="superscript"/>
              </w:rPr>
              <w:t>ii</w:t>
            </w:r>
            <w:r>
              <w:rPr>
                <w:rFonts w:ascii="Arial" w:cs="Arial" w:eastAsia="Arial" w:hAnsi="Arial"/>
                <w:sz w:val="22"/>
                <w:szCs w:val="22"/>
                <w:color w:val="auto"/>
                <w:w w:val="98"/>
              </w:rPr>
              <w:t xml:space="preserve"> Lien Credit Agreement ]”), among [list any applicable Credit Party], [list any</w:t>
            </w:r>
          </w:p>
        </w:tc>
      </w:tr>
      <w:tr>
        <w:trPr>
          <w:trHeight w:val="20"/>
        </w:trPr>
        <w:tc>
          <w:tcPr>
            <w:tcW w:w="1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spacing w:after="0" w:line="210" w:lineRule="auto"/>
        <w:rPr>
          <w:sz w:val="20"/>
          <w:szCs w:val="20"/>
          <w:color w:val="auto"/>
        </w:rPr>
      </w:pPr>
      <w:r>
        <w:rPr>
          <w:rFonts w:ascii="Arial" w:cs="Arial" w:eastAsia="Arial" w:hAnsi="Arial"/>
          <w:sz w:val="20"/>
          <w:szCs w:val="20"/>
          <w:color w:val="auto"/>
        </w:rPr>
        <w:t xml:space="preserve">applicable new Original First Lien Secured Parties or new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[First/Second]ii Lien Secured Parties, as applicable (the “Joining [Original First][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 Lien Secured Parties”)] [and insert name of each applicable Agent (the “Joining [Original</w:t>
      </w:r>
    </w:p>
    <w:p>
      <w:pPr>
        <w:spacing w:after="0" w:line="2"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First][ [</w:t>
      </w:r>
      <w:r>
        <w:rPr>
          <w:sz w:val="20"/>
          <w:szCs w:val="20"/>
          <w:color w:val="auto"/>
        </w:rPr>
        <w:tab/>
      </w:r>
      <w:r>
        <w:rPr>
          <w:rFonts w:ascii="Arial" w:cs="Arial" w:eastAsia="Arial" w:hAnsi="Arial"/>
          <w:sz w:val="20"/>
          <w:szCs w:val="20"/>
          <w:color w:val="auto"/>
        </w:rPr>
        <w:t xml:space="preserve">]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 Lien Agent”)]. </w:t>
      </w:r>
      <w:r>
        <w:rPr>
          <w:rFonts w:ascii="Arial" w:cs="Arial" w:eastAsia="Arial" w:hAnsi="Arial"/>
          <w:sz w:val="26"/>
          <w:szCs w:val="26"/>
          <w:color w:val="auto"/>
          <w:vertAlign w:val="superscript"/>
        </w:rPr>
        <w:t>xvi</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The Joining [First][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 Lien Agent, for itself and on behalf of the Joining [First][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w:t>
      </w:r>
    </w:p>
    <w:p>
      <w:pPr>
        <w:ind w:firstLine="8"/>
        <w:spacing w:after="0" w:line="247" w:lineRule="auto"/>
        <w:tabs>
          <w:tab w:leader="none" w:pos="273" w:val="left"/>
        </w:tabs>
        <w:numPr>
          <w:ilvl w:val="0"/>
          <w:numId w:val="852"/>
        </w:numPr>
        <w:rPr>
          <w:rFonts w:ascii="Arial" w:cs="Arial" w:eastAsia="Arial" w:hAnsi="Arial"/>
          <w:sz w:val="27"/>
          <w:szCs w:val="27"/>
          <w:color w:val="auto"/>
          <w:vertAlign w:val="superscript"/>
        </w:rPr>
      </w:pPr>
      <w:r>
        <w:rPr>
          <w:rFonts w:ascii="Arial" w:cs="Arial" w:eastAsia="Arial" w:hAnsi="Arial"/>
          <w:sz w:val="20"/>
          <w:szCs w:val="20"/>
          <w:color w:val="auto"/>
        </w:rPr>
        <w:t xml:space="preserve">Lien Secured Parties, hereby agrees with the Original First Lien Borrower and the other Grantors, the [Original First][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 Lien Agent and any other Additional Agent party to the Intercreditor Agreement as follows:</w:t>
      </w:r>
    </w:p>
    <w:p>
      <w:pPr>
        <w:spacing w:after="0" w:line="89" w:lineRule="exact"/>
        <w:rPr>
          <w:rFonts w:ascii="Arial" w:cs="Arial" w:eastAsia="Arial" w:hAnsi="Arial"/>
          <w:sz w:val="27"/>
          <w:szCs w:val="27"/>
          <w:color w:val="auto"/>
          <w:vertAlign w:val="superscript"/>
        </w:rPr>
      </w:pPr>
    </w:p>
    <w:p>
      <w:pPr>
        <w:jc w:val="both"/>
        <w:ind w:right="60" w:firstLine="656"/>
        <w:spacing w:after="0"/>
        <w:tabs>
          <w:tab w:leader="none" w:pos="1139" w:val="left"/>
        </w:tabs>
        <w:numPr>
          <w:ilvl w:val="1"/>
          <w:numId w:val="852"/>
        </w:numPr>
        <w:rPr>
          <w:rFonts w:ascii="Arial" w:cs="Arial" w:eastAsia="Arial" w:hAnsi="Arial"/>
          <w:sz w:val="18"/>
          <w:szCs w:val="18"/>
          <w:b w:val="1"/>
          <w:bCs w:val="1"/>
          <w:color w:val="auto"/>
        </w:rPr>
      </w:pPr>
      <w:r>
        <w:rPr>
          <w:rFonts w:ascii="Arial" w:cs="Arial" w:eastAsia="Arial" w:hAnsi="Arial"/>
          <w:sz w:val="19"/>
          <w:szCs w:val="19"/>
          <w:u w:val="single" w:color="auto"/>
          <w:color w:val="auto"/>
        </w:rPr>
        <w:t>Agreement to be Bound</w:t>
      </w:r>
      <w:r>
        <w:rPr>
          <w:rFonts w:ascii="Arial" w:cs="Arial" w:eastAsia="Arial" w:hAnsi="Arial"/>
          <w:sz w:val="19"/>
          <w:szCs w:val="19"/>
          <w:color w:val="auto"/>
        </w:rPr>
        <w:t xml:space="preserve"> . The [Joining [First][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 Lien Agent, for itself and on behalf of the Joining [First][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Secured Parties,] </w:t>
      </w:r>
      <w:r>
        <w:rPr>
          <w:rFonts w:ascii="Arial" w:cs="Arial" w:eastAsia="Arial" w:hAnsi="Arial"/>
          <w:sz w:val="25"/>
          <w:szCs w:val="25"/>
          <w:color w:val="auto"/>
          <w:vertAlign w:val="superscript"/>
        </w:rPr>
        <w:t>xviii</w:t>
      </w:r>
      <w:r>
        <w:rPr>
          <w:rFonts w:ascii="Arial" w:cs="Arial" w:eastAsia="Arial" w:hAnsi="Arial"/>
          <w:sz w:val="19"/>
          <w:szCs w:val="19"/>
          <w:color w:val="auto"/>
        </w:rPr>
        <w:t xml:space="preserve"> hereby agrees to be bound by the terms and provisions of the Intercreditor Agreement and shall, as of the date hereof, be deemed to be a party to the Intercreditor Agreement as [the][a] [First]</w:t>
      </w:r>
    </w:p>
    <w:p>
      <w:pPr>
        <w:spacing w:after="0" w:line="2" w:lineRule="exact"/>
        <w:rPr>
          <w:sz w:val="20"/>
          <w:szCs w:val="20"/>
          <w:color w:val="auto"/>
        </w:rPr>
      </w:pPr>
    </w:p>
    <w:p>
      <w:pPr>
        <w:ind w:right="40"/>
        <w:spacing w:after="0" w:line="207" w:lineRule="auto"/>
        <w:rPr>
          <w:sz w:val="20"/>
          <w:szCs w:val="20"/>
          <w:color w:val="auto"/>
        </w:rPr>
      </w:pPr>
      <w:r>
        <w:rPr>
          <w:rFonts w:ascii="Arial" w:cs="Arial" w:eastAsia="Arial" w:hAnsi="Arial"/>
          <w:sz w:val="22"/>
          <w:szCs w:val="22"/>
          <w:color w:val="auto"/>
        </w:rPr>
        <w:t xml:space="preserv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 Lien Agent. As of the date hereof, the Joining [Original First Lien Credit Agreement][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Agreement] shall be deemed [the][a] [Original First Lien Credit Agreement][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Agreement] under the Intercreditor Agreement, and the obligations thereunder are subject to the terms and provisions of the Intercreditor Agreement.</w:t>
      </w:r>
    </w:p>
    <w:p>
      <w:pPr>
        <w:spacing w:after="0" w:line="203" w:lineRule="exact"/>
        <w:rPr>
          <w:sz w:val="20"/>
          <w:szCs w:val="20"/>
          <w:color w:val="auto"/>
        </w:rPr>
      </w:pPr>
    </w:p>
    <w:p>
      <w:pPr>
        <w:ind w:right="120" w:firstLine="656"/>
        <w:spacing w:after="0" w:line="250" w:lineRule="auto"/>
        <w:tabs>
          <w:tab w:leader="none" w:pos="1129" w:val="left"/>
        </w:tabs>
        <w:numPr>
          <w:ilvl w:val="0"/>
          <w:numId w:val="853"/>
        </w:numPr>
        <w:rPr>
          <w:rFonts w:ascii="Arial" w:cs="Arial" w:eastAsia="Arial" w:hAnsi="Arial"/>
          <w:sz w:val="19"/>
          <w:szCs w:val="19"/>
          <w:b w:val="1"/>
          <w:bCs w:val="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 Notices and other communications provided for under the Intercreditor Agreement to be provided to the Joining [First][ [ ] </w:t>
      </w:r>
      <w:r>
        <w:rPr>
          <w:rFonts w:ascii="Arial" w:cs="Arial" w:eastAsia="Arial" w:hAnsi="Arial"/>
          <w:sz w:val="27"/>
          <w:szCs w:val="27"/>
          <w:color w:val="auto"/>
          <w:vertAlign w:val="superscript"/>
        </w:rPr>
        <w:t>i</w:t>
      </w:r>
      <w:r>
        <w:rPr>
          <w:rFonts w:ascii="Arial" w:cs="Arial" w:eastAsia="Arial" w:hAnsi="Arial"/>
          <w:sz w:val="21"/>
          <w:szCs w:val="21"/>
          <w:color w:val="auto"/>
        </w:rPr>
        <w:t xml:space="preserve"> [First/Second] </w:t>
      </w:r>
      <w:r>
        <w:rPr>
          <w:rFonts w:ascii="Arial" w:cs="Arial" w:eastAsia="Arial" w:hAnsi="Arial"/>
          <w:sz w:val="27"/>
          <w:szCs w:val="27"/>
          <w:color w:val="auto"/>
          <w:vertAlign w:val="superscript"/>
        </w:rPr>
        <w:t>ii</w:t>
      </w:r>
      <w:r>
        <w:rPr>
          <w:rFonts w:ascii="Arial" w:cs="Arial" w:eastAsia="Arial" w:hAnsi="Arial"/>
          <w:sz w:val="21"/>
          <w:szCs w:val="21"/>
          <w:color w:val="auto"/>
        </w:rPr>
        <w:t xml:space="preserve"> ] Lien Agent shall be sent to the address set forth on Annex 1 attached hereto (until notice of a change thereof is delivered as provided in Section 7.05 of the Intercreditor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629" w:name="page630"/>
    <w:bookmarkEnd w:id="629"/>
    <w:p>
      <w:pPr>
        <w:ind w:left="1140" w:hanging="484"/>
        <w:spacing w:after="0"/>
        <w:tabs>
          <w:tab w:leader="none" w:pos="1140" w:val="left"/>
        </w:tabs>
        <w:numPr>
          <w:ilvl w:val="0"/>
          <w:numId w:val="854"/>
        </w:numPr>
        <w:rPr>
          <w:rFonts w:ascii="Arial" w:cs="Arial" w:eastAsia="Arial" w:hAnsi="Arial"/>
          <w:sz w:val="19"/>
          <w:szCs w:val="19"/>
          <w:b w:val="1"/>
          <w:bCs w:val="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 </w:t>
      </w:r>
      <w:r>
        <w:rPr>
          <w:rFonts w:ascii="Arial" w:cs="Arial" w:eastAsia="Arial" w:hAnsi="Arial"/>
          <w:sz w:val="21"/>
          <w:szCs w:val="21"/>
          <w:b w:val="1"/>
          <w:bCs w:val="1"/>
          <w:color w:val="auto"/>
        </w:rPr>
        <w:t>THIS JOINDER SHALL BE CONSTRUED AND ENFORCED IN ACCORDANCE WITH</w:t>
      </w:r>
    </w:p>
    <w:p>
      <w:pPr>
        <w:spacing w:after="0" w:line="38" w:lineRule="exact"/>
        <w:rPr>
          <w:rFonts w:ascii="Arial" w:cs="Arial" w:eastAsia="Arial" w:hAnsi="Arial"/>
          <w:sz w:val="19"/>
          <w:szCs w:val="19"/>
          <w:b w:val="1"/>
          <w:bCs w:val="1"/>
          <w:color w:val="auto"/>
        </w:rPr>
      </w:pPr>
    </w:p>
    <w:p>
      <w:pPr>
        <w:ind w:right="100"/>
        <w:spacing w:after="0" w:line="259" w:lineRule="auto"/>
        <w:rPr>
          <w:rFonts w:ascii="Arial" w:cs="Arial" w:eastAsia="Arial" w:hAnsi="Arial"/>
          <w:sz w:val="19"/>
          <w:szCs w:val="19"/>
          <w:b w:val="1"/>
          <w:bCs w:val="1"/>
          <w:color w:val="auto"/>
        </w:rPr>
      </w:pPr>
      <w:r>
        <w:rPr>
          <w:rFonts w:ascii="Arial" w:cs="Arial" w:eastAsia="Arial" w:hAnsi="Arial"/>
          <w:sz w:val="22"/>
          <w:szCs w:val="22"/>
          <w:b w:val="1"/>
          <w:bCs w:val="1"/>
          <w:color w:val="auto"/>
        </w:rPr>
        <w:t>AND GOVERNED BY THE LAW OF THE STATE OF NEW YORK, WITHOUT REGARD TO ITS CONFLICT OF LAWS PRINCIPLES.</w:t>
      </w:r>
    </w:p>
    <w:p>
      <w:pPr>
        <w:spacing w:after="0" w:line="39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C- 2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558" w:right="579" w:bottom="1440" w:gutter="0" w:footer="0" w:header="0"/>
        </w:sectPr>
      </w:pPr>
    </w:p>
    <w:bookmarkStart w:id="630" w:name="page631"/>
    <w:bookmarkEnd w:id="630"/>
    <w:p>
      <w:pPr>
        <w:jc w:val="right"/>
        <w:spacing w:after="0"/>
        <w:rPr>
          <w:sz w:val="20"/>
          <w:szCs w:val="20"/>
          <w:color w:val="auto"/>
        </w:rPr>
      </w:pPr>
      <w:r>
        <w:rPr>
          <w:rFonts w:ascii="Arial" w:cs="Arial" w:eastAsia="Arial" w:hAnsi="Arial"/>
          <w:sz w:val="22"/>
          <w:szCs w:val="22"/>
          <w:b w:val="1"/>
          <w:bCs w:val="1"/>
          <w:color w:val="auto"/>
        </w:rPr>
        <w:t>Exhibit C to the Intercreditor Agreement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undersigned has caused this Joinder to be duly executed by its duly authorized officer or other representative, all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-17780</wp:posOffset>
            </wp:positionV>
            <wp:extent cx="82296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82296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631" w:name="page632"/>
    <w:bookmarkEnd w:id="631"/>
    <w:p>
      <w:pPr>
        <w:ind w:left="7440"/>
        <w:spacing w:after="0"/>
        <w:rPr>
          <w:sz w:val="20"/>
          <w:szCs w:val="20"/>
          <w:color w:val="auto"/>
        </w:rPr>
      </w:pPr>
      <w:r>
        <w:rPr>
          <w:rFonts w:ascii="Arial" w:cs="Arial" w:eastAsia="Arial" w:hAnsi="Arial"/>
          <w:sz w:val="19"/>
          <w:szCs w:val="19"/>
          <w:b w:val="1"/>
          <w:bCs w:val="1"/>
          <w:color w:val="auto"/>
        </w:rPr>
        <w:t>Exhibit D to the Intercreditor Agreement</w:t>
      </w:r>
    </w:p>
    <w:p>
      <w:pPr>
        <w:sectPr>
          <w:pgSz w:w="11900" w:h="16838" w:orient="portrait"/>
          <w:cols w:equalWidth="0" w:num="1">
            <w:col w:w="11240"/>
          </w:cols>
          <w:pgMar w:left="320" w:top="558" w:right="339" w:bottom="1440" w:gutter="0" w:footer="0" w:header="0"/>
        </w:sectPr>
      </w:pPr>
    </w:p>
    <w:p>
      <w:pPr>
        <w:spacing w:after="0" w:line="272" w:lineRule="exact"/>
        <w:rPr>
          <w:sz w:val="20"/>
          <w:szCs w:val="20"/>
          <w:color w:val="auto"/>
        </w:rPr>
      </w:pPr>
    </w:p>
    <w:p>
      <w:pPr>
        <w:ind w:left="5640"/>
        <w:spacing w:after="0"/>
        <w:rPr>
          <w:sz w:val="20"/>
          <w:szCs w:val="20"/>
          <w:color w:val="auto"/>
        </w:rPr>
      </w:pPr>
      <w:r>
        <w:rPr>
          <w:rFonts w:ascii="Arial" w:cs="Arial" w:eastAsia="Arial" w:hAnsi="Arial"/>
          <w:sz w:val="19"/>
          <w:szCs w:val="19"/>
          <w:b w:val="1"/>
          <w:bCs w:val="1"/>
          <w:color w:val="auto"/>
        </w:rPr>
        <w:t>IV.</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TRUSTEE JOINDER</w:t>
      </w:r>
    </w:p>
    <w:p>
      <w:pPr>
        <w:spacing w:after="0" w:line="200" w:lineRule="exact"/>
        <w:rPr>
          <w:sz w:val="20"/>
          <w:szCs w:val="20"/>
          <w:color w:val="auto"/>
        </w:rPr>
      </w:pPr>
    </w:p>
    <w:p>
      <w:pPr>
        <w:sectPr>
          <w:pgSz w:w="11900" w:h="16838" w:orient="portrait"/>
          <w:cols w:equalWidth="0" w:num="2">
            <w:col w:w="5880" w:space="300"/>
            <w:col w:w="5060"/>
          </w:cols>
          <w:pgMar w:left="320" w:top="558" w:right="339" w:bottom="1440" w:gutter="0" w:footer="0" w:header="0"/>
          <w:type w:val="continuous"/>
        </w:sectPr>
      </w:pPr>
    </w:p>
    <w:p>
      <w:pPr>
        <w:spacing w:after="0" w:line="51" w:lineRule="exact"/>
        <w:rPr>
          <w:sz w:val="20"/>
          <w:szCs w:val="20"/>
          <w:color w:val="auto"/>
        </w:rPr>
      </w:pPr>
    </w:p>
    <w:p>
      <w:pPr>
        <w:ind w:left="660"/>
        <w:spacing w:after="0"/>
        <w:tabs>
          <w:tab w:leader="none" w:pos="3320" w:val="left"/>
          <w:tab w:leader="none" w:pos="5140" w:val="left"/>
        </w:tabs>
        <w:rPr>
          <w:sz w:val="20"/>
          <w:szCs w:val="20"/>
          <w:color w:val="auto"/>
        </w:rPr>
      </w:pPr>
      <w:r>
        <w:rPr>
          <w:rFonts w:ascii="Arial" w:cs="Arial" w:eastAsia="Arial" w:hAnsi="Arial"/>
          <w:sz w:val="22"/>
          <w:szCs w:val="22"/>
          <w:color w:val="auto"/>
        </w:rPr>
        <w:t>JOINDER, dated as of</w:t>
      </w:r>
      <w:r>
        <w:rPr>
          <w:sz w:val="20"/>
          <w:szCs w:val="20"/>
          <w:color w:val="auto"/>
        </w:rPr>
        <w:tab/>
      </w:r>
      <w:r>
        <w:rPr>
          <w:rFonts w:ascii="Arial" w:cs="Arial" w:eastAsia="Arial" w:hAnsi="Arial"/>
          <w:sz w:val="22"/>
          <w:szCs w:val="22"/>
          <w:color w:val="auto"/>
        </w:rPr>
        <w:t>, 20__, among [</w:t>
      </w:r>
      <w:r>
        <w:rPr>
          <w:sz w:val="20"/>
          <w:szCs w:val="20"/>
          <w:color w:val="auto"/>
        </w:rPr>
        <w:tab/>
      </w:r>
      <w:r>
        <w:rPr>
          <w:rFonts w:ascii="Arial" w:cs="Arial" w:eastAsia="Arial" w:hAnsi="Arial"/>
          <w:sz w:val="19"/>
          <w:szCs w:val="19"/>
          <w:color w:val="auto"/>
        </w:rPr>
        <w:t>], in its capacity as collateral agent (together with its successors and</w:t>
      </w:r>
    </w:p>
    <w:p>
      <w:pPr>
        <w:sectPr>
          <w:pgSz w:w="11900" w:h="16838" w:orient="portrait"/>
          <w:cols w:equalWidth="0" w:num="1">
            <w:col w:w="11240"/>
          </w:cols>
          <w:pgMar w:left="320" w:top="558"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assigns in such capacity from time to time, and as further defined in the Intercreditor Agreement, the “Original First Lien Agent”)</w:t>
      </w:r>
    </w:p>
    <w:p>
      <w:pPr>
        <w:spacing w:after="0" w:line="35" w:lineRule="exact"/>
        <w:rPr>
          <w:sz w:val="20"/>
          <w:szCs w:val="20"/>
          <w:color w:val="auto"/>
        </w:rPr>
      </w:pPr>
    </w:p>
    <w:p>
      <w:pPr>
        <w:jc w:val="both"/>
        <w:ind w:firstLine="8"/>
        <w:spacing w:after="0" w:line="235" w:lineRule="auto"/>
        <w:tabs>
          <w:tab w:leader="none" w:pos="255" w:val="left"/>
        </w:tabs>
        <w:numPr>
          <w:ilvl w:val="0"/>
          <w:numId w:val="855"/>
        </w:numPr>
        <w:rPr>
          <w:rFonts w:ascii="Arial" w:cs="Arial" w:eastAsia="Arial" w:hAnsi="Arial"/>
          <w:sz w:val="26"/>
          <w:szCs w:val="26"/>
          <w:color w:val="auto"/>
          <w:vertAlign w:val="superscript"/>
        </w:rPr>
      </w:pPr>
      <w:r>
        <w:rPr>
          <w:rFonts w:ascii="Arial" w:cs="Arial" w:eastAsia="Arial" w:hAnsi="Arial"/>
          <w:sz w:val="19"/>
          <w:szCs w:val="19"/>
          <w:color w:val="auto"/>
        </w:rPr>
        <w:t xml:space="preserve">for the Original First Lien Secured Parties, [ ], in its capacity as trustee (together with its successors and assigns in such capacity from time to time, and as further defined in the Intercreditor Agreement,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Agent”) </w:t>
      </w:r>
      <w:r>
        <w:rPr>
          <w:rFonts w:ascii="Arial" w:cs="Arial" w:eastAsia="Arial" w:hAnsi="Arial"/>
          <w:sz w:val="25"/>
          <w:szCs w:val="25"/>
          <w:color w:val="auto"/>
          <w:vertAlign w:val="superscript"/>
        </w:rPr>
        <w:t>xiv</w:t>
      </w:r>
      <w:r>
        <w:rPr>
          <w:rFonts w:ascii="Arial" w:cs="Arial" w:eastAsia="Arial" w:hAnsi="Arial"/>
          <w:sz w:val="19"/>
          <w:szCs w:val="19"/>
          <w:color w:val="auto"/>
        </w:rPr>
        <w:t xml:space="preserve"> for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Secured Parties, [list any previously added Additional Agent] [and insert name of additional Original First Lien Secured Parties, Original First Lien Agent,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Secured Parties or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Agent, as applicable, being added hereby as party] and any successors or assigns thereof, to the Intercreditor Agreement dated as of [ ], 20[ ] (as amended, supplemented, waived or otherwise modified from time to time, the “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 among the Original First Lien Agent </w:t>
      </w:r>
      <w:r>
        <w:rPr>
          <w:rFonts w:ascii="Arial" w:cs="Arial" w:eastAsia="Arial" w:hAnsi="Arial"/>
          <w:sz w:val="25"/>
          <w:szCs w:val="25"/>
          <w:color w:val="auto"/>
          <w:vertAlign w:val="superscript"/>
        </w:rPr>
        <w:t>xv</w:t>
      </w:r>
      <w:r>
        <w:rPr>
          <w:rFonts w:ascii="Arial" w:cs="Arial" w:eastAsia="Arial" w:hAnsi="Arial"/>
          <w:sz w:val="19"/>
          <w:szCs w:val="19"/>
          <w:color w:val="auto"/>
        </w:rPr>
        <w:t xml:space="preserve"> , [and] the [ ] </w:t>
      </w:r>
      <w:r>
        <w:rPr>
          <w:rFonts w:ascii="Arial" w:cs="Arial" w:eastAsia="Arial" w:hAnsi="Arial"/>
          <w:sz w:val="25"/>
          <w:szCs w:val="25"/>
          <w:color w:val="auto"/>
          <w:vertAlign w:val="superscript"/>
        </w:rPr>
        <w:t>i</w:t>
      </w:r>
      <w:r>
        <w:rPr>
          <w:rFonts w:ascii="Arial" w:cs="Arial" w:eastAsia="Arial" w:hAnsi="Arial"/>
          <w:sz w:val="19"/>
          <w:szCs w:val="19"/>
          <w:color w:val="auto"/>
        </w:rPr>
        <w:t xml:space="preserve"> [First/Second]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Agent </w:t>
      </w:r>
      <w:r>
        <w:rPr>
          <w:rFonts w:ascii="Arial" w:cs="Arial" w:eastAsia="Arial" w:hAnsi="Arial"/>
          <w:sz w:val="25"/>
          <w:szCs w:val="25"/>
          <w:color w:val="auto"/>
          <w:vertAlign w:val="superscript"/>
        </w:rPr>
        <w:t>xvi</w:t>
      </w:r>
      <w:r>
        <w:rPr>
          <w:rFonts w:ascii="Arial" w:cs="Arial" w:eastAsia="Arial" w:hAnsi="Arial"/>
          <w:sz w:val="19"/>
          <w:szCs w:val="19"/>
          <w:color w:val="auto"/>
        </w:rPr>
        <w:t xml:space="preserve"> [and (list any previously added Additional Agent)]. Capitalized terms used herein and not otherwise defined herein shall have the meaning specified in the Intercreditor Agreement.</w:t>
      </w:r>
    </w:p>
    <w:p>
      <w:pPr>
        <w:spacing w:after="0" w:line="196" w:lineRule="exact"/>
        <w:rPr>
          <w:sz w:val="20"/>
          <w:szCs w:val="20"/>
          <w:color w:val="auto"/>
        </w:rPr>
      </w:pPr>
    </w:p>
    <w:p>
      <w:pPr>
        <w:jc w:val="both"/>
        <w:ind w:firstLine="648"/>
        <w:spacing w:after="0" w:line="198" w:lineRule="auto"/>
        <w:rPr>
          <w:sz w:val="20"/>
          <w:szCs w:val="20"/>
          <w:color w:val="auto"/>
        </w:rPr>
      </w:pPr>
      <w:r>
        <w:rPr>
          <w:rFonts w:ascii="Arial" w:cs="Arial" w:eastAsia="Arial" w:hAnsi="Arial"/>
          <w:sz w:val="22"/>
          <w:szCs w:val="22"/>
          <w:color w:val="auto"/>
        </w:rPr>
        <w:t xml:space="preserve">The Joining [First][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 Lien Agent, for itself and on behalf of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Secured Parties, hereby agrees with the Original First Lien Borrower and the other Grantors, the [Original First][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 Lien Agent and any other Additional Agent party to the Intercreditor Agreement as follows:</w:t>
      </w:r>
    </w:p>
    <w:p>
      <w:pPr>
        <w:spacing w:after="0" w:line="188" w:lineRule="exact"/>
        <w:rPr>
          <w:sz w:val="20"/>
          <w:szCs w:val="20"/>
          <w:color w:val="auto"/>
        </w:rPr>
      </w:pPr>
    </w:p>
    <w:p>
      <w:pPr>
        <w:ind w:left="1140" w:hanging="484"/>
        <w:spacing w:after="0"/>
        <w:tabs>
          <w:tab w:leader="none" w:pos="1140" w:val="left"/>
        </w:tabs>
        <w:numPr>
          <w:ilvl w:val="0"/>
          <w:numId w:val="856"/>
        </w:numPr>
        <w:rPr>
          <w:rFonts w:ascii="Arial" w:cs="Arial" w:eastAsia="Arial" w:hAnsi="Arial"/>
          <w:sz w:val="19"/>
          <w:szCs w:val="19"/>
          <w:b w:val="1"/>
          <w:bCs w:val="1"/>
          <w:color w:val="auto"/>
        </w:rPr>
      </w:pPr>
      <w:r>
        <w:rPr>
          <w:rFonts w:ascii="Arial" w:cs="Arial" w:eastAsia="Arial" w:hAnsi="Arial"/>
          <w:sz w:val="20"/>
          <w:szCs w:val="20"/>
          <w:u w:val="single" w:color="auto"/>
          <w:color w:val="auto"/>
        </w:rPr>
        <w:t>Agreement to be Bound</w:t>
      </w:r>
      <w:r>
        <w:rPr>
          <w:rFonts w:ascii="Arial" w:cs="Arial" w:eastAsia="Arial" w:hAnsi="Arial"/>
          <w:sz w:val="20"/>
          <w:szCs w:val="20"/>
          <w:color w:val="auto"/>
        </w:rPr>
        <w:t xml:space="preserve"> . The Joining [First][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Agent, for itself and on behalf of the [ ] </w:t>
      </w:r>
      <w:r>
        <w:rPr>
          <w:rFonts w:ascii="Arial" w:cs="Arial" w:eastAsia="Arial" w:hAnsi="Arial"/>
          <w:sz w:val="26"/>
          <w:szCs w:val="26"/>
          <w:color w:val="auto"/>
          <w:vertAlign w:val="superscript"/>
        </w:rPr>
        <w:t>i</w:t>
      </w:r>
    </w:p>
    <w:p>
      <w:pPr>
        <w:spacing w:after="0"/>
        <w:rPr>
          <w:rFonts w:ascii="Arial" w:cs="Arial" w:eastAsia="Arial" w:hAnsi="Arial"/>
          <w:sz w:val="19"/>
          <w:szCs w:val="19"/>
          <w:b w:val="1"/>
          <w:bCs w:val="1"/>
          <w:color w:val="auto"/>
        </w:rPr>
      </w:pPr>
      <w:r>
        <w:rPr>
          <w:rFonts w:ascii="Arial" w:cs="Arial" w:eastAsia="Arial" w:hAnsi="Arial"/>
          <w:sz w:val="19"/>
          <w:szCs w:val="19"/>
          <w:color w:val="auto"/>
        </w:rPr>
        <w:t xml:space="preserve">[First/Second] </w:t>
      </w:r>
      <w:r>
        <w:rPr>
          <w:rFonts w:ascii="Arial" w:cs="Arial" w:eastAsia="Arial" w:hAnsi="Arial"/>
          <w:sz w:val="25"/>
          <w:szCs w:val="25"/>
          <w:color w:val="auto"/>
          <w:vertAlign w:val="superscript"/>
        </w:rPr>
        <w:t>ii</w:t>
      </w:r>
      <w:r>
        <w:rPr>
          <w:rFonts w:ascii="Arial" w:cs="Arial" w:eastAsia="Arial" w:hAnsi="Arial"/>
          <w:sz w:val="19"/>
          <w:szCs w:val="19"/>
          <w:color w:val="auto"/>
        </w:rPr>
        <w:t xml:space="preserve"> Lien Secured Parties, hereby agrees to be bound by the terms and provisions of the Intercreditor Agreement and</w:t>
      </w:r>
    </w:p>
    <w:p>
      <w:pPr>
        <w:spacing w:after="0" w:line="228"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 xml:space="preserve">shall, as of the date hereof, be deemed to be a party to the Intercreditor Agreement as [the][a] [First][ [ ] </w:t>
      </w:r>
      <w:r>
        <w:rPr>
          <w:rFonts w:ascii="Arial" w:cs="Arial" w:eastAsia="Arial" w:hAnsi="Arial"/>
          <w:sz w:val="14"/>
          <w:szCs w:val="14"/>
          <w:color w:val="auto"/>
        </w:rPr>
        <w:t>i</w:t>
      </w:r>
      <w:r>
        <w:rPr>
          <w:rFonts w:ascii="Arial" w:cs="Arial" w:eastAsia="Arial" w:hAnsi="Arial"/>
          <w:sz w:val="22"/>
          <w:szCs w:val="22"/>
          <w:color w:val="auto"/>
        </w:rPr>
        <w:t xml:space="preserve"> [First/Second] </w:t>
      </w:r>
      <w:r>
        <w:rPr>
          <w:rFonts w:ascii="Arial" w:cs="Arial" w:eastAsia="Arial" w:hAnsi="Arial"/>
          <w:sz w:val="14"/>
          <w:szCs w:val="14"/>
          <w:color w:val="auto"/>
        </w:rPr>
        <w:t>ii</w:t>
      </w:r>
      <w:r>
        <w:rPr>
          <w:rFonts w:ascii="Arial" w:cs="Arial" w:eastAsia="Arial" w:hAnsi="Arial"/>
          <w:sz w:val="22"/>
          <w:szCs w:val="22"/>
          <w:color w:val="auto"/>
        </w:rPr>
        <w:t xml:space="preserve"> ] Lien Agent.</w:t>
      </w:r>
    </w:p>
    <w:p>
      <w:pPr>
        <w:spacing w:after="0" w:line="150" w:lineRule="exact"/>
        <w:rPr>
          <w:sz w:val="20"/>
          <w:szCs w:val="20"/>
          <w:color w:val="auto"/>
        </w:rPr>
      </w:pPr>
    </w:p>
    <w:p>
      <w:pPr>
        <w:ind w:right="120" w:firstLine="656"/>
        <w:spacing w:after="0" w:line="232" w:lineRule="auto"/>
        <w:tabs>
          <w:tab w:leader="none" w:pos="1129" w:val="left"/>
        </w:tabs>
        <w:numPr>
          <w:ilvl w:val="0"/>
          <w:numId w:val="857"/>
        </w:numPr>
        <w:rPr>
          <w:rFonts w:ascii="Arial" w:cs="Arial" w:eastAsia="Arial" w:hAnsi="Arial"/>
          <w:sz w:val="20"/>
          <w:szCs w:val="20"/>
          <w:b w:val="1"/>
          <w:bCs w:val="1"/>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 Notices and other communications provided for under the Intercreditor Agreement to be provided to the Joining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Agent shall be sent to the address set forth on Annex 1 attached hereto (until notice of a change thereof is delivered as provided in Section 7.05 of the Intercreditor Agreement).</w:t>
      </w:r>
    </w:p>
    <w:p>
      <w:pPr>
        <w:spacing w:after="0" w:line="198" w:lineRule="exact"/>
        <w:rPr>
          <w:rFonts w:ascii="Arial" w:cs="Arial" w:eastAsia="Arial" w:hAnsi="Arial"/>
          <w:sz w:val="20"/>
          <w:szCs w:val="20"/>
          <w:b w:val="1"/>
          <w:bCs w:val="1"/>
          <w:color w:val="auto"/>
        </w:rPr>
      </w:pPr>
    </w:p>
    <w:p>
      <w:pPr>
        <w:ind w:right="140" w:firstLine="656"/>
        <w:spacing w:after="0" w:line="259" w:lineRule="auto"/>
        <w:tabs>
          <w:tab w:leader="none" w:pos="1139" w:val="left"/>
        </w:tabs>
        <w:numPr>
          <w:ilvl w:val="0"/>
          <w:numId w:val="857"/>
        </w:numPr>
        <w:rPr>
          <w:rFonts w:ascii="Arial" w:cs="Arial" w:eastAsia="Arial" w:hAnsi="Arial"/>
          <w:sz w:val="20"/>
          <w:szCs w:val="20"/>
          <w:b w:val="1"/>
          <w:bCs w:val="1"/>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 THIS JOINDER SHALL BE CONSTRUED AND ENFORCED IN ACCORDANCE WITH AND GOVERNED BY THE LAW OF THE STATE OF NEW YORK, WITHOUT REGARD TO ITS CONFLICT OF LAWS PRINCIPLES.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type w:val="continuous"/>
        </w:sectPr>
      </w:pPr>
    </w:p>
    <w:bookmarkStart w:id="632" w:name="page633"/>
    <w:bookmarkEnd w:id="632"/>
    <w:p>
      <w:pPr>
        <w:ind w:firstLine="648"/>
        <w:spacing w:after="0" w:line="263" w:lineRule="auto"/>
        <w:rPr>
          <w:sz w:val="20"/>
          <w:szCs w:val="20"/>
          <w:color w:val="auto"/>
        </w:rPr>
      </w:pPr>
      <w:r>
        <w:rPr>
          <w:rFonts w:ascii="Arial" w:cs="Arial" w:eastAsia="Arial" w:hAnsi="Arial"/>
          <w:sz w:val="22"/>
          <w:szCs w:val="22"/>
          <w:color w:val="auto"/>
        </w:rPr>
        <w:t>IN WITNESS WHEREOF, the undersigned has caused this Joinder to be duly executed by its duly authorized officer or other representative, all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-17780</wp:posOffset>
            </wp:positionV>
            <wp:extent cx="82296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82296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Title: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633" w:name="page634"/>
    <w:bookmarkEnd w:id="6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i</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color w:val="auto"/>
        </w:rPr>
        <w:t>Insert month and year when this agreement is initially entered into (e.g.,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-180975</wp:posOffset>
            </wp:positionV>
            <wp:extent cx="68580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Insert “First,” if this Agreement is initially entered into in connection with the incurrence of debt with pari passu Lien priority to the Original First Lien Credit Agreement or “Second,” if this agreement is initially entered into in connection with the incurrence of debt with Junior Lien Priority to the Original First Lien Credit Agreement.</w:t>
      </w:r>
    </w:p>
    <w:p>
      <w:pPr>
        <w:spacing w:after="0" w:line="1" w:lineRule="exact"/>
        <w:rPr>
          <w:sz w:val="20"/>
          <w:szCs w:val="20"/>
          <w:color w:val="auto"/>
        </w:rPr>
      </w:pPr>
    </w:p>
    <w:p>
      <w:pPr>
        <w:sectPr>
          <w:pgSz w:w="11900" w:h="16838" w:orient="portrait"/>
          <w:cols w:equalWidth="0" w:num="2">
            <w:col w:w="80" w:space="580"/>
            <w:col w:w="10580"/>
          </w:cols>
          <w:pgMar w:left="320" w:top="1440" w:right="339" w:bottom="1440" w:gutter="0" w:footer="0" w:header="0"/>
        </w:sectPr>
      </w:pPr>
    </w:p>
    <w:p>
      <w:pPr>
        <w:ind w:left="660" w:hanging="652"/>
        <w:spacing w:after="0" w:line="197" w:lineRule="auto"/>
        <w:tabs>
          <w:tab w:leader="none" w:pos="660" w:val="left"/>
        </w:tabs>
        <w:numPr>
          <w:ilvl w:val="0"/>
          <w:numId w:val="858"/>
        </w:numPr>
        <w:rPr>
          <w:rFonts w:ascii="Arial" w:cs="Arial" w:eastAsia="Arial" w:hAnsi="Arial"/>
          <w:sz w:val="29"/>
          <w:szCs w:val="29"/>
          <w:color w:val="auto"/>
          <w:vertAlign w:val="superscript"/>
        </w:rPr>
      </w:pPr>
      <w:r>
        <w:rPr>
          <w:rFonts w:ascii="Arial" w:cs="Arial" w:eastAsia="Arial" w:hAnsi="Arial"/>
          <w:sz w:val="22"/>
          <w:szCs w:val="22"/>
          <w:color w:val="auto"/>
        </w:rPr>
        <w:t>Describe the applicable Borrower.</w:t>
      </w:r>
    </w:p>
    <w:p>
      <w:pPr>
        <w:ind w:left="660" w:hanging="652"/>
        <w:spacing w:after="0" w:line="185" w:lineRule="auto"/>
        <w:tabs>
          <w:tab w:leader="none" w:pos="660" w:val="left"/>
        </w:tabs>
        <w:numPr>
          <w:ilvl w:val="0"/>
          <w:numId w:val="858"/>
        </w:numPr>
        <w:rPr>
          <w:rFonts w:ascii="Arial" w:cs="Arial" w:eastAsia="Arial" w:hAnsi="Arial"/>
          <w:sz w:val="27"/>
          <w:szCs w:val="27"/>
          <w:color w:val="auto"/>
          <w:vertAlign w:val="superscript"/>
        </w:rPr>
      </w:pPr>
      <w:r>
        <w:rPr>
          <w:rFonts w:ascii="Arial" w:cs="Arial" w:eastAsia="Arial" w:hAnsi="Arial"/>
          <w:sz w:val="20"/>
          <w:szCs w:val="20"/>
          <w:color w:val="auto"/>
        </w:rPr>
        <w:t xml:space="preserve">Insert the section number of the negative covenant restricting Liens in the [ ] </w:t>
      </w:r>
      <w:r>
        <w:rPr>
          <w:rFonts w:ascii="Arial" w:cs="Arial" w:eastAsia="Arial" w:hAnsi="Arial"/>
          <w:sz w:val="26"/>
          <w:szCs w:val="26"/>
          <w:color w:val="auto"/>
          <w:vertAlign w:val="superscript"/>
        </w:rPr>
        <w:t>i</w:t>
      </w:r>
      <w:r>
        <w:rPr>
          <w:rFonts w:ascii="Arial" w:cs="Arial" w:eastAsia="Arial" w:hAnsi="Arial"/>
          <w:sz w:val="20"/>
          <w:szCs w:val="20"/>
          <w:color w:val="auto"/>
        </w:rPr>
        <w:t xml:space="preserve"> [First/Second] </w:t>
      </w:r>
      <w:r>
        <w:rPr>
          <w:rFonts w:ascii="Arial" w:cs="Arial" w:eastAsia="Arial" w:hAnsi="Arial"/>
          <w:sz w:val="26"/>
          <w:szCs w:val="26"/>
          <w:color w:val="auto"/>
          <w:vertAlign w:val="superscript"/>
        </w:rPr>
        <w:t>ii</w:t>
      </w:r>
      <w:r>
        <w:rPr>
          <w:rFonts w:ascii="Arial" w:cs="Arial" w:eastAsia="Arial" w:hAnsi="Arial"/>
          <w:sz w:val="20"/>
          <w:szCs w:val="20"/>
          <w:color w:val="auto"/>
        </w:rPr>
        <w:t xml:space="preserve"> Lien Credit Facility.</w:t>
      </w:r>
    </w:p>
    <w:p>
      <w:pPr>
        <w:ind w:left="660" w:hanging="652"/>
        <w:spacing w:after="0" w:line="203" w:lineRule="auto"/>
        <w:tabs>
          <w:tab w:leader="none" w:pos="660" w:val="left"/>
        </w:tabs>
        <w:numPr>
          <w:ilvl w:val="0"/>
          <w:numId w:val="859"/>
        </w:numPr>
        <w:rPr>
          <w:rFonts w:ascii="Arial" w:cs="Arial" w:eastAsia="Arial" w:hAnsi="Arial"/>
          <w:sz w:val="22"/>
          <w:szCs w:val="22"/>
          <w:color w:val="auto"/>
        </w:rPr>
      </w:pPr>
      <w:r>
        <w:rPr>
          <w:rFonts w:ascii="Arial" w:cs="Arial" w:eastAsia="Arial" w:hAnsi="Arial"/>
          <w:sz w:val="22"/>
          <w:szCs w:val="22"/>
          <w:color w:val="auto"/>
        </w:rPr>
        <w:t xml:space="preserve">Insert the section number of the definitions section in the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Lien Credit Facility.</w:t>
      </w:r>
    </w:p>
    <w:p>
      <w:pPr>
        <w:spacing w:after="0" w:line="1"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vi</w:t>
      </w:r>
      <w:r>
        <w:rPr>
          <w:rFonts w:ascii="Arial" w:cs="Arial" w:eastAsia="Arial" w:hAnsi="Arial"/>
          <w:sz w:val="19"/>
          <w:szCs w:val="19"/>
          <w:color w:val="auto"/>
        </w:rPr>
        <w:t>Include if this agreement is entered into in connection with Junior Priority Debt.</w:t>
      </w:r>
    </w:p>
    <w:p>
      <w:pPr>
        <w:spacing w:after="0" w:line="3"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vii</w:t>
      </w:r>
      <w:r>
        <w:rPr>
          <w:rFonts w:ascii="Arial" w:cs="Arial" w:eastAsia="Arial" w:hAnsi="Arial"/>
          <w:sz w:val="19"/>
          <w:szCs w:val="19"/>
          <w:color w:val="auto"/>
        </w:rPr>
        <w:t>Include if this agreement is initially entered into in connection with the incurrence of Senior Priority Debt.</w:t>
      </w:r>
    </w:p>
    <w:p>
      <w:pPr>
        <w:spacing w:after="0" w:line="3" w:lineRule="exact"/>
        <w:rPr>
          <w:rFonts w:ascii="Arial" w:cs="Arial" w:eastAsia="Arial" w:hAnsi="Arial"/>
          <w:sz w:val="22"/>
          <w:szCs w:val="22"/>
          <w:color w:val="auto"/>
        </w:rPr>
      </w:pPr>
    </w:p>
    <w:p>
      <w:pPr>
        <w:ind w:left="660" w:hanging="648"/>
        <w:spacing w:after="0" w:line="243" w:lineRule="auto"/>
        <w:rPr>
          <w:rFonts w:ascii="Arial" w:cs="Arial" w:eastAsia="Arial" w:hAnsi="Arial"/>
          <w:sz w:val="22"/>
          <w:szCs w:val="22"/>
          <w:color w:val="auto"/>
        </w:rPr>
      </w:pPr>
      <w:r>
        <w:rPr>
          <w:rFonts w:ascii="Arial" w:cs="Arial" w:eastAsia="Arial" w:hAnsi="Arial"/>
          <w:sz w:val="22"/>
          <w:szCs w:val="22"/>
          <w:color w:val="auto"/>
        </w:rPr>
        <w:t>viii Insert (i) “Senior” if this agreement is initially entered into in connection with the incurrence of debt with pari passu Lien priority to the Original First Lien Credit Agreement or (ii) “Junior” if this agreement is initially entered into in connection with Junior Lien Priority to the Original First Lien Credit Agreement.</w:t>
      </w:r>
    </w:p>
    <w:p>
      <w:pPr>
        <w:spacing w:after="0" w:line="1" w:lineRule="exact"/>
        <w:rPr>
          <w:rFonts w:ascii="Arial" w:cs="Arial" w:eastAsia="Arial" w:hAnsi="Arial"/>
          <w:sz w:val="22"/>
          <w:szCs w:val="22"/>
          <w:color w:val="auto"/>
        </w:rPr>
      </w:pPr>
    </w:p>
    <w:p>
      <w:pPr>
        <w:ind w:left="660" w:hanging="648"/>
        <w:spacing w:after="0" w:line="243" w:lineRule="auto"/>
        <w:rPr>
          <w:rFonts w:ascii="Arial" w:cs="Arial" w:eastAsia="Arial" w:hAnsi="Arial"/>
          <w:sz w:val="22"/>
          <w:szCs w:val="22"/>
          <w:color w:val="auto"/>
        </w:rPr>
      </w:pPr>
      <w:r>
        <w:rPr>
          <w:rFonts w:ascii="Arial" w:cs="Arial" w:eastAsia="Arial" w:hAnsi="Arial"/>
          <w:sz w:val="22"/>
          <w:szCs w:val="22"/>
          <w:color w:val="auto"/>
        </w:rPr>
        <w:t>ixIf this agreement is initially entered into in connection with the entry into a new revolving loan facility, add the defined term for such facility here.</w:t>
      </w:r>
    </w:p>
    <w:p>
      <w:pPr>
        <w:ind w:left="660" w:hanging="648"/>
        <w:spacing w:after="0" w:line="243" w:lineRule="auto"/>
        <w:rPr>
          <w:rFonts w:ascii="Arial" w:cs="Arial" w:eastAsia="Arial" w:hAnsi="Arial"/>
          <w:sz w:val="22"/>
          <w:szCs w:val="22"/>
          <w:color w:val="auto"/>
        </w:rPr>
      </w:pPr>
      <w:r>
        <w:rPr>
          <w:rFonts w:ascii="Arial" w:cs="Arial" w:eastAsia="Arial" w:hAnsi="Arial"/>
          <w:sz w:val="22"/>
          <w:szCs w:val="22"/>
          <w:color w:val="auto"/>
        </w:rPr>
        <w:t>xIf this agreement is initially entered into in connection with the entry into a new revolving loan facility, add the defined terms for the parties to such agreement.</w:t>
      </w:r>
    </w:p>
    <w:p>
      <w:pPr>
        <w:ind w:left="660" w:hanging="648"/>
        <w:spacing w:after="0" w:line="243" w:lineRule="auto"/>
        <w:rPr>
          <w:rFonts w:ascii="Arial" w:cs="Arial" w:eastAsia="Arial" w:hAnsi="Arial"/>
          <w:sz w:val="22"/>
          <w:szCs w:val="22"/>
          <w:color w:val="auto"/>
        </w:rPr>
      </w:pPr>
      <w:r>
        <w:rPr>
          <w:rFonts w:ascii="Arial" w:cs="Arial" w:eastAsia="Arial" w:hAnsi="Arial"/>
          <w:sz w:val="22"/>
          <w:szCs w:val="22"/>
          <w:color w:val="auto"/>
        </w:rPr>
        <w:t>xiIf this agreement is initially entered into in connection with the entry into a new revolving loan facility, add the defined term for the Obligations with respect to such facility.</w:t>
      </w:r>
    </w:p>
    <w:p>
      <w:pPr>
        <w:spacing w:after="0"/>
        <w:rPr>
          <w:rFonts w:ascii="Arial" w:cs="Arial" w:eastAsia="Arial" w:hAnsi="Arial"/>
          <w:sz w:val="22"/>
          <w:szCs w:val="22"/>
          <w:color w:val="auto"/>
        </w:rPr>
      </w:pPr>
      <w:r>
        <w:rPr>
          <w:rFonts w:ascii="Arial" w:cs="Arial" w:eastAsia="Arial" w:hAnsi="Arial"/>
          <w:sz w:val="22"/>
          <w:szCs w:val="22"/>
          <w:color w:val="auto"/>
        </w:rPr>
        <w:t>xii</w:t>
      </w:r>
      <w:r>
        <w:rPr>
          <w:rFonts w:ascii="Arial" w:cs="Arial" w:eastAsia="Arial" w:hAnsi="Arial"/>
          <w:sz w:val="19"/>
          <w:szCs w:val="19"/>
          <w:color w:val="auto"/>
        </w:rPr>
        <w:t>Revise as appropriate to refer to any successor Original First Lien Agent.</w:t>
      </w:r>
    </w:p>
    <w:p>
      <w:pPr>
        <w:spacing w:after="0" w:line="3" w:lineRule="exact"/>
        <w:rPr>
          <w:rFonts w:ascii="Arial" w:cs="Arial" w:eastAsia="Arial" w:hAnsi="Arial"/>
          <w:sz w:val="22"/>
          <w:szCs w:val="22"/>
          <w:color w:val="auto"/>
        </w:rPr>
      </w:pPr>
    </w:p>
    <w:p>
      <w:pPr>
        <w:spacing w:after="0" w:line="191" w:lineRule="auto"/>
        <w:rPr>
          <w:rFonts w:ascii="Arial" w:cs="Arial" w:eastAsia="Arial" w:hAnsi="Arial"/>
          <w:sz w:val="22"/>
          <w:szCs w:val="22"/>
          <w:color w:val="auto"/>
        </w:rPr>
      </w:pPr>
      <w:r>
        <w:rPr>
          <w:rFonts w:ascii="Arial" w:cs="Arial" w:eastAsia="Arial" w:hAnsi="Arial"/>
          <w:sz w:val="22"/>
          <w:szCs w:val="22"/>
          <w:color w:val="auto"/>
        </w:rPr>
        <w:t xml:space="preserve">xiii    Revise as appropriate to refer to any successor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 Lien Agent.</w:t>
      </w:r>
    </w:p>
    <w:p>
      <w:pPr>
        <w:ind w:left="660" w:hanging="648"/>
        <w:spacing w:after="0" w:line="243" w:lineRule="auto"/>
        <w:rPr>
          <w:rFonts w:ascii="Arial" w:cs="Arial" w:eastAsia="Arial" w:hAnsi="Arial"/>
          <w:sz w:val="22"/>
          <w:szCs w:val="22"/>
          <w:color w:val="auto"/>
        </w:rPr>
      </w:pPr>
      <w:r>
        <w:rPr>
          <w:rFonts w:ascii="Arial" w:cs="Arial" w:eastAsia="Arial" w:hAnsi="Arial"/>
          <w:sz w:val="22"/>
          <w:szCs w:val="22"/>
          <w:color w:val="auto"/>
        </w:rPr>
        <w:t>xiv Revise as appropriate to describe predecessor Original First Lien Agent or Original First Lien Secured Parties, if joinder is for a new Original First Lien Credit Agreement.</w:t>
      </w:r>
    </w:p>
    <w:p>
      <w:pPr>
        <w:ind w:left="660" w:right="20" w:hanging="648"/>
        <w:spacing w:after="0" w:line="191" w:lineRule="auto"/>
        <w:rPr>
          <w:rFonts w:ascii="Arial" w:cs="Arial" w:eastAsia="Arial" w:hAnsi="Arial"/>
          <w:sz w:val="22"/>
          <w:szCs w:val="22"/>
          <w:color w:val="auto"/>
        </w:rPr>
      </w:pPr>
      <w:r>
        <w:rPr>
          <w:rFonts w:ascii="Arial" w:cs="Arial" w:eastAsia="Arial" w:hAnsi="Arial"/>
          <w:sz w:val="22"/>
          <w:szCs w:val="22"/>
          <w:color w:val="auto"/>
        </w:rPr>
        <w:t xml:space="preserve">xvRevise as appropriate to describe predecessor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 Lien Agent or [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 Lien Secured Parties, if joinder is for a new [] </w:t>
      </w:r>
      <w:r>
        <w:rPr>
          <w:rFonts w:ascii="Arial" w:cs="Arial" w:eastAsia="Arial" w:hAnsi="Arial"/>
          <w:sz w:val="28"/>
          <w:szCs w:val="28"/>
          <w:color w:val="auto"/>
          <w:vertAlign w:val="superscript"/>
        </w:rPr>
        <w:t>i</w:t>
      </w:r>
      <w:r>
        <w:rPr>
          <w:rFonts w:ascii="Arial" w:cs="Arial" w:eastAsia="Arial" w:hAnsi="Arial"/>
          <w:sz w:val="22"/>
          <w:szCs w:val="22"/>
          <w:color w:val="auto"/>
        </w:rPr>
        <w:t xml:space="preserve"> [First/Second] </w:t>
      </w:r>
      <w:r>
        <w:rPr>
          <w:rFonts w:ascii="Arial" w:cs="Arial" w:eastAsia="Arial" w:hAnsi="Arial"/>
          <w:sz w:val="28"/>
          <w:szCs w:val="28"/>
          <w:color w:val="auto"/>
          <w:vertAlign w:val="superscript"/>
        </w:rPr>
        <w:t>ii</w:t>
      </w:r>
      <w:r>
        <w:rPr>
          <w:rFonts w:ascii="Arial" w:cs="Arial" w:eastAsia="Arial" w:hAnsi="Arial"/>
          <w:sz w:val="22"/>
          <w:szCs w:val="22"/>
          <w:color w:val="auto"/>
        </w:rPr>
        <w:t xml:space="preserve"> ] Lien Credit Agreement.</w:t>
      </w:r>
    </w:p>
    <w:p>
      <w:pPr>
        <w:spacing w:after="0"/>
        <w:rPr>
          <w:rFonts w:ascii="Arial" w:cs="Arial" w:eastAsia="Arial" w:hAnsi="Arial"/>
          <w:sz w:val="22"/>
          <w:szCs w:val="22"/>
          <w:color w:val="auto"/>
        </w:rPr>
      </w:pPr>
      <w:r>
        <w:rPr>
          <w:rFonts w:ascii="Arial" w:cs="Arial" w:eastAsia="Arial" w:hAnsi="Arial"/>
          <w:sz w:val="22"/>
          <w:szCs w:val="22"/>
          <w:color w:val="auto"/>
        </w:rPr>
        <w:t>xvi    Revise as appropriate to refer to the new credit facility, Secured Parties and Agents.</w:t>
      </w:r>
    </w:p>
    <w:p>
      <w:pPr>
        <w:spacing w:after="0" w:line="3" w:lineRule="exact"/>
        <w:rPr>
          <w:rFonts w:ascii="Arial" w:cs="Arial" w:eastAsia="Arial" w:hAnsi="Arial"/>
          <w:sz w:val="22"/>
          <w:szCs w:val="22"/>
          <w:color w:val="auto"/>
        </w:rPr>
      </w:pPr>
    </w:p>
    <w:p>
      <w:pPr>
        <w:ind w:right="1220"/>
        <w:spacing w:after="0" w:line="269" w:lineRule="auto"/>
        <w:rPr>
          <w:rFonts w:ascii="Arial" w:cs="Arial" w:eastAsia="Arial" w:hAnsi="Arial"/>
          <w:sz w:val="22"/>
          <w:szCs w:val="22"/>
          <w:color w:val="auto"/>
        </w:rPr>
      </w:pPr>
      <w:r>
        <w:rPr>
          <w:rFonts w:ascii="Arial" w:cs="Arial" w:eastAsia="Arial" w:hAnsi="Arial"/>
          <w:sz w:val="21"/>
          <w:szCs w:val="21"/>
          <w:color w:val="auto"/>
        </w:rPr>
        <w:t>xvii Revise as appropriate to refer to any Agent being added hereby and any Secured Parties represented thereby. xviii Revise references throughout as appropriate to refer to the party or parties being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D- 3</w:t>
      </w:r>
    </w:p>
    <w:p>
      <w:pPr>
        <w:sectPr>
          <w:pgSz w:w="11900" w:h="16838" w:orient="portrait"/>
          <w:cols w:equalWidth="0" w:num="1">
            <w:col w:w="11240"/>
          </w:cols>
          <w:pgMar w:left="320" w:top="1440" w:right="339" w:bottom="1440" w:gutter="0" w:footer="0" w:header="0"/>
          <w:type w:val="continuous"/>
        </w:sectPr>
      </w:pPr>
    </w:p>
    <w:bookmarkStart w:id="634" w:name="page635"/>
    <w:bookmarkEnd w:id="634"/>
    <w:p>
      <w:pPr>
        <w:spacing w:after="0" w:line="211" w:lineRule="auto"/>
        <w:framePr w:w="4340" w:h="192" w:wrap="auto" w:vAnchor="page" w:hAnchor="page" w:x="5480" w:y="5618"/>
        <w:rPr>
          <w:rFonts w:ascii="Arial" w:cs="Arial" w:eastAsia="Arial" w:hAnsi="Arial"/>
          <w:sz w:val="19"/>
          <w:szCs w:val="19"/>
          <w:color w:val="auto"/>
        </w:rPr>
      </w:pPr>
      <w:r>
        <w:rPr>
          <w:rFonts w:ascii="Arial" w:cs="Arial" w:eastAsia="Arial" w:hAnsi="Arial"/>
          <w:sz w:val="19"/>
          <w:szCs w:val="19"/>
          <w:color w:val="auto"/>
        </w:rPr>
        <w:t>First Authorized Representative: Thomas T. Weir</w:t>
      </w:r>
    </w:p>
    <w:p>
      <w:pPr>
        <w:spacing w:after="0" w:line="211" w:lineRule="auto"/>
        <w:framePr w:w="3100" w:h="192" w:wrap="auto" w:vAnchor="page" w:hAnchor="page" w:x="5480" w:y="5969"/>
        <w:rPr>
          <w:rFonts w:ascii="Arial" w:cs="Arial" w:eastAsia="Arial" w:hAnsi="Arial"/>
          <w:sz w:val="19"/>
          <w:szCs w:val="19"/>
          <w:color w:val="auto"/>
        </w:rPr>
      </w:pPr>
      <w:r>
        <w:rPr>
          <w:rFonts w:ascii="Arial" w:cs="Arial" w:eastAsia="Arial" w:hAnsi="Arial"/>
          <w:sz w:val="19"/>
          <w:szCs w:val="19"/>
          <w:color w:val="auto"/>
        </w:rPr>
        <w:t>Title: Vice President and Treasurer</w:t>
      </w:r>
    </w:p>
    <w:p>
      <w:pPr>
        <w:spacing w:after="0" w:line="211" w:lineRule="auto"/>
        <w:framePr w:w="1880" w:h="192" w:wrap="auto" w:vAnchor="page" w:hAnchor="page" w:x="5480" w:y="6320"/>
        <w:rPr>
          <w:rFonts w:ascii="Arial" w:cs="Arial" w:eastAsia="Arial" w:hAnsi="Arial"/>
          <w:sz w:val="19"/>
          <w:szCs w:val="19"/>
          <w:color w:val="auto"/>
        </w:rPr>
      </w:pPr>
      <w:r>
        <w:rPr>
          <w:rFonts w:ascii="Arial" w:cs="Arial" w:eastAsia="Arial" w:hAnsi="Arial"/>
          <w:sz w:val="19"/>
          <w:szCs w:val="19"/>
          <w:color w:val="auto"/>
        </w:rPr>
        <w:t>Date: April 20, 2020</w:t>
      </w:r>
    </w:p>
    <w:p>
      <w:pPr>
        <w:spacing w:after="0" w:line="211" w:lineRule="auto"/>
        <w:framePr w:w="4920" w:h="192" w:wrap="auto" w:vAnchor="page" w:hAnchor="page" w:x="5480" w:y="7211"/>
        <w:rPr>
          <w:rFonts w:ascii="Arial" w:cs="Arial" w:eastAsia="Arial" w:hAnsi="Arial"/>
          <w:sz w:val="19"/>
          <w:szCs w:val="19"/>
          <w:color w:val="auto"/>
        </w:rPr>
      </w:pPr>
      <w:r>
        <w:rPr>
          <w:rFonts w:ascii="Arial" w:cs="Arial" w:eastAsia="Arial" w:hAnsi="Arial"/>
          <w:sz w:val="19"/>
          <w:szCs w:val="19"/>
          <w:u w:val="single" w:color="auto"/>
          <w:color w:val="auto"/>
        </w:rPr>
        <w:t>/s/ Derek J. Kerr</w:t>
      </w:r>
      <w:r>
        <w:rPr>
          <w:rFonts w:ascii="Arial" w:cs="Arial" w:eastAsia="Arial" w:hAnsi="Arial"/>
          <w:sz w:val="19"/>
          <w:szCs w:val="19"/>
          <w:color w:val="auto"/>
        </w:rPr>
        <w:t xml:space="preserve"> _______________________________</w:t>
      </w:r>
    </w:p>
    <w:p>
      <w:pPr>
        <w:spacing w:after="0" w:line="211" w:lineRule="auto"/>
        <w:framePr w:w="2120" w:h="192" w:wrap="auto" w:vAnchor="page" w:hAnchor="page" w:x="5480" w:y="7508"/>
        <w:rPr>
          <w:rFonts w:ascii="Arial" w:cs="Arial" w:eastAsia="Arial" w:hAnsi="Arial"/>
          <w:sz w:val="19"/>
          <w:szCs w:val="19"/>
          <w:color w:val="auto"/>
        </w:rPr>
      </w:pPr>
      <w:r>
        <w:rPr>
          <w:rFonts w:ascii="Arial" w:cs="Arial" w:eastAsia="Arial" w:hAnsi="Arial"/>
          <w:sz w:val="19"/>
          <w:szCs w:val="19"/>
          <w:color w:val="auto"/>
        </w:rPr>
        <w:t>American Airlines, Inc.</w:t>
      </w:r>
    </w:p>
    <w:p>
      <w:pPr>
        <w:spacing w:after="0" w:line="211" w:lineRule="auto"/>
        <w:framePr w:w="4360" w:h="192" w:wrap="auto" w:vAnchor="page" w:hAnchor="page" w:x="5480" w:y="7859"/>
        <w:rPr>
          <w:rFonts w:ascii="Arial" w:cs="Arial" w:eastAsia="Arial" w:hAnsi="Arial"/>
          <w:sz w:val="19"/>
          <w:szCs w:val="19"/>
          <w:color w:val="auto"/>
        </w:rPr>
      </w:pPr>
      <w:r>
        <w:rPr>
          <w:rFonts w:ascii="Arial" w:cs="Arial" w:eastAsia="Arial" w:hAnsi="Arial"/>
          <w:sz w:val="19"/>
          <w:szCs w:val="19"/>
          <w:color w:val="auto"/>
        </w:rPr>
        <w:t>Second Authorized Representative: Derek J. Kerr</w:t>
      </w:r>
    </w:p>
    <w:p>
      <w:pPr>
        <w:spacing w:after="0" w:line="211" w:lineRule="auto"/>
        <w:framePr w:w="5200" w:h="192" w:wrap="auto" w:vAnchor="page" w:hAnchor="page" w:x="5480" w:y="8210"/>
        <w:rPr>
          <w:rFonts w:ascii="Arial" w:cs="Arial" w:eastAsia="Arial" w:hAnsi="Arial"/>
          <w:sz w:val="19"/>
          <w:szCs w:val="19"/>
          <w:color w:val="auto"/>
        </w:rPr>
      </w:pPr>
      <w:r>
        <w:rPr>
          <w:rFonts w:ascii="Arial" w:cs="Arial" w:eastAsia="Arial" w:hAnsi="Arial"/>
          <w:sz w:val="19"/>
          <w:szCs w:val="19"/>
          <w:color w:val="auto"/>
        </w:rPr>
        <w:t>Title: Executive Vice President and Chief Financial Officer</w:t>
      </w:r>
    </w:p>
    <w:p>
      <w:pPr>
        <w:spacing w:after="0" w:line="211" w:lineRule="auto"/>
        <w:framePr w:w="1880" w:h="192" w:wrap="auto" w:vAnchor="page" w:hAnchor="page" w:x="5480" w:y="8561"/>
        <w:rPr>
          <w:rFonts w:ascii="Arial" w:cs="Arial" w:eastAsia="Arial" w:hAnsi="Arial"/>
          <w:sz w:val="19"/>
          <w:szCs w:val="19"/>
          <w:color w:val="auto"/>
        </w:rPr>
      </w:pPr>
      <w:r>
        <w:rPr>
          <w:rFonts w:ascii="Arial" w:cs="Arial" w:eastAsia="Arial" w:hAnsi="Arial"/>
          <w:sz w:val="19"/>
          <w:szCs w:val="19"/>
          <w:color w:val="auto"/>
        </w:rPr>
        <w:t>Date: April 20, 2020</w:t>
      </w:r>
    </w:p>
    <w:p>
      <w:pPr>
        <w:spacing w:after="0" w:line="211" w:lineRule="auto"/>
        <w:framePr w:w="4920" w:h="192" w:wrap="auto" w:vAnchor="page" w:hAnchor="page" w:x="5480" w:y="4970"/>
        <w:rPr>
          <w:rFonts w:ascii="Arial" w:cs="Arial" w:eastAsia="Arial" w:hAnsi="Arial"/>
          <w:sz w:val="19"/>
          <w:szCs w:val="19"/>
          <w:color w:val="auto"/>
        </w:rPr>
      </w:pPr>
      <w:r>
        <w:rPr>
          <w:rFonts w:ascii="Arial" w:cs="Arial" w:eastAsia="Arial" w:hAnsi="Arial"/>
          <w:sz w:val="19"/>
          <w:szCs w:val="19"/>
          <w:u w:val="single" w:color="auto"/>
          <w:color w:val="auto"/>
        </w:rPr>
        <w:t>/s/ Thomas T. Weir</w:t>
      </w:r>
      <w:r>
        <w:rPr>
          <w:rFonts w:ascii="Arial" w:cs="Arial" w:eastAsia="Arial" w:hAnsi="Arial"/>
          <w:sz w:val="19"/>
          <w:szCs w:val="19"/>
          <w:color w:val="auto"/>
        </w:rPr>
        <w:t xml:space="preserve"> _____________________________</w:t>
      </w:r>
    </w:p>
    <w:p>
      <w:pPr>
        <w:spacing w:after="0" w:line="211" w:lineRule="auto"/>
        <w:framePr w:w="2120" w:h="192" w:wrap="auto" w:vAnchor="page" w:hAnchor="page" w:x="5480" w:y="5267"/>
        <w:rPr>
          <w:rFonts w:ascii="Arial" w:cs="Arial" w:eastAsia="Arial" w:hAnsi="Arial"/>
          <w:sz w:val="19"/>
          <w:szCs w:val="19"/>
          <w:color w:val="auto"/>
        </w:rPr>
      </w:pPr>
      <w:r>
        <w:rPr>
          <w:rFonts w:ascii="Arial" w:cs="Arial" w:eastAsia="Arial" w:hAnsi="Arial"/>
          <w:sz w:val="19"/>
          <w:szCs w:val="19"/>
          <w:color w:val="auto"/>
        </w:rPr>
        <w:t>American Airlines, Inc.</w:t>
      </w:r>
    </w:p>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jc w:val="center"/>
        <w:ind w:right="-19"/>
        <w:spacing w:after="0"/>
        <w:rPr>
          <w:sz w:val="20"/>
          <w:szCs w:val="20"/>
          <w:color w:val="auto"/>
        </w:rPr>
      </w:pPr>
      <w:r>
        <w:rPr>
          <w:rFonts w:ascii="Arial" w:cs="Arial" w:eastAsia="Arial" w:hAnsi="Arial"/>
          <w:sz w:val="21"/>
          <w:szCs w:val="21"/>
          <w:b w:val="1"/>
          <w:bCs w:val="1"/>
          <w:color w:val="auto"/>
        </w:rPr>
        <w:t>PAYROLL SUPPORT PROGRAM AGREEMENT</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40575" cy="48774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7140575" cy="487743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rFonts w:ascii="Arial" w:cs="Arial" w:eastAsia="Arial" w:hAnsi="Arial"/>
          <w:sz w:val="19"/>
          <w:szCs w:val="19"/>
          <w:color w:val="auto"/>
        </w:rPr>
      </w:pPr>
    </w:p>
    <w:p>
      <w:pPr>
        <w:spacing w:after="0" w:line="342"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19"/>
          <w:szCs w:val="19"/>
          <w:b w:val="1"/>
          <w:bCs w:val="1"/>
          <w:color w:val="auto"/>
        </w:rPr>
        <w:t xml:space="preserve">Recipient: </w:t>
      </w:r>
      <w:r>
        <w:rPr>
          <w:rFonts w:ascii="Arial" w:cs="Arial" w:eastAsia="Arial" w:hAnsi="Arial"/>
          <w:sz w:val="19"/>
          <w:szCs w:val="19"/>
          <w:color w:val="auto"/>
        </w:rPr>
        <w:t>American Airlines, Inc.</w:t>
      </w:r>
    </w:p>
    <w:p>
      <w:pPr>
        <w:spacing w:after="0" w:line="85"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1 Skyview Drive</w:t>
      </w:r>
    </w:p>
    <w:p>
      <w:pPr>
        <w:spacing w:after="0" w:line="44"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Fort Worth, TX 76155</w:t>
      </w:r>
    </w:p>
    <w:p>
      <w:pPr>
        <w:spacing w:after="0" w:line="20" w:lineRule="exact"/>
        <w:rPr>
          <w:rFonts w:ascii="Arial" w:cs="Arial" w:eastAsia="Arial" w:hAnsi="Arial"/>
          <w:sz w:val="19"/>
          <w:szCs w:val="19"/>
          <w:color w:val="auto"/>
        </w:rPr>
      </w:pPr>
      <w:r>
        <w:rPr>
          <w:rFonts w:ascii="Arial" w:cs="Arial" w:eastAsia="Arial" w:hAnsi="Arial"/>
          <w:sz w:val="19"/>
          <w:szCs w:val="19"/>
          <w:color w:val="auto"/>
        </w:rPr>
        <w:br w:type="column"/>
      </w:r>
    </w:p>
    <w:p>
      <w:pPr>
        <w:spacing w:after="0" w:line="200" w:lineRule="exact"/>
        <w:rPr>
          <w:rFonts w:ascii="Arial" w:cs="Arial" w:eastAsia="Arial" w:hAnsi="Arial"/>
          <w:sz w:val="19"/>
          <w:szCs w:val="19"/>
          <w:color w:val="auto"/>
        </w:rPr>
      </w:pPr>
    </w:p>
    <w:p>
      <w:pPr>
        <w:spacing w:after="0" w:line="322"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b w:val="1"/>
          <w:bCs w:val="1"/>
          <w:color w:val="auto"/>
        </w:rPr>
        <w:t xml:space="preserve">PSP Participant Number: </w:t>
      </w:r>
      <w:r>
        <w:rPr>
          <w:rFonts w:ascii="Arial" w:cs="Arial" w:eastAsia="Arial" w:hAnsi="Arial"/>
          <w:sz w:val="22"/>
          <w:szCs w:val="22"/>
          <w:color w:val="auto"/>
        </w:rPr>
        <w:t>PSA-2004031029</w:t>
      </w:r>
    </w:p>
    <w:p>
      <w:pPr>
        <w:spacing w:after="0" w:line="44"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b w:val="1"/>
          <w:bCs w:val="1"/>
          <w:color w:val="auto"/>
        </w:rPr>
        <w:t xml:space="preserve">Employer Identification Number: </w:t>
      </w:r>
      <w:r>
        <w:rPr>
          <w:rFonts w:ascii="Arial" w:cs="Arial" w:eastAsia="Arial" w:hAnsi="Arial"/>
          <w:sz w:val="22"/>
          <w:szCs w:val="22"/>
          <w:color w:val="auto"/>
        </w:rPr>
        <w:t>13-1502798</w:t>
      </w:r>
    </w:p>
    <w:p>
      <w:pPr>
        <w:spacing w:after="0" w:line="44"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9"/>
          <w:szCs w:val="19"/>
          <w:b w:val="1"/>
          <w:bCs w:val="1"/>
          <w:color w:val="auto"/>
        </w:rPr>
        <w:t xml:space="preserve">DUNS Number: </w:t>
      </w:r>
      <w:r>
        <w:rPr>
          <w:rFonts w:ascii="Arial" w:cs="Arial" w:eastAsia="Arial" w:hAnsi="Arial"/>
          <w:sz w:val="19"/>
          <w:szCs w:val="19"/>
          <w:color w:val="auto"/>
        </w:rPr>
        <w:t>_____________________________</w:t>
      </w:r>
    </w:p>
    <w:p>
      <w:pPr>
        <w:spacing w:after="0" w:line="146" w:lineRule="exact"/>
        <w:rPr>
          <w:rFonts w:ascii="Arial" w:cs="Arial" w:eastAsia="Arial" w:hAnsi="Arial"/>
          <w:sz w:val="19"/>
          <w:szCs w:val="19"/>
          <w:color w:val="auto"/>
        </w:rPr>
      </w:pPr>
    </w:p>
    <w:p>
      <w:pPr>
        <w:sectPr>
          <w:pgSz w:w="11900" w:h="16838" w:orient="portrait"/>
          <w:cols w:equalWidth="0" w:num="2">
            <w:col w:w="4500" w:space="720"/>
            <w:col w:w="6020"/>
          </w:cols>
          <w:pgMar w:left="320" w:top="126" w:right="339" w:bottom="1440" w:gutter="0" w:footer="0" w:header="0"/>
          <w:type w:val="continuous"/>
        </w:sectPr>
      </w:pPr>
    </w:p>
    <w:p>
      <w:pPr>
        <w:ind w:left="40"/>
        <w:spacing w:after="0"/>
        <w:rPr>
          <w:sz w:val="20"/>
          <w:szCs w:val="20"/>
          <w:color w:val="auto"/>
        </w:rPr>
      </w:pPr>
      <w:r>
        <w:rPr>
          <w:rFonts w:ascii="Arial" w:cs="Arial" w:eastAsia="Arial" w:hAnsi="Arial"/>
          <w:sz w:val="22"/>
          <w:szCs w:val="22"/>
          <w:b w:val="1"/>
          <w:bCs w:val="1"/>
          <w:color w:val="auto"/>
        </w:rPr>
        <w:t xml:space="preserve">Amount of Initial Payroll Support Payment </w:t>
      </w:r>
      <w:r>
        <w:rPr>
          <w:rFonts w:ascii="Arial" w:cs="Arial" w:eastAsia="Arial" w:hAnsi="Arial"/>
          <w:sz w:val="22"/>
          <w:szCs w:val="22"/>
          <w:color w:val="auto"/>
        </w:rPr>
        <w:t>: $2,907,258,220</w:t>
      </w:r>
    </w:p>
    <w:p>
      <w:pPr>
        <w:spacing w:after="0" w:line="118" w:lineRule="exact"/>
        <w:rPr>
          <w:rFonts w:ascii="Arial" w:cs="Arial" w:eastAsia="Arial" w:hAnsi="Arial"/>
          <w:sz w:val="19"/>
          <w:szCs w:val="19"/>
          <w:color w:val="auto"/>
        </w:rPr>
      </w:pPr>
    </w:p>
    <w:p>
      <w:pPr>
        <w:ind w:left="40" w:right="220"/>
        <w:spacing w:after="0" w:line="248" w:lineRule="auto"/>
        <w:rPr>
          <w:sz w:val="20"/>
          <w:szCs w:val="20"/>
          <w:color w:val="auto"/>
        </w:rPr>
      </w:pPr>
      <w:r>
        <w:rPr>
          <w:rFonts w:ascii="Arial" w:cs="Arial" w:eastAsia="Arial" w:hAnsi="Arial"/>
          <w:sz w:val="21"/>
          <w:szCs w:val="21"/>
          <w:color w:val="auto"/>
        </w:rPr>
        <w:t>The Department of the Treasury (Treasury) hereby provides Payroll Support (as defined herein) under Division A, Title IV, Subtitle B of the Coronavirus Aid, Relief, and Economic Security Act. The Signatory Entity named above, on behalf of itself and its Affiliates (as defined herein), agrees to comply with this Agreement and applicable Federal law as a condition of receiving Payroll Support. The Signatory Entity and its undersigned authorized representatives acknowledge that a materially false, fictitious, or fraudulent statement (or concealment or omission of a material fact) in connection with this Agreement may result in administrative remedies as well as civil and/or criminal penalties.</w:t>
      </w:r>
    </w:p>
    <w:p>
      <w:pPr>
        <w:spacing w:after="0" w:line="22"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b w:val="1"/>
          <w:bCs w:val="1"/>
          <w:color w:val="auto"/>
        </w:rPr>
        <w:t>The undersigned hereby agree to the attached Payroll Support Program Agreement.</w:t>
      </w:r>
    </w:p>
    <w:p>
      <w:pPr>
        <w:spacing w:after="0" w:line="50"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u w:val="single" w:color="auto"/>
          <w:color w:val="auto"/>
        </w:rPr>
        <w:t>/s/ Steven T. Mnuchin</w:t>
      </w:r>
      <w:r>
        <w:rPr>
          <w:rFonts w:ascii="Arial" w:cs="Arial" w:eastAsia="Arial" w:hAnsi="Arial"/>
          <w:sz w:val="22"/>
          <w:szCs w:val="22"/>
          <w:color w:val="auto"/>
        </w:rPr>
        <w:t xml:space="preserve"> _____________________</w:t>
      </w:r>
    </w:p>
    <w:p>
      <w:pPr>
        <w:spacing w:after="0" w:line="44"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Department of the Treasury</w:t>
      </w:r>
    </w:p>
    <w:p>
      <w:pPr>
        <w:spacing w:after="0" w:line="98"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Name: Steven Mnuchin</w:t>
      </w:r>
    </w:p>
    <w:p>
      <w:pPr>
        <w:spacing w:after="0" w:line="98"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Title: Secretary</w:t>
      </w:r>
    </w:p>
    <w:p>
      <w:pPr>
        <w:spacing w:after="0" w:line="98" w:lineRule="exact"/>
        <w:rPr>
          <w:rFonts w:ascii="Arial" w:cs="Arial" w:eastAsia="Arial" w:hAnsi="Arial"/>
          <w:sz w:val="19"/>
          <w:szCs w:val="19"/>
          <w:color w:val="auto"/>
        </w:rPr>
      </w:pPr>
    </w:p>
    <w:p>
      <w:pPr>
        <w:ind w:left="40"/>
        <w:spacing w:after="0"/>
        <w:rPr>
          <w:sz w:val="20"/>
          <w:szCs w:val="20"/>
          <w:color w:val="auto"/>
        </w:rPr>
      </w:pPr>
      <w:r>
        <w:rPr>
          <w:rFonts w:ascii="Arial" w:cs="Arial" w:eastAsia="Arial" w:hAnsi="Arial"/>
          <w:sz w:val="22"/>
          <w:szCs w:val="22"/>
          <w:color w:val="auto"/>
        </w:rPr>
        <w:t>Date: April 20, 2020</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8"/>
          <w:szCs w:val="18"/>
          <w:color w:val="auto"/>
        </w:rPr>
        <w:t>OMB Approved No. 1505-0263</w:t>
      </w:r>
    </w:p>
    <w:p>
      <w:pPr>
        <w:spacing w:after="0" w:line="104"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18"/>
          <w:szCs w:val="18"/>
          <w:color w:val="auto"/>
        </w:rPr>
        <w:t>Expiration Date: 09/30/2020</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35" w:name="page636"/>
    <w:bookmarkEnd w:id="635"/>
    <w:p>
      <w:pPr>
        <w:jc w:val="center"/>
        <w:ind w:right="-19"/>
        <w:spacing w:after="0"/>
        <w:rPr>
          <w:sz w:val="20"/>
          <w:szCs w:val="20"/>
          <w:color w:val="auto"/>
        </w:rPr>
      </w:pPr>
      <w:r>
        <w:rPr>
          <w:rFonts w:ascii="Arial" w:cs="Arial" w:eastAsia="Arial" w:hAnsi="Arial"/>
          <w:sz w:val="22"/>
          <w:szCs w:val="22"/>
          <w:b w:val="1"/>
          <w:bCs w:val="1"/>
          <w:u w:val="single" w:color="auto"/>
          <w:color w:val="auto"/>
        </w:rPr>
        <w:t>PAYROLL SUPPORT PROGRAM AGREEMENT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INTRODUCTION</w:t>
      </w:r>
    </w:p>
    <w:p>
      <w:pPr>
        <w:spacing w:after="0" w:line="30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The Coronavirus Aid, Relief, and Economic Security Act (CARES Act or Act) directs the Department of the Treasury (Treasury) to provide Payroll Support (as defined herein) to passenger air carriers, cargo air carriers, and certain contractors that must be exclusively used for the continuation of payment of Employee Salaries, Wages, and Benefits (as defined herein). The Act permits Treasury to provide Payroll Support in such form, and on such terms and conditions, as the Secretary of the Treasury determines appropriate, and requires certain assurances from the Recipient (as defined herein).</w:t>
      </w:r>
    </w:p>
    <w:p>
      <w:pPr>
        <w:spacing w:after="0" w:line="228"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This Payroll Support Program Agreement, including the application and all supporting documents submitted by the Recipient and the Payroll Support Certification attached hereto (collectively, Agreement), memorializes the binding terms and conditions applicable to the Recipient.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right="120"/>
        <w:spacing w:after="0" w:line="271" w:lineRule="auto"/>
        <w:rPr>
          <w:sz w:val="20"/>
          <w:szCs w:val="20"/>
          <w:color w:val="auto"/>
        </w:rPr>
      </w:pPr>
      <w:r>
        <w:rPr>
          <w:rFonts w:ascii="Arial" w:cs="Arial" w:eastAsia="Arial" w:hAnsi="Arial"/>
          <w:sz w:val="21"/>
          <w:szCs w:val="21"/>
          <w:color w:val="auto"/>
        </w:rPr>
        <w:t>As used in this Agreement, the following terms shall have the following respective meanings, unless the context clearly requires otherwise. In addition, this Agreement shall be construed in a manner consistent with any public guidance Treasury may from time to time issue regarding the implementation of Division A, Title IV, Subtitle B of the CARES Act.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Act </w:t>
      </w:r>
      <w:r>
        <w:rPr>
          <w:rFonts w:ascii="Arial" w:cs="Arial" w:eastAsia="Arial" w:hAnsi="Arial"/>
          <w:sz w:val="22"/>
          <w:szCs w:val="22"/>
          <w:color w:val="auto"/>
        </w:rPr>
        <w:t>or</w:t>
      </w:r>
      <w:r>
        <w:rPr>
          <w:rFonts w:ascii="Arial" w:cs="Arial" w:eastAsia="Arial" w:hAnsi="Arial"/>
          <w:sz w:val="22"/>
          <w:szCs w:val="22"/>
          <w:i w:val="1"/>
          <w:iCs w:val="1"/>
          <w:color w:val="auto"/>
        </w:rPr>
        <w:t xml:space="preserve"> CARES Act </w:t>
      </w:r>
      <w:r>
        <w:rPr>
          <w:rFonts w:ascii="Arial" w:cs="Arial" w:eastAsia="Arial" w:hAnsi="Arial"/>
          <w:sz w:val="22"/>
          <w:szCs w:val="22"/>
          <w:color w:val="auto"/>
        </w:rPr>
        <w:t>means the Coronavirus Aid, Relief, and Economic Security Act (Pub. L. No. 116-136).</w:t>
      </w:r>
    </w:p>
    <w:p>
      <w:pPr>
        <w:spacing w:after="0" w:line="220"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i w:val="1"/>
          <w:iCs w:val="1"/>
          <w:color w:val="auto"/>
        </w:rPr>
        <w:t xml:space="preserve">Additional Payroll Support Payment </w:t>
      </w:r>
      <w:r>
        <w:rPr>
          <w:rFonts w:ascii="Arial" w:cs="Arial" w:eastAsia="Arial" w:hAnsi="Arial"/>
          <w:sz w:val="22"/>
          <w:szCs w:val="22"/>
          <w:color w:val="auto"/>
        </w:rPr>
        <w:t>means any disbursement of Payroll Support occurring after the first disbursement of Payroll</w:t>
      </w:r>
      <w:r>
        <w:rPr>
          <w:rFonts w:ascii="Arial" w:cs="Arial" w:eastAsia="Arial" w:hAnsi="Arial"/>
          <w:sz w:val="22"/>
          <w:szCs w:val="22"/>
          <w:i w:val="1"/>
          <w:iCs w:val="1"/>
          <w:color w:val="auto"/>
        </w:rPr>
        <w:t xml:space="preserve"> </w:t>
      </w:r>
      <w:r>
        <w:rPr>
          <w:rFonts w:ascii="Arial" w:cs="Arial" w:eastAsia="Arial" w:hAnsi="Arial"/>
          <w:sz w:val="22"/>
          <w:szCs w:val="22"/>
          <w:color w:val="auto"/>
        </w:rPr>
        <w:t>Support under this Agreement.</w:t>
      </w:r>
    </w:p>
    <w:p>
      <w:pPr>
        <w:spacing w:after="0" w:line="175" w:lineRule="exact"/>
        <w:rPr>
          <w:sz w:val="20"/>
          <w:szCs w:val="20"/>
          <w:color w:val="auto"/>
        </w:rPr>
      </w:pPr>
    </w:p>
    <w:p>
      <w:pPr>
        <w:jc w:val="both"/>
        <w:ind w:right="260"/>
        <w:spacing w:after="0" w:line="312" w:lineRule="auto"/>
        <w:rPr>
          <w:sz w:val="20"/>
          <w:szCs w:val="20"/>
          <w:color w:val="auto"/>
        </w:rPr>
      </w:pPr>
      <w:r>
        <w:rPr>
          <w:rFonts w:ascii="Arial" w:cs="Arial" w:eastAsia="Arial" w:hAnsi="Arial"/>
          <w:sz w:val="19"/>
          <w:szCs w:val="19"/>
          <w:i w:val="1"/>
          <w:iCs w:val="1"/>
          <w:color w:val="auto"/>
        </w:rPr>
        <w:t xml:space="preserve">Affiliate </w:t>
      </w:r>
      <w:r>
        <w:rPr>
          <w:rFonts w:ascii="Arial" w:cs="Arial" w:eastAsia="Arial" w:hAnsi="Arial"/>
          <w:sz w:val="19"/>
          <w:szCs w:val="19"/>
          <w:color w:val="auto"/>
        </w:rPr>
        <w:t>means any Person that directly or indirectly controls, is controlled by, or is under common control with, the Recipient.</w:t>
      </w:r>
      <w:r>
        <w:rPr>
          <w:rFonts w:ascii="Arial" w:cs="Arial" w:eastAsia="Arial" w:hAnsi="Arial"/>
          <w:sz w:val="19"/>
          <w:szCs w:val="19"/>
          <w:i w:val="1"/>
          <w:iCs w:val="1"/>
          <w:color w:val="auto"/>
        </w:rPr>
        <w:t xml:space="preserve"> </w:t>
      </w:r>
      <w:r>
        <w:rPr>
          <w:rFonts w:ascii="Arial" w:cs="Arial" w:eastAsia="Arial" w:hAnsi="Arial"/>
          <w:sz w:val="19"/>
          <w:szCs w:val="19"/>
          <w:color w:val="auto"/>
        </w:rPr>
        <w:t>For purposes of this definition, “control” of a Person shall mean having the power, directly or indirectly, to direct or cause the direction of the management and policies of such Person, whether by ownership of voting equity, by contract, or otherwise.</w:t>
      </w:r>
    </w:p>
    <w:p>
      <w:pPr>
        <w:spacing w:after="0" w:line="133"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i w:val="1"/>
          <w:iCs w:val="1"/>
          <w:color w:val="auto"/>
        </w:rPr>
        <w:t xml:space="preserve">Benefits </w:t>
      </w:r>
      <w:r>
        <w:rPr>
          <w:rFonts w:ascii="Arial" w:cs="Arial" w:eastAsia="Arial" w:hAnsi="Arial"/>
          <w:sz w:val="19"/>
          <w:szCs w:val="19"/>
          <w:color w:val="auto"/>
        </w:rPr>
        <w:t>means, without duplication of any amounts counted as Salary or Wages, pension expenses in respect of Employees, all</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for accident, sickness, hospital, and death benefits to Employees, and the cost of insurance to provide such benefits; any Severance Pay or Other Benefits payable to Employees pursuant to a bona fide voluntary early retirement program or voluntary furlough; and any other similar expenses paid by the Recipient for the benefit of Employees, including any other fringe benefit expense described in lines 10 and 11 of Financial Reporting Schedule P-6, Form 41, as published by the Department of Transportation, but excluding any Federal, state, or local payroll taxes paid by the Recipient.</w:t>
      </w:r>
    </w:p>
    <w:p>
      <w:pPr>
        <w:spacing w:after="0" w:line="149"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i w:val="1"/>
          <w:iCs w:val="1"/>
          <w:color w:val="auto"/>
        </w:rPr>
        <w:t xml:space="preserve">Corporate Officer </w:t>
      </w:r>
      <w:r>
        <w:rPr>
          <w:rFonts w:ascii="Arial" w:cs="Arial" w:eastAsia="Arial" w:hAnsi="Arial"/>
          <w:sz w:val="19"/>
          <w:szCs w:val="19"/>
          <w:color w:val="auto"/>
        </w:rPr>
        <w:t>means, with respect to the Recipient, its president; any vice president in charge of a principal business unit,</w:t>
      </w:r>
      <w:r>
        <w:rPr>
          <w:rFonts w:ascii="Arial" w:cs="Arial" w:eastAsia="Arial" w:hAnsi="Arial"/>
          <w:sz w:val="19"/>
          <w:szCs w:val="19"/>
          <w:i w:val="1"/>
          <w:iCs w:val="1"/>
          <w:color w:val="auto"/>
        </w:rPr>
        <w:t xml:space="preserve"> </w:t>
      </w:r>
      <w:r>
        <w:rPr>
          <w:rFonts w:ascii="Arial" w:cs="Arial" w:eastAsia="Arial" w:hAnsi="Arial"/>
          <w:sz w:val="19"/>
          <w:szCs w:val="19"/>
          <w:color w:val="auto"/>
        </w:rPr>
        <w:t>division, or function (such as sales, administration or finance); any other officer who performs a policy-making function; or any other person who performs similar policy making functions for the Recipient. Executive officers of subsidiaries or parents of the Recipient may be deemed Corporate Officers of the Recipient if they perform such policy-making functions for the Recipient.</w:t>
      </w:r>
    </w:p>
    <w:p>
      <w:pPr>
        <w:spacing w:after="0" w:line="142"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i w:val="1"/>
          <w:iCs w:val="1"/>
          <w:color w:val="auto"/>
        </w:rPr>
        <w:t xml:space="preserve">Employee </w:t>
      </w:r>
      <w:r>
        <w:rPr>
          <w:rFonts w:ascii="Arial" w:cs="Arial" w:eastAsia="Arial" w:hAnsi="Arial"/>
          <w:sz w:val="22"/>
          <w:szCs w:val="22"/>
          <w:color w:val="auto"/>
        </w:rPr>
        <w:t>means an individual who is employed by the Recipient and whose principal place of employment is in the United</w:t>
      </w:r>
      <w:r>
        <w:rPr>
          <w:rFonts w:ascii="Arial" w:cs="Arial" w:eastAsia="Arial" w:hAnsi="Arial"/>
          <w:sz w:val="22"/>
          <w:szCs w:val="22"/>
          <w:i w:val="1"/>
          <w:iCs w:val="1"/>
          <w:color w:val="auto"/>
        </w:rPr>
        <w:t xml:space="preserve"> </w:t>
      </w:r>
      <w:r>
        <w:rPr>
          <w:rFonts w:ascii="Arial" w:cs="Arial" w:eastAsia="Arial" w:hAnsi="Arial"/>
          <w:sz w:val="22"/>
          <w:szCs w:val="22"/>
          <w:color w:val="auto"/>
        </w:rPr>
        <w:t>States (including its territories and possessions), including salaried, hourly,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636" w:name="page637"/>
    <w:bookmarkEnd w:id="636"/>
    <w:p>
      <w:pPr>
        <w:ind w:right="280"/>
        <w:spacing w:after="0" w:line="263" w:lineRule="auto"/>
        <w:rPr>
          <w:sz w:val="20"/>
          <w:szCs w:val="20"/>
          <w:color w:val="auto"/>
        </w:rPr>
      </w:pPr>
      <w:r>
        <w:rPr>
          <w:rFonts w:ascii="Arial" w:cs="Arial" w:eastAsia="Arial" w:hAnsi="Arial"/>
          <w:sz w:val="22"/>
          <w:szCs w:val="22"/>
          <w:color w:val="auto"/>
        </w:rPr>
        <w:t>full-time, part-time, temporary, and leased employees, but excluding any individual who is a Corporate Officer or independent contractor.</w:t>
      </w:r>
    </w:p>
    <w:p>
      <w:pPr>
        <w:spacing w:after="0" w:line="175"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i w:val="1"/>
          <w:iCs w:val="1"/>
          <w:color w:val="auto"/>
        </w:rPr>
        <w:t xml:space="preserve">Involuntary Termination or Furlough </w:t>
      </w:r>
      <w:r>
        <w:rPr>
          <w:rFonts w:ascii="Arial" w:cs="Arial" w:eastAsia="Arial" w:hAnsi="Arial"/>
          <w:sz w:val="19"/>
          <w:szCs w:val="19"/>
          <w:color w:val="auto"/>
        </w:rPr>
        <w:t>means the Recipient terminating the employment of one or more Employees or requiring</w:t>
      </w:r>
      <w:r>
        <w:rPr>
          <w:rFonts w:ascii="Arial" w:cs="Arial" w:eastAsia="Arial" w:hAnsi="Arial"/>
          <w:sz w:val="19"/>
          <w:szCs w:val="19"/>
          <w:i w:val="1"/>
          <w:iCs w:val="1"/>
          <w:color w:val="auto"/>
        </w:rPr>
        <w:t xml:space="preserve"> </w:t>
      </w:r>
      <w:r>
        <w:rPr>
          <w:rFonts w:ascii="Arial" w:cs="Arial" w:eastAsia="Arial" w:hAnsi="Arial"/>
          <w:sz w:val="19"/>
          <w:szCs w:val="19"/>
          <w:color w:val="auto"/>
        </w:rPr>
        <w:t>one or more Employees to take a temporary suspension or unpaid leave for any reason, including a shut-down or slow-down of business; provided, however, that an Involuntary Termination or Furlough does not include a Permitted Termination or Furlough.</w:t>
      </w:r>
    </w:p>
    <w:p>
      <w:pPr>
        <w:spacing w:after="0" w:line="133"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i w:val="1"/>
          <w:iCs w:val="1"/>
          <w:color w:val="auto"/>
        </w:rPr>
        <w:t xml:space="preserve">Maximum Awardable Amount </w:t>
      </w:r>
      <w:r>
        <w:rPr>
          <w:rFonts w:ascii="Arial" w:cs="Arial" w:eastAsia="Arial" w:hAnsi="Arial"/>
          <w:sz w:val="22"/>
          <w:szCs w:val="22"/>
          <w:color w:val="auto"/>
        </w:rPr>
        <w:t>means the amount determined by the Secretary with respect to the Recipient pursuant to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4113(a)(1), (2), or (3) (as applicable) of the CARES Act.</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i w:val="1"/>
          <w:iCs w:val="1"/>
          <w:color w:val="auto"/>
        </w:rPr>
        <w:t xml:space="preserve">Payroll Support </w:t>
      </w:r>
      <w:r>
        <w:rPr>
          <w:rFonts w:ascii="Arial" w:cs="Arial" w:eastAsia="Arial" w:hAnsi="Arial"/>
          <w:sz w:val="22"/>
          <w:szCs w:val="22"/>
          <w:color w:val="auto"/>
        </w:rPr>
        <w:t>means funds disbursed by the Secretary to the Recipient under this Agreement, including the first disbursement</w:t>
      </w:r>
      <w:r>
        <w:rPr>
          <w:rFonts w:ascii="Arial" w:cs="Arial" w:eastAsia="Arial" w:hAnsi="Arial"/>
          <w:sz w:val="22"/>
          <w:szCs w:val="22"/>
          <w:i w:val="1"/>
          <w:iCs w:val="1"/>
          <w:color w:val="auto"/>
        </w:rPr>
        <w:t xml:space="preserve"> </w:t>
      </w:r>
      <w:r>
        <w:rPr>
          <w:rFonts w:ascii="Arial" w:cs="Arial" w:eastAsia="Arial" w:hAnsi="Arial"/>
          <w:sz w:val="22"/>
          <w:szCs w:val="22"/>
          <w:color w:val="auto"/>
        </w:rPr>
        <w:t>of Payroll Support and any Additional Payroll Support Payment.</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22"/>
          <w:szCs w:val="22"/>
          <w:i w:val="1"/>
          <w:iCs w:val="1"/>
          <w:color w:val="auto"/>
        </w:rPr>
        <w:t xml:space="preserve">Permitted Termination or Furlough </w:t>
      </w:r>
      <w:r>
        <w:rPr>
          <w:rFonts w:ascii="Arial" w:cs="Arial" w:eastAsia="Arial" w:hAnsi="Arial"/>
          <w:sz w:val="22"/>
          <w:szCs w:val="22"/>
          <w:color w:val="auto"/>
        </w:rPr>
        <w:t>means, with respect to an Employee, (1) a voluntary furlough, voluntary leave of absence,</w:t>
      </w:r>
      <w:r>
        <w:rPr>
          <w:rFonts w:ascii="Arial" w:cs="Arial" w:eastAsia="Arial" w:hAnsi="Arial"/>
          <w:sz w:val="22"/>
          <w:szCs w:val="22"/>
          <w:i w:val="1"/>
          <w:iCs w:val="1"/>
          <w:color w:val="auto"/>
        </w:rPr>
        <w:t xml:space="preserve"> </w:t>
      </w:r>
      <w:r>
        <w:rPr>
          <w:rFonts w:ascii="Arial" w:cs="Arial" w:eastAsia="Arial" w:hAnsi="Arial"/>
          <w:sz w:val="22"/>
          <w:szCs w:val="22"/>
          <w:color w:val="auto"/>
        </w:rPr>
        <w:t>voluntary resignation, or voluntary retirement, (2) termination of employment resulting from such Employee’s death or disability, or (3) the Recipient terminating the employment of such Employee for cause or placing such Employee on a temporary suspension or unpaid leave of absence for disciplinary reasons, in either case, as reasonably determined by the Recipient acting in good faith.</w:t>
      </w:r>
    </w:p>
    <w:p>
      <w:pPr>
        <w:spacing w:after="0" w:line="192"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i w:val="1"/>
          <w:iCs w:val="1"/>
          <w:color w:val="auto"/>
        </w:rPr>
        <w:t xml:space="preserve">Person </w:t>
      </w:r>
      <w:r>
        <w:rPr>
          <w:rFonts w:ascii="Arial" w:cs="Arial" w:eastAsia="Arial" w:hAnsi="Arial"/>
          <w:sz w:val="22"/>
          <w:szCs w:val="22"/>
          <w:color w:val="auto"/>
        </w:rPr>
        <w:t>means any natural person, corporation, limited liability company, partnership, joint venture, trust, business association,</w:t>
      </w:r>
      <w:r>
        <w:rPr>
          <w:rFonts w:ascii="Arial" w:cs="Arial" w:eastAsia="Arial" w:hAnsi="Arial"/>
          <w:sz w:val="22"/>
          <w:szCs w:val="22"/>
          <w:i w:val="1"/>
          <w:iCs w:val="1"/>
          <w:color w:val="auto"/>
        </w:rPr>
        <w:t xml:space="preserve"> </w:t>
      </w:r>
      <w:r>
        <w:rPr>
          <w:rFonts w:ascii="Arial" w:cs="Arial" w:eastAsia="Arial" w:hAnsi="Arial"/>
          <w:sz w:val="22"/>
          <w:szCs w:val="22"/>
          <w:color w:val="auto"/>
        </w:rPr>
        <w:t>governmental entity, or other entity.</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i w:val="1"/>
          <w:iCs w:val="1"/>
          <w:color w:val="auto"/>
        </w:rPr>
        <w:t xml:space="preserve">Recipient </w:t>
      </w:r>
      <w:r>
        <w:rPr>
          <w:rFonts w:ascii="Arial" w:cs="Arial" w:eastAsia="Arial" w:hAnsi="Arial"/>
          <w:sz w:val="22"/>
          <w:szCs w:val="22"/>
          <w:color w:val="auto"/>
        </w:rPr>
        <w:t>means, collectively, the Signatory Entity; its Affiliates that are air carriers as defined in 49 U.S.C. § 40102; and their</w:t>
      </w:r>
      <w:r>
        <w:rPr>
          <w:rFonts w:ascii="Arial" w:cs="Arial" w:eastAsia="Arial" w:hAnsi="Arial"/>
          <w:sz w:val="22"/>
          <w:szCs w:val="22"/>
          <w:i w:val="1"/>
          <w:iCs w:val="1"/>
          <w:color w:val="auto"/>
        </w:rPr>
        <w:t xml:space="preserve"> </w:t>
      </w:r>
      <w:r>
        <w:rPr>
          <w:rFonts w:ascii="Arial" w:cs="Arial" w:eastAsia="Arial" w:hAnsi="Arial"/>
          <w:sz w:val="22"/>
          <w:szCs w:val="22"/>
          <w:color w:val="auto"/>
        </w:rPr>
        <w:t>respective heirs, executors, administrators, successors, and assigns.</w:t>
      </w:r>
    </w:p>
    <w:p>
      <w:pPr>
        <w:spacing w:after="0" w:line="17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i w:val="1"/>
          <w:iCs w:val="1"/>
          <w:color w:val="auto"/>
        </w:rPr>
        <w:t xml:space="preserve">Salary </w:t>
      </w:r>
      <w:r>
        <w:rPr>
          <w:rFonts w:ascii="Arial" w:cs="Arial" w:eastAsia="Arial" w:hAnsi="Arial"/>
          <w:sz w:val="22"/>
          <w:szCs w:val="22"/>
          <w:color w:val="auto"/>
        </w:rPr>
        <w:t>means, without duplication of any amounts counted as Benefits, a predetermined regular payment, typically paid on a</w:t>
      </w:r>
      <w:r>
        <w:rPr>
          <w:rFonts w:ascii="Arial" w:cs="Arial" w:eastAsia="Arial" w:hAnsi="Arial"/>
          <w:sz w:val="22"/>
          <w:szCs w:val="22"/>
          <w:i w:val="1"/>
          <w:iCs w:val="1"/>
          <w:color w:val="auto"/>
        </w:rPr>
        <w:t xml:space="preserve"> </w:t>
      </w:r>
      <w:r>
        <w:rPr>
          <w:rFonts w:ascii="Arial" w:cs="Arial" w:eastAsia="Arial" w:hAnsi="Arial"/>
          <w:sz w:val="22"/>
          <w:szCs w:val="22"/>
          <w:color w:val="auto"/>
        </w:rPr>
        <w:t>weekly or less frequent basis but which may be expressed as an hourly, weekly, annual or other rate, as well as cost-of-living differentials, vacation time, paid time off, sick leave, and overtime pay, paid by the Recipient to its Employees, but excluding any Federal, state, or local payroll taxes paid by the Recipient.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Secretary </w:t>
      </w:r>
      <w:r>
        <w:rPr>
          <w:rFonts w:ascii="Arial" w:cs="Arial" w:eastAsia="Arial" w:hAnsi="Arial"/>
          <w:sz w:val="22"/>
          <w:szCs w:val="22"/>
          <w:color w:val="auto"/>
        </w:rPr>
        <w:t>means the Secretary of the Treasury.</w:t>
      </w:r>
    </w:p>
    <w:p>
      <w:pPr>
        <w:spacing w:after="0" w:line="220"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i w:val="1"/>
          <w:iCs w:val="1"/>
          <w:color w:val="auto"/>
        </w:rPr>
        <w:t xml:space="preserve">Severance Pay or Other Benefits </w:t>
      </w:r>
      <w:r>
        <w:rPr>
          <w:rFonts w:ascii="Arial" w:cs="Arial" w:eastAsia="Arial" w:hAnsi="Arial"/>
          <w:sz w:val="19"/>
          <w:szCs w:val="19"/>
          <w:color w:val="auto"/>
        </w:rPr>
        <w:t>means any severance payment or other similar benefits, including cash payments, health care</w:t>
      </w:r>
      <w:r>
        <w:rPr>
          <w:rFonts w:ascii="Arial" w:cs="Arial" w:eastAsia="Arial" w:hAnsi="Arial"/>
          <w:sz w:val="19"/>
          <w:szCs w:val="19"/>
          <w:i w:val="1"/>
          <w:iCs w:val="1"/>
          <w:color w:val="auto"/>
        </w:rPr>
        <w:t xml:space="preserve"> </w:t>
      </w:r>
      <w:r>
        <w:rPr>
          <w:rFonts w:ascii="Arial" w:cs="Arial" w:eastAsia="Arial" w:hAnsi="Arial"/>
          <w:sz w:val="19"/>
          <w:szCs w:val="19"/>
          <w:color w:val="auto"/>
        </w:rPr>
        <w:t>benefits, perquisites, the enhancement or acceleration of the payment or vesting of any payment or benefit or any other in-kind benefit payable (whether in lump sum or over time, including after March 24, 2022) by the Recipient to a Corporate Officer or Employee in connection with any termination of such Corporate Officer’s or Employee’s employment (including, without limitation, resignation, severance, retirement, or constructive termination), which shall be determined and calculated in respect of any Employee or Corporate Officer of the Recipient in the manner prescribed in 17 CFR 229.402(j) (without regard to its limitation to the five most highly compensated executives and using the actual date of termination of employment rather than the last business day of the Recipient’s last completed fiscal year as the trigger event).</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Signatory Entity </w:t>
      </w:r>
      <w:r>
        <w:rPr>
          <w:rFonts w:ascii="Arial" w:cs="Arial" w:eastAsia="Arial" w:hAnsi="Arial"/>
          <w:sz w:val="21"/>
          <w:szCs w:val="21"/>
          <w:color w:val="auto"/>
        </w:rPr>
        <w:t>means the passenger air carrier, cargo air carrier, or contractor that has entered into this Agreement.</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637" w:name="page638"/>
    <w:bookmarkEnd w:id="637"/>
    <w:p>
      <w:pPr>
        <w:jc w:val="both"/>
        <w:ind w:right="180"/>
        <w:spacing w:after="0" w:line="343" w:lineRule="auto"/>
        <w:rPr>
          <w:sz w:val="20"/>
          <w:szCs w:val="20"/>
          <w:color w:val="auto"/>
        </w:rPr>
      </w:pPr>
      <w:r>
        <w:rPr>
          <w:rFonts w:ascii="Arial" w:cs="Arial" w:eastAsia="Arial" w:hAnsi="Arial"/>
          <w:sz w:val="19"/>
          <w:szCs w:val="19"/>
          <w:i w:val="1"/>
          <w:iCs w:val="1"/>
          <w:color w:val="auto"/>
        </w:rPr>
        <w:t xml:space="preserve">Taxpayer Protection Instruments </w:t>
      </w:r>
      <w:r>
        <w:rPr>
          <w:rFonts w:ascii="Arial" w:cs="Arial" w:eastAsia="Arial" w:hAnsi="Arial"/>
          <w:sz w:val="19"/>
          <w:szCs w:val="19"/>
          <w:color w:val="auto"/>
        </w:rPr>
        <w:t>means warrants, options, preferred stock, debt securities, notes, or other financial instruments</w:t>
      </w:r>
      <w:r>
        <w:rPr>
          <w:rFonts w:ascii="Arial" w:cs="Arial" w:eastAsia="Arial" w:hAnsi="Arial"/>
          <w:sz w:val="19"/>
          <w:szCs w:val="19"/>
          <w:i w:val="1"/>
          <w:iCs w:val="1"/>
          <w:color w:val="auto"/>
        </w:rPr>
        <w:t xml:space="preserve"> </w:t>
      </w:r>
      <w:r>
        <w:rPr>
          <w:rFonts w:ascii="Arial" w:cs="Arial" w:eastAsia="Arial" w:hAnsi="Arial"/>
          <w:sz w:val="19"/>
          <w:szCs w:val="19"/>
          <w:color w:val="auto"/>
        </w:rPr>
        <w:t>issued by the Recipient or an Affiliate to Treasury as compensation for the Payroll Support under this Agreement, if applicable.</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i w:val="1"/>
          <w:iCs w:val="1"/>
          <w:color w:val="auto"/>
        </w:rPr>
        <w:t xml:space="preserve">Total Compensation </w:t>
      </w:r>
      <w:r>
        <w:rPr>
          <w:rFonts w:ascii="Arial" w:cs="Arial" w:eastAsia="Arial" w:hAnsi="Arial"/>
          <w:sz w:val="22"/>
          <w:szCs w:val="22"/>
          <w:color w:val="auto"/>
        </w:rPr>
        <w:t>means compensation including salary, wages, bonuses, awards of stock, and any other financial benefits</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by the Recipient or an Affiliate, as applicable, which shall be determined and calculated for the 2019 calendar year or any applicable 12-month period in respect of any Employee or Corporate Officer of the Recipient in the manner prescribed under paragraph e.5 of the award term in 2 CFR part 170, App. A, but excluding any Severance Pay or Other Benefits in connection with a termination of employment.</w:t>
      </w:r>
    </w:p>
    <w:p>
      <w:pPr>
        <w:spacing w:after="0" w:line="192" w:lineRule="exact"/>
        <w:rPr>
          <w:sz w:val="20"/>
          <w:szCs w:val="20"/>
          <w:color w:val="auto"/>
        </w:rPr>
      </w:pPr>
    </w:p>
    <w:p>
      <w:pPr>
        <w:spacing w:after="0" w:line="271" w:lineRule="auto"/>
        <w:rPr>
          <w:sz w:val="20"/>
          <w:szCs w:val="20"/>
          <w:color w:val="auto"/>
        </w:rPr>
      </w:pPr>
      <w:r>
        <w:rPr>
          <w:rFonts w:ascii="Arial" w:cs="Arial" w:eastAsia="Arial" w:hAnsi="Arial"/>
          <w:sz w:val="21"/>
          <w:szCs w:val="21"/>
          <w:i w:val="1"/>
          <w:iCs w:val="1"/>
          <w:color w:val="auto"/>
        </w:rPr>
        <w:t xml:space="preserve">Wage </w:t>
      </w:r>
      <w:r>
        <w:rPr>
          <w:rFonts w:ascii="Arial" w:cs="Arial" w:eastAsia="Arial" w:hAnsi="Arial"/>
          <w:sz w:val="21"/>
          <w:szCs w:val="21"/>
          <w:color w:val="auto"/>
        </w:rPr>
        <w:t>means, without duplication of any amounts counted as Benefits, a payment, typically paid on an hourly, daily, or piecework</w:t>
      </w:r>
      <w:r>
        <w:rPr>
          <w:rFonts w:ascii="Arial" w:cs="Arial" w:eastAsia="Arial" w:hAnsi="Arial"/>
          <w:sz w:val="21"/>
          <w:szCs w:val="21"/>
          <w:i w:val="1"/>
          <w:iCs w:val="1"/>
          <w:color w:val="auto"/>
        </w:rPr>
        <w:t xml:space="preserve"> </w:t>
      </w:r>
      <w:r>
        <w:rPr>
          <w:rFonts w:ascii="Arial" w:cs="Arial" w:eastAsia="Arial" w:hAnsi="Arial"/>
          <w:sz w:val="21"/>
          <w:szCs w:val="21"/>
          <w:color w:val="auto"/>
        </w:rPr>
        <w:t>basis, including cost-of-living differentials, vacation, paid time off, sick leave, and overtime pay, paid by the Recipient to its Employees, but excluding any Federal, state, or local payroll taxes paid by the Recipient.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PAYROLL SUPPORT PAYMENTS</w:t>
      </w:r>
    </w:p>
    <w:p>
      <w:pPr>
        <w:spacing w:after="0" w:line="226" w:lineRule="exact"/>
        <w:rPr>
          <w:sz w:val="20"/>
          <w:szCs w:val="20"/>
          <w:color w:val="auto"/>
        </w:rPr>
      </w:pPr>
    </w:p>
    <w:p>
      <w:pPr>
        <w:ind w:left="340" w:right="100" w:hanging="332"/>
        <w:spacing w:after="0" w:line="263" w:lineRule="auto"/>
        <w:tabs>
          <w:tab w:leader="none" w:pos="340" w:val="left"/>
        </w:tabs>
        <w:numPr>
          <w:ilvl w:val="0"/>
          <w:numId w:val="860"/>
        </w:numPr>
        <w:rPr>
          <w:rFonts w:ascii="Arial" w:cs="Arial" w:eastAsia="Arial" w:hAnsi="Arial"/>
          <w:sz w:val="22"/>
          <w:szCs w:val="22"/>
          <w:color w:val="auto"/>
        </w:rPr>
      </w:pPr>
      <w:r>
        <w:rPr>
          <w:rFonts w:ascii="Arial" w:cs="Arial" w:eastAsia="Arial" w:hAnsi="Arial"/>
          <w:sz w:val="22"/>
          <w:szCs w:val="22"/>
          <w:color w:val="auto"/>
        </w:rPr>
        <w:t>Upon the execution of this Agreement by Treasury and the Recipient, the Secretary shall approve the Recipient’s application for Payroll Support.</w:t>
      </w:r>
    </w:p>
    <w:p>
      <w:pPr>
        <w:spacing w:after="0" w:line="215" w:lineRule="exact"/>
        <w:rPr>
          <w:rFonts w:ascii="Arial" w:cs="Arial" w:eastAsia="Arial" w:hAnsi="Arial"/>
          <w:sz w:val="22"/>
          <w:szCs w:val="22"/>
          <w:color w:val="auto"/>
        </w:rPr>
      </w:pPr>
    </w:p>
    <w:p>
      <w:pPr>
        <w:ind w:left="340" w:right="120" w:hanging="332"/>
        <w:spacing w:after="0" w:line="248" w:lineRule="auto"/>
        <w:tabs>
          <w:tab w:leader="none" w:pos="340" w:val="left"/>
        </w:tabs>
        <w:numPr>
          <w:ilvl w:val="0"/>
          <w:numId w:val="860"/>
        </w:numPr>
        <w:rPr>
          <w:rFonts w:ascii="Arial" w:cs="Arial" w:eastAsia="Arial" w:hAnsi="Arial"/>
          <w:sz w:val="22"/>
          <w:szCs w:val="22"/>
          <w:color w:val="auto"/>
        </w:rPr>
      </w:pPr>
      <w:r>
        <w:rPr>
          <w:rFonts w:ascii="Arial" w:cs="Arial" w:eastAsia="Arial" w:hAnsi="Arial"/>
          <w:sz w:val="22"/>
          <w:szCs w:val="22"/>
          <w:color w:val="auto"/>
        </w:rPr>
        <w:t>The Recipient may receive Payroll Support in multiple payments up to the Maximum Awardable Amount, and the amounts (individually and in the aggregate) and timing of such payments will be determined by the Secretary in his sole discretion. The Secretary may, in his sole discretion, increase or reduce the Maximum Awardable Amount (a) consistent with section 4113(a) of the CARES Act and (b) on a pro rata basis in order to address any shortfall in available funds, pursuant to section 4113(c) of the CARES Act.</w:t>
      </w:r>
    </w:p>
    <w:p>
      <w:pPr>
        <w:spacing w:after="0" w:line="232" w:lineRule="exact"/>
        <w:rPr>
          <w:rFonts w:ascii="Arial" w:cs="Arial" w:eastAsia="Arial" w:hAnsi="Arial"/>
          <w:sz w:val="22"/>
          <w:szCs w:val="22"/>
          <w:color w:val="auto"/>
        </w:rPr>
      </w:pPr>
    </w:p>
    <w:p>
      <w:pPr>
        <w:ind w:left="340" w:right="20" w:hanging="332"/>
        <w:spacing w:after="0" w:line="253" w:lineRule="auto"/>
        <w:tabs>
          <w:tab w:leader="none" w:pos="340" w:val="left"/>
        </w:tabs>
        <w:numPr>
          <w:ilvl w:val="0"/>
          <w:numId w:val="860"/>
        </w:numPr>
        <w:rPr>
          <w:rFonts w:ascii="Arial" w:cs="Arial" w:eastAsia="Arial" w:hAnsi="Arial"/>
          <w:sz w:val="22"/>
          <w:szCs w:val="22"/>
          <w:color w:val="auto"/>
        </w:rPr>
      </w:pPr>
      <w:r>
        <w:rPr>
          <w:rFonts w:ascii="Arial" w:cs="Arial" w:eastAsia="Arial" w:hAnsi="Arial"/>
          <w:sz w:val="22"/>
          <w:szCs w:val="22"/>
          <w:color w:val="auto"/>
        </w:rPr>
        <w:t>The Secretary may determine in his sole discretion that any Payroll Support shall be conditioned on, and subject to, such additional terms and conditions (including the receipt of, and any terms regarding, Taxpayer Protection Instruments) to which the parties may agree in writing.</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TERMS AND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Retaining and Paying Employees</w:t>
      </w:r>
    </w:p>
    <w:p>
      <w:pPr>
        <w:spacing w:after="0" w:line="220" w:lineRule="exact"/>
        <w:rPr>
          <w:sz w:val="20"/>
          <w:szCs w:val="20"/>
          <w:color w:val="auto"/>
        </w:rPr>
      </w:pPr>
    </w:p>
    <w:p>
      <w:pPr>
        <w:ind w:left="340" w:right="220" w:hanging="332"/>
        <w:spacing w:after="0" w:line="251" w:lineRule="auto"/>
        <w:tabs>
          <w:tab w:leader="none" w:pos="340" w:val="left"/>
        </w:tabs>
        <w:numPr>
          <w:ilvl w:val="0"/>
          <w:numId w:val="861"/>
        </w:numPr>
        <w:rPr>
          <w:rFonts w:ascii="Arial" w:cs="Arial" w:eastAsia="Arial" w:hAnsi="Arial"/>
          <w:sz w:val="22"/>
          <w:szCs w:val="22"/>
          <w:color w:val="auto"/>
        </w:rPr>
      </w:pPr>
      <w:r>
        <w:rPr>
          <w:rFonts w:ascii="Arial" w:cs="Arial" w:eastAsia="Arial" w:hAnsi="Arial"/>
          <w:sz w:val="22"/>
          <w:szCs w:val="22"/>
          <w:color w:val="auto"/>
        </w:rPr>
        <w:t>The Recipient shall use the Payroll Support exclusively for the continuation of payment of Wages, Salaries, and Benefits to the Employees of the Recipient.</w:t>
      </w:r>
    </w:p>
    <w:p>
      <w:pPr>
        <w:spacing w:after="0" w:line="1" w:lineRule="exact"/>
        <w:rPr>
          <w:rFonts w:ascii="Arial" w:cs="Arial" w:eastAsia="Arial" w:hAnsi="Arial"/>
          <w:sz w:val="22"/>
          <w:szCs w:val="22"/>
          <w:color w:val="auto"/>
        </w:rPr>
      </w:pPr>
    </w:p>
    <w:p>
      <w:pPr>
        <w:ind w:left="980" w:right="300" w:hanging="324"/>
        <w:spacing w:after="0" w:line="246" w:lineRule="auto"/>
        <w:tabs>
          <w:tab w:leader="none" w:pos="980" w:val="left"/>
        </w:tabs>
        <w:numPr>
          <w:ilvl w:val="1"/>
          <w:numId w:val="861"/>
        </w:numPr>
        <w:rPr>
          <w:rFonts w:ascii="Arial" w:cs="Arial" w:eastAsia="Arial" w:hAnsi="Arial"/>
          <w:sz w:val="22"/>
          <w:szCs w:val="22"/>
          <w:color w:val="auto"/>
        </w:rPr>
      </w:pPr>
      <w:r>
        <w:rPr>
          <w:rFonts w:ascii="Arial" w:cs="Arial" w:eastAsia="Arial" w:hAnsi="Arial"/>
          <w:sz w:val="22"/>
          <w:szCs w:val="22"/>
          <w:i w:val="1"/>
          <w:iCs w:val="1"/>
          <w:color w:val="auto"/>
        </w:rPr>
        <w:t xml:space="preserve">Furloughs and Layoffs </w:t>
      </w:r>
      <w:r>
        <w:rPr>
          <w:rFonts w:ascii="Arial" w:cs="Arial" w:eastAsia="Arial" w:hAnsi="Arial"/>
          <w:sz w:val="22"/>
          <w:szCs w:val="22"/>
          <w:color w:val="auto"/>
        </w:rPr>
        <w:t>. The Recipient shall not conduct an Involuntary Termination or Furlough of any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between the date of this Agreement and September 30, 2020.</w:t>
      </w:r>
    </w:p>
    <w:p>
      <w:pPr>
        <w:spacing w:after="0" w:line="232" w:lineRule="exact"/>
        <w:rPr>
          <w:rFonts w:ascii="Arial" w:cs="Arial" w:eastAsia="Arial" w:hAnsi="Arial"/>
          <w:sz w:val="22"/>
          <w:szCs w:val="22"/>
          <w:color w:val="auto"/>
        </w:rPr>
      </w:pPr>
    </w:p>
    <w:p>
      <w:pPr>
        <w:ind w:left="980" w:hanging="324"/>
        <w:spacing w:after="0"/>
        <w:tabs>
          <w:tab w:leader="none" w:pos="980" w:val="left"/>
        </w:tabs>
        <w:numPr>
          <w:ilvl w:val="1"/>
          <w:numId w:val="861"/>
        </w:numPr>
        <w:rPr>
          <w:rFonts w:ascii="Arial" w:cs="Arial" w:eastAsia="Arial" w:hAnsi="Arial"/>
          <w:sz w:val="22"/>
          <w:szCs w:val="22"/>
          <w:color w:val="auto"/>
        </w:rPr>
      </w:pPr>
      <w:r>
        <w:rPr>
          <w:rFonts w:ascii="Arial" w:cs="Arial" w:eastAsia="Arial" w:hAnsi="Arial"/>
          <w:sz w:val="22"/>
          <w:szCs w:val="22"/>
          <w:i w:val="1"/>
          <w:iCs w:val="1"/>
          <w:color w:val="auto"/>
        </w:rPr>
        <w:t>Employee Salary, Wages, and Benefits</w:t>
      </w:r>
    </w:p>
    <w:p>
      <w:pPr>
        <w:spacing w:after="0" w:line="260" w:lineRule="exact"/>
        <w:rPr>
          <w:rFonts w:ascii="Arial" w:cs="Arial" w:eastAsia="Arial" w:hAnsi="Arial"/>
          <w:sz w:val="22"/>
          <w:szCs w:val="22"/>
          <w:color w:val="auto"/>
        </w:rPr>
      </w:pPr>
    </w:p>
    <w:p>
      <w:pPr>
        <w:ind w:left="1620" w:hanging="316"/>
        <w:spacing w:after="0" w:line="312" w:lineRule="auto"/>
        <w:tabs>
          <w:tab w:leader="none" w:pos="1620" w:val="left"/>
        </w:tabs>
        <w:numPr>
          <w:ilvl w:val="2"/>
          <w:numId w:val="861"/>
        </w:numPr>
        <w:rPr>
          <w:rFonts w:ascii="Arial" w:cs="Arial" w:eastAsia="Arial" w:hAnsi="Arial"/>
          <w:sz w:val="19"/>
          <w:szCs w:val="19"/>
          <w:color w:val="auto"/>
        </w:rPr>
      </w:pPr>
      <w:r>
        <w:rPr>
          <w:rFonts w:ascii="Arial" w:cs="Arial" w:eastAsia="Arial" w:hAnsi="Arial"/>
          <w:sz w:val="19"/>
          <w:szCs w:val="19"/>
          <w:i w:val="1"/>
          <w:iCs w:val="1"/>
          <w:color w:val="auto"/>
        </w:rPr>
        <w:t xml:space="preserve">Salary and Wages. </w:t>
      </w:r>
      <w:r>
        <w:rPr>
          <w:rFonts w:ascii="Arial" w:cs="Arial" w:eastAsia="Arial" w:hAnsi="Arial"/>
          <w:sz w:val="19"/>
          <w:szCs w:val="19"/>
          <w:color w:val="auto"/>
        </w:rPr>
        <w:t>Except in the case of a Permitted Termination or Furlough, the Recipient shall not,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the date of this Agreement and September 30, 2020, reduce, without the Employee’s consent, (A) the pay rate of any Employee earning a Salary, or (B) the pay rate of any Employee earning Wages.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8" w:right="379" w:bottom="1440" w:gutter="0" w:footer="0" w:header="0"/>
        </w:sectPr>
      </w:pPr>
    </w:p>
    <w:bookmarkStart w:id="638" w:name="page639"/>
    <w:bookmarkEnd w:id="638"/>
    <w:p>
      <w:pPr>
        <w:ind w:left="1620" w:right="40" w:hanging="316"/>
        <w:spacing w:after="0" w:line="247" w:lineRule="auto"/>
        <w:tabs>
          <w:tab w:leader="none" w:pos="1620" w:val="left"/>
        </w:tabs>
        <w:numPr>
          <w:ilvl w:val="0"/>
          <w:numId w:val="862"/>
        </w:numPr>
        <w:rPr>
          <w:rFonts w:ascii="Arial" w:cs="Arial" w:eastAsia="Arial" w:hAnsi="Arial"/>
          <w:sz w:val="22"/>
          <w:szCs w:val="22"/>
          <w:color w:val="auto"/>
        </w:rPr>
      </w:pPr>
      <w:r>
        <w:rPr>
          <w:rFonts w:ascii="Arial" w:cs="Arial" w:eastAsia="Arial" w:hAnsi="Arial"/>
          <w:sz w:val="22"/>
          <w:szCs w:val="22"/>
          <w:i w:val="1"/>
          <w:iCs w:val="1"/>
          <w:color w:val="auto"/>
        </w:rPr>
        <w:t xml:space="preserve">Benefits </w:t>
      </w:r>
      <w:r>
        <w:rPr>
          <w:rFonts w:ascii="Arial" w:cs="Arial" w:eastAsia="Arial" w:hAnsi="Arial"/>
          <w:sz w:val="22"/>
          <w:szCs w:val="22"/>
          <w:color w:val="auto"/>
        </w:rPr>
        <w:t>. Except in the case of a Permitted Termination or Furlough, the Recipient shall not, between the date</w:t>
      </w:r>
      <w:r>
        <w:rPr>
          <w:rFonts w:ascii="Arial" w:cs="Arial" w:eastAsia="Arial" w:hAnsi="Arial"/>
          <w:sz w:val="22"/>
          <w:szCs w:val="22"/>
          <w:i w:val="1"/>
          <w:iCs w:val="1"/>
          <w:color w:val="auto"/>
        </w:rPr>
        <w:t xml:space="preserve"> </w:t>
      </w:r>
      <w:r>
        <w:rPr>
          <w:rFonts w:ascii="Arial" w:cs="Arial" w:eastAsia="Arial" w:hAnsi="Arial"/>
          <w:sz w:val="22"/>
          <w:szCs w:val="22"/>
          <w:color w:val="auto"/>
        </w:rPr>
        <w:t>of this Agreement and September 30, 2020, reduce, without the Employee’s consent, the Benefits of any Employee; provided, however, that for purposes of this paragraph, personnel expenses associated with the performance of work duties, including those described in line 10 of Financial Reporting Schedule P-6, Form 41, as published by the Department of Transportation, may be reduced to the extent the associated work duties are not performed.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Dividends and Buybacks</w:t>
      </w:r>
    </w:p>
    <w:p>
      <w:pPr>
        <w:spacing w:after="0" w:line="220" w:lineRule="exact"/>
        <w:rPr>
          <w:sz w:val="20"/>
          <w:szCs w:val="20"/>
          <w:color w:val="auto"/>
        </w:rPr>
      </w:pPr>
    </w:p>
    <w:p>
      <w:pPr>
        <w:jc w:val="both"/>
        <w:ind w:left="340" w:right="80" w:hanging="332"/>
        <w:spacing w:after="0" w:line="253" w:lineRule="auto"/>
        <w:tabs>
          <w:tab w:leader="none" w:pos="340" w:val="left"/>
        </w:tabs>
        <w:numPr>
          <w:ilvl w:val="0"/>
          <w:numId w:val="863"/>
        </w:numPr>
        <w:rPr>
          <w:rFonts w:ascii="Arial" w:cs="Arial" w:eastAsia="Arial" w:hAnsi="Arial"/>
          <w:sz w:val="22"/>
          <w:szCs w:val="22"/>
          <w:color w:val="auto"/>
        </w:rPr>
      </w:pPr>
      <w:r>
        <w:rPr>
          <w:rFonts w:ascii="Arial" w:cs="Arial" w:eastAsia="Arial" w:hAnsi="Arial"/>
          <w:sz w:val="22"/>
          <w:szCs w:val="22"/>
          <w:color w:val="auto"/>
        </w:rPr>
        <w:t>Through September 30, 2021, neither the Recipient nor any Affiliate shall, in any transaction, purchase an equity security of the Recipient or of any direct or indirect parent company of the Recipient that, in either case, is listed on a national securities exchange.</w:t>
      </w:r>
    </w:p>
    <w:p>
      <w:pPr>
        <w:spacing w:after="0" w:line="225" w:lineRule="exact"/>
        <w:rPr>
          <w:rFonts w:ascii="Arial" w:cs="Arial" w:eastAsia="Arial" w:hAnsi="Arial"/>
          <w:sz w:val="22"/>
          <w:szCs w:val="22"/>
          <w:color w:val="auto"/>
        </w:rPr>
      </w:pPr>
    </w:p>
    <w:p>
      <w:pPr>
        <w:ind w:left="340" w:right="220" w:hanging="332"/>
        <w:spacing w:after="0" w:line="263" w:lineRule="auto"/>
        <w:tabs>
          <w:tab w:leader="none" w:pos="340" w:val="left"/>
        </w:tabs>
        <w:numPr>
          <w:ilvl w:val="0"/>
          <w:numId w:val="863"/>
        </w:numPr>
        <w:rPr>
          <w:rFonts w:ascii="Arial" w:cs="Arial" w:eastAsia="Arial" w:hAnsi="Arial"/>
          <w:sz w:val="22"/>
          <w:szCs w:val="22"/>
          <w:color w:val="auto"/>
        </w:rPr>
      </w:pPr>
      <w:r>
        <w:rPr>
          <w:rFonts w:ascii="Arial" w:cs="Arial" w:eastAsia="Arial" w:hAnsi="Arial"/>
          <w:sz w:val="22"/>
          <w:szCs w:val="22"/>
          <w:color w:val="auto"/>
        </w:rPr>
        <w:t>Through September 30, 2021, the Recipient shall not pay dividends, or make any other capital distributions, with respect to the common stock (or equivalent equity interest) of the Recipient.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Limitations on Certain Compensation</w:t>
      </w:r>
    </w:p>
    <w:p>
      <w:pPr>
        <w:spacing w:after="0" w:line="220" w:lineRule="exact"/>
        <w:rPr>
          <w:sz w:val="20"/>
          <w:szCs w:val="20"/>
          <w:color w:val="auto"/>
        </w:rPr>
      </w:pPr>
    </w:p>
    <w:p>
      <w:pPr>
        <w:ind w:left="340" w:right="60" w:hanging="332"/>
        <w:spacing w:after="0" w:line="250" w:lineRule="auto"/>
        <w:tabs>
          <w:tab w:leader="none" w:pos="340" w:val="left"/>
        </w:tabs>
        <w:numPr>
          <w:ilvl w:val="0"/>
          <w:numId w:val="864"/>
        </w:numPr>
        <w:rPr>
          <w:rFonts w:ascii="Arial" w:cs="Arial" w:eastAsia="Arial" w:hAnsi="Arial"/>
          <w:sz w:val="22"/>
          <w:szCs w:val="22"/>
          <w:color w:val="auto"/>
        </w:rPr>
      </w:pPr>
      <w:r>
        <w:rPr>
          <w:rFonts w:ascii="Arial" w:cs="Arial" w:eastAsia="Arial" w:hAnsi="Arial"/>
          <w:sz w:val="22"/>
          <w:szCs w:val="22"/>
          <w:color w:val="auto"/>
        </w:rPr>
        <w:t>Beginning March 24, 2020, and ending March 24, 2022, the Recipient and its Affiliates shall not pay any of the Recipient’s Corporate Officers or Employees whose Total Compensation exceeded $425,000 in calendar year 2019 (other than an Employee whose compensation is determined through an existing collective bargaining agreement entered into before March 27, 2020):</w:t>
      </w:r>
    </w:p>
    <w:p>
      <w:pPr>
        <w:spacing w:after="0" w:line="228" w:lineRule="exact"/>
        <w:rPr>
          <w:rFonts w:ascii="Arial" w:cs="Arial" w:eastAsia="Arial" w:hAnsi="Arial"/>
          <w:sz w:val="22"/>
          <w:szCs w:val="22"/>
          <w:color w:val="auto"/>
        </w:rPr>
      </w:pPr>
    </w:p>
    <w:p>
      <w:pPr>
        <w:ind w:left="980" w:right="1100" w:hanging="324"/>
        <w:spacing w:after="0" w:line="287" w:lineRule="auto"/>
        <w:tabs>
          <w:tab w:leader="none" w:pos="980" w:val="left"/>
        </w:tabs>
        <w:numPr>
          <w:ilvl w:val="1"/>
          <w:numId w:val="864"/>
        </w:numPr>
        <w:rPr>
          <w:rFonts w:ascii="Arial" w:cs="Arial" w:eastAsia="Arial" w:hAnsi="Arial"/>
          <w:sz w:val="21"/>
          <w:szCs w:val="21"/>
          <w:color w:val="auto"/>
        </w:rPr>
      </w:pPr>
      <w:r>
        <w:rPr>
          <w:rFonts w:ascii="Arial" w:cs="Arial" w:eastAsia="Arial" w:hAnsi="Arial"/>
          <w:sz w:val="21"/>
          <w:szCs w:val="21"/>
          <w:color w:val="auto"/>
        </w:rPr>
        <w:t>Total Compensation which exceeds, during any 12 consecutive months of such two-year period, the Total Compensation the Corporate Officer or Employee received in calendar year 2019; or</w:t>
      </w:r>
    </w:p>
    <w:p>
      <w:pPr>
        <w:spacing w:after="0" w:line="191" w:lineRule="exact"/>
        <w:rPr>
          <w:rFonts w:ascii="Arial" w:cs="Arial" w:eastAsia="Arial" w:hAnsi="Arial"/>
          <w:sz w:val="21"/>
          <w:szCs w:val="21"/>
          <w:color w:val="auto"/>
        </w:rPr>
      </w:pPr>
    </w:p>
    <w:p>
      <w:pPr>
        <w:ind w:left="980" w:right="300" w:hanging="324"/>
        <w:spacing w:after="0" w:line="343" w:lineRule="auto"/>
        <w:tabs>
          <w:tab w:leader="none" w:pos="980" w:val="left"/>
        </w:tabs>
        <w:numPr>
          <w:ilvl w:val="1"/>
          <w:numId w:val="864"/>
        </w:numPr>
        <w:rPr>
          <w:rFonts w:ascii="Arial" w:cs="Arial" w:eastAsia="Arial" w:hAnsi="Arial"/>
          <w:sz w:val="19"/>
          <w:szCs w:val="19"/>
          <w:color w:val="auto"/>
        </w:rPr>
      </w:pPr>
      <w:r>
        <w:rPr>
          <w:rFonts w:ascii="Arial" w:cs="Arial" w:eastAsia="Arial" w:hAnsi="Arial"/>
          <w:sz w:val="19"/>
          <w:szCs w:val="19"/>
          <w:color w:val="auto"/>
        </w:rPr>
        <w:t>Severance Pay or Other Benefits in connection with a termination of employment with the Recipient which exceed twice the maximum Total Compensation received by such Corporate Officer or Employee in calendar year 2019.</w:t>
      </w:r>
    </w:p>
    <w:p>
      <w:pPr>
        <w:spacing w:after="0" w:line="144" w:lineRule="exact"/>
        <w:rPr>
          <w:rFonts w:ascii="Arial" w:cs="Arial" w:eastAsia="Arial" w:hAnsi="Arial"/>
          <w:sz w:val="19"/>
          <w:szCs w:val="19"/>
          <w:color w:val="auto"/>
        </w:rPr>
      </w:pPr>
    </w:p>
    <w:p>
      <w:pPr>
        <w:ind w:left="340" w:hanging="332"/>
        <w:spacing w:after="0" w:line="253" w:lineRule="auto"/>
        <w:tabs>
          <w:tab w:leader="none" w:pos="340" w:val="left"/>
        </w:tabs>
        <w:numPr>
          <w:ilvl w:val="0"/>
          <w:numId w:val="864"/>
        </w:numPr>
        <w:rPr>
          <w:rFonts w:ascii="Arial" w:cs="Arial" w:eastAsia="Arial" w:hAnsi="Arial"/>
          <w:sz w:val="22"/>
          <w:szCs w:val="22"/>
          <w:color w:val="auto"/>
        </w:rPr>
      </w:pPr>
      <w:r>
        <w:rPr>
          <w:rFonts w:ascii="Arial" w:cs="Arial" w:eastAsia="Arial" w:hAnsi="Arial"/>
          <w:sz w:val="22"/>
          <w:szCs w:val="22"/>
          <w:color w:val="auto"/>
        </w:rPr>
        <w:t>Beginning March 24, 2020, and ending March 24, 2022, the Recipient and its Affiliates shall not pay any of the Recipient’s Corporate Officers or Employees whose Total Compensation exceeded $3,000,000 in calendar year 2019 Total Compensation in excess of the sum of:</w:t>
      </w:r>
    </w:p>
    <w:p>
      <w:pPr>
        <w:spacing w:after="0" w:line="225" w:lineRule="exact"/>
        <w:rPr>
          <w:rFonts w:ascii="Arial" w:cs="Arial" w:eastAsia="Arial" w:hAnsi="Arial"/>
          <w:sz w:val="22"/>
          <w:szCs w:val="22"/>
          <w:color w:val="auto"/>
        </w:rPr>
      </w:pPr>
    </w:p>
    <w:p>
      <w:pPr>
        <w:ind w:left="980" w:hanging="324"/>
        <w:spacing w:after="0"/>
        <w:tabs>
          <w:tab w:leader="none" w:pos="980" w:val="left"/>
        </w:tabs>
        <w:numPr>
          <w:ilvl w:val="1"/>
          <w:numId w:val="864"/>
        </w:numPr>
        <w:rPr>
          <w:rFonts w:ascii="Arial" w:cs="Arial" w:eastAsia="Arial" w:hAnsi="Arial"/>
          <w:sz w:val="22"/>
          <w:szCs w:val="22"/>
          <w:color w:val="auto"/>
        </w:rPr>
      </w:pPr>
      <w:r>
        <w:rPr>
          <w:rFonts w:ascii="Arial" w:cs="Arial" w:eastAsia="Arial" w:hAnsi="Arial"/>
          <w:sz w:val="22"/>
          <w:szCs w:val="22"/>
          <w:color w:val="auto"/>
        </w:rPr>
        <w:t>$3,000,000; and</w:t>
      </w:r>
    </w:p>
    <w:p>
      <w:pPr>
        <w:spacing w:after="0" w:line="260" w:lineRule="exact"/>
        <w:rPr>
          <w:rFonts w:ascii="Arial" w:cs="Arial" w:eastAsia="Arial" w:hAnsi="Arial"/>
          <w:sz w:val="22"/>
          <w:szCs w:val="22"/>
          <w:color w:val="auto"/>
        </w:rPr>
      </w:pPr>
    </w:p>
    <w:p>
      <w:pPr>
        <w:ind w:left="980" w:right="80" w:hanging="324"/>
        <w:spacing w:after="0" w:line="263" w:lineRule="auto"/>
        <w:tabs>
          <w:tab w:leader="none" w:pos="980" w:val="left"/>
        </w:tabs>
        <w:numPr>
          <w:ilvl w:val="1"/>
          <w:numId w:val="864"/>
        </w:numPr>
        <w:rPr>
          <w:rFonts w:ascii="Arial" w:cs="Arial" w:eastAsia="Arial" w:hAnsi="Arial"/>
          <w:sz w:val="22"/>
          <w:szCs w:val="22"/>
          <w:color w:val="auto"/>
        </w:rPr>
      </w:pPr>
      <w:r>
        <w:rPr>
          <w:rFonts w:ascii="Arial" w:cs="Arial" w:eastAsia="Arial" w:hAnsi="Arial"/>
          <w:sz w:val="22"/>
          <w:szCs w:val="22"/>
          <w:color w:val="auto"/>
        </w:rPr>
        <w:t>50 percent of the excess over $3,000,000 of the Total Compensation received by such Corporate Officer or Employee in calendar year 2019.</w:t>
      </w:r>
    </w:p>
    <w:p>
      <w:pPr>
        <w:spacing w:after="0" w:line="215" w:lineRule="exact"/>
        <w:rPr>
          <w:rFonts w:ascii="Arial" w:cs="Arial" w:eastAsia="Arial" w:hAnsi="Arial"/>
          <w:sz w:val="22"/>
          <w:szCs w:val="22"/>
          <w:color w:val="auto"/>
        </w:rPr>
      </w:pPr>
    </w:p>
    <w:p>
      <w:pPr>
        <w:jc w:val="both"/>
        <w:ind w:left="340" w:hanging="332"/>
        <w:spacing w:after="0" w:line="312" w:lineRule="auto"/>
        <w:tabs>
          <w:tab w:leader="none" w:pos="340" w:val="left"/>
        </w:tabs>
        <w:numPr>
          <w:ilvl w:val="0"/>
          <w:numId w:val="864"/>
        </w:numPr>
        <w:rPr>
          <w:rFonts w:ascii="Arial" w:cs="Arial" w:eastAsia="Arial" w:hAnsi="Arial"/>
          <w:sz w:val="19"/>
          <w:szCs w:val="19"/>
          <w:color w:val="auto"/>
        </w:rPr>
      </w:pPr>
      <w:r>
        <w:rPr>
          <w:rFonts w:ascii="Arial" w:cs="Arial" w:eastAsia="Arial" w:hAnsi="Arial"/>
          <w:sz w:val="19"/>
          <w:szCs w:val="19"/>
          <w:color w:val="auto"/>
        </w:rPr>
        <w:t>For purposes of determining applicable amounts under paragraphs 7 and 8 with respect to any Corporate Officer or Employee who was employed by the Recipient or an Affiliate for less than all of calendar year 2019, the amount of Total Compensation in calendar year 2019 shall mean such Corporate Officer’s or Employee’s Total Compensation on an annualized basis.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Continuation of Service</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5" w:right="379" w:bottom="1440" w:gutter="0" w:footer="0" w:header="0"/>
        </w:sectPr>
      </w:pPr>
    </w:p>
    <w:bookmarkStart w:id="639" w:name="page640"/>
    <w:bookmarkEnd w:id="639"/>
    <w:p>
      <w:pPr>
        <w:jc w:val="both"/>
        <w:ind w:left="340" w:right="200" w:hanging="332"/>
        <w:spacing w:after="0" w:line="253" w:lineRule="auto"/>
        <w:tabs>
          <w:tab w:leader="none" w:pos="340" w:val="left"/>
        </w:tabs>
        <w:numPr>
          <w:ilvl w:val="0"/>
          <w:numId w:val="865"/>
        </w:numPr>
        <w:rPr>
          <w:rFonts w:ascii="Arial" w:cs="Arial" w:eastAsia="Arial" w:hAnsi="Arial"/>
          <w:sz w:val="22"/>
          <w:szCs w:val="22"/>
          <w:color w:val="auto"/>
        </w:rPr>
      </w:pPr>
      <w:r>
        <w:rPr>
          <w:rFonts w:ascii="Arial" w:cs="Arial" w:eastAsia="Arial" w:hAnsi="Arial"/>
          <w:sz w:val="22"/>
          <w:szCs w:val="22"/>
          <w:color w:val="auto"/>
        </w:rPr>
        <w:t>If the Recipient is an air carrier, until March 1, 2022, the Recipient shall comply with any applicable requirement issued by the Secretary of Transportation under section 4114(b) of the CARES Act to maintain scheduled air transportation service to any point served by the Recipient before March 1, 2020.</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Effective Date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11. This Agreement shall be effective as of the date of its execution by both parties.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Reporting and Auditing</w:t>
      </w:r>
    </w:p>
    <w:p>
      <w:pPr>
        <w:spacing w:after="0" w:line="220" w:lineRule="exact"/>
        <w:rPr>
          <w:sz w:val="20"/>
          <w:szCs w:val="20"/>
          <w:color w:val="auto"/>
        </w:rPr>
      </w:pPr>
    </w:p>
    <w:p>
      <w:pPr>
        <w:ind w:left="340" w:right="20" w:hanging="332"/>
        <w:spacing w:after="0" w:line="248" w:lineRule="auto"/>
        <w:tabs>
          <w:tab w:leader="none" w:pos="340" w:val="left"/>
        </w:tabs>
        <w:numPr>
          <w:ilvl w:val="0"/>
          <w:numId w:val="866"/>
        </w:numPr>
        <w:rPr>
          <w:rFonts w:ascii="Arial" w:cs="Arial" w:eastAsia="Arial" w:hAnsi="Arial"/>
          <w:sz w:val="22"/>
          <w:szCs w:val="22"/>
          <w:color w:val="auto"/>
        </w:rPr>
      </w:pPr>
      <w:r>
        <w:rPr>
          <w:rFonts w:ascii="Arial" w:cs="Arial" w:eastAsia="Arial" w:hAnsi="Arial"/>
          <w:sz w:val="22"/>
          <w:szCs w:val="22"/>
          <w:color w:val="auto"/>
        </w:rPr>
        <w:t>Until the calendar quarter that begins after the later of March 24, 2022, and the date on which no Taxpayer Protection Instrument is outstanding, not later than 45 days after the end of each of the first three calendar quarters of each calendar year and 90 days after the end of each calendar year, the Signatory Entity, on behalf of itself and each other Recipient, shall certify to Treasury that it is in compliance with the terms and conditions of this Agreement and provide a report containing the following:</w:t>
      </w:r>
    </w:p>
    <w:p>
      <w:pPr>
        <w:spacing w:after="0" w:line="232" w:lineRule="exact"/>
        <w:rPr>
          <w:rFonts w:ascii="Arial" w:cs="Arial" w:eastAsia="Arial" w:hAnsi="Arial"/>
          <w:sz w:val="22"/>
          <w:szCs w:val="22"/>
          <w:color w:val="auto"/>
        </w:rPr>
      </w:pPr>
    </w:p>
    <w:p>
      <w:pPr>
        <w:ind w:left="980" w:hanging="324"/>
        <w:spacing w:after="0"/>
        <w:tabs>
          <w:tab w:leader="none" w:pos="980" w:val="left"/>
        </w:tabs>
        <w:numPr>
          <w:ilvl w:val="1"/>
          <w:numId w:val="866"/>
        </w:numPr>
        <w:rPr>
          <w:rFonts w:ascii="Arial" w:cs="Arial" w:eastAsia="Arial" w:hAnsi="Arial"/>
          <w:sz w:val="22"/>
          <w:szCs w:val="22"/>
          <w:color w:val="auto"/>
        </w:rPr>
      </w:pPr>
      <w:r>
        <w:rPr>
          <w:rFonts w:ascii="Arial" w:cs="Arial" w:eastAsia="Arial" w:hAnsi="Arial"/>
          <w:sz w:val="22"/>
          <w:szCs w:val="22"/>
          <w:color w:val="auto"/>
        </w:rPr>
        <w:t>the amount of Payroll Support funds expended during such quarter;</w:t>
      </w:r>
    </w:p>
    <w:p>
      <w:pPr>
        <w:spacing w:after="0" w:line="260" w:lineRule="exact"/>
        <w:rPr>
          <w:rFonts w:ascii="Arial" w:cs="Arial" w:eastAsia="Arial" w:hAnsi="Arial"/>
          <w:sz w:val="22"/>
          <w:szCs w:val="22"/>
          <w:color w:val="auto"/>
        </w:rPr>
      </w:pPr>
    </w:p>
    <w:p>
      <w:pPr>
        <w:ind w:left="980" w:right="520" w:hanging="324"/>
        <w:spacing w:after="0" w:line="263" w:lineRule="auto"/>
        <w:tabs>
          <w:tab w:leader="none" w:pos="980" w:val="left"/>
        </w:tabs>
        <w:numPr>
          <w:ilvl w:val="1"/>
          <w:numId w:val="866"/>
        </w:numPr>
        <w:rPr>
          <w:rFonts w:ascii="Arial" w:cs="Arial" w:eastAsia="Arial" w:hAnsi="Arial"/>
          <w:sz w:val="22"/>
          <w:szCs w:val="22"/>
          <w:color w:val="auto"/>
        </w:rPr>
      </w:pPr>
      <w:r>
        <w:rPr>
          <w:rFonts w:ascii="Arial" w:cs="Arial" w:eastAsia="Arial" w:hAnsi="Arial"/>
          <w:sz w:val="22"/>
          <w:szCs w:val="22"/>
          <w:color w:val="auto"/>
        </w:rPr>
        <w:t>the Recipient’s financial statements (audited by an independent certified public accountant, in the case of annual financial statements); and</w:t>
      </w:r>
    </w:p>
    <w:p>
      <w:pPr>
        <w:spacing w:after="0" w:line="215" w:lineRule="exact"/>
        <w:rPr>
          <w:rFonts w:ascii="Arial" w:cs="Arial" w:eastAsia="Arial" w:hAnsi="Arial"/>
          <w:sz w:val="22"/>
          <w:szCs w:val="22"/>
          <w:color w:val="auto"/>
        </w:rPr>
      </w:pPr>
    </w:p>
    <w:p>
      <w:pPr>
        <w:ind w:left="980" w:hanging="324"/>
        <w:spacing w:after="0"/>
        <w:tabs>
          <w:tab w:leader="none" w:pos="980" w:val="left"/>
        </w:tabs>
        <w:numPr>
          <w:ilvl w:val="1"/>
          <w:numId w:val="866"/>
        </w:numPr>
        <w:rPr>
          <w:rFonts w:ascii="Arial" w:cs="Arial" w:eastAsia="Arial" w:hAnsi="Arial"/>
          <w:sz w:val="22"/>
          <w:szCs w:val="22"/>
          <w:color w:val="auto"/>
        </w:rPr>
      </w:pPr>
      <w:r>
        <w:rPr>
          <w:rFonts w:ascii="Arial" w:cs="Arial" w:eastAsia="Arial" w:hAnsi="Arial"/>
          <w:sz w:val="22"/>
          <w:szCs w:val="22"/>
          <w:color w:val="auto"/>
        </w:rPr>
        <w:t>a copy of the Recipient’s IRS Form 941 filed with respect to such quarter; and</w:t>
      </w:r>
    </w:p>
    <w:p>
      <w:pPr>
        <w:spacing w:after="0" w:line="260" w:lineRule="exact"/>
        <w:rPr>
          <w:rFonts w:ascii="Arial" w:cs="Arial" w:eastAsia="Arial" w:hAnsi="Arial"/>
          <w:sz w:val="22"/>
          <w:szCs w:val="22"/>
          <w:color w:val="auto"/>
        </w:rPr>
      </w:pPr>
    </w:p>
    <w:p>
      <w:pPr>
        <w:ind w:left="980" w:right="20" w:hanging="324"/>
        <w:spacing w:after="0" w:line="297" w:lineRule="auto"/>
        <w:tabs>
          <w:tab w:leader="none" w:pos="980" w:val="left"/>
        </w:tabs>
        <w:numPr>
          <w:ilvl w:val="1"/>
          <w:numId w:val="866"/>
        </w:numPr>
        <w:rPr>
          <w:rFonts w:ascii="Arial" w:cs="Arial" w:eastAsia="Arial" w:hAnsi="Arial"/>
          <w:sz w:val="19"/>
          <w:szCs w:val="19"/>
          <w:color w:val="auto"/>
        </w:rPr>
      </w:pPr>
      <w:r>
        <w:rPr>
          <w:rFonts w:ascii="Arial" w:cs="Arial" w:eastAsia="Arial" w:hAnsi="Arial"/>
          <w:sz w:val="19"/>
          <w:szCs w:val="19"/>
          <w:color w:val="auto"/>
        </w:rPr>
        <w:t>a detailed summary describing, with respect to the Recipient, (a) any changes in Employee headcount during such quarter and the reasons therefor, including any Involuntary Termination or Furlough, (b) any changes in the amounts spent by the Recipient on Employee Wages, Salary, and Benefits during such quarter, and (c) any changes in Total Compensation for, and any Severance Pay or Other Benefits in connection with the termination of, Corporate Officers and Employees subject to limitation under this Agreement during such quarter; and the reasons for any such changes.</w:t>
      </w:r>
    </w:p>
    <w:p>
      <w:pPr>
        <w:spacing w:after="0" w:line="187" w:lineRule="exact"/>
        <w:rPr>
          <w:rFonts w:ascii="Arial" w:cs="Arial" w:eastAsia="Arial" w:hAnsi="Arial"/>
          <w:sz w:val="19"/>
          <w:szCs w:val="19"/>
          <w:color w:val="auto"/>
        </w:rPr>
      </w:pPr>
    </w:p>
    <w:p>
      <w:pPr>
        <w:ind w:left="340" w:hanging="332"/>
        <w:spacing w:after="0" w:line="250" w:lineRule="auto"/>
        <w:tabs>
          <w:tab w:leader="none" w:pos="340" w:val="left"/>
        </w:tabs>
        <w:numPr>
          <w:ilvl w:val="0"/>
          <w:numId w:val="866"/>
        </w:numPr>
        <w:rPr>
          <w:rFonts w:ascii="Arial" w:cs="Arial" w:eastAsia="Arial" w:hAnsi="Arial"/>
          <w:sz w:val="22"/>
          <w:szCs w:val="22"/>
          <w:color w:val="auto"/>
        </w:rPr>
      </w:pPr>
      <w:r>
        <w:rPr>
          <w:rFonts w:ascii="Arial" w:cs="Arial" w:eastAsia="Arial" w:hAnsi="Arial"/>
          <w:sz w:val="22"/>
          <w:szCs w:val="22"/>
          <w:color w:val="auto"/>
        </w:rPr>
        <w:t>If the Recipient or any Affiliate, or any Corporate Officer of the Recipient or any Affiliate, becomes aware of facts, events, or circumstances that may materially affect the Recipient’s compliance with the terms and conditions of this Agreement, the Recipient or Affiliate shall promptly provide Treasury with a written description of the events or circumstances and any action taken, or contemplated, to address the issue.</w:t>
      </w:r>
    </w:p>
    <w:p>
      <w:pPr>
        <w:spacing w:after="0" w:line="228" w:lineRule="exact"/>
        <w:rPr>
          <w:rFonts w:ascii="Arial" w:cs="Arial" w:eastAsia="Arial" w:hAnsi="Arial"/>
          <w:sz w:val="22"/>
          <w:szCs w:val="22"/>
          <w:color w:val="auto"/>
        </w:rPr>
      </w:pPr>
    </w:p>
    <w:p>
      <w:pPr>
        <w:ind w:left="340" w:right="200" w:hanging="332"/>
        <w:spacing w:after="0" w:line="263" w:lineRule="auto"/>
        <w:tabs>
          <w:tab w:leader="none" w:pos="340" w:val="left"/>
        </w:tabs>
        <w:numPr>
          <w:ilvl w:val="0"/>
          <w:numId w:val="866"/>
        </w:numPr>
        <w:rPr>
          <w:rFonts w:ascii="Arial" w:cs="Arial" w:eastAsia="Arial" w:hAnsi="Arial"/>
          <w:sz w:val="22"/>
          <w:szCs w:val="22"/>
          <w:color w:val="auto"/>
        </w:rPr>
      </w:pPr>
      <w:r>
        <w:rPr>
          <w:rFonts w:ascii="Arial" w:cs="Arial" w:eastAsia="Arial" w:hAnsi="Arial"/>
          <w:sz w:val="22"/>
          <w:szCs w:val="22"/>
          <w:color w:val="auto"/>
        </w:rPr>
        <w:t>In the event the Recipient contemplates any action to commence a bankruptcy or insolvency proceeding in any jurisdiction, the Recipient shall promptly notify Treasury.</w:t>
      </w:r>
    </w:p>
    <w:p>
      <w:pPr>
        <w:spacing w:after="0" w:line="215" w:lineRule="exact"/>
        <w:rPr>
          <w:rFonts w:ascii="Arial" w:cs="Arial" w:eastAsia="Arial" w:hAnsi="Arial"/>
          <w:sz w:val="22"/>
          <w:szCs w:val="22"/>
          <w:color w:val="auto"/>
        </w:rPr>
      </w:pPr>
    </w:p>
    <w:p>
      <w:pPr>
        <w:ind w:left="340" w:hanging="332"/>
        <w:spacing w:after="0"/>
        <w:tabs>
          <w:tab w:leader="none" w:pos="340" w:val="left"/>
        </w:tabs>
        <w:numPr>
          <w:ilvl w:val="0"/>
          <w:numId w:val="866"/>
        </w:numPr>
        <w:rPr>
          <w:rFonts w:ascii="Arial" w:cs="Arial" w:eastAsia="Arial" w:hAnsi="Arial"/>
          <w:sz w:val="22"/>
          <w:szCs w:val="22"/>
          <w:color w:val="auto"/>
        </w:rPr>
      </w:pPr>
      <w:r>
        <w:rPr>
          <w:rFonts w:ascii="Arial" w:cs="Arial" w:eastAsia="Arial" w:hAnsi="Arial"/>
          <w:sz w:val="22"/>
          <w:szCs w:val="22"/>
          <w:color w:val="auto"/>
        </w:rPr>
        <w:t>The Recipient shall:</w:t>
      </w:r>
    </w:p>
    <w:p>
      <w:pPr>
        <w:spacing w:after="0" w:line="260" w:lineRule="exact"/>
        <w:rPr>
          <w:rFonts w:ascii="Arial" w:cs="Arial" w:eastAsia="Arial" w:hAnsi="Arial"/>
          <w:sz w:val="22"/>
          <w:szCs w:val="22"/>
          <w:color w:val="auto"/>
        </w:rPr>
      </w:pPr>
    </w:p>
    <w:p>
      <w:pPr>
        <w:ind w:left="980" w:right="120" w:hanging="324"/>
        <w:spacing w:after="0" w:line="253" w:lineRule="auto"/>
        <w:tabs>
          <w:tab w:leader="none" w:pos="980" w:val="left"/>
        </w:tabs>
        <w:numPr>
          <w:ilvl w:val="1"/>
          <w:numId w:val="866"/>
        </w:numPr>
        <w:rPr>
          <w:rFonts w:ascii="Arial" w:cs="Arial" w:eastAsia="Arial" w:hAnsi="Arial"/>
          <w:sz w:val="22"/>
          <w:szCs w:val="22"/>
          <w:color w:val="auto"/>
        </w:rPr>
      </w:pPr>
      <w:r>
        <w:rPr>
          <w:rFonts w:ascii="Arial" w:cs="Arial" w:eastAsia="Arial" w:hAnsi="Arial"/>
          <w:sz w:val="22"/>
          <w:szCs w:val="22"/>
          <w:color w:val="auto"/>
        </w:rPr>
        <w:t>Promptly provide to Treasury and the Treasury Inspector General a copy of any Department of Transportation Inspector General report, audit report, or report of any other oversight body, that is received by the Recipient relating to this Agreement.</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8" w:right="379" w:bottom="1440" w:gutter="0" w:footer="0" w:header="0"/>
        </w:sectPr>
      </w:pPr>
    </w:p>
    <w:bookmarkStart w:id="640" w:name="page641"/>
    <w:bookmarkEnd w:id="640"/>
    <w:p>
      <w:pPr>
        <w:ind w:left="980" w:right="900" w:hanging="324"/>
        <w:spacing w:after="0" w:line="263" w:lineRule="auto"/>
        <w:tabs>
          <w:tab w:leader="none" w:pos="980" w:val="left"/>
        </w:tabs>
        <w:numPr>
          <w:ilvl w:val="1"/>
          <w:numId w:val="867"/>
        </w:numPr>
        <w:rPr>
          <w:rFonts w:ascii="Arial" w:cs="Arial" w:eastAsia="Arial" w:hAnsi="Arial"/>
          <w:sz w:val="22"/>
          <w:szCs w:val="22"/>
          <w:color w:val="auto"/>
        </w:rPr>
      </w:pPr>
      <w:r>
        <w:rPr>
          <w:rFonts w:ascii="Arial" w:cs="Arial" w:eastAsia="Arial" w:hAnsi="Arial"/>
          <w:sz w:val="22"/>
          <w:szCs w:val="22"/>
          <w:color w:val="auto"/>
        </w:rPr>
        <w:t>Immediately notify Treasury and the Treasury Inspector General of any indication of fraud, waste, abuse, or potentially criminal activity pertaining to the Payroll Support.</w:t>
      </w:r>
    </w:p>
    <w:p>
      <w:pPr>
        <w:spacing w:after="0" w:line="215" w:lineRule="exact"/>
        <w:rPr>
          <w:rFonts w:ascii="Arial" w:cs="Arial" w:eastAsia="Arial" w:hAnsi="Arial"/>
          <w:sz w:val="22"/>
          <w:szCs w:val="22"/>
          <w:color w:val="auto"/>
        </w:rPr>
      </w:pPr>
    </w:p>
    <w:p>
      <w:pPr>
        <w:ind w:left="980" w:right="20" w:hanging="324"/>
        <w:spacing w:after="0" w:line="263" w:lineRule="auto"/>
        <w:tabs>
          <w:tab w:leader="none" w:pos="980" w:val="left"/>
        </w:tabs>
        <w:numPr>
          <w:ilvl w:val="1"/>
          <w:numId w:val="867"/>
        </w:numPr>
        <w:rPr>
          <w:rFonts w:ascii="Arial" w:cs="Arial" w:eastAsia="Arial" w:hAnsi="Arial"/>
          <w:sz w:val="22"/>
          <w:szCs w:val="22"/>
          <w:color w:val="auto"/>
        </w:rPr>
      </w:pPr>
      <w:r>
        <w:rPr>
          <w:rFonts w:ascii="Arial" w:cs="Arial" w:eastAsia="Arial" w:hAnsi="Arial"/>
          <w:sz w:val="22"/>
          <w:szCs w:val="22"/>
          <w:color w:val="auto"/>
        </w:rPr>
        <w:t>Promptly provide Treasury with any information Treasury may request relating to compliance by the Recipient and its Affiliates with this Agreement.</w:t>
      </w:r>
    </w:p>
    <w:p>
      <w:pPr>
        <w:spacing w:after="0" w:line="215" w:lineRule="exact"/>
        <w:rPr>
          <w:rFonts w:ascii="Arial" w:cs="Arial" w:eastAsia="Arial" w:hAnsi="Arial"/>
          <w:sz w:val="22"/>
          <w:szCs w:val="22"/>
          <w:color w:val="auto"/>
        </w:rPr>
      </w:pPr>
    </w:p>
    <w:p>
      <w:pPr>
        <w:ind w:left="340" w:right="20" w:hanging="332"/>
        <w:spacing w:after="0" w:line="294" w:lineRule="auto"/>
        <w:tabs>
          <w:tab w:leader="none" w:pos="340" w:val="left"/>
        </w:tabs>
        <w:numPr>
          <w:ilvl w:val="0"/>
          <w:numId w:val="868"/>
        </w:numPr>
        <w:rPr>
          <w:rFonts w:ascii="Arial" w:cs="Arial" w:eastAsia="Arial" w:hAnsi="Arial"/>
          <w:sz w:val="19"/>
          <w:szCs w:val="19"/>
          <w:color w:val="auto"/>
        </w:rPr>
      </w:pPr>
      <w:r>
        <w:rPr>
          <w:rFonts w:ascii="Arial" w:cs="Arial" w:eastAsia="Arial" w:hAnsi="Arial"/>
          <w:sz w:val="19"/>
          <w:szCs w:val="19"/>
          <w:color w:val="auto"/>
        </w:rPr>
        <w:t>The Recipient and Affiliates will provide Treasury, the Treasury Inspector General, and such other entities as authorized by Treasury timely and unrestricted access to all documents, papers, or other records, including electronic records, of the Recipient related to the Payroll Support, to enable Treasury and the Treasury Inspector General to make audits, examinations, and otherwise evaluate the Recipient’s compliance with the terms of this Agreement. This right also includes timely and reasonable access to the Recipient’s and its Affiliates’ personnel for the purpose of interview and discussion related to such documents. This right of access shall continue as long as records are required to be retained.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Recordkeeping and Internal Controls</w:t>
      </w:r>
    </w:p>
    <w:p>
      <w:pPr>
        <w:spacing w:after="0" w:line="220" w:lineRule="exact"/>
        <w:rPr>
          <w:sz w:val="20"/>
          <w:szCs w:val="20"/>
          <w:color w:val="auto"/>
        </w:rPr>
      </w:pPr>
    </w:p>
    <w:p>
      <w:pPr>
        <w:ind w:left="340" w:hanging="332"/>
        <w:spacing w:after="0" w:line="290" w:lineRule="auto"/>
        <w:tabs>
          <w:tab w:leader="none" w:pos="340" w:val="left"/>
        </w:tabs>
        <w:numPr>
          <w:ilvl w:val="0"/>
          <w:numId w:val="869"/>
        </w:numPr>
        <w:rPr>
          <w:rFonts w:ascii="Arial" w:cs="Arial" w:eastAsia="Arial" w:hAnsi="Arial"/>
          <w:sz w:val="19"/>
          <w:szCs w:val="19"/>
          <w:color w:val="auto"/>
        </w:rPr>
      </w:pPr>
      <w:r>
        <w:rPr>
          <w:rFonts w:ascii="Arial" w:cs="Arial" w:eastAsia="Arial" w:hAnsi="Arial"/>
          <w:sz w:val="19"/>
          <w:szCs w:val="19"/>
          <w:color w:val="auto"/>
        </w:rPr>
        <w:t>If Treasury notifies the Recipient that the first disbursement of Payroll Support to the Recipient under this Agreement is the Maximum Awardable Amount (subject to any pro rata reductions and as determined by the Secretary as of the date of such disbursement), the Recipient shall maintain the Payroll Support funds in a separate account over which Treasury shall have a perfected security interest to continue the payment of Wages, Salary, and Benefits to the Employees. For the avoidance of doubt, regardless whether the first disbursement of Payroll Support to the Recipient under this Agreement is the Maximum Awardable Amount, if the Recipient is a debtor as defined under 11 U.S.C. § 101(13), the Payroll Support funds, any claim or account receivable arising under this Agreement, and any segregated account holding funds received under this Agreement shall not constitute or become property of the estate under 11 U.S.C. § 541.</w:t>
      </w:r>
    </w:p>
    <w:p>
      <w:pPr>
        <w:spacing w:after="0" w:line="196" w:lineRule="exact"/>
        <w:rPr>
          <w:rFonts w:ascii="Arial" w:cs="Arial" w:eastAsia="Arial" w:hAnsi="Arial"/>
          <w:sz w:val="19"/>
          <w:szCs w:val="19"/>
          <w:color w:val="auto"/>
        </w:rPr>
      </w:pPr>
    </w:p>
    <w:p>
      <w:pPr>
        <w:ind w:left="340" w:hanging="332"/>
        <w:spacing w:after="0"/>
        <w:tabs>
          <w:tab w:leader="none" w:pos="340" w:val="left"/>
        </w:tabs>
        <w:numPr>
          <w:ilvl w:val="0"/>
          <w:numId w:val="869"/>
        </w:numPr>
        <w:rPr>
          <w:rFonts w:ascii="Arial" w:cs="Arial" w:eastAsia="Arial" w:hAnsi="Arial"/>
          <w:sz w:val="22"/>
          <w:szCs w:val="22"/>
          <w:color w:val="auto"/>
        </w:rPr>
      </w:pPr>
      <w:r>
        <w:rPr>
          <w:rFonts w:ascii="Arial" w:cs="Arial" w:eastAsia="Arial" w:hAnsi="Arial"/>
          <w:sz w:val="22"/>
          <w:szCs w:val="22"/>
          <w:color w:val="auto"/>
        </w:rPr>
        <w:t>The Recipient shall expend and account for Payroll Support funds in a manner sufficient to:</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1"/>
          <w:numId w:val="869"/>
        </w:numPr>
        <w:rPr>
          <w:rFonts w:ascii="Arial" w:cs="Arial" w:eastAsia="Arial" w:hAnsi="Arial"/>
          <w:sz w:val="21"/>
          <w:szCs w:val="21"/>
          <w:color w:val="auto"/>
        </w:rPr>
      </w:pPr>
      <w:r>
        <w:rPr>
          <w:rFonts w:ascii="Arial" w:cs="Arial" w:eastAsia="Arial" w:hAnsi="Arial"/>
          <w:sz w:val="21"/>
          <w:szCs w:val="21"/>
          <w:color w:val="auto"/>
        </w:rPr>
        <w:t>Permit the preparation of accurate, current, and complete quarterly reports as required under this Agreement.</w:t>
      </w:r>
    </w:p>
    <w:p>
      <w:pPr>
        <w:spacing w:after="0" w:line="271" w:lineRule="exact"/>
        <w:rPr>
          <w:rFonts w:ascii="Arial" w:cs="Arial" w:eastAsia="Arial" w:hAnsi="Arial"/>
          <w:sz w:val="21"/>
          <w:szCs w:val="21"/>
          <w:color w:val="auto"/>
        </w:rPr>
      </w:pPr>
    </w:p>
    <w:p>
      <w:pPr>
        <w:ind w:left="980" w:right="60" w:hanging="324"/>
        <w:spacing w:after="0" w:line="263" w:lineRule="auto"/>
        <w:tabs>
          <w:tab w:leader="none" w:pos="980" w:val="left"/>
        </w:tabs>
        <w:numPr>
          <w:ilvl w:val="1"/>
          <w:numId w:val="869"/>
        </w:numPr>
        <w:rPr>
          <w:rFonts w:ascii="Arial" w:cs="Arial" w:eastAsia="Arial" w:hAnsi="Arial"/>
          <w:sz w:val="22"/>
          <w:szCs w:val="22"/>
          <w:color w:val="auto"/>
        </w:rPr>
      </w:pPr>
      <w:r>
        <w:rPr>
          <w:rFonts w:ascii="Arial" w:cs="Arial" w:eastAsia="Arial" w:hAnsi="Arial"/>
          <w:sz w:val="22"/>
          <w:szCs w:val="22"/>
          <w:color w:val="auto"/>
        </w:rPr>
        <w:t>Permit the tracing of funds to a level of expenditures adequate to establish that such funds have been used as required under this Agreement.</w:t>
      </w:r>
    </w:p>
    <w:p>
      <w:pPr>
        <w:spacing w:after="0" w:line="215" w:lineRule="exact"/>
        <w:rPr>
          <w:rFonts w:ascii="Arial" w:cs="Arial" w:eastAsia="Arial" w:hAnsi="Arial"/>
          <w:sz w:val="22"/>
          <w:szCs w:val="22"/>
          <w:color w:val="auto"/>
        </w:rPr>
      </w:pPr>
    </w:p>
    <w:p>
      <w:pPr>
        <w:ind w:left="340" w:right="60" w:hanging="332"/>
        <w:spacing w:after="0" w:line="248" w:lineRule="auto"/>
        <w:tabs>
          <w:tab w:leader="none" w:pos="340" w:val="left"/>
        </w:tabs>
        <w:numPr>
          <w:ilvl w:val="0"/>
          <w:numId w:val="869"/>
        </w:numPr>
        <w:rPr>
          <w:rFonts w:ascii="Arial" w:cs="Arial" w:eastAsia="Arial" w:hAnsi="Arial"/>
          <w:sz w:val="22"/>
          <w:szCs w:val="22"/>
          <w:color w:val="auto"/>
        </w:rPr>
      </w:pPr>
      <w:r>
        <w:rPr>
          <w:rFonts w:ascii="Arial" w:cs="Arial" w:eastAsia="Arial" w:hAnsi="Arial"/>
          <w:sz w:val="22"/>
          <w:szCs w:val="22"/>
          <w:color w:val="auto"/>
        </w:rPr>
        <w:t>The Recipient shall establish and maintain effective internal controls over the Payroll Support; comply with all requirements related to the Payroll Support established under applicable Federal statutes and regulations; monitor compliance with Federal statutes, regulations, and the terms and conditions of this Agreement; and take prompt corrective actions in accordance with audit recommendations. The Recipient shall promptly remedy any identified instances of noncompliance with this Agreement.</w:t>
      </w:r>
    </w:p>
    <w:p>
      <w:pPr>
        <w:spacing w:after="0" w:line="232" w:lineRule="exact"/>
        <w:rPr>
          <w:rFonts w:ascii="Arial" w:cs="Arial" w:eastAsia="Arial" w:hAnsi="Arial"/>
          <w:sz w:val="22"/>
          <w:szCs w:val="22"/>
          <w:color w:val="auto"/>
        </w:rPr>
      </w:pPr>
    </w:p>
    <w:p>
      <w:pPr>
        <w:jc w:val="both"/>
        <w:ind w:left="340" w:right="40" w:hanging="332"/>
        <w:spacing w:after="0" w:line="302" w:lineRule="auto"/>
        <w:tabs>
          <w:tab w:leader="none" w:pos="340" w:val="left"/>
        </w:tabs>
        <w:numPr>
          <w:ilvl w:val="0"/>
          <w:numId w:val="869"/>
        </w:numPr>
        <w:rPr>
          <w:rFonts w:ascii="Arial" w:cs="Arial" w:eastAsia="Arial" w:hAnsi="Arial"/>
          <w:sz w:val="19"/>
          <w:szCs w:val="19"/>
          <w:color w:val="auto"/>
        </w:rPr>
      </w:pPr>
      <w:r>
        <w:rPr>
          <w:rFonts w:ascii="Arial" w:cs="Arial" w:eastAsia="Arial" w:hAnsi="Arial"/>
          <w:sz w:val="19"/>
          <w:szCs w:val="19"/>
          <w:color w:val="auto"/>
        </w:rPr>
        <w:t>The Recipient and Affiliates shall retain all records pertinent to the receipt of Payroll Support and compliance with the terms and conditions of this Agreement (including by suspending any automatic deletion functions for electronic records, including e-mails) for a period of three years following the period of performance. Such records shall include all information necessary to substantiate factual representations made in the Recipient’s application for Payroll Support, including ledgers and sub-</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8" w:right="379" w:bottom="1440" w:gutter="0" w:footer="0" w:header="0"/>
        </w:sectPr>
      </w:pPr>
    </w:p>
    <w:bookmarkStart w:id="641" w:name="page642"/>
    <w:bookmarkEnd w:id="641"/>
    <w:p>
      <w:pPr>
        <w:jc w:val="both"/>
        <w:ind w:left="340" w:right="160"/>
        <w:spacing w:after="0" w:line="218" w:lineRule="auto"/>
        <w:rPr>
          <w:sz w:val="20"/>
          <w:szCs w:val="20"/>
          <w:color w:val="auto"/>
        </w:rPr>
      </w:pPr>
      <w:r>
        <w:rPr>
          <w:rFonts w:ascii="Arial" w:cs="Arial" w:eastAsia="Arial" w:hAnsi="Arial"/>
          <w:sz w:val="22"/>
          <w:szCs w:val="22"/>
          <w:color w:val="auto"/>
        </w:rPr>
        <w:t>ledgers, and the Recipient’s and Affiliates’ compliance with this Agreement. While electronic storage of records (backed up as appropriate) is preferable, the Recipient and Affiliates may store records in hardcopy (paper) format. The term “records” includes all relevant financial and accounting records and all supporting documentation for the information reported on the Recipient’s quarterly reports.</w:t>
      </w:r>
    </w:p>
    <w:p>
      <w:pPr>
        <w:spacing w:after="0" w:line="228" w:lineRule="exact"/>
        <w:rPr>
          <w:sz w:val="20"/>
          <w:szCs w:val="20"/>
          <w:color w:val="auto"/>
        </w:rPr>
      </w:pPr>
    </w:p>
    <w:p>
      <w:pPr>
        <w:ind w:left="340" w:right="100" w:hanging="332"/>
        <w:spacing w:after="0" w:line="312" w:lineRule="auto"/>
        <w:tabs>
          <w:tab w:leader="none" w:pos="340" w:val="left"/>
        </w:tabs>
        <w:numPr>
          <w:ilvl w:val="0"/>
          <w:numId w:val="870"/>
        </w:numPr>
        <w:rPr>
          <w:rFonts w:ascii="Arial" w:cs="Arial" w:eastAsia="Arial" w:hAnsi="Arial"/>
          <w:sz w:val="19"/>
          <w:szCs w:val="19"/>
          <w:color w:val="auto"/>
        </w:rPr>
      </w:pPr>
      <w:r>
        <w:rPr>
          <w:rFonts w:ascii="Arial" w:cs="Arial" w:eastAsia="Arial" w:hAnsi="Arial"/>
          <w:sz w:val="19"/>
          <w:szCs w:val="19"/>
          <w:color w:val="auto"/>
        </w:rPr>
        <w:t>If any litigation, claim, investigation, or audit relating to the Payroll Support is started before the expiration of the three-year period, the Recipient and Affiliates shall retain all records described in paragraph 20 until all such litigation, claims, investigations, or audit findings have been completely resolved and final judgment entered or final action taken.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Remedies</w:t>
      </w:r>
    </w:p>
    <w:p>
      <w:pPr>
        <w:spacing w:after="0" w:line="220" w:lineRule="exact"/>
        <w:rPr>
          <w:sz w:val="20"/>
          <w:szCs w:val="20"/>
          <w:color w:val="auto"/>
        </w:rPr>
      </w:pPr>
    </w:p>
    <w:p>
      <w:pPr>
        <w:ind w:left="340" w:right="160" w:hanging="332"/>
        <w:spacing w:after="0" w:line="259" w:lineRule="auto"/>
        <w:tabs>
          <w:tab w:leader="none" w:pos="340" w:val="left"/>
        </w:tabs>
        <w:numPr>
          <w:ilvl w:val="0"/>
          <w:numId w:val="871"/>
        </w:numPr>
        <w:rPr>
          <w:rFonts w:ascii="Arial" w:cs="Arial" w:eastAsia="Arial" w:hAnsi="Arial"/>
          <w:sz w:val="21"/>
          <w:szCs w:val="21"/>
          <w:color w:val="auto"/>
        </w:rPr>
      </w:pPr>
      <w:r>
        <w:rPr>
          <w:rFonts w:ascii="Arial" w:cs="Arial" w:eastAsia="Arial" w:hAnsi="Arial"/>
          <w:sz w:val="21"/>
          <w:szCs w:val="21"/>
          <w:color w:val="auto"/>
        </w:rPr>
        <w:t>If Treasury believes that an instance of noncompliance by the Recipient or an Affiliate with (a) this Agreement, (b) sections 4114 or 4116 of the CARES Act, or (c) the Internal Revenue Code of 1986 as it applies to the receipt of Payroll Support has occurred, Treasury may notify the Recipient in writing of its proposed determination of noncompliance, provide an explanation of the nature of the noncompliance, and specify a proposed remedy. Upon receipt of such notice, the Recipient shall, within seven days, accept Treasury’s proposed remedy, propose an alternative remedy, or provide information and documentation contesting Treasury’s proposed determination. Treasury shall consider any such submission by the Recipient and make a final written determination, which will state Treasury’s findings regarding noncompliance and the remedy to be imposed.</w:t>
      </w:r>
    </w:p>
    <w:p>
      <w:pPr>
        <w:spacing w:after="0" w:line="223" w:lineRule="exact"/>
        <w:rPr>
          <w:rFonts w:ascii="Arial" w:cs="Arial" w:eastAsia="Arial" w:hAnsi="Arial"/>
          <w:sz w:val="21"/>
          <w:szCs w:val="21"/>
          <w:color w:val="auto"/>
        </w:rPr>
      </w:pPr>
    </w:p>
    <w:p>
      <w:pPr>
        <w:ind w:left="340" w:hanging="332"/>
        <w:spacing w:after="0" w:line="248" w:lineRule="auto"/>
        <w:tabs>
          <w:tab w:leader="none" w:pos="340" w:val="left"/>
        </w:tabs>
        <w:numPr>
          <w:ilvl w:val="0"/>
          <w:numId w:val="871"/>
        </w:numPr>
        <w:rPr>
          <w:rFonts w:ascii="Arial" w:cs="Arial" w:eastAsia="Arial" w:hAnsi="Arial"/>
          <w:sz w:val="22"/>
          <w:szCs w:val="22"/>
          <w:color w:val="auto"/>
        </w:rPr>
      </w:pPr>
      <w:r>
        <w:rPr>
          <w:rFonts w:ascii="Arial" w:cs="Arial" w:eastAsia="Arial" w:hAnsi="Arial"/>
          <w:sz w:val="22"/>
          <w:szCs w:val="22"/>
          <w:color w:val="auto"/>
        </w:rPr>
        <w:t>If Treasury makes a final determination under paragraph 22 that an instance of noncompliance has occurred, Treasury may, in its sole discretion, withhold any Additional Payroll Support Payments; require the repayment of the amount of any previously disbursed Payroll Support, with appropriate interest; require additional reporting or monitoring; initiate suspension or debarment proceedings as authorized under 2 CFR Part 180; terminate this Agreement; or take any such other action as Treasury, in its sole discretion, deems appropriate.</w:t>
      </w:r>
    </w:p>
    <w:p>
      <w:pPr>
        <w:spacing w:after="0" w:line="232" w:lineRule="exact"/>
        <w:rPr>
          <w:rFonts w:ascii="Arial" w:cs="Arial" w:eastAsia="Arial" w:hAnsi="Arial"/>
          <w:sz w:val="22"/>
          <w:szCs w:val="22"/>
          <w:color w:val="auto"/>
        </w:rPr>
      </w:pPr>
    </w:p>
    <w:p>
      <w:pPr>
        <w:ind w:left="340" w:right="40" w:hanging="332"/>
        <w:spacing w:after="0" w:line="297" w:lineRule="auto"/>
        <w:tabs>
          <w:tab w:leader="none" w:pos="340" w:val="left"/>
        </w:tabs>
        <w:numPr>
          <w:ilvl w:val="0"/>
          <w:numId w:val="871"/>
        </w:numPr>
        <w:rPr>
          <w:rFonts w:ascii="Arial" w:cs="Arial" w:eastAsia="Arial" w:hAnsi="Arial"/>
          <w:sz w:val="19"/>
          <w:szCs w:val="19"/>
          <w:color w:val="auto"/>
        </w:rPr>
      </w:pPr>
      <w:r>
        <w:rPr>
          <w:rFonts w:ascii="Arial" w:cs="Arial" w:eastAsia="Arial" w:hAnsi="Arial"/>
          <w:sz w:val="19"/>
          <w:szCs w:val="19"/>
          <w:color w:val="auto"/>
        </w:rPr>
        <w:t>Treasury may make a final determination regarding noncompliance without regard to paragraph 22 if Treasury determines, in its sole discretion, that such determination is necessary to protect a material interest of the Federal Government. In such event, Treasury shall notify the Recipient of the remedy that Treasury, in its sole discretion, shall impose, after which the Recipient may contest Treasury’s final determination or propose an alternative remedy in writing to Treasury. Following the receipt of such a submission by the Recipient, Treasury may, in its sole discretion, maintain or alter its final determination.</w:t>
      </w:r>
    </w:p>
    <w:p>
      <w:pPr>
        <w:spacing w:after="0" w:line="187" w:lineRule="exact"/>
        <w:rPr>
          <w:rFonts w:ascii="Arial" w:cs="Arial" w:eastAsia="Arial" w:hAnsi="Arial"/>
          <w:sz w:val="19"/>
          <w:szCs w:val="19"/>
          <w:color w:val="auto"/>
        </w:rPr>
      </w:pPr>
    </w:p>
    <w:p>
      <w:pPr>
        <w:ind w:left="340" w:right="80" w:hanging="332"/>
        <w:spacing w:after="0" w:line="250" w:lineRule="auto"/>
        <w:tabs>
          <w:tab w:leader="none" w:pos="340" w:val="left"/>
        </w:tabs>
        <w:numPr>
          <w:ilvl w:val="0"/>
          <w:numId w:val="871"/>
        </w:numPr>
        <w:rPr>
          <w:rFonts w:ascii="Arial" w:cs="Arial" w:eastAsia="Arial" w:hAnsi="Arial"/>
          <w:sz w:val="22"/>
          <w:szCs w:val="22"/>
          <w:color w:val="auto"/>
        </w:rPr>
      </w:pPr>
      <w:r>
        <w:rPr>
          <w:rFonts w:ascii="Arial" w:cs="Arial" w:eastAsia="Arial" w:hAnsi="Arial"/>
          <w:sz w:val="22"/>
          <w:szCs w:val="22"/>
          <w:color w:val="auto"/>
        </w:rPr>
        <w:t>Any final determination of noncompliance and any final determination to take any remedial action described herein shall not be subject to further review. To the extent permitted by law, the Recipient waives any right to judicial review of any such determinations and further agrees not to assert in any court any claim arising from or relating to any such determination or remedial action.</w:t>
      </w:r>
    </w:p>
    <w:p>
      <w:pPr>
        <w:spacing w:after="0" w:line="228" w:lineRule="exact"/>
        <w:rPr>
          <w:rFonts w:ascii="Arial" w:cs="Arial" w:eastAsia="Arial" w:hAnsi="Arial"/>
          <w:sz w:val="22"/>
          <w:szCs w:val="22"/>
          <w:color w:val="auto"/>
        </w:rPr>
      </w:pPr>
    </w:p>
    <w:p>
      <w:pPr>
        <w:ind w:left="340" w:right="340" w:hanging="332"/>
        <w:spacing w:after="0" w:line="263" w:lineRule="auto"/>
        <w:tabs>
          <w:tab w:leader="none" w:pos="340" w:val="left"/>
        </w:tabs>
        <w:numPr>
          <w:ilvl w:val="0"/>
          <w:numId w:val="871"/>
        </w:numPr>
        <w:rPr>
          <w:rFonts w:ascii="Arial" w:cs="Arial" w:eastAsia="Arial" w:hAnsi="Arial"/>
          <w:sz w:val="22"/>
          <w:szCs w:val="22"/>
          <w:color w:val="auto"/>
        </w:rPr>
      </w:pPr>
      <w:r>
        <w:rPr>
          <w:rFonts w:ascii="Arial" w:cs="Arial" w:eastAsia="Arial" w:hAnsi="Arial"/>
          <w:sz w:val="22"/>
          <w:szCs w:val="22"/>
          <w:color w:val="auto"/>
        </w:rPr>
        <w:t>Instead of, or in addition to, the remedies listed above, Treasury may refer any noncompliance or any allegations of fraud, waste, or abuse to the Treasury Inspector General.</w:t>
      </w:r>
    </w:p>
    <w:p>
      <w:pPr>
        <w:spacing w:after="0" w:line="215" w:lineRule="exact"/>
        <w:rPr>
          <w:rFonts w:ascii="Arial" w:cs="Arial" w:eastAsia="Arial" w:hAnsi="Arial"/>
          <w:sz w:val="22"/>
          <w:szCs w:val="22"/>
          <w:color w:val="auto"/>
        </w:rPr>
      </w:pPr>
    </w:p>
    <w:p>
      <w:pPr>
        <w:ind w:left="340" w:right="60" w:hanging="332"/>
        <w:spacing w:after="0" w:line="263" w:lineRule="auto"/>
        <w:tabs>
          <w:tab w:leader="none" w:pos="340" w:val="left"/>
        </w:tabs>
        <w:numPr>
          <w:ilvl w:val="0"/>
          <w:numId w:val="871"/>
        </w:numPr>
        <w:rPr>
          <w:rFonts w:ascii="Arial" w:cs="Arial" w:eastAsia="Arial" w:hAnsi="Arial"/>
          <w:sz w:val="22"/>
          <w:szCs w:val="22"/>
          <w:color w:val="auto"/>
        </w:rPr>
      </w:pPr>
      <w:r>
        <w:rPr>
          <w:rFonts w:ascii="Arial" w:cs="Arial" w:eastAsia="Arial" w:hAnsi="Arial"/>
          <w:sz w:val="22"/>
          <w:szCs w:val="22"/>
          <w:color w:val="auto"/>
        </w:rPr>
        <w:t>Treasury, in its sole discretion, may grant any request by the Recipient for termination of this Agreement, which such request shall be in writing and shall include the reasons for such termination,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642" w:name="page643"/>
    <w:bookmarkEnd w:id="642"/>
    <w:p>
      <w:pPr>
        <w:jc w:val="both"/>
        <w:ind w:left="340" w:right="140"/>
        <w:spacing w:after="0" w:line="223" w:lineRule="auto"/>
        <w:rPr>
          <w:sz w:val="20"/>
          <w:szCs w:val="20"/>
          <w:color w:val="auto"/>
        </w:rPr>
      </w:pPr>
      <w:r>
        <w:rPr>
          <w:rFonts w:ascii="Arial" w:cs="Arial" w:eastAsia="Arial" w:hAnsi="Arial"/>
          <w:sz w:val="22"/>
          <w:szCs w:val="22"/>
          <w:color w:val="auto"/>
        </w:rPr>
        <w:t>the proposed effective date of the termination, and the amount of any unused Payroll Support funds the Recipient requests to return to Treasury. Treasury may, in its sole discretion, determine the extent to which the requirements under this Agreement may cease to apply following any such termination.</w:t>
      </w:r>
    </w:p>
    <w:p>
      <w:pPr>
        <w:spacing w:after="0" w:line="226" w:lineRule="exact"/>
        <w:rPr>
          <w:sz w:val="20"/>
          <w:szCs w:val="20"/>
          <w:color w:val="auto"/>
        </w:rPr>
      </w:pPr>
    </w:p>
    <w:p>
      <w:pPr>
        <w:ind w:left="340" w:right="140" w:hanging="332"/>
        <w:spacing w:after="0" w:line="263" w:lineRule="auto"/>
        <w:tabs>
          <w:tab w:leader="none" w:pos="340" w:val="left"/>
        </w:tabs>
        <w:numPr>
          <w:ilvl w:val="0"/>
          <w:numId w:val="872"/>
        </w:numPr>
        <w:rPr>
          <w:rFonts w:ascii="Arial" w:cs="Arial" w:eastAsia="Arial" w:hAnsi="Arial"/>
          <w:sz w:val="22"/>
          <w:szCs w:val="22"/>
          <w:color w:val="auto"/>
        </w:rPr>
      </w:pPr>
      <w:r>
        <w:rPr>
          <w:rFonts w:ascii="Arial" w:cs="Arial" w:eastAsia="Arial" w:hAnsi="Arial"/>
          <w:sz w:val="22"/>
          <w:szCs w:val="22"/>
          <w:color w:val="auto"/>
        </w:rPr>
        <w:t>If Treasury determines that any remaining portion of the Payroll Support will not accomplish the purpose of this Agreement, Treasury may terminate this Agreement in its entirety to the extent permitted by law.</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Debts</w:t>
      </w:r>
    </w:p>
    <w:p>
      <w:pPr>
        <w:spacing w:after="0" w:line="260" w:lineRule="exact"/>
        <w:rPr>
          <w:sz w:val="20"/>
          <w:szCs w:val="20"/>
          <w:color w:val="auto"/>
        </w:rPr>
      </w:pPr>
    </w:p>
    <w:p>
      <w:pPr>
        <w:ind w:left="340" w:hanging="332"/>
        <w:spacing w:after="0" w:line="263" w:lineRule="auto"/>
        <w:tabs>
          <w:tab w:leader="none" w:pos="340" w:val="left"/>
        </w:tabs>
        <w:numPr>
          <w:ilvl w:val="0"/>
          <w:numId w:val="873"/>
        </w:numPr>
        <w:rPr>
          <w:rFonts w:ascii="Arial" w:cs="Arial" w:eastAsia="Arial" w:hAnsi="Arial"/>
          <w:sz w:val="22"/>
          <w:szCs w:val="22"/>
          <w:color w:val="auto"/>
        </w:rPr>
      </w:pPr>
      <w:r>
        <w:rPr>
          <w:rFonts w:ascii="Arial" w:cs="Arial" w:eastAsia="Arial" w:hAnsi="Arial"/>
          <w:sz w:val="22"/>
          <w:szCs w:val="22"/>
          <w:color w:val="auto"/>
        </w:rPr>
        <w:t>Any Payroll Support in excess of the amount which Treasury determines, at any time, the Recipient is authorized to receive or retain under the terms of this Agreement constitutes a debt to the Federal Government.</w:t>
      </w:r>
    </w:p>
    <w:p>
      <w:pPr>
        <w:spacing w:after="0" w:line="215" w:lineRule="exact"/>
        <w:rPr>
          <w:rFonts w:ascii="Arial" w:cs="Arial" w:eastAsia="Arial" w:hAnsi="Arial"/>
          <w:sz w:val="22"/>
          <w:szCs w:val="22"/>
          <w:color w:val="auto"/>
        </w:rPr>
      </w:pPr>
    </w:p>
    <w:p>
      <w:pPr>
        <w:ind w:left="340" w:hanging="332"/>
        <w:spacing w:after="0" w:line="297" w:lineRule="auto"/>
        <w:tabs>
          <w:tab w:leader="none" w:pos="340" w:val="left"/>
        </w:tabs>
        <w:numPr>
          <w:ilvl w:val="0"/>
          <w:numId w:val="873"/>
        </w:numPr>
        <w:rPr>
          <w:rFonts w:ascii="Arial" w:cs="Arial" w:eastAsia="Arial" w:hAnsi="Arial"/>
          <w:sz w:val="19"/>
          <w:szCs w:val="19"/>
          <w:color w:val="auto"/>
        </w:rPr>
      </w:pPr>
      <w:r>
        <w:rPr>
          <w:rFonts w:ascii="Arial" w:cs="Arial" w:eastAsia="Arial" w:hAnsi="Arial"/>
          <w:sz w:val="19"/>
          <w:szCs w:val="19"/>
          <w:color w:val="auto"/>
        </w:rPr>
        <w:t>Any debts determined to be owed by the Recipient to the Federal Government shall be paid promptly by the Recipient. A debt is delinquent if it has not been paid by the date specified in Treasury’s initial written demand for payment, unless other satisfactory arrangements have been made. Interest, penalties, and administrative charges shall be charged on delinquent debts in accordance with 31 U.S.C. § 3717, 31 CFR 901.9, and paragraphs 31 and 32. Treasury will refer any debt that is more than 180 days delinquent to Treasury’s Bureau of the Fiscal Service for debt collection services.</w:t>
      </w:r>
    </w:p>
    <w:p>
      <w:pPr>
        <w:spacing w:after="0" w:line="187" w:lineRule="exact"/>
        <w:rPr>
          <w:rFonts w:ascii="Arial" w:cs="Arial" w:eastAsia="Arial" w:hAnsi="Arial"/>
          <w:sz w:val="19"/>
          <w:szCs w:val="19"/>
          <w:color w:val="auto"/>
        </w:rPr>
      </w:pPr>
    </w:p>
    <w:p>
      <w:pPr>
        <w:ind w:left="340" w:hanging="332"/>
        <w:spacing w:after="0"/>
        <w:tabs>
          <w:tab w:leader="none" w:pos="340" w:val="left"/>
        </w:tabs>
        <w:numPr>
          <w:ilvl w:val="0"/>
          <w:numId w:val="873"/>
        </w:numPr>
        <w:rPr>
          <w:rFonts w:ascii="Arial" w:cs="Arial" w:eastAsia="Arial" w:hAnsi="Arial"/>
          <w:sz w:val="19"/>
          <w:szCs w:val="19"/>
          <w:color w:val="auto"/>
        </w:rPr>
      </w:pPr>
      <w:r>
        <w:rPr>
          <w:rFonts w:ascii="Arial" w:cs="Arial" w:eastAsia="Arial" w:hAnsi="Arial"/>
          <w:sz w:val="19"/>
          <w:szCs w:val="19"/>
          <w:color w:val="auto"/>
        </w:rPr>
        <w:t>Penalties on any debts shall accrue at a rate of not more than 6 percent per year or such other higher rate as authorized by law.</w:t>
      </w:r>
    </w:p>
    <w:p>
      <w:pPr>
        <w:spacing w:after="0" w:line="294" w:lineRule="exact"/>
        <w:rPr>
          <w:rFonts w:ascii="Arial" w:cs="Arial" w:eastAsia="Arial" w:hAnsi="Arial"/>
          <w:sz w:val="19"/>
          <w:szCs w:val="19"/>
          <w:color w:val="auto"/>
        </w:rPr>
      </w:pPr>
    </w:p>
    <w:p>
      <w:pPr>
        <w:ind w:left="340" w:hanging="332"/>
        <w:spacing w:after="0"/>
        <w:tabs>
          <w:tab w:leader="none" w:pos="340" w:val="left"/>
        </w:tabs>
        <w:numPr>
          <w:ilvl w:val="0"/>
          <w:numId w:val="873"/>
        </w:numPr>
        <w:rPr>
          <w:rFonts w:ascii="Arial" w:cs="Arial" w:eastAsia="Arial" w:hAnsi="Arial"/>
          <w:sz w:val="19"/>
          <w:szCs w:val="19"/>
          <w:color w:val="auto"/>
        </w:rPr>
      </w:pPr>
      <w:r>
        <w:rPr>
          <w:rFonts w:ascii="Arial" w:cs="Arial" w:eastAsia="Arial" w:hAnsi="Arial"/>
          <w:sz w:val="19"/>
          <w:szCs w:val="19"/>
          <w:color w:val="auto"/>
        </w:rPr>
        <w:t>Administrative charges relating to the costs of processing and handling a delinquent debt shall be determined by Treasury.</w:t>
      </w:r>
    </w:p>
    <w:p>
      <w:pPr>
        <w:spacing w:after="0" w:line="294" w:lineRule="exact"/>
        <w:rPr>
          <w:rFonts w:ascii="Arial" w:cs="Arial" w:eastAsia="Arial" w:hAnsi="Arial"/>
          <w:sz w:val="19"/>
          <w:szCs w:val="19"/>
          <w:color w:val="auto"/>
        </w:rPr>
      </w:pPr>
    </w:p>
    <w:p>
      <w:pPr>
        <w:ind w:left="340" w:right="80" w:hanging="332"/>
        <w:spacing w:after="0" w:line="263" w:lineRule="auto"/>
        <w:tabs>
          <w:tab w:leader="none" w:pos="340" w:val="left"/>
        </w:tabs>
        <w:numPr>
          <w:ilvl w:val="0"/>
          <w:numId w:val="873"/>
        </w:numPr>
        <w:rPr>
          <w:rFonts w:ascii="Arial" w:cs="Arial" w:eastAsia="Arial" w:hAnsi="Arial"/>
          <w:sz w:val="22"/>
          <w:szCs w:val="22"/>
          <w:color w:val="auto"/>
        </w:rPr>
      </w:pPr>
      <w:r>
        <w:rPr>
          <w:rFonts w:ascii="Arial" w:cs="Arial" w:eastAsia="Arial" w:hAnsi="Arial"/>
          <w:sz w:val="22"/>
          <w:szCs w:val="22"/>
          <w:color w:val="auto"/>
        </w:rPr>
        <w:t>The Recipient shall not use funds from other federally sponsored programs to pay a debt to the government arising under this Agreement.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Protections for Whistleblowers</w:t>
      </w:r>
    </w:p>
    <w:p>
      <w:pPr>
        <w:spacing w:after="0" w:line="220" w:lineRule="exact"/>
        <w:rPr>
          <w:sz w:val="20"/>
          <w:szCs w:val="20"/>
          <w:color w:val="auto"/>
        </w:rPr>
      </w:pPr>
    </w:p>
    <w:p>
      <w:pPr>
        <w:ind w:left="340" w:right="20" w:hanging="332"/>
        <w:spacing w:after="0" w:line="261" w:lineRule="auto"/>
        <w:tabs>
          <w:tab w:leader="none" w:pos="340" w:val="left"/>
        </w:tabs>
        <w:numPr>
          <w:ilvl w:val="0"/>
          <w:numId w:val="874"/>
        </w:numPr>
        <w:rPr>
          <w:rFonts w:ascii="Arial" w:cs="Arial" w:eastAsia="Arial" w:hAnsi="Arial"/>
          <w:sz w:val="21"/>
          <w:szCs w:val="21"/>
          <w:color w:val="auto"/>
        </w:rPr>
      </w:pPr>
      <w:r>
        <w:rPr>
          <w:rFonts w:ascii="Arial" w:cs="Arial" w:eastAsia="Arial" w:hAnsi="Arial"/>
          <w:sz w:val="21"/>
          <w:szCs w:val="21"/>
          <w:color w:val="auto"/>
        </w:rPr>
        <w:t>In addition to other applicable whistleblower protections, in accordance with 41 U.S.C. § 4712, the Recipient shall not discharge, demote, or otherwise discriminate against an Employee as a reprisal for disclosing information to a Person listed below that the Employee reasonably believes is evidence of gross mismanagement of a Federal contract or grant, a gross waste of Federal funds, an abuse of authority relating to a Federal contract or grant, a substantial and specific danger to public health or safety, or a violation of law, rule, or regulation related to a Federal contract (including the competition for or negotiation of a contract) or grant:</w:t>
      </w:r>
    </w:p>
    <w:p>
      <w:pPr>
        <w:spacing w:after="0" w:line="219" w:lineRule="exact"/>
        <w:rPr>
          <w:rFonts w:ascii="Arial" w:cs="Arial" w:eastAsia="Arial" w:hAnsi="Arial"/>
          <w:sz w:val="21"/>
          <w:szCs w:val="21"/>
          <w:color w:val="auto"/>
        </w:rPr>
      </w:pPr>
    </w:p>
    <w:p>
      <w:pPr>
        <w:ind w:left="980" w:hanging="324"/>
        <w:spacing w:after="0"/>
        <w:tabs>
          <w:tab w:leader="none" w:pos="980" w:val="left"/>
        </w:tabs>
        <w:numPr>
          <w:ilvl w:val="1"/>
          <w:numId w:val="874"/>
        </w:numPr>
        <w:rPr>
          <w:rFonts w:ascii="Arial" w:cs="Arial" w:eastAsia="Arial" w:hAnsi="Arial"/>
          <w:sz w:val="22"/>
          <w:szCs w:val="22"/>
          <w:color w:val="auto"/>
        </w:rPr>
      </w:pPr>
      <w:r>
        <w:rPr>
          <w:rFonts w:ascii="Arial" w:cs="Arial" w:eastAsia="Arial" w:hAnsi="Arial"/>
          <w:sz w:val="22"/>
          <w:szCs w:val="22"/>
          <w:color w:val="auto"/>
        </w:rPr>
        <w:t>A Member of Congress or a representative of a committee of Congress;</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1"/>
          <w:numId w:val="874"/>
        </w:numPr>
        <w:rPr>
          <w:rFonts w:ascii="Arial" w:cs="Arial" w:eastAsia="Arial" w:hAnsi="Arial"/>
          <w:sz w:val="22"/>
          <w:szCs w:val="22"/>
          <w:color w:val="auto"/>
        </w:rPr>
      </w:pPr>
      <w:r>
        <w:rPr>
          <w:rFonts w:ascii="Arial" w:cs="Arial" w:eastAsia="Arial" w:hAnsi="Arial"/>
          <w:sz w:val="22"/>
          <w:szCs w:val="22"/>
          <w:color w:val="auto"/>
        </w:rPr>
        <w:t>An Inspector General;</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1"/>
          <w:numId w:val="874"/>
        </w:numPr>
        <w:rPr>
          <w:rFonts w:ascii="Arial" w:cs="Arial" w:eastAsia="Arial" w:hAnsi="Arial"/>
          <w:sz w:val="22"/>
          <w:szCs w:val="22"/>
          <w:color w:val="auto"/>
        </w:rPr>
      </w:pPr>
      <w:r>
        <w:rPr>
          <w:rFonts w:ascii="Arial" w:cs="Arial" w:eastAsia="Arial" w:hAnsi="Arial"/>
          <w:sz w:val="22"/>
          <w:szCs w:val="22"/>
          <w:color w:val="auto"/>
        </w:rPr>
        <w:t>The Government Accountability Office;</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1"/>
          <w:numId w:val="874"/>
        </w:numPr>
        <w:rPr>
          <w:rFonts w:ascii="Arial" w:cs="Arial" w:eastAsia="Arial" w:hAnsi="Arial"/>
          <w:sz w:val="22"/>
          <w:szCs w:val="22"/>
          <w:color w:val="auto"/>
        </w:rPr>
      </w:pPr>
      <w:r>
        <w:rPr>
          <w:rFonts w:ascii="Arial" w:cs="Arial" w:eastAsia="Arial" w:hAnsi="Arial"/>
          <w:sz w:val="22"/>
          <w:szCs w:val="22"/>
          <w:color w:val="auto"/>
        </w:rPr>
        <w:t>A Treasury employee responsible for contract or grant oversight or management;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43" w:name="page644"/>
    <w:bookmarkEnd w:id="643"/>
    <w:p>
      <w:pPr>
        <w:ind w:left="980" w:hanging="324"/>
        <w:spacing w:after="0"/>
        <w:tabs>
          <w:tab w:leader="none" w:pos="980" w:val="left"/>
        </w:tabs>
        <w:numPr>
          <w:ilvl w:val="0"/>
          <w:numId w:val="875"/>
        </w:numPr>
        <w:rPr>
          <w:rFonts w:ascii="Arial" w:cs="Arial" w:eastAsia="Arial" w:hAnsi="Arial"/>
          <w:sz w:val="22"/>
          <w:szCs w:val="22"/>
          <w:color w:val="auto"/>
        </w:rPr>
      </w:pPr>
      <w:r>
        <w:rPr>
          <w:rFonts w:ascii="Arial" w:cs="Arial" w:eastAsia="Arial" w:hAnsi="Arial"/>
          <w:sz w:val="22"/>
          <w:szCs w:val="22"/>
          <w:color w:val="auto"/>
        </w:rPr>
        <w:t>An authorized official of the Department of Justice or other law enforcement agency;</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0"/>
          <w:numId w:val="875"/>
        </w:numPr>
        <w:rPr>
          <w:rFonts w:ascii="Arial" w:cs="Arial" w:eastAsia="Arial" w:hAnsi="Arial"/>
          <w:sz w:val="22"/>
          <w:szCs w:val="22"/>
          <w:color w:val="auto"/>
        </w:rPr>
      </w:pPr>
      <w:r>
        <w:rPr>
          <w:rFonts w:ascii="Arial" w:cs="Arial" w:eastAsia="Arial" w:hAnsi="Arial"/>
          <w:sz w:val="22"/>
          <w:szCs w:val="22"/>
          <w:color w:val="auto"/>
        </w:rPr>
        <w:t>A court or grand jury; or</w:t>
      </w:r>
    </w:p>
    <w:p>
      <w:pPr>
        <w:spacing w:after="0" w:line="260" w:lineRule="exact"/>
        <w:rPr>
          <w:rFonts w:ascii="Arial" w:cs="Arial" w:eastAsia="Arial" w:hAnsi="Arial"/>
          <w:sz w:val="22"/>
          <w:szCs w:val="22"/>
          <w:color w:val="auto"/>
        </w:rPr>
      </w:pPr>
    </w:p>
    <w:p>
      <w:pPr>
        <w:ind w:left="980" w:right="520" w:hanging="324"/>
        <w:spacing w:after="0" w:line="263" w:lineRule="auto"/>
        <w:tabs>
          <w:tab w:leader="none" w:pos="980" w:val="left"/>
        </w:tabs>
        <w:numPr>
          <w:ilvl w:val="0"/>
          <w:numId w:val="875"/>
        </w:numPr>
        <w:rPr>
          <w:rFonts w:ascii="Arial" w:cs="Arial" w:eastAsia="Arial" w:hAnsi="Arial"/>
          <w:sz w:val="22"/>
          <w:szCs w:val="22"/>
          <w:color w:val="auto"/>
        </w:rPr>
      </w:pPr>
      <w:r>
        <w:rPr>
          <w:rFonts w:ascii="Arial" w:cs="Arial" w:eastAsia="Arial" w:hAnsi="Arial"/>
          <w:sz w:val="22"/>
          <w:szCs w:val="22"/>
          <w:color w:val="auto"/>
        </w:rPr>
        <w:t>A management official or other Employee of the Recipient who has the responsibility to investigate, discover, or address misconduct.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Lobbying</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35. The Recipient shall comply with the provisions of 31 U.S.C. § 1352, as amended, and with the regulations at 31 CFR Part 21.</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Non-Discrimination</w:t>
      </w:r>
    </w:p>
    <w:p>
      <w:pPr>
        <w:spacing w:after="0" w:line="220" w:lineRule="exact"/>
        <w:rPr>
          <w:sz w:val="20"/>
          <w:szCs w:val="20"/>
          <w:color w:val="auto"/>
        </w:rPr>
      </w:pPr>
    </w:p>
    <w:p>
      <w:pPr>
        <w:ind w:left="340" w:right="200" w:hanging="332"/>
        <w:spacing w:after="0" w:line="263" w:lineRule="auto"/>
        <w:tabs>
          <w:tab w:leader="none" w:pos="340" w:val="left"/>
        </w:tabs>
        <w:numPr>
          <w:ilvl w:val="0"/>
          <w:numId w:val="876"/>
        </w:numPr>
        <w:rPr>
          <w:rFonts w:ascii="Arial" w:cs="Arial" w:eastAsia="Arial" w:hAnsi="Arial"/>
          <w:sz w:val="22"/>
          <w:szCs w:val="22"/>
          <w:color w:val="auto"/>
        </w:rPr>
      </w:pPr>
      <w:r>
        <w:rPr>
          <w:rFonts w:ascii="Arial" w:cs="Arial" w:eastAsia="Arial" w:hAnsi="Arial"/>
          <w:sz w:val="22"/>
          <w:szCs w:val="22"/>
          <w:color w:val="auto"/>
        </w:rPr>
        <w:t>The Recipient shall comply with, and hereby assures that it will comply with, all applicable Federal statutes and regulations relating to nondiscrimination including:</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980" w:hanging="324"/>
        <w:spacing w:after="0" w:line="263" w:lineRule="auto"/>
        <w:tabs>
          <w:tab w:leader="none" w:pos="980" w:val="left"/>
        </w:tabs>
        <w:numPr>
          <w:ilvl w:val="1"/>
          <w:numId w:val="876"/>
        </w:numPr>
        <w:rPr>
          <w:rFonts w:ascii="Arial" w:cs="Arial" w:eastAsia="Arial" w:hAnsi="Arial"/>
          <w:sz w:val="22"/>
          <w:szCs w:val="22"/>
          <w:color w:val="auto"/>
        </w:rPr>
      </w:pPr>
      <w:r>
        <w:rPr>
          <w:rFonts w:ascii="Arial" w:cs="Arial" w:eastAsia="Arial" w:hAnsi="Arial"/>
          <w:sz w:val="22"/>
          <w:szCs w:val="22"/>
          <w:color w:val="auto"/>
        </w:rPr>
        <w:t xml:space="preserve">Title VI of the Civil Rights Act of 1964 (42 U.S.C. § 2000d </w:t>
      </w:r>
      <w:r>
        <w:rPr>
          <w:rFonts w:ascii="Arial" w:cs="Arial" w:eastAsia="Arial" w:hAnsi="Arial"/>
          <w:sz w:val="22"/>
          <w:szCs w:val="22"/>
          <w:i w:val="1"/>
          <w:iCs w:val="1"/>
          <w:color w:val="auto"/>
        </w:rPr>
        <w:t>et seq.</w:t>
      </w:r>
      <w:r>
        <w:rPr>
          <w:rFonts w:ascii="Arial" w:cs="Arial" w:eastAsia="Arial" w:hAnsi="Arial"/>
          <w:sz w:val="22"/>
          <w:szCs w:val="22"/>
          <w:color w:val="auto"/>
        </w:rPr>
        <w:t xml:space="preserve"> ), including Treasury’s implementing regulations at 31 CFR Part 22;</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980" w:hanging="324"/>
        <w:spacing w:after="0"/>
        <w:tabs>
          <w:tab w:leader="none" w:pos="980" w:val="left"/>
        </w:tabs>
        <w:numPr>
          <w:ilvl w:val="1"/>
          <w:numId w:val="876"/>
        </w:numPr>
        <w:rPr>
          <w:rFonts w:ascii="Arial" w:cs="Arial" w:eastAsia="Arial" w:hAnsi="Arial"/>
          <w:sz w:val="22"/>
          <w:szCs w:val="22"/>
          <w:color w:val="auto"/>
        </w:rPr>
      </w:pPr>
      <w:r>
        <w:rPr>
          <w:rFonts w:ascii="Arial" w:cs="Arial" w:eastAsia="Arial" w:hAnsi="Arial"/>
          <w:sz w:val="22"/>
          <w:szCs w:val="22"/>
          <w:color w:val="auto"/>
        </w:rPr>
        <w:t>Section 504 of the Rehabilitation Act of 1973, as amended (29 U.S.C. § 794);</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980" w:right="480" w:hanging="324"/>
        <w:spacing w:after="0" w:line="343" w:lineRule="auto"/>
        <w:tabs>
          <w:tab w:leader="none" w:pos="980" w:val="left"/>
        </w:tabs>
        <w:numPr>
          <w:ilvl w:val="1"/>
          <w:numId w:val="876"/>
        </w:numPr>
        <w:rPr>
          <w:rFonts w:ascii="Arial" w:cs="Arial" w:eastAsia="Arial" w:hAnsi="Arial"/>
          <w:sz w:val="19"/>
          <w:szCs w:val="19"/>
          <w:color w:val="auto"/>
        </w:rPr>
      </w:pPr>
      <w:r>
        <w:rPr>
          <w:rFonts w:ascii="Arial" w:cs="Arial" w:eastAsia="Arial" w:hAnsi="Arial"/>
          <w:sz w:val="19"/>
          <w:szCs w:val="19"/>
          <w:color w:val="auto"/>
        </w:rPr>
        <w:t>The Age Discrimination Act of 1975, as amended (42 U.S.C. §§ 6101-6107), including Treasury’s implementing regulations at 31 CFR Part 23 and the general age discrimination regulations at 45 CFR Part 90; and</w:t>
      </w:r>
    </w:p>
    <w:p>
      <w:pPr>
        <w:spacing w:after="0" w:line="360" w:lineRule="exact"/>
        <w:rPr>
          <w:rFonts w:ascii="Arial" w:cs="Arial" w:eastAsia="Arial" w:hAnsi="Arial"/>
          <w:sz w:val="19"/>
          <w:szCs w:val="19"/>
          <w:color w:val="auto"/>
        </w:rPr>
      </w:pPr>
    </w:p>
    <w:p>
      <w:pPr>
        <w:ind w:left="980" w:hanging="324"/>
        <w:spacing w:after="0"/>
        <w:tabs>
          <w:tab w:leader="none" w:pos="980" w:val="left"/>
        </w:tabs>
        <w:numPr>
          <w:ilvl w:val="1"/>
          <w:numId w:val="876"/>
        </w:numPr>
        <w:rPr>
          <w:rFonts w:ascii="Arial" w:cs="Arial" w:eastAsia="Arial" w:hAnsi="Arial"/>
          <w:sz w:val="22"/>
          <w:szCs w:val="22"/>
          <w:color w:val="auto"/>
        </w:rPr>
      </w:pPr>
      <w:r>
        <w:rPr>
          <w:rFonts w:ascii="Arial" w:cs="Arial" w:eastAsia="Arial" w:hAnsi="Arial"/>
          <w:sz w:val="22"/>
          <w:szCs w:val="22"/>
          <w:color w:val="auto"/>
        </w:rPr>
        <w:t>The Air Carrier Access Act of 1986 (49 U.S.C. § 41705).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Additional Reporting</w:t>
      </w:r>
    </w:p>
    <w:p>
      <w:pPr>
        <w:spacing w:after="0" w:line="220" w:lineRule="exact"/>
        <w:rPr>
          <w:sz w:val="20"/>
          <w:szCs w:val="20"/>
          <w:color w:val="auto"/>
        </w:rPr>
      </w:pPr>
    </w:p>
    <w:p>
      <w:pPr>
        <w:ind w:left="340" w:right="260" w:hanging="332"/>
        <w:spacing w:after="0" w:line="261" w:lineRule="auto"/>
        <w:tabs>
          <w:tab w:leader="none" w:pos="340" w:val="left"/>
        </w:tabs>
        <w:numPr>
          <w:ilvl w:val="0"/>
          <w:numId w:val="877"/>
        </w:numPr>
        <w:rPr>
          <w:rFonts w:ascii="Arial" w:cs="Arial" w:eastAsia="Arial" w:hAnsi="Arial"/>
          <w:sz w:val="21"/>
          <w:szCs w:val="21"/>
          <w:color w:val="auto"/>
        </w:rPr>
      </w:pPr>
      <w:r>
        <w:rPr>
          <w:rFonts w:ascii="Arial" w:cs="Arial" w:eastAsia="Arial" w:hAnsi="Arial"/>
          <w:sz w:val="21"/>
          <w:szCs w:val="21"/>
          <w:color w:val="auto"/>
        </w:rPr>
        <w:t>Within seven days after the date of this Agreement, the Recipient shall register in SAM.gov, and thereafter maintain the currency of the information in SAM.gov until at least March 24, 2022. The Recipient shall review and update such information at least annually after the initial registration, and more frequently if required by changes in the Recipient’s information. The Recipient agrees that this Agreement and information related thereto, including the Maximum Awardable Amount and any executive total compensation reported pursuant to paragraph 38, may be made available to the public through a U.S. Government website, including SAM.gov.</w:t>
      </w:r>
    </w:p>
    <w:p>
      <w:pPr>
        <w:spacing w:after="0" w:line="200" w:lineRule="exact"/>
        <w:rPr>
          <w:rFonts w:ascii="Arial" w:cs="Arial" w:eastAsia="Arial" w:hAnsi="Arial"/>
          <w:sz w:val="21"/>
          <w:szCs w:val="21"/>
          <w:color w:val="auto"/>
        </w:rPr>
      </w:pPr>
    </w:p>
    <w:p>
      <w:pPr>
        <w:spacing w:after="0" w:line="235" w:lineRule="exact"/>
        <w:rPr>
          <w:rFonts w:ascii="Arial" w:cs="Arial" w:eastAsia="Arial" w:hAnsi="Arial"/>
          <w:sz w:val="21"/>
          <w:szCs w:val="21"/>
          <w:color w:val="auto"/>
        </w:rPr>
      </w:pPr>
    </w:p>
    <w:p>
      <w:pPr>
        <w:jc w:val="both"/>
        <w:ind w:left="340" w:right="20" w:hanging="332"/>
        <w:spacing w:after="0" w:line="253" w:lineRule="auto"/>
        <w:tabs>
          <w:tab w:leader="none" w:pos="340" w:val="left"/>
        </w:tabs>
        <w:numPr>
          <w:ilvl w:val="0"/>
          <w:numId w:val="877"/>
        </w:numPr>
        <w:rPr>
          <w:rFonts w:ascii="Arial" w:cs="Arial" w:eastAsia="Arial" w:hAnsi="Arial"/>
          <w:sz w:val="22"/>
          <w:szCs w:val="22"/>
          <w:color w:val="auto"/>
        </w:rPr>
      </w:pPr>
      <w:r>
        <w:rPr>
          <w:rFonts w:ascii="Arial" w:cs="Arial" w:eastAsia="Arial" w:hAnsi="Arial"/>
          <w:sz w:val="22"/>
          <w:szCs w:val="22"/>
          <w:color w:val="auto"/>
        </w:rPr>
        <w:t>For purposes of paragraph 37, the Recipient shall report total compensation as defined in paragraph e.5 of the award term in 2 CFR part 170, App. A for each of the Recipient’s five most highly compensated executives for the preceding completed fiscal year, if:</w:t>
      </w:r>
    </w:p>
    <w:p>
      <w:pPr>
        <w:spacing w:after="0" w:line="22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total Payroll Support is $25,000 or more;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644" w:name="page645"/>
    <w:bookmarkEnd w:id="644"/>
    <w:p>
      <w:pPr>
        <w:ind w:left="980" w:hanging="324"/>
        <w:spacing w:after="0"/>
        <w:tabs>
          <w:tab w:leader="none" w:pos="980" w:val="left"/>
        </w:tabs>
        <w:numPr>
          <w:ilvl w:val="1"/>
          <w:numId w:val="878"/>
        </w:numPr>
        <w:rPr>
          <w:rFonts w:ascii="Arial" w:cs="Arial" w:eastAsia="Arial" w:hAnsi="Arial"/>
          <w:sz w:val="22"/>
          <w:szCs w:val="22"/>
          <w:color w:val="auto"/>
        </w:rPr>
      </w:pPr>
      <w:r>
        <w:rPr>
          <w:rFonts w:ascii="Arial" w:cs="Arial" w:eastAsia="Arial" w:hAnsi="Arial"/>
          <w:sz w:val="22"/>
          <w:szCs w:val="22"/>
          <w:color w:val="auto"/>
        </w:rPr>
        <w:t>in the preceding fiscal year, the Recipient received:</w:t>
      </w:r>
    </w:p>
    <w:p>
      <w:pPr>
        <w:spacing w:after="0" w:line="260" w:lineRule="exact"/>
        <w:rPr>
          <w:rFonts w:ascii="Arial" w:cs="Arial" w:eastAsia="Arial" w:hAnsi="Arial"/>
          <w:sz w:val="22"/>
          <w:szCs w:val="22"/>
          <w:color w:val="auto"/>
        </w:rPr>
      </w:pPr>
    </w:p>
    <w:p>
      <w:pPr>
        <w:ind w:left="1620" w:right="320" w:hanging="316"/>
        <w:spacing w:after="0" w:line="287" w:lineRule="auto"/>
        <w:tabs>
          <w:tab w:leader="none" w:pos="1620" w:val="left"/>
        </w:tabs>
        <w:numPr>
          <w:ilvl w:val="2"/>
          <w:numId w:val="878"/>
        </w:numPr>
        <w:rPr>
          <w:rFonts w:ascii="Arial" w:cs="Arial" w:eastAsia="Arial" w:hAnsi="Arial"/>
          <w:sz w:val="21"/>
          <w:szCs w:val="21"/>
          <w:color w:val="auto"/>
        </w:rPr>
      </w:pPr>
      <w:r>
        <w:rPr>
          <w:rFonts w:ascii="Arial" w:cs="Arial" w:eastAsia="Arial" w:hAnsi="Arial"/>
          <w:sz w:val="21"/>
          <w:szCs w:val="21"/>
          <w:color w:val="auto"/>
        </w:rPr>
        <w:t>80 percent or more of its annual gross revenues from Federal procurement contracts (and subcontracts) and Federal financial assistance, as defined at 2 CFR 170.320 (and subawards); and</w:t>
      </w:r>
    </w:p>
    <w:p>
      <w:pPr>
        <w:spacing w:after="0" w:line="191" w:lineRule="exact"/>
        <w:rPr>
          <w:rFonts w:ascii="Arial" w:cs="Arial" w:eastAsia="Arial" w:hAnsi="Arial"/>
          <w:sz w:val="21"/>
          <w:szCs w:val="21"/>
          <w:color w:val="auto"/>
        </w:rPr>
      </w:pPr>
    </w:p>
    <w:p>
      <w:pPr>
        <w:ind w:left="1620" w:right="420" w:hanging="316"/>
        <w:spacing w:after="0" w:line="343" w:lineRule="auto"/>
        <w:tabs>
          <w:tab w:leader="none" w:pos="1620" w:val="left"/>
        </w:tabs>
        <w:numPr>
          <w:ilvl w:val="2"/>
          <w:numId w:val="878"/>
        </w:numPr>
        <w:rPr>
          <w:rFonts w:ascii="Arial" w:cs="Arial" w:eastAsia="Arial" w:hAnsi="Arial"/>
          <w:sz w:val="19"/>
          <w:szCs w:val="19"/>
          <w:color w:val="auto"/>
        </w:rPr>
      </w:pPr>
      <w:r>
        <w:rPr>
          <w:rFonts w:ascii="Arial" w:cs="Arial" w:eastAsia="Arial" w:hAnsi="Arial"/>
          <w:sz w:val="19"/>
          <w:szCs w:val="19"/>
          <w:color w:val="auto"/>
        </w:rPr>
        <w:t>$25,000,000 or more in annual gross revenues from Federal procurement contracts (and subcontracts) and Federal financial assistance, as defined at 2 CFR 170.320 (and subawards); and</w:t>
      </w:r>
    </w:p>
    <w:p>
      <w:pPr>
        <w:spacing w:after="0" w:line="144" w:lineRule="exact"/>
        <w:rPr>
          <w:rFonts w:ascii="Arial" w:cs="Arial" w:eastAsia="Arial" w:hAnsi="Arial"/>
          <w:sz w:val="19"/>
          <w:szCs w:val="19"/>
          <w:color w:val="auto"/>
        </w:rPr>
      </w:pPr>
    </w:p>
    <w:p>
      <w:pPr>
        <w:ind w:left="980" w:hanging="324"/>
        <w:spacing w:after="0" w:line="248" w:lineRule="auto"/>
        <w:tabs>
          <w:tab w:leader="none" w:pos="980" w:val="left"/>
        </w:tabs>
        <w:numPr>
          <w:ilvl w:val="1"/>
          <w:numId w:val="878"/>
        </w:numPr>
        <w:rPr>
          <w:rFonts w:ascii="Arial" w:cs="Arial" w:eastAsia="Arial" w:hAnsi="Arial"/>
          <w:sz w:val="22"/>
          <w:szCs w:val="22"/>
          <w:color w:val="auto"/>
        </w:rPr>
      </w:pPr>
      <w:r>
        <w:rPr>
          <w:rFonts w:ascii="Arial" w:cs="Arial" w:eastAsia="Arial" w:hAnsi="Arial"/>
          <w:sz w:val="22"/>
          <w:szCs w:val="22"/>
          <w:color w:val="auto"/>
        </w:rPr>
        <w:t>the public does not have access to information about the compensation of the executives through periodic reports filed under section 13(a) or 15(d) of the Securities Exchange Act of 1934 (15 U.S.C. 78m(a), 78o(d)) or section 6104 of the Internal Revenue Code of 1986. To determine if the public has access to the compensation information, the Recipient shall refer to U.S. Securities and Exchange Commission total compensation filings at http://www.sec.gov/answers/execomp.htm.</w:t>
      </w:r>
    </w:p>
    <w:p>
      <w:pPr>
        <w:spacing w:after="0" w:line="232" w:lineRule="exact"/>
        <w:rPr>
          <w:rFonts w:ascii="Arial" w:cs="Arial" w:eastAsia="Arial" w:hAnsi="Arial"/>
          <w:sz w:val="22"/>
          <w:szCs w:val="22"/>
          <w:color w:val="auto"/>
        </w:rPr>
      </w:pPr>
    </w:p>
    <w:p>
      <w:pPr>
        <w:ind w:left="340" w:hanging="332"/>
        <w:spacing w:after="0"/>
        <w:tabs>
          <w:tab w:leader="none" w:pos="340" w:val="left"/>
        </w:tabs>
        <w:numPr>
          <w:ilvl w:val="0"/>
          <w:numId w:val="879"/>
        </w:numPr>
        <w:rPr>
          <w:rFonts w:ascii="Arial" w:cs="Arial" w:eastAsia="Arial" w:hAnsi="Arial"/>
          <w:sz w:val="22"/>
          <w:szCs w:val="22"/>
          <w:color w:val="auto"/>
        </w:rPr>
      </w:pPr>
      <w:r>
        <w:rPr>
          <w:rFonts w:ascii="Arial" w:cs="Arial" w:eastAsia="Arial" w:hAnsi="Arial"/>
          <w:sz w:val="22"/>
          <w:szCs w:val="22"/>
          <w:color w:val="auto"/>
        </w:rPr>
        <w:t>The Recipient shall report executive total compensation described in paragraph 38:</w:t>
      </w:r>
    </w:p>
    <w:p>
      <w:pPr>
        <w:spacing w:after="0" w:line="260" w:lineRule="exact"/>
        <w:rPr>
          <w:rFonts w:ascii="Arial" w:cs="Arial" w:eastAsia="Arial" w:hAnsi="Arial"/>
          <w:sz w:val="22"/>
          <w:szCs w:val="22"/>
          <w:color w:val="auto"/>
        </w:rPr>
      </w:pPr>
    </w:p>
    <w:p>
      <w:pPr>
        <w:ind w:left="980" w:hanging="324"/>
        <w:spacing w:after="0"/>
        <w:tabs>
          <w:tab w:leader="none" w:pos="980" w:val="left"/>
        </w:tabs>
        <w:numPr>
          <w:ilvl w:val="1"/>
          <w:numId w:val="879"/>
        </w:numPr>
        <w:rPr>
          <w:rFonts w:ascii="Arial" w:cs="Arial" w:eastAsia="Arial" w:hAnsi="Arial"/>
          <w:sz w:val="22"/>
          <w:szCs w:val="22"/>
          <w:color w:val="auto"/>
        </w:rPr>
      </w:pPr>
      <w:r>
        <w:rPr>
          <w:rFonts w:ascii="Arial" w:cs="Arial" w:eastAsia="Arial" w:hAnsi="Arial"/>
          <w:sz w:val="22"/>
          <w:szCs w:val="22"/>
          <w:color w:val="auto"/>
        </w:rPr>
        <w:t>as part of its registration profile at https://www.sam.gov; and</w:t>
      </w:r>
    </w:p>
    <w:p>
      <w:pPr>
        <w:spacing w:after="0" w:line="260" w:lineRule="exact"/>
        <w:rPr>
          <w:rFonts w:ascii="Arial" w:cs="Arial" w:eastAsia="Arial" w:hAnsi="Arial"/>
          <w:sz w:val="22"/>
          <w:szCs w:val="22"/>
          <w:color w:val="auto"/>
        </w:rPr>
      </w:pPr>
    </w:p>
    <w:p>
      <w:pPr>
        <w:ind w:left="980" w:right="800" w:hanging="324"/>
        <w:spacing w:after="0" w:line="263" w:lineRule="auto"/>
        <w:tabs>
          <w:tab w:leader="none" w:pos="980" w:val="left"/>
        </w:tabs>
        <w:numPr>
          <w:ilvl w:val="1"/>
          <w:numId w:val="879"/>
        </w:numPr>
        <w:rPr>
          <w:rFonts w:ascii="Arial" w:cs="Arial" w:eastAsia="Arial" w:hAnsi="Arial"/>
          <w:sz w:val="22"/>
          <w:szCs w:val="22"/>
          <w:color w:val="auto"/>
        </w:rPr>
      </w:pPr>
      <w:r>
        <w:rPr>
          <w:rFonts w:ascii="Arial" w:cs="Arial" w:eastAsia="Arial" w:hAnsi="Arial"/>
          <w:sz w:val="22"/>
          <w:szCs w:val="22"/>
          <w:color w:val="auto"/>
        </w:rPr>
        <w:t>within five business days after the end of each month following the month in which this Agreement becomes effective, and annually thereafter.</w:t>
      </w:r>
    </w:p>
    <w:p>
      <w:pPr>
        <w:spacing w:after="0" w:line="215" w:lineRule="exact"/>
        <w:rPr>
          <w:rFonts w:ascii="Arial" w:cs="Arial" w:eastAsia="Arial" w:hAnsi="Arial"/>
          <w:sz w:val="22"/>
          <w:szCs w:val="22"/>
          <w:color w:val="auto"/>
        </w:rPr>
      </w:pPr>
    </w:p>
    <w:p>
      <w:pPr>
        <w:ind w:left="340" w:right="100" w:hanging="332"/>
        <w:spacing w:after="0" w:line="290" w:lineRule="auto"/>
        <w:tabs>
          <w:tab w:leader="none" w:pos="340" w:val="left"/>
        </w:tabs>
        <w:numPr>
          <w:ilvl w:val="0"/>
          <w:numId w:val="879"/>
        </w:numPr>
        <w:rPr>
          <w:rFonts w:ascii="Arial" w:cs="Arial" w:eastAsia="Arial" w:hAnsi="Arial"/>
          <w:sz w:val="19"/>
          <w:szCs w:val="19"/>
          <w:color w:val="auto"/>
        </w:rPr>
      </w:pPr>
      <w:r>
        <w:rPr>
          <w:rFonts w:ascii="Arial" w:cs="Arial" w:eastAsia="Arial" w:hAnsi="Arial"/>
          <w:sz w:val="19"/>
          <w:szCs w:val="19"/>
          <w:color w:val="auto"/>
        </w:rPr>
        <w:t>The Recipient agrees that, from time to time, it will, at its own expense, promptly upon reasonable request by Treasury, execute and deliver, or cause to be executed and delivered, or use its commercially reasonable efforts to procure, all instruments, documents and information, all in form and substance reasonably satisfactory to Treasury, to enable Treasury to ensure compliance with, or effect the purposes of, this Agreement, which may include, among other documents or information, (a) certain audited financial statements of the Recipient, (b) documentation regarding the Recipient’s revenues derived from its business as a passenger or cargo air carrier or regarding the passenger air carriers for which the Recipient provides services as a contractor (as the case may be), and (c) the Recipient’s most recent quarterly Federal tax returns. The Recipient agrees to provide Treasury with such documents or information promptly.</w:t>
      </w:r>
    </w:p>
    <w:p>
      <w:pPr>
        <w:spacing w:after="0" w:line="196" w:lineRule="exact"/>
        <w:rPr>
          <w:rFonts w:ascii="Arial" w:cs="Arial" w:eastAsia="Arial" w:hAnsi="Arial"/>
          <w:sz w:val="19"/>
          <w:szCs w:val="19"/>
          <w:color w:val="auto"/>
        </w:rPr>
      </w:pPr>
    </w:p>
    <w:p>
      <w:pPr>
        <w:ind w:left="340" w:hanging="332"/>
        <w:spacing w:after="0" w:line="253" w:lineRule="auto"/>
        <w:tabs>
          <w:tab w:leader="none" w:pos="340" w:val="left"/>
        </w:tabs>
        <w:numPr>
          <w:ilvl w:val="0"/>
          <w:numId w:val="879"/>
        </w:numPr>
        <w:rPr>
          <w:rFonts w:ascii="Arial" w:cs="Arial" w:eastAsia="Arial" w:hAnsi="Arial"/>
          <w:sz w:val="22"/>
          <w:szCs w:val="22"/>
          <w:color w:val="auto"/>
        </w:rPr>
      </w:pPr>
      <w:r>
        <w:rPr>
          <w:rFonts w:ascii="Arial" w:cs="Arial" w:eastAsia="Arial" w:hAnsi="Arial"/>
          <w:sz w:val="22"/>
          <w:szCs w:val="22"/>
          <w:color w:val="auto"/>
        </w:rPr>
        <w:t>If the total value of the Recipient’s currently active grants, cooperative agreements, and procurement contracts from all Federal awarding agencies exceeds $10,000,000 for any period before termination of this Agreement, then the Recipient shall make such reports as required by 2 CFR part 200, Appendix XII.</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w:t>
      </w:r>
    </w:p>
    <w:p>
      <w:pPr>
        <w:spacing w:after="0" w:line="220" w:lineRule="exact"/>
        <w:rPr>
          <w:sz w:val="20"/>
          <w:szCs w:val="20"/>
          <w:color w:val="auto"/>
        </w:rPr>
      </w:pPr>
    </w:p>
    <w:p>
      <w:pPr>
        <w:ind w:left="340" w:hanging="332"/>
        <w:spacing w:after="0" w:line="250" w:lineRule="auto"/>
        <w:tabs>
          <w:tab w:leader="none" w:pos="340" w:val="left"/>
        </w:tabs>
        <w:numPr>
          <w:ilvl w:val="0"/>
          <w:numId w:val="880"/>
        </w:numPr>
        <w:rPr>
          <w:rFonts w:ascii="Arial" w:cs="Arial" w:eastAsia="Arial" w:hAnsi="Arial"/>
          <w:sz w:val="22"/>
          <w:szCs w:val="22"/>
          <w:color w:val="auto"/>
        </w:rPr>
      </w:pPr>
      <w:r>
        <w:rPr>
          <w:rFonts w:ascii="Arial" w:cs="Arial" w:eastAsia="Arial" w:hAnsi="Arial"/>
          <w:sz w:val="22"/>
          <w:szCs w:val="22"/>
          <w:color w:val="auto"/>
        </w:rPr>
        <w:t xml:space="preserve">The Recipient acknowledges that neither Treasury, nor any other actor, department, or agency of the Federal Government, shall condition the provision of Payroll Support on the Recipient’s implementation of measures to enter into negotiations with the certified bargaining representative of a craft or class of employees of the Recipient under the Railway Labor Act (45 U.S.C. 151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 or the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5" w:right="379" w:bottom="1440" w:gutter="0" w:footer="0" w:header="0"/>
        </w:sectPr>
      </w:pPr>
    </w:p>
    <w:bookmarkStart w:id="645" w:name="page646"/>
    <w:bookmarkEnd w:id="645"/>
    <w:p>
      <w:pPr>
        <w:ind w:left="332"/>
        <w:spacing w:after="0"/>
        <w:rPr>
          <w:sz w:val="20"/>
          <w:szCs w:val="20"/>
          <w:color w:val="auto"/>
        </w:rPr>
      </w:pPr>
      <w:r>
        <w:rPr>
          <w:rFonts w:ascii="Arial" w:cs="Arial" w:eastAsia="Arial" w:hAnsi="Arial"/>
          <w:sz w:val="21"/>
          <w:szCs w:val="21"/>
          <w:color w:val="auto"/>
        </w:rPr>
        <w:t xml:space="preserve">National Labor Relations Act (29 U.S.C. 151 </w:t>
      </w:r>
      <w:r>
        <w:rPr>
          <w:rFonts w:ascii="Arial" w:cs="Arial" w:eastAsia="Arial" w:hAnsi="Arial"/>
          <w:sz w:val="21"/>
          <w:szCs w:val="21"/>
          <w:i w:val="1"/>
          <w:iCs w:val="1"/>
          <w:color w:val="auto"/>
        </w:rPr>
        <w:t>et seq.</w:t>
      </w:r>
      <w:r>
        <w:rPr>
          <w:rFonts w:ascii="Arial" w:cs="Arial" w:eastAsia="Arial" w:hAnsi="Arial"/>
          <w:sz w:val="21"/>
          <w:szCs w:val="21"/>
          <w:color w:val="auto"/>
        </w:rPr>
        <w:t xml:space="preserve"> ), regarding pay or other terms and conditions of employment.</w:t>
      </w:r>
    </w:p>
    <w:p>
      <w:pPr>
        <w:spacing w:after="0" w:line="258" w:lineRule="exact"/>
        <w:rPr>
          <w:sz w:val="20"/>
          <w:szCs w:val="20"/>
          <w:color w:val="auto"/>
        </w:rPr>
      </w:pPr>
    </w:p>
    <w:p>
      <w:pPr>
        <w:ind w:left="332" w:right="460" w:hanging="332"/>
        <w:spacing w:after="0" w:line="302" w:lineRule="auto"/>
        <w:tabs>
          <w:tab w:leader="none" w:pos="332" w:val="left"/>
        </w:tabs>
        <w:numPr>
          <w:ilvl w:val="0"/>
          <w:numId w:val="881"/>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Recipient has no right to, and shall not, transfer, pledge, mortgage, encumber, or otherwise assign this Agreement or any Payroll Support provided under this Agreement, or any interest therein, or any claim, account receivable, or funds arising thereunder or accounts holding Payroll Support, to any party, bank, trust company, or other Person without the express written approval of Treasury.</w:t>
      </w:r>
    </w:p>
    <w:p>
      <w:pPr>
        <w:spacing w:after="0" w:line="398" w:lineRule="exact"/>
        <w:rPr>
          <w:rFonts w:ascii="Arial" w:cs="Arial" w:eastAsia="Arial" w:hAnsi="Arial"/>
          <w:sz w:val="19"/>
          <w:szCs w:val="19"/>
          <w:color w:val="auto"/>
        </w:rPr>
      </w:pPr>
    </w:p>
    <w:p>
      <w:pPr>
        <w:ind w:left="332" w:hanging="332"/>
        <w:spacing w:after="0"/>
        <w:tabs>
          <w:tab w:leader="none" w:pos="332" w:val="left"/>
        </w:tabs>
        <w:numPr>
          <w:ilvl w:val="0"/>
          <w:numId w:val="881"/>
        </w:numPr>
        <w:rPr>
          <w:rFonts w:ascii="Arial" w:cs="Arial" w:eastAsia="Arial" w:hAnsi="Arial"/>
          <w:sz w:val="21"/>
          <w:szCs w:val="21"/>
          <w:color w:val="auto"/>
        </w:rPr>
      </w:pPr>
      <w:r>
        <w:rPr>
          <w:rFonts w:ascii="Arial" w:cs="Arial" w:eastAsia="Arial" w:hAnsi="Arial"/>
          <w:sz w:val="21"/>
          <w:szCs w:val="21"/>
          <w:color w:val="auto"/>
        </w:rPr>
        <w:t>The Signatory Entity will cause its Affiliates to comply with all of their obligations under or relating to this Agreement.</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332" w:right="260" w:hanging="332"/>
        <w:spacing w:after="0" w:line="250" w:lineRule="auto"/>
        <w:tabs>
          <w:tab w:leader="none" w:pos="332" w:val="left"/>
        </w:tabs>
        <w:numPr>
          <w:ilvl w:val="0"/>
          <w:numId w:val="881"/>
        </w:numPr>
        <w:rPr>
          <w:rFonts w:ascii="Arial" w:cs="Arial" w:eastAsia="Arial" w:hAnsi="Arial"/>
          <w:sz w:val="22"/>
          <w:szCs w:val="22"/>
          <w:color w:val="auto"/>
        </w:rPr>
      </w:pPr>
      <w:r>
        <w:rPr>
          <w:rFonts w:ascii="Arial" w:cs="Arial" w:eastAsia="Arial" w:hAnsi="Arial"/>
          <w:sz w:val="22"/>
          <w:szCs w:val="22"/>
          <w:color w:val="auto"/>
        </w:rPr>
        <w:t>Unless otherwise provided in guidance issued by Treasury or the Internal Revenue Service, the form of any Taxpayer Protection Instrument held by Treasury and any subsequent holder will be treated as such form for purposes of the Internal Revenue Code of 1986 (for example, a Taxpayer Protection Instrument in the form of a note will be treated as indebtedness for purposes of the Internal Revenue Code of 1986).</w:t>
      </w:r>
    </w:p>
    <w:p>
      <w:pPr>
        <w:spacing w:after="0" w:line="363" w:lineRule="exact"/>
        <w:rPr>
          <w:rFonts w:ascii="Arial" w:cs="Arial" w:eastAsia="Arial" w:hAnsi="Arial"/>
          <w:sz w:val="22"/>
          <w:szCs w:val="22"/>
          <w:color w:val="auto"/>
        </w:rPr>
      </w:pPr>
    </w:p>
    <w:p>
      <w:pPr>
        <w:ind w:left="332" w:right="300" w:hanging="332"/>
        <w:spacing w:after="0" w:line="253" w:lineRule="auto"/>
        <w:tabs>
          <w:tab w:leader="none" w:pos="332" w:val="left"/>
        </w:tabs>
        <w:numPr>
          <w:ilvl w:val="0"/>
          <w:numId w:val="881"/>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pursuant to an agreement in writing entered into by the Recipient and Treasury, except that Treasury may unilaterally amend this Agreement if required in order to comply with applicable Federal law or regulation.</w:t>
      </w:r>
    </w:p>
    <w:p>
      <w:pPr>
        <w:spacing w:after="0" w:line="200" w:lineRule="exact"/>
        <w:rPr>
          <w:rFonts w:ascii="Arial" w:cs="Arial" w:eastAsia="Arial" w:hAnsi="Arial"/>
          <w:sz w:val="22"/>
          <w:szCs w:val="22"/>
          <w:color w:val="auto"/>
        </w:rPr>
      </w:pPr>
    </w:p>
    <w:p>
      <w:pPr>
        <w:spacing w:after="0" w:line="241" w:lineRule="exact"/>
        <w:rPr>
          <w:rFonts w:ascii="Arial" w:cs="Arial" w:eastAsia="Arial" w:hAnsi="Arial"/>
          <w:sz w:val="22"/>
          <w:szCs w:val="22"/>
          <w:color w:val="auto"/>
        </w:rPr>
      </w:pPr>
    </w:p>
    <w:p>
      <w:pPr>
        <w:ind w:left="332" w:right="140" w:hanging="332"/>
        <w:spacing w:after="0" w:line="263" w:lineRule="auto"/>
        <w:tabs>
          <w:tab w:leader="none" w:pos="332" w:val="left"/>
        </w:tabs>
        <w:numPr>
          <w:ilvl w:val="0"/>
          <w:numId w:val="881"/>
        </w:numPr>
        <w:rPr>
          <w:rFonts w:ascii="Arial" w:cs="Arial" w:eastAsia="Arial" w:hAnsi="Arial"/>
          <w:sz w:val="22"/>
          <w:szCs w:val="22"/>
          <w:color w:val="auto"/>
        </w:rPr>
      </w:pPr>
      <w:r>
        <w:rPr>
          <w:rFonts w:ascii="Arial" w:cs="Arial" w:eastAsia="Arial" w:hAnsi="Arial"/>
          <w:sz w:val="22"/>
          <w:szCs w:val="22"/>
          <w:color w:val="auto"/>
        </w:rPr>
        <w:t>Subject to applicable law, Treasury may, in its sole discretion, waive any term or condition under this Agreement imposing a requirement on the Recipient or any Affiliate.</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332" w:right="820" w:hanging="332"/>
        <w:spacing w:after="0" w:line="263" w:lineRule="auto"/>
        <w:tabs>
          <w:tab w:leader="none" w:pos="332" w:val="left"/>
        </w:tabs>
        <w:numPr>
          <w:ilvl w:val="0"/>
          <w:numId w:val="881"/>
        </w:numPr>
        <w:rPr>
          <w:rFonts w:ascii="Arial" w:cs="Arial" w:eastAsia="Arial" w:hAnsi="Arial"/>
          <w:sz w:val="22"/>
          <w:szCs w:val="22"/>
          <w:color w:val="auto"/>
        </w:rPr>
      </w:pPr>
      <w:r>
        <w:rPr>
          <w:rFonts w:ascii="Arial" w:cs="Arial" w:eastAsia="Arial" w:hAnsi="Arial"/>
          <w:sz w:val="22"/>
          <w:szCs w:val="22"/>
          <w:color w:val="auto"/>
        </w:rPr>
        <w:t>This Agreement shall bind and inure to the benefit of the parties and their respective heirs, executors, administrators, successors, and assigns.</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332" w:hanging="332"/>
        <w:spacing w:after="0" w:line="263" w:lineRule="auto"/>
        <w:tabs>
          <w:tab w:leader="none" w:pos="332" w:val="left"/>
        </w:tabs>
        <w:numPr>
          <w:ilvl w:val="0"/>
          <w:numId w:val="881"/>
        </w:numPr>
        <w:rPr>
          <w:rFonts w:ascii="Arial" w:cs="Arial" w:eastAsia="Arial" w:hAnsi="Arial"/>
          <w:sz w:val="21"/>
          <w:szCs w:val="21"/>
          <w:color w:val="auto"/>
        </w:rPr>
      </w:pPr>
      <w:r>
        <w:rPr>
          <w:rFonts w:ascii="Arial" w:cs="Arial" w:eastAsia="Arial" w:hAnsi="Arial"/>
          <w:sz w:val="21"/>
          <w:szCs w:val="21"/>
          <w:color w:val="auto"/>
        </w:rPr>
        <w:t>The Recipient represents and warrants to Treasury that this Agreement, and the issuance and delivery to Treasury of the Taxpayer Protection Instruments, if applicable, have been duly authorized by all requisite corporate and, if required, stockholder action, and will not result in the violation by the Recipient of any provision of law, statute, or regulation, or of the articles of incorporation or other constitutive documents or bylaws of the Recipient, or breach or constitute an event of default under any material contract to which the Recipient is a party.</w:t>
      </w:r>
    </w:p>
    <w:p>
      <w:pPr>
        <w:spacing w:after="0" w:line="200" w:lineRule="exact"/>
        <w:rPr>
          <w:rFonts w:ascii="Arial" w:cs="Arial" w:eastAsia="Arial" w:hAnsi="Arial"/>
          <w:sz w:val="21"/>
          <w:szCs w:val="21"/>
          <w:color w:val="auto"/>
        </w:rPr>
      </w:pPr>
    </w:p>
    <w:p>
      <w:pPr>
        <w:spacing w:after="0" w:line="231" w:lineRule="exact"/>
        <w:rPr>
          <w:rFonts w:ascii="Arial" w:cs="Arial" w:eastAsia="Arial" w:hAnsi="Arial"/>
          <w:sz w:val="21"/>
          <w:szCs w:val="21"/>
          <w:color w:val="auto"/>
        </w:rPr>
      </w:pPr>
    </w:p>
    <w:p>
      <w:pPr>
        <w:jc w:val="both"/>
        <w:ind w:left="332" w:right="40" w:hanging="332"/>
        <w:spacing w:after="0" w:line="253" w:lineRule="auto"/>
        <w:tabs>
          <w:tab w:leader="none" w:pos="332" w:val="left"/>
        </w:tabs>
        <w:numPr>
          <w:ilvl w:val="0"/>
          <w:numId w:val="881"/>
        </w:numPr>
        <w:rPr>
          <w:rFonts w:ascii="Arial" w:cs="Arial" w:eastAsia="Arial" w:hAnsi="Arial"/>
          <w:sz w:val="22"/>
          <w:szCs w:val="22"/>
          <w:color w:val="auto"/>
        </w:rPr>
      </w:pPr>
      <w:r>
        <w:rPr>
          <w:rFonts w:ascii="Arial" w:cs="Arial" w:eastAsia="Arial" w:hAnsi="Arial"/>
          <w:sz w:val="22"/>
          <w:szCs w:val="22"/>
          <w:color w:val="auto"/>
        </w:rPr>
        <w:t>The Recipient represents and warrants to Treasury that this Agreement has been duly executed and delivered by the Recipient and constitutes a legal, valid, and binding obligation of the Recipient enforceable against the Recipient in accordance with its terms.</w:t>
      </w:r>
    </w:p>
    <w:p>
      <w:pPr>
        <w:spacing w:after="0" w:line="200" w:lineRule="exact"/>
        <w:rPr>
          <w:rFonts w:ascii="Arial" w:cs="Arial" w:eastAsia="Arial" w:hAnsi="Arial"/>
          <w:sz w:val="22"/>
          <w:szCs w:val="22"/>
          <w:color w:val="auto"/>
        </w:rPr>
      </w:pPr>
    </w:p>
    <w:p>
      <w:pPr>
        <w:spacing w:after="0" w:line="241" w:lineRule="exact"/>
        <w:rPr>
          <w:rFonts w:ascii="Arial" w:cs="Arial" w:eastAsia="Arial" w:hAnsi="Arial"/>
          <w:sz w:val="22"/>
          <w:szCs w:val="22"/>
          <w:color w:val="auto"/>
        </w:rPr>
      </w:pPr>
    </w:p>
    <w:p>
      <w:pPr>
        <w:ind w:left="332" w:right="300" w:hanging="332"/>
        <w:spacing w:after="0" w:line="263" w:lineRule="auto"/>
        <w:tabs>
          <w:tab w:leader="none" w:pos="332" w:val="left"/>
        </w:tabs>
        <w:numPr>
          <w:ilvl w:val="0"/>
          <w:numId w:val="881"/>
        </w:numPr>
        <w:rPr>
          <w:rFonts w:ascii="Arial" w:cs="Arial" w:eastAsia="Arial" w:hAnsi="Arial"/>
          <w:sz w:val="22"/>
          <w:szCs w:val="22"/>
          <w:color w:val="auto"/>
        </w:rPr>
      </w:pPr>
      <w:r>
        <w:rPr>
          <w:rFonts w:ascii="Arial" w:cs="Arial" w:eastAsia="Arial" w:hAnsi="Arial"/>
          <w:sz w:val="22"/>
          <w:szCs w:val="22"/>
          <w:color w:val="auto"/>
        </w:rPr>
        <w:t>This Agreement may be executed in counterparts, each of which shall constitute an original, but all of which together shall constitute a single contract.</w:t>
      </w:r>
    </w:p>
    <w:p>
      <w:pPr>
        <w:spacing w:after="0" w:line="17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32320"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21" w:right="339" w:bottom="1440" w:gutter="0" w:footer="0" w:header="0"/>
        </w:sectPr>
      </w:pPr>
    </w:p>
    <w:bookmarkStart w:id="646" w:name="page647"/>
    <w:bookmarkEnd w:id="646"/>
    <w:p>
      <w:pPr>
        <w:ind w:left="332" w:hanging="332"/>
        <w:spacing w:after="0" w:line="259" w:lineRule="auto"/>
        <w:tabs>
          <w:tab w:leader="none" w:pos="332" w:val="left"/>
        </w:tabs>
        <w:numPr>
          <w:ilvl w:val="0"/>
          <w:numId w:val="882"/>
        </w:numPr>
        <w:rPr>
          <w:rFonts w:ascii="Arial" w:cs="Arial" w:eastAsia="Arial" w:hAnsi="Arial"/>
          <w:sz w:val="21"/>
          <w:szCs w:val="21"/>
          <w:color w:val="auto"/>
        </w:rPr>
      </w:pPr>
      <w:r>
        <w:rPr>
          <w:rFonts w:ascii="Arial" w:cs="Arial" w:eastAsia="Arial" w:hAnsi="Arial"/>
          <w:sz w:val="21"/>
          <w:szCs w:val="21"/>
          <w:color w:val="auto"/>
        </w:rPr>
        <w:t>The words “execution,” “signed,” “signature,” and words of like import in any assignment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Notwithstanding anything herein to the contrary, delivery of an executed counterpart of a signature page of this Agreement by electronic means, or confirmation of the execution of this Agreement on behalf of a party by an email from an authorized signatory of such party, shall be effective as delivery of a manually executed counterpart of this Agreement.</w:t>
      </w:r>
    </w:p>
    <w:p>
      <w:pPr>
        <w:spacing w:after="0" w:line="200" w:lineRule="exact"/>
        <w:rPr>
          <w:rFonts w:ascii="Arial" w:cs="Arial" w:eastAsia="Arial" w:hAnsi="Arial"/>
          <w:sz w:val="21"/>
          <w:szCs w:val="21"/>
          <w:color w:val="auto"/>
        </w:rPr>
      </w:pPr>
    </w:p>
    <w:p>
      <w:pPr>
        <w:spacing w:after="0" w:line="235" w:lineRule="exact"/>
        <w:rPr>
          <w:rFonts w:ascii="Arial" w:cs="Arial" w:eastAsia="Arial" w:hAnsi="Arial"/>
          <w:sz w:val="21"/>
          <w:szCs w:val="21"/>
          <w:color w:val="auto"/>
        </w:rPr>
      </w:pPr>
    </w:p>
    <w:p>
      <w:pPr>
        <w:ind w:left="332" w:right="160" w:hanging="332"/>
        <w:spacing w:after="0" w:line="263" w:lineRule="auto"/>
        <w:tabs>
          <w:tab w:leader="none" w:pos="332" w:val="left"/>
        </w:tabs>
        <w:numPr>
          <w:ilvl w:val="0"/>
          <w:numId w:val="882"/>
        </w:numPr>
        <w:rPr>
          <w:rFonts w:ascii="Arial" w:cs="Arial" w:eastAsia="Arial" w:hAnsi="Arial"/>
          <w:sz w:val="22"/>
          <w:szCs w:val="22"/>
          <w:color w:val="auto"/>
        </w:rPr>
      </w:pPr>
      <w:r>
        <w:rPr>
          <w:rFonts w:ascii="Arial" w:cs="Arial" w:eastAsia="Arial" w:hAnsi="Arial"/>
          <w:sz w:val="22"/>
          <w:szCs w:val="22"/>
          <w:color w:val="auto"/>
        </w:rPr>
        <w:t>The captions and paragraph headings appearing herein are included solely for convenience of reference and are not intended to affect the interpretation of any provision of this Agreement.</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332" w:right="140" w:hanging="332"/>
        <w:spacing w:after="0" w:line="265" w:lineRule="auto"/>
        <w:tabs>
          <w:tab w:leader="none" w:pos="332" w:val="left"/>
        </w:tabs>
        <w:numPr>
          <w:ilvl w:val="0"/>
          <w:numId w:val="882"/>
        </w:numPr>
        <w:rPr>
          <w:rFonts w:ascii="Arial" w:cs="Arial" w:eastAsia="Arial" w:hAnsi="Arial"/>
          <w:sz w:val="21"/>
          <w:szCs w:val="21"/>
          <w:color w:val="auto"/>
        </w:rPr>
      </w:pPr>
      <w:r>
        <w:rPr>
          <w:rFonts w:ascii="Arial" w:cs="Arial" w:eastAsia="Arial" w:hAnsi="Arial"/>
          <w:sz w:val="21"/>
          <w:szCs w:val="21"/>
          <w:color w:val="auto"/>
        </w:rPr>
        <w:t>This Agreement is governed by and shall be construed in accordance with Federal law. Insofar as there may be no applicable Federal law, this Agreement shall be construed in accordance with the laws of the State of New York, without regard to any rule of conflicts of law (other than section 5-1401 of the New York General Obligations Law) that would result in the application of the substantive law of any jurisdiction other than the State of New York.</w:t>
      </w:r>
    </w:p>
    <w:p>
      <w:pPr>
        <w:spacing w:after="0" w:line="200" w:lineRule="exact"/>
        <w:rPr>
          <w:rFonts w:ascii="Arial" w:cs="Arial" w:eastAsia="Arial" w:hAnsi="Arial"/>
          <w:sz w:val="21"/>
          <w:szCs w:val="21"/>
          <w:color w:val="auto"/>
        </w:rPr>
      </w:pPr>
    </w:p>
    <w:p>
      <w:pPr>
        <w:spacing w:after="0" w:line="231" w:lineRule="exact"/>
        <w:rPr>
          <w:rFonts w:ascii="Arial" w:cs="Arial" w:eastAsia="Arial" w:hAnsi="Arial"/>
          <w:sz w:val="21"/>
          <w:szCs w:val="21"/>
          <w:color w:val="auto"/>
        </w:rPr>
      </w:pPr>
    </w:p>
    <w:p>
      <w:pPr>
        <w:ind w:left="332" w:hanging="332"/>
        <w:spacing w:after="0"/>
        <w:tabs>
          <w:tab w:leader="none" w:pos="332" w:val="left"/>
        </w:tabs>
        <w:numPr>
          <w:ilvl w:val="0"/>
          <w:numId w:val="882"/>
        </w:numPr>
        <w:rPr>
          <w:rFonts w:ascii="Arial" w:cs="Arial" w:eastAsia="Arial" w:hAnsi="Arial"/>
          <w:sz w:val="22"/>
          <w:szCs w:val="22"/>
          <w:color w:val="auto"/>
        </w:rPr>
      </w:pPr>
      <w:r>
        <w:rPr>
          <w:rFonts w:ascii="Arial" w:cs="Arial" w:eastAsia="Arial" w:hAnsi="Arial"/>
          <w:sz w:val="22"/>
          <w:szCs w:val="22"/>
          <w:color w:val="auto"/>
        </w:rPr>
        <w:t>Nothing in this Agreement shall require any unlawful action or inaction by either party.</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332" w:right="380" w:hanging="332"/>
        <w:spacing w:after="0" w:line="263" w:lineRule="auto"/>
        <w:tabs>
          <w:tab w:leader="none" w:pos="332" w:val="left"/>
        </w:tabs>
        <w:numPr>
          <w:ilvl w:val="0"/>
          <w:numId w:val="882"/>
        </w:numPr>
        <w:rPr>
          <w:rFonts w:ascii="Arial" w:cs="Arial" w:eastAsia="Arial" w:hAnsi="Arial"/>
          <w:sz w:val="22"/>
          <w:szCs w:val="22"/>
          <w:color w:val="auto"/>
        </w:rPr>
      </w:pPr>
      <w:r>
        <w:rPr>
          <w:rFonts w:ascii="Arial" w:cs="Arial" w:eastAsia="Arial" w:hAnsi="Arial"/>
          <w:sz w:val="22"/>
          <w:szCs w:val="22"/>
          <w:color w:val="auto"/>
        </w:rPr>
        <w:t>The requirement pertaining to trafficking in persons at 2 CFR 175.15(b) is incorporated herein and made applicable to the Recipient.</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332" w:right="100" w:hanging="332"/>
        <w:spacing w:after="0" w:line="248" w:lineRule="auto"/>
        <w:tabs>
          <w:tab w:leader="none" w:pos="332" w:val="left"/>
        </w:tabs>
        <w:numPr>
          <w:ilvl w:val="0"/>
          <w:numId w:val="882"/>
        </w:numPr>
        <w:rPr>
          <w:rFonts w:ascii="Arial" w:cs="Arial" w:eastAsia="Arial" w:hAnsi="Arial"/>
          <w:sz w:val="22"/>
          <w:szCs w:val="22"/>
          <w:color w:val="auto"/>
        </w:rPr>
      </w:pPr>
      <w:r>
        <w:rPr>
          <w:rFonts w:ascii="Arial" w:cs="Arial" w:eastAsia="Arial" w:hAnsi="Arial"/>
          <w:sz w:val="22"/>
          <w:szCs w:val="22"/>
          <w:color w:val="auto"/>
        </w:rPr>
        <w:t>This Agreement, together with the attachments hereto, including the Payroll Support Certification and any attached terms regarding Taxpayer Protection Instruments, constitute the entire agreement of the parties relating to the subject matter hereof and supersede any previous agreements and understandings, oral or written, relating to the subject matter hereof. There may exist other agreements between the parties as to other matters, which are not affected by this Agreement and are not included within this integration clause.</w:t>
      </w:r>
    </w:p>
    <w:p>
      <w:pPr>
        <w:spacing w:after="0" w:line="200" w:lineRule="exact"/>
        <w:rPr>
          <w:rFonts w:ascii="Arial" w:cs="Arial" w:eastAsia="Arial" w:hAnsi="Arial"/>
          <w:sz w:val="22"/>
          <w:szCs w:val="22"/>
          <w:color w:val="auto"/>
        </w:rPr>
      </w:pPr>
    </w:p>
    <w:p>
      <w:pPr>
        <w:spacing w:after="0" w:line="248" w:lineRule="exact"/>
        <w:rPr>
          <w:rFonts w:ascii="Arial" w:cs="Arial" w:eastAsia="Arial" w:hAnsi="Arial"/>
          <w:sz w:val="22"/>
          <w:szCs w:val="22"/>
          <w:color w:val="auto"/>
        </w:rPr>
      </w:pPr>
    </w:p>
    <w:p>
      <w:pPr>
        <w:ind w:left="332" w:right="180" w:hanging="332"/>
        <w:spacing w:after="0" w:line="312" w:lineRule="auto"/>
        <w:tabs>
          <w:tab w:leader="none" w:pos="332" w:val="left"/>
        </w:tabs>
        <w:numPr>
          <w:ilvl w:val="0"/>
          <w:numId w:val="882"/>
        </w:numPr>
        <w:rPr>
          <w:rFonts w:ascii="Arial" w:cs="Arial" w:eastAsia="Arial" w:hAnsi="Arial"/>
          <w:sz w:val="19"/>
          <w:szCs w:val="19"/>
          <w:color w:val="auto"/>
        </w:rPr>
      </w:pPr>
      <w:r>
        <w:rPr>
          <w:rFonts w:ascii="Arial" w:cs="Arial" w:eastAsia="Arial" w:hAnsi="Arial"/>
          <w:sz w:val="19"/>
          <w:szCs w:val="19"/>
          <w:color w:val="auto"/>
        </w:rPr>
        <w:t>No failure by either party to insist upon the strict performance of any provision of this Agreement or to exercise any right or remedy hereunder, and no acceptance of full or partial Payroll Support (if applicable) or other performance by either party during the continuance of any such breach, shall constitute a waiver of any such breach of such provision.</w:t>
      </w:r>
    </w:p>
    <w:p>
      <w:pPr>
        <w:spacing w:after="0" w:line="303"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ATTACHMENT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32320"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1" w:right="339" w:bottom="1440" w:gutter="0" w:footer="0" w:header="0"/>
        </w:sectPr>
      </w:pPr>
    </w:p>
    <w:bookmarkStart w:id="647" w:name="page648"/>
    <w:bookmarkEnd w:id="647"/>
    <w:p>
      <w:pPr>
        <w:spacing w:after="0"/>
        <w:rPr>
          <w:sz w:val="20"/>
          <w:szCs w:val="20"/>
          <w:color w:val="auto"/>
        </w:rPr>
      </w:pPr>
      <w:r>
        <w:rPr>
          <w:rFonts w:ascii="Arial" w:cs="Arial" w:eastAsia="Arial" w:hAnsi="Arial"/>
          <w:sz w:val="19"/>
          <w:szCs w:val="19"/>
          <w:color w:val="auto"/>
        </w:rPr>
        <w:t>Payroll Support Program Certification of Corporate Officer of Recipient</w:t>
      </w:r>
    </w:p>
    <w:p>
      <w:pPr>
        <w:sectPr>
          <w:pgSz w:w="11900" w:h="16838" w:orient="portrait"/>
          <w:cols w:equalWidth="0" w:num="1">
            <w:col w:w="10139"/>
          </w:cols>
          <w:pgMar w:left="320" w:top="3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48" w:right="1440" w:bottom="1440" w:gutter="0" w:footer="0" w:header="0"/>
          <w:type w:val="continuous"/>
        </w:sectPr>
      </w:pPr>
    </w:p>
    <w:bookmarkStart w:id="648" w:name="page649"/>
    <w:bookmarkEnd w:id="648"/>
    <w:p>
      <w:pPr>
        <w:jc w:val="center"/>
        <w:ind w:right="-19"/>
        <w:spacing w:after="0"/>
        <w:rPr>
          <w:sz w:val="20"/>
          <w:szCs w:val="20"/>
          <w:color w:val="auto"/>
        </w:rPr>
      </w:pPr>
      <w:r>
        <w:rPr>
          <w:rFonts w:ascii="Arial" w:cs="Arial" w:eastAsia="Arial" w:hAnsi="Arial"/>
          <w:sz w:val="22"/>
          <w:szCs w:val="22"/>
          <w:b w:val="1"/>
          <w:bCs w:val="1"/>
          <w:color w:val="auto"/>
        </w:rPr>
        <w:t>PAYROLL SUPPORT PROGRAM</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CERTIFICATION OF CORPORATE OFFICER OF RECIPIENT</w:t>
      </w:r>
    </w:p>
    <w:p>
      <w:pPr>
        <w:spacing w:after="0" w:line="200" w:lineRule="exact"/>
        <w:rPr>
          <w:sz w:val="20"/>
          <w:szCs w:val="20"/>
          <w:color w:val="auto"/>
        </w:rPr>
      </w:pPr>
    </w:p>
    <w:p>
      <w:pPr>
        <w:spacing w:after="0" w:line="282"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In connection with the Payroll Support Program Agreement (Agreement) between American Airlines, Inc. and the Department of the Treasury (Treasury) relating to Payroll Support being provided by Treasury to the Recipient under Division A, Title IV, Subtitle B of the Coronavirus Aid, Relief and Economic Security Act, I hereby certify under penalty of perjury to the Treasury that all of the following are true and correct. Capitalized terms used but not defined herein have the meanings set forth in the Agreement.</w:t>
      </w:r>
    </w:p>
    <w:p>
      <w:pPr>
        <w:spacing w:after="0" w:line="192" w:lineRule="exact"/>
        <w:rPr>
          <w:sz w:val="20"/>
          <w:szCs w:val="20"/>
          <w:color w:val="auto"/>
        </w:rPr>
      </w:pPr>
    </w:p>
    <w:p>
      <w:pPr>
        <w:ind w:left="340" w:right="200" w:firstLine="316"/>
        <w:spacing w:after="0" w:line="343" w:lineRule="auto"/>
        <w:tabs>
          <w:tab w:leader="none" w:pos="970" w:val="left"/>
        </w:tabs>
        <w:numPr>
          <w:ilvl w:val="0"/>
          <w:numId w:val="883"/>
        </w:numPr>
        <w:rPr>
          <w:rFonts w:ascii="Arial" w:cs="Arial" w:eastAsia="Arial" w:hAnsi="Arial"/>
          <w:sz w:val="19"/>
          <w:szCs w:val="19"/>
          <w:color w:val="auto"/>
        </w:rPr>
      </w:pPr>
      <w:r>
        <w:rPr>
          <w:rFonts w:ascii="Arial" w:cs="Arial" w:eastAsia="Arial" w:hAnsi="Arial"/>
          <w:sz w:val="19"/>
          <w:szCs w:val="19"/>
          <w:color w:val="auto"/>
        </w:rPr>
        <w:t>I have the authority to make the following representations on behalf of myself and the Recipient. I understand that these representations will be relied upon as material in the decision by Treasury to provide Payroll Support to the Recipient.</w:t>
      </w:r>
    </w:p>
    <w:p>
      <w:pPr>
        <w:spacing w:after="0" w:line="104" w:lineRule="exact"/>
        <w:rPr>
          <w:rFonts w:ascii="Arial" w:cs="Arial" w:eastAsia="Arial" w:hAnsi="Arial"/>
          <w:sz w:val="19"/>
          <w:szCs w:val="19"/>
          <w:color w:val="auto"/>
        </w:rPr>
      </w:pPr>
    </w:p>
    <w:p>
      <w:pPr>
        <w:ind w:left="340" w:right="140" w:firstLine="316"/>
        <w:spacing w:after="0" w:line="312" w:lineRule="auto"/>
        <w:tabs>
          <w:tab w:leader="none" w:pos="970" w:val="left"/>
        </w:tabs>
        <w:numPr>
          <w:ilvl w:val="0"/>
          <w:numId w:val="883"/>
        </w:numPr>
        <w:rPr>
          <w:rFonts w:ascii="Arial" w:cs="Arial" w:eastAsia="Arial" w:hAnsi="Arial"/>
          <w:sz w:val="19"/>
          <w:szCs w:val="19"/>
          <w:color w:val="auto"/>
        </w:rPr>
      </w:pPr>
      <w:r>
        <w:rPr>
          <w:rFonts w:ascii="Arial" w:cs="Arial" w:eastAsia="Arial" w:hAnsi="Arial"/>
          <w:sz w:val="19"/>
          <w:szCs w:val="19"/>
          <w:color w:val="auto"/>
        </w:rPr>
        <w:t>The information and certifications provided by the Recipient in an application for Payroll Support, and in any attachments or other information provided by the Recipient to Treasury related to the application, are true and correct and do not contain any materially false, fictitious, or fraudulent statement, nor any concealment or omission of any material fact.</w:t>
      </w:r>
    </w:p>
    <w:p>
      <w:pPr>
        <w:spacing w:after="0" w:line="133" w:lineRule="exact"/>
        <w:rPr>
          <w:rFonts w:ascii="Arial" w:cs="Arial" w:eastAsia="Arial" w:hAnsi="Arial"/>
          <w:sz w:val="19"/>
          <w:szCs w:val="19"/>
          <w:color w:val="auto"/>
        </w:rPr>
      </w:pPr>
    </w:p>
    <w:p>
      <w:pPr>
        <w:ind w:left="340" w:right="460" w:firstLine="316"/>
        <w:spacing w:after="0" w:line="253" w:lineRule="auto"/>
        <w:tabs>
          <w:tab w:leader="none" w:pos="970" w:val="left"/>
        </w:tabs>
        <w:numPr>
          <w:ilvl w:val="0"/>
          <w:numId w:val="883"/>
        </w:numPr>
        <w:rPr>
          <w:rFonts w:ascii="Arial" w:cs="Arial" w:eastAsia="Arial" w:hAnsi="Arial"/>
          <w:sz w:val="22"/>
          <w:szCs w:val="22"/>
          <w:color w:val="auto"/>
        </w:rPr>
      </w:pPr>
      <w:r>
        <w:rPr>
          <w:rFonts w:ascii="Arial" w:cs="Arial" w:eastAsia="Arial" w:hAnsi="Arial"/>
          <w:sz w:val="22"/>
          <w:szCs w:val="22"/>
          <w:color w:val="auto"/>
        </w:rPr>
        <w:t>The Recipient has the legal authority to apply for the Payroll Support, and it has the institutional, managerial, and financial capability to comply with all obligations, terms, and conditions set forth in the Agreement and any attachment thereto.</w:t>
      </w:r>
    </w:p>
    <w:p>
      <w:pPr>
        <w:spacing w:after="0" w:line="185" w:lineRule="exact"/>
        <w:rPr>
          <w:rFonts w:ascii="Arial" w:cs="Arial" w:eastAsia="Arial" w:hAnsi="Arial"/>
          <w:sz w:val="22"/>
          <w:szCs w:val="22"/>
          <w:color w:val="auto"/>
        </w:rPr>
      </w:pPr>
    </w:p>
    <w:p>
      <w:pPr>
        <w:ind w:left="340" w:firstLine="316"/>
        <w:spacing w:after="0" w:line="250" w:lineRule="auto"/>
        <w:tabs>
          <w:tab w:leader="none" w:pos="970" w:val="left"/>
        </w:tabs>
        <w:numPr>
          <w:ilvl w:val="0"/>
          <w:numId w:val="883"/>
        </w:numPr>
        <w:rPr>
          <w:rFonts w:ascii="Arial" w:cs="Arial" w:eastAsia="Arial" w:hAnsi="Arial"/>
          <w:sz w:val="22"/>
          <w:szCs w:val="22"/>
          <w:color w:val="auto"/>
        </w:rPr>
      </w:pPr>
      <w:r>
        <w:rPr>
          <w:rFonts w:ascii="Arial" w:cs="Arial" w:eastAsia="Arial" w:hAnsi="Arial"/>
          <w:sz w:val="22"/>
          <w:szCs w:val="22"/>
          <w:color w:val="auto"/>
        </w:rPr>
        <w:t>The Recipient and any Affiliate will give Treasury, Treasury’s designee or the Treasury Office of Inspector General (as applicable) access to, and opportunity to examine, all documents, papers, or other records of the Recipient or Affiliate pertinent to the provision of Payroll Support made by Treasury based on the application, in order to make audits, examinations, excerpts, and transcripts.</w:t>
      </w:r>
    </w:p>
    <w:p>
      <w:pPr>
        <w:spacing w:after="0" w:line="187" w:lineRule="exact"/>
        <w:rPr>
          <w:rFonts w:ascii="Arial" w:cs="Arial" w:eastAsia="Arial" w:hAnsi="Arial"/>
          <w:sz w:val="22"/>
          <w:szCs w:val="22"/>
          <w:color w:val="auto"/>
        </w:rPr>
      </w:pPr>
    </w:p>
    <w:p>
      <w:pPr>
        <w:ind w:left="340" w:right="180" w:firstLine="316"/>
        <w:spacing w:after="0" w:line="247" w:lineRule="auto"/>
        <w:tabs>
          <w:tab w:leader="none" w:pos="970" w:val="left"/>
        </w:tabs>
        <w:numPr>
          <w:ilvl w:val="0"/>
          <w:numId w:val="883"/>
        </w:numPr>
        <w:rPr>
          <w:rFonts w:ascii="Arial" w:cs="Arial" w:eastAsia="Arial" w:hAnsi="Arial"/>
          <w:sz w:val="22"/>
          <w:szCs w:val="22"/>
          <w:color w:val="auto"/>
        </w:rPr>
      </w:pPr>
      <w:r>
        <w:rPr>
          <w:rFonts w:ascii="Arial" w:cs="Arial" w:eastAsia="Arial" w:hAnsi="Arial"/>
          <w:sz w:val="22"/>
          <w:szCs w:val="22"/>
          <w:color w:val="auto"/>
        </w:rPr>
        <w:t>No Federal appropriated funds, including Payroll Support, have been paid or will be paid, by or on behalf of the Recipient,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pPr>
        <w:spacing w:after="0" w:line="192" w:lineRule="exact"/>
        <w:rPr>
          <w:rFonts w:ascii="Arial" w:cs="Arial" w:eastAsia="Arial" w:hAnsi="Arial"/>
          <w:sz w:val="22"/>
          <w:szCs w:val="22"/>
          <w:color w:val="auto"/>
        </w:rPr>
      </w:pPr>
    </w:p>
    <w:p>
      <w:pPr>
        <w:jc w:val="both"/>
        <w:ind w:left="340" w:right="120" w:firstLine="316"/>
        <w:spacing w:after="0" w:line="250" w:lineRule="auto"/>
        <w:tabs>
          <w:tab w:leader="none" w:pos="970" w:val="left"/>
        </w:tabs>
        <w:numPr>
          <w:ilvl w:val="0"/>
          <w:numId w:val="883"/>
        </w:numPr>
        <w:rPr>
          <w:rFonts w:ascii="Arial" w:cs="Arial" w:eastAsia="Arial" w:hAnsi="Arial"/>
          <w:sz w:val="22"/>
          <w:szCs w:val="22"/>
          <w:color w:val="auto"/>
        </w:rPr>
      </w:pPr>
      <w:r>
        <w:rPr>
          <w:rFonts w:ascii="Arial" w:cs="Arial" w:eastAsia="Arial" w:hAnsi="Arial"/>
          <w:sz w:val="22"/>
          <w:szCs w:val="22"/>
          <w:color w:val="auto"/>
        </w:rPr>
        <w:t>If the Payroll Support exceeds $100,000, the Recipient shall comply with the disclosure requirements in 31 CFR Part 21 regarding any amounts paid for influencing or attempting to influence an officer or employee of any agency, a Member of Congress, an officer or employee of Congress, or an employee of a Member of Congress in connection with the Payroll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49" w:name="page650"/>
    <w:bookmarkEnd w:id="649"/>
    <w:p>
      <w:pPr>
        <w:spacing w:after="0" w:line="315" w:lineRule="auto"/>
        <w:rPr>
          <w:sz w:val="20"/>
          <w:szCs w:val="20"/>
          <w:color w:val="auto"/>
        </w:rPr>
      </w:pPr>
      <w:r>
        <w:rPr>
          <w:rFonts w:ascii="Arial" w:cs="Arial" w:eastAsia="Arial" w:hAnsi="Arial"/>
          <w:sz w:val="19"/>
          <w:szCs w:val="19"/>
          <w:b w:val="1"/>
          <w:bCs w:val="1"/>
          <w:color w:val="auto"/>
        </w:rPr>
        <w:t>I acknowledge that a materially false, fictitious, or fraudulent statement (or concealment or omission of a material fact) in this certification, or in the application that it supports, may be the subject of criminal prosecution and also may subject me and the Recipient to civil penalties and/or administrative remedies for false claims or otherwise.</w:t>
      </w:r>
    </w:p>
    <w:p>
      <w:pPr>
        <w:sectPr>
          <w:pgSz w:w="11900" w:h="16838" w:orient="portrait"/>
          <w:cols w:equalWidth="0" w:num="1">
            <w:col w:w="11200"/>
          </w:cols>
          <w:pgMar w:left="320" w:top="342"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24130</wp:posOffset>
            </wp:positionV>
            <wp:extent cx="263144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81"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Corporate Officer of Signatory Entity</w:t>
      </w:r>
    </w:p>
    <w:p>
      <w:pPr>
        <w:spacing w:after="0" w:line="268"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Name: Thomas T. Weir</w:t>
      </w:r>
    </w:p>
    <w:p>
      <w:pPr>
        <w:spacing w:after="0" w:line="166"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Title: Vice President and Treasurer</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22"/>
          <w:szCs w:val="22"/>
          <w:color w:val="auto"/>
        </w:rPr>
        <w:t>Date: April 20,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24130</wp:posOffset>
            </wp:positionV>
            <wp:extent cx="279463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Second Authorized Representative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Name: Derek J. Kerr</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Title: Executive Vice President and Chief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Date: April 20, 2020</w:t>
      </w:r>
    </w:p>
    <w:p>
      <w:pPr>
        <w:sectPr>
          <w:pgSz w:w="11900" w:h="16838" w:orient="portrait"/>
          <w:cols w:equalWidth="0" w:num="2">
            <w:col w:w="4940" w:space="720"/>
            <w:col w:w="5540"/>
          </w:cols>
          <w:pgMar w:left="320" w:top="342" w:right="379" w:bottom="1440" w:gutter="0" w:footer="0" w:header="0"/>
          <w:type w:val="continuous"/>
        </w:sectPr>
      </w:pPr>
    </w:p>
    <w:bookmarkStart w:id="650" w:name="page651"/>
    <w:bookmarkEnd w:id="650"/>
    <w:p>
      <w:pPr>
        <w:jc w:val="right"/>
        <w:spacing w:after="0"/>
        <w:rPr>
          <w:sz w:val="20"/>
          <w:szCs w:val="20"/>
          <w:color w:val="auto"/>
        </w:rPr>
      </w:pPr>
      <w:r>
        <w:rPr>
          <w:rFonts w:ascii="Arial" w:cs="Arial" w:eastAsia="Arial" w:hAnsi="Arial"/>
          <w:sz w:val="20"/>
          <w:szCs w:val="20"/>
          <w:b w:val="1"/>
          <w:bCs w:val="1"/>
          <w:color w:val="auto"/>
        </w:rPr>
        <w:t>Exhibit 10.6</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148" w:lineRule="exact"/>
        <w:rPr>
          <w:sz w:val="20"/>
          <w:szCs w:val="20"/>
          <w:color w:val="auto"/>
        </w:rPr>
      </w:pPr>
    </w:p>
    <w:p>
      <w:pPr>
        <w:ind w:right="460"/>
        <w:spacing w:after="0" w:line="279" w:lineRule="auto"/>
        <w:rPr>
          <w:sz w:val="20"/>
          <w:szCs w:val="20"/>
          <w:color w:val="auto"/>
        </w:rPr>
      </w:pPr>
      <w:r>
        <w:rPr>
          <w:rFonts w:ascii="Arial" w:cs="Arial" w:eastAsia="Arial" w:hAnsi="Arial"/>
          <w:sz w:val="17"/>
          <w:szCs w:val="17"/>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OR SUCH LAWS.</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Reference is made to that certain Payroll Support Program Agreement (“ </w:t>
      </w:r>
      <w:r>
        <w:rPr>
          <w:rFonts w:ascii="Arial" w:cs="Arial" w:eastAsia="Arial" w:hAnsi="Arial"/>
          <w:sz w:val="18"/>
          <w:szCs w:val="18"/>
          <w:u w:val="single" w:color="auto"/>
          <w:color w:val="auto"/>
        </w:rPr>
        <w:t>PSP Agreement</w:t>
      </w:r>
      <w:r>
        <w:rPr>
          <w:rFonts w:ascii="Arial" w:cs="Arial" w:eastAsia="Arial" w:hAnsi="Arial"/>
          <w:sz w:val="18"/>
          <w:szCs w:val="18"/>
          <w:color w:val="auto"/>
        </w:rPr>
        <w:t xml:space="preserve"> ”) dated as of the date hereof by and among American Airlines, Inc., a Delaware corporation (“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 having an office at 1 Skyview Drive, Fort Worth, TX 76155, and the United States Department of the Treasury (“ </w:t>
      </w:r>
      <w:r>
        <w:rPr>
          <w:rFonts w:ascii="Arial" w:cs="Arial" w:eastAsia="Arial" w:hAnsi="Arial"/>
          <w:sz w:val="18"/>
          <w:szCs w:val="18"/>
          <w:u w:val="single" w:color="auto"/>
          <w:color w:val="auto"/>
        </w:rPr>
        <w:t>Treasury</w:t>
      </w:r>
      <w:r>
        <w:rPr>
          <w:rFonts w:ascii="Arial" w:cs="Arial" w:eastAsia="Arial" w:hAnsi="Arial"/>
          <w:sz w:val="18"/>
          <w:szCs w:val="18"/>
          <w:color w:val="auto"/>
        </w:rPr>
        <w:t xml:space="preserve"> ”), having an office at 1500 Pennsylvania Avenue, NW, Washington, D.C. 20220, entered into by AA and Treasury pursuant to the Coronavirus Aid, Relief, and Economic Security Act, Pub. L. 116-136 (Mar. 27, 2020) (“ </w:t>
      </w:r>
      <w:r>
        <w:rPr>
          <w:rFonts w:ascii="Arial" w:cs="Arial" w:eastAsia="Arial" w:hAnsi="Arial"/>
          <w:sz w:val="18"/>
          <w:szCs w:val="18"/>
          <w:u w:val="single" w:color="auto"/>
          <w:color w:val="auto"/>
        </w:rPr>
        <w:t>CARES Act</w:t>
      </w:r>
      <w:r>
        <w:rPr>
          <w:rFonts w:ascii="Arial" w:cs="Arial" w:eastAsia="Arial" w:hAnsi="Arial"/>
          <w:sz w:val="18"/>
          <w:szCs w:val="18"/>
          <w:color w:val="auto"/>
        </w:rPr>
        <w:t xml:space="preserve"> ”).</w:t>
      </w:r>
    </w:p>
    <w:p>
      <w:pPr>
        <w:spacing w:after="0" w:line="10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WHEREAS, American Airlines Group Inc., a Delaware corporation (“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 has requested that Treasury provide financial assistance to certain Affiliates (as defined below) of Issuer that are Recipients (as defined in the PSP Agreement) that shall be used for the continuation of payment of employee wages, salaries, and benefits as is permissible under Section 4112(a) of the CARES Act.</w:t>
      </w:r>
    </w:p>
    <w:p>
      <w:pPr>
        <w:spacing w:after="0" w:line="10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 xml:space="preserve">WHEREAS, as appropriate compensation to the Federal Government of the United States of America for the provision of financial assistance under the PSP Agreement, Issuer has agreed to issue this Promissory Note (“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 to Treasury on the terms and conditions set forth herein.</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FOR VALUE RECEIVED, Issuer unconditionally promises to pay to the Holder (as defined below) the principal sum of $842,177,466.00, subject to increases and/or decreases made pursuant to Section 2.1, as permissible under the PSP Agreement, or Section 2.3, in each case as noted by the Holder in Schedule I (the “ </w:t>
      </w:r>
      <w:r>
        <w:rPr>
          <w:rFonts w:ascii="Arial" w:cs="Arial" w:eastAsia="Arial" w:hAnsi="Arial"/>
          <w:sz w:val="17"/>
          <w:szCs w:val="17"/>
          <w:u w:val="single" w:color="auto"/>
          <w:color w:val="auto"/>
        </w:rPr>
        <w:t>Principal Amount</w:t>
      </w:r>
      <w:r>
        <w:rPr>
          <w:rFonts w:ascii="Arial" w:cs="Arial" w:eastAsia="Arial" w:hAnsi="Arial"/>
          <w:sz w:val="17"/>
          <w:szCs w:val="17"/>
          <w:color w:val="auto"/>
        </w:rPr>
        <w:t xml:space="preserve"> ”), outstanding hereunder, together with all accrued interest thereon on the Maturity Date (as defined below) as provided in this Note. Notations made by the Holder in Schedule I shall be final and conclusive absent manifest error;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 that any failure by the Holder to make such notations or any error by omission by the Holder in this regard shall not affect the obligation of the Issuer to pay the full amount of the principal of and interest on the Note or any other amount owing hereunder.</w:t>
      </w:r>
    </w:p>
    <w:p>
      <w:pPr>
        <w:spacing w:after="0" w:line="106" w:lineRule="exact"/>
        <w:rPr>
          <w:sz w:val="20"/>
          <w:szCs w:val="20"/>
          <w:color w:val="auto"/>
        </w:rPr>
      </w:pPr>
    </w:p>
    <w:p>
      <w:pPr>
        <w:ind w:left="340" w:hanging="332"/>
        <w:spacing w:after="0"/>
        <w:tabs>
          <w:tab w:leader="none" w:pos="340" w:val="left"/>
        </w:tabs>
        <w:numPr>
          <w:ilvl w:val="0"/>
          <w:numId w:val="884"/>
        </w:numPr>
        <w:rPr>
          <w:rFonts w:ascii="Arial" w:cs="Arial" w:eastAsia="Arial" w:hAnsi="Arial"/>
          <w:sz w:val="20"/>
          <w:szCs w:val="20"/>
          <w:color w:val="auto"/>
        </w:rPr>
      </w:pPr>
      <w:r>
        <w:rPr>
          <w:rFonts w:ascii="Arial" w:cs="Arial" w:eastAsia="Arial" w:hAnsi="Arial"/>
          <w:sz w:val="18"/>
          <w:szCs w:val="18"/>
          <w:b w:val="1"/>
          <w:bCs w:val="1"/>
          <w:u w:val="single" w:color="auto"/>
          <w:color w:val="auto"/>
        </w:rPr>
        <w:t>DEFINITIONS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 As used in this Note, capitalized terms have the meanings specified in Annex A.</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Terms Generally</w:t>
      </w:r>
      <w:r>
        <w:rPr>
          <w:rFonts w:ascii="Arial" w:cs="Arial" w:eastAsia="Arial" w:hAnsi="Arial"/>
          <w:sz w:val="17"/>
          <w:szCs w:val="17"/>
          <w:color w:val="auto"/>
        </w:rPr>
        <w:t xml:space="preserve"> .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The word “year” shall refer (i) in the case of a leap year, to a year of three hundred sixty-six (366) days, and (ii) otherwise, to a year of three hundred sixty-five (365) days.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Note in its entirety and not to any particular provision hereof, (d) all references herein to Sections, Annexes and Schedules shall be construed to refer to Sections of, and Annexes and Schedules to, this Note,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Accounting Terms</w:t>
      </w:r>
      <w:r>
        <w:rPr>
          <w:rFonts w:ascii="Arial" w:cs="Arial" w:eastAsia="Arial" w:hAnsi="Arial"/>
          <w:sz w:val="17"/>
          <w:szCs w:val="17"/>
          <w:color w:val="auto"/>
        </w:rPr>
        <w:t xml:space="preserve"> . All accounting terms not otherwise defined herein shall be construed in conformity with GAAP, as in effect from time to time.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651" w:name="page652"/>
    <w:bookmarkEnd w:id="651"/>
    <w:p>
      <w:pPr>
        <w:ind w:left="340" w:hanging="332"/>
        <w:spacing w:after="0"/>
        <w:tabs>
          <w:tab w:leader="none" w:pos="340" w:val="left"/>
        </w:tabs>
        <w:numPr>
          <w:ilvl w:val="0"/>
          <w:numId w:val="885"/>
        </w:numPr>
        <w:rPr>
          <w:rFonts w:ascii="Arial" w:cs="Arial" w:eastAsia="Arial" w:hAnsi="Arial"/>
          <w:sz w:val="20"/>
          <w:szCs w:val="20"/>
          <w:color w:val="auto"/>
        </w:rPr>
      </w:pPr>
      <w:r>
        <w:rPr>
          <w:rFonts w:ascii="Arial" w:cs="Arial" w:eastAsia="Arial" w:hAnsi="Arial"/>
          <w:sz w:val="18"/>
          <w:szCs w:val="18"/>
          <w:b w:val="1"/>
          <w:bCs w:val="1"/>
          <w:u w:val="single" w:color="auto"/>
          <w:color w:val="auto"/>
        </w:rPr>
        <w:t>NOTE</w:t>
      </w:r>
    </w:p>
    <w:p>
      <w:pPr>
        <w:spacing w:after="0" w:line="206"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Principal Amount</w:t>
      </w:r>
      <w:r>
        <w:rPr>
          <w:rFonts w:ascii="Arial" w:cs="Arial" w:eastAsia="Arial" w:hAnsi="Arial"/>
          <w:sz w:val="16"/>
          <w:szCs w:val="16"/>
          <w:color w:val="auto"/>
        </w:rPr>
        <w:t xml:space="preserve"> . Upon any disbursement to the Issuer under the PSP Agreement after the Closing Date, the Principal Amount of this Note shall be increased in an amount equal to 30% of any such disbursement;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 that no increases in the Principal Amount of this Note shall occur pursuant to this Section until the aggregate principal amount of any disbursements to the Issuer under the PSP Agreement is greater than $100,000,000.</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 The aggregate unpaid principal amount of the Note, all accrued and unpaid interest, and all other amounts payable under this Note shall be due and payable on the Maturity Date, unless otherwise provided in Section 5.1.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Prepayments</w:t>
      </w:r>
      <w:r>
        <w:rPr>
          <w:rFonts w:ascii="Arial" w:cs="Arial" w:eastAsia="Arial" w:hAnsi="Arial"/>
          <w:sz w:val="18"/>
          <w:szCs w:val="18"/>
          <w:color w:val="auto"/>
        </w:rPr>
        <w:t xml:space="preserve"> .</w:t>
      </w:r>
    </w:p>
    <w:p>
      <w:pPr>
        <w:spacing w:after="0" w:line="225" w:lineRule="exact"/>
        <w:rPr>
          <w:sz w:val="20"/>
          <w:szCs w:val="20"/>
          <w:color w:val="auto"/>
        </w:rPr>
      </w:pPr>
    </w:p>
    <w:p>
      <w:pPr>
        <w:ind w:firstLine="8"/>
        <w:spacing w:after="0" w:line="308" w:lineRule="auto"/>
        <w:tabs>
          <w:tab w:leader="none" w:pos="244" w:val="left"/>
        </w:tabs>
        <w:numPr>
          <w:ilvl w:val="0"/>
          <w:numId w:val="886"/>
        </w:numPr>
        <w:rPr>
          <w:rFonts w:ascii="Arial" w:cs="Arial" w:eastAsia="Arial" w:hAnsi="Arial"/>
          <w:sz w:val="17"/>
          <w:szCs w:val="17"/>
          <w:color w:val="auto"/>
        </w:rPr>
      </w:pPr>
      <w:r>
        <w:rPr>
          <w:rFonts w:ascii="Arial" w:cs="Arial" w:eastAsia="Arial" w:hAnsi="Arial"/>
          <w:sz w:val="17"/>
          <w:szCs w:val="17"/>
          <w:u w:val="single" w:color="auto"/>
          <w:color w:val="auto"/>
        </w:rPr>
        <w:t>Optional Prepayments</w:t>
      </w:r>
      <w:r>
        <w:rPr>
          <w:rFonts w:ascii="Arial" w:cs="Arial" w:eastAsia="Arial" w:hAnsi="Arial"/>
          <w:sz w:val="17"/>
          <w:szCs w:val="17"/>
          <w:color w:val="auto"/>
        </w:rPr>
        <w:t xml:space="preserve"> . The Issuer may, upon written notice to the Holder, at any time and from time to time prepay the Note in whole or in part without premium or penalty in a minimum aggregate principal amount equal to the lesser of $5,000,000 and the Principal Amount outstanding.</w:t>
      </w:r>
    </w:p>
    <w:p>
      <w:pPr>
        <w:spacing w:after="0" w:line="146" w:lineRule="exact"/>
        <w:rPr>
          <w:rFonts w:ascii="Arial" w:cs="Arial" w:eastAsia="Arial" w:hAnsi="Arial"/>
          <w:sz w:val="17"/>
          <w:szCs w:val="17"/>
          <w:color w:val="auto"/>
        </w:rPr>
      </w:pPr>
    </w:p>
    <w:p>
      <w:pPr>
        <w:ind w:left="260" w:hanging="252"/>
        <w:spacing w:after="0"/>
        <w:tabs>
          <w:tab w:leader="none" w:pos="260" w:val="left"/>
        </w:tabs>
        <w:numPr>
          <w:ilvl w:val="0"/>
          <w:numId w:val="886"/>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xml:space="preserve"> . If a Change of Control occurs, within thirty (30) days following the occurrence of such Change of Control, the Issuer shall</w:t>
      </w:r>
    </w:p>
    <w:p>
      <w:pPr>
        <w:spacing w:after="0" w:line="46"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prepay the aggregate principal amount outstanding under the Note and any accrued interest or other amounts owing under the Note. The Issuer will not, and will not permit any Subsidiary to, enter into any Contractual Obligation (other than this Note) that, directly or indirectly, restricts the ability of the Issuer or any Subsidiary to make such prepayment hereunder.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t>
      </w:r>
    </w:p>
    <w:p>
      <w:pPr>
        <w:spacing w:after="0" w:line="225" w:lineRule="exact"/>
        <w:rPr>
          <w:sz w:val="20"/>
          <w:szCs w:val="20"/>
          <w:color w:val="auto"/>
        </w:rPr>
      </w:pPr>
    </w:p>
    <w:p>
      <w:pPr>
        <w:ind w:right="20" w:firstLine="8"/>
        <w:spacing w:after="0" w:line="254" w:lineRule="auto"/>
        <w:tabs>
          <w:tab w:leader="none" w:pos="244" w:val="left"/>
        </w:tabs>
        <w:numPr>
          <w:ilvl w:val="0"/>
          <w:numId w:val="887"/>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 Subject to paragraph (b) of this Section, the Note shall bear interest on the Principal Amount outstanding from time to time at a rate per annum equal to 1.00% until the fifth anniversary of the Closing Date, and the Applicable SOFR Rate plus 2.00% thereafter until the Maturity Date. All interest hereunder shall be computed on the basis of the actual number of days in each interest period and a year of 365 or 366 days, as applicable, until the fifth anniversary of the Closing Date and computed in a manner determined by the Holder thereafter, based on prevailing customary market conventions for the use of the Applicable SOFR Rate in floating-rate debt instruments at the time of the announcement of the Applicable SOFR Rate. Each interest period will be from, and including, the Closing Date, or from and including the most recent interest payment date to which interest has been paid or provided for, to, but excluding the next interest payment date.</w:t>
      </w:r>
    </w:p>
    <w:p>
      <w:pPr>
        <w:spacing w:after="0" w:line="194" w:lineRule="exact"/>
        <w:rPr>
          <w:rFonts w:ascii="Arial" w:cs="Arial" w:eastAsia="Arial" w:hAnsi="Arial"/>
          <w:sz w:val="18"/>
          <w:szCs w:val="18"/>
          <w:color w:val="auto"/>
        </w:rPr>
      </w:pPr>
    </w:p>
    <w:p>
      <w:pPr>
        <w:jc w:val="both"/>
        <w:ind w:right="120" w:firstLine="8"/>
        <w:spacing w:after="0" w:line="259" w:lineRule="auto"/>
        <w:tabs>
          <w:tab w:leader="none" w:pos="255" w:val="left"/>
        </w:tabs>
        <w:numPr>
          <w:ilvl w:val="0"/>
          <w:numId w:val="887"/>
        </w:numPr>
        <w:rPr>
          <w:rFonts w:ascii="Arial" w:cs="Arial" w:eastAsia="Arial" w:hAnsi="Arial"/>
          <w:sz w:val="18"/>
          <w:szCs w:val="18"/>
          <w:color w:val="auto"/>
        </w:rPr>
      </w:pPr>
      <w:r>
        <w:rPr>
          <w:rFonts w:ascii="Arial" w:cs="Arial" w:eastAsia="Arial" w:hAnsi="Arial"/>
          <w:sz w:val="18"/>
          <w:szCs w:val="18"/>
          <w:u w:val="single" w:color="auto"/>
          <w:color w:val="auto"/>
        </w:rPr>
        <w:t>Default Interest</w:t>
      </w:r>
      <w:r>
        <w:rPr>
          <w:rFonts w:ascii="Arial" w:cs="Arial" w:eastAsia="Arial" w:hAnsi="Arial"/>
          <w:sz w:val="18"/>
          <w:szCs w:val="18"/>
          <w:color w:val="auto"/>
        </w:rPr>
        <w:t xml:space="preserve"> . If any amount payable by the Issuer or any Guarantor under this Note (including principal of the Note, interest, fees or other amount) is not paid when due, whether at stated maturity, upon acceleration or otherwise, such amount shall thereafter bear interest at a rate per annum equal to the applicable Default Rate. While any Event of Default exists, the Issuer or any Guarantor shall pay interest on the principal amount of the Note outstanding hereunder at a rate per annum equal to the applicable Default Rate.</w:t>
      </w:r>
    </w:p>
    <w:p>
      <w:pPr>
        <w:spacing w:after="0" w:line="186" w:lineRule="exact"/>
        <w:rPr>
          <w:rFonts w:ascii="Arial" w:cs="Arial" w:eastAsia="Arial" w:hAnsi="Arial"/>
          <w:sz w:val="18"/>
          <w:szCs w:val="18"/>
          <w:color w:val="auto"/>
        </w:rPr>
      </w:pPr>
    </w:p>
    <w:p>
      <w:pPr>
        <w:ind w:right="40" w:firstLine="8"/>
        <w:spacing w:after="0" w:line="259" w:lineRule="auto"/>
        <w:tabs>
          <w:tab w:leader="none" w:pos="244" w:val="left"/>
        </w:tabs>
        <w:numPr>
          <w:ilvl w:val="0"/>
          <w:numId w:val="887"/>
        </w:numPr>
        <w:rPr>
          <w:rFonts w:ascii="Arial" w:cs="Arial" w:eastAsia="Arial" w:hAnsi="Arial"/>
          <w:sz w:val="18"/>
          <w:szCs w:val="18"/>
          <w:color w:val="auto"/>
        </w:rPr>
      </w:pP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 Accrued interest on the Note shall be payable in arrears on the last Business Day of March and September of each year, beginning with September 30, 2020, and on the Maturity Date and at such other times as may be specified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(b) of this Section shall be payable on demand and (ii) in the event of any repayment or prepayment of the Note, accrued interest on the principal amount repaid or prepaid shall be payable on the date of such repayment or prepayment.</w:t>
      </w:r>
    </w:p>
    <w:p>
      <w:pPr>
        <w:spacing w:after="0" w:line="186" w:lineRule="exact"/>
        <w:rPr>
          <w:rFonts w:ascii="Arial" w:cs="Arial" w:eastAsia="Arial" w:hAnsi="Arial"/>
          <w:sz w:val="18"/>
          <w:szCs w:val="18"/>
          <w:color w:val="auto"/>
        </w:rPr>
      </w:pPr>
    </w:p>
    <w:p>
      <w:pPr>
        <w:ind w:right="20" w:firstLine="8"/>
        <w:spacing w:after="0" w:line="254" w:lineRule="auto"/>
        <w:tabs>
          <w:tab w:leader="none" w:pos="255" w:val="left"/>
        </w:tabs>
        <w:numPr>
          <w:ilvl w:val="0"/>
          <w:numId w:val="887"/>
        </w:numPr>
        <w:rPr>
          <w:rFonts w:ascii="Arial" w:cs="Arial" w:eastAsia="Arial" w:hAnsi="Arial"/>
          <w:sz w:val="18"/>
          <w:szCs w:val="18"/>
          <w:color w:val="auto"/>
        </w:rPr>
      </w:pPr>
      <w:r>
        <w:rPr>
          <w:rFonts w:ascii="Arial" w:cs="Arial" w:eastAsia="Arial" w:hAnsi="Arial"/>
          <w:sz w:val="18"/>
          <w:szCs w:val="18"/>
          <w:u w:val="single" w:color="auto"/>
          <w:color w:val="auto"/>
        </w:rPr>
        <w:t>SOFR Fallback</w:t>
      </w:r>
      <w:r>
        <w:rPr>
          <w:rFonts w:ascii="Arial" w:cs="Arial" w:eastAsia="Arial" w:hAnsi="Arial"/>
          <w:sz w:val="18"/>
          <w:szCs w:val="18"/>
          <w:color w:val="auto"/>
        </w:rPr>
        <w:t xml:space="preserve"> . If, at any time, the Holder or its designee determines that a Benchmark Transition Event has occurred with respect to the Applicable SOFR Rate or SOFR, or any successor rate, the Holder or its designee will designate a Benchmark Replacement and, as applicable, make Benchmark Conforming Changes in a manner consistent with the methodology set forth in the ARRC Fallback Provisions. Any determination, decision or election that may be made by the Holder or its designee pursuant to this Section 2.4(d), and any decision to take or refrain from taking any action or making any determination, decision or election arising out of or relating to this Section 2.4(d), shall be conclusive and binding absent manifest error, may be made by the Holder or its designee in its sole discretion, and, notwithstanding anything to the contrary in this Note, shall become effective without the consent of the Issuer, any Guarantor or any other party. Any terms used in this Section 2.4(d) but not defined in this Note shall be construed in a manner consistent with the ARRC Fallback Provisions.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Payments Generally</w:t>
      </w:r>
      <w:r>
        <w:rPr>
          <w:rFonts w:ascii="Arial" w:cs="Arial" w:eastAsia="Arial" w:hAnsi="Arial"/>
          <w:sz w:val="18"/>
          <w:szCs w:val="18"/>
          <w:color w:val="auto"/>
        </w:rPr>
        <w:t xml:space="preserve"> .</w:t>
      </w:r>
    </w:p>
    <w:p>
      <w:pPr>
        <w:spacing w:after="0" w:line="225" w:lineRule="exact"/>
        <w:rPr>
          <w:sz w:val="20"/>
          <w:szCs w:val="20"/>
          <w:color w:val="auto"/>
        </w:rPr>
      </w:pPr>
    </w:p>
    <w:p>
      <w:pPr>
        <w:ind w:right="400" w:firstLine="8"/>
        <w:spacing w:after="0" w:line="277" w:lineRule="auto"/>
        <w:tabs>
          <w:tab w:leader="none" w:pos="244" w:val="left"/>
        </w:tabs>
        <w:numPr>
          <w:ilvl w:val="0"/>
          <w:numId w:val="888"/>
        </w:numPr>
        <w:rPr>
          <w:rFonts w:ascii="Arial" w:cs="Arial" w:eastAsia="Arial" w:hAnsi="Arial"/>
          <w:sz w:val="18"/>
          <w:szCs w:val="18"/>
          <w:color w:val="auto"/>
        </w:rPr>
      </w:pPr>
      <w:r>
        <w:rPr>
          <w:rFonts w:ascii="Arial" w:cs="Arial" w:eastAsia="Arial" w:hAnsi="Arial"/>
          <w:sz w:val="18"/>
          <w:szCs w:val="18"/>
          <w:u w:val="single" w:color="auto"/>
          <w:color w:val="auto"/>
        </w:rPr>
        <w:t>Payments by Issuer</w:t>
      </w:r>
      <w:r>
        <w:rPr>
          <w:rFonts w:ascii="Arial" w:cs="Arial" w:eastAsia="Arial" w:hAnsi="Arial"/>
          <w:sz w:val="18"/>
          <w:szCs w:val="18"/>
          <w:color w:val="auto"/>
        </w:rPr>
        <w:t xml:space="preserve"> . All payments to be made by the Issuer hereunder shall be made without condition or deduction for any counterclaim, defense, recoupment or setoff. Except as otherwise expressly provided herein, (i) for so long as Treasury is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652" w:name="page653"/>
    <w:bookmarkEnd w:id="652"/>
    <w:p>
      <w:pPr>
        <w:spacing w:after="0" w:line="269" w:lineRule="auto"/>
        <w:rPr>
          <w:sz w:val="20"/>
          <w:szCs w:val="20"/>
          <w:color w:val="auto"/>
        </w:rPr>
      </w:pPr>
      <w:r>
        <w:rPr>
          <w:rFonts w:ascii="Arial" w:cs="Arial" w:eastAsia="Arial" w:hAnsi="Arial"/>
          <w:sz w:val="17"/>
          <w:szCs w:val="17"/>
          <w:color w:val="auto"/>
        </w:rPr>
        <w:t xml:space="preserve">Holder of this Note, each payment under this Note shall be paid in immediately available funds by electronic funds transfer to the account of the United States Treasury maintained at the Federal Reserve Bank of New York specified by Treasury in a written notice to the Issuer, or to such other account as may be specified from time to time by Treasury in a written notice to the Issuer, or (ii) in the event that Treasury is not the Holder of this Note, then each payment under this Note shall be made in immediately available funds by electronic funds transfer to such account as shall be specified by the Holder in a written notice to the Issuer, in each case not later than 12:00 noon (Washington, D.C. time) on the date specified herein. All amounts received by the Holder after such time on any date shall be deemed to have been received on the next succeeding Business Day and any applicable interest or fees shall continue to accrue. If any payment to be made by the Issuer shall fall due on a day that is not a Business Day, payment shall be made on the next succeeding Business Day and such extension of time shall be reflected in computing interest or fees,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next succeeding Business Day would fall after the Maturity Date, payment shall be made on the immediately preceding Business Day. Except as otherwise expressly provided herein, all payments hereunder shall be made in Dollars.</w:t>
      </w:r>
    </w:p>
    <w:p>
      <w:pPr>
        <w:spacing w:after="0" w:line="185" w:lineRule="exact"/>
        <w:rPr>
          <w:sz w:val="20"/>
          <w:szCs w:val="20"/>
          <w:color w:val="auto"/>
        </w:rPr>
      </w:pPr>
    </w:p>
    <w:p>
      <w:pPr>
        <w:ind w:right="100" w:firstLine="8"/>
        <w:spacing w:after="0" w:line="291" w:lineRule="auto"/>
        <w:tabs>
          <w:tab w:leader="none" w:pos="255" w:val="left"/>
        </w:tabs>
        <w:numPr>
          <w:ilvl w:val="0"/>
          <w:numId w:val="889"/>
        </w:numPr>
        <w:rPr>
          <w:rFonts w:ascii="Arial" w:cs="Arial" w:eastAsia="Arial" w:hAnsi="Arial"/>
          <w:sz w:val="16"/>
          <w:szCs w:val="16"/>
          <w:color w:val="auto"/>
        </w:rPr>
      </w:pPr>
      <w:r>
        <w:rPr>
          <w:rFonts w:ascii="Arial" w:cs="Arial" w:eastAsia="Arial" w:hAnsi="Arial"/>
          <w:sz w:val="16"/>
          <w:szCs w:val="16"/>
          <w:u w:val="single" w:color="auto"/>
          <w:color w:val="auto"/>
        </w:rPr>
        <w:t>Application of Insufficient Payments</w:t>
      </w:r>
      <w:r>
        <w:rPr>
          <w:rFonts w:ascii="Arial" w:cs="Arial" w:eastAsia="Arial" w:hAnsi="Arial"/>
          <w:sz w:val="16"/>
          <w:szCs w:val="16"/>
          <w:color w:val="auto"/>
        </w:rPr>
        <w:t xml:space="preserve"> . If at any time insufficient funds are received by and available to the Holder to pay fully all amounts of principal, interest, fees and other amounts then due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 to pay interest, fees and other amounts then due hereunder, and</w:t>
      </w:r>
    </w:p>
    <w:p>
      <w:pPr>
        <w:ind w:left="320" w:hanging="312"/>
        <w:spacing w:after="0"/>
        <w:tabs>
          <w:tab w:leader="none" w:pos="320" w:val="left"/>
        </w:tabs>
        <w:numPr>
          <w:ilvl w:val="0"/>
          <w:numId w:val="890"/>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 to pay principal then due hereunder.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3 </w:t>
      </w:r>
      <w:r>
        <w:rPr>
          <w:rFonts w:ascii="Arial" w:cs="Arial" w:eastAsia="Arial" w:hAnsi="Arial"/>
          <w:sz w:val="17"/>
          <w:szCs w:val="17"/>
          <w:b w:val="1"/>
          <w:bCs w:val="1"/>
          <w:u w:val="single" w:color="auto"/>
          <w:color w:val="auto"/>
        </w:rPr>
        <w:t>REPRESENTATIONS AND WARRANTIES</w:t>
      </w:r>
    </w:p>
    <w:p>
      <w:pPr>
        <w:spacing w:after="0" w:line="21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Issuer and each Guarantor represents and warrants to the Holder on the Closing Date and is deemed to represent and warrant to the Holder on any date on which the amount of the Note is increased pursuant to the terms hereof and in accordance with the PSP Agreement that:</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 xml:space="preserve"> . The Issuer, each Guarantor and each Subsidiary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Note, and (c) is duly qualified and is licensed and, as applicable, in good standing under the Laws of each jurisdiction where its ownership, lease or operation of properties or the conduct of its business requires such qualification or license, except, in each case referred to in clause (a) (other than with respect to the Issuer and each Guarantor), (b)(i) or (c), to the extent that failure to do so could not reasonably be expected to have a Material Adverse Effect.</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 xml:space="preserve"> . The execution, delivery and performance by the Issuer and each Guarantor of the Note have been duly authorized by all necessary corporate or other organizational action, and do not and will not (a) contravene the terms of its Organizational Documents, (b) conflict with or result in any breach or contravention of, or the creation of any Lien under, or require any payment to be made under (i) any material Contractual Obligation to which the Issuer or any Guarantor is a party or affecting the Issuer or any Guarantor or the material properties of the Issuer, any Guarantor or any Subsidiary or (ii) any material order, injunction, writ or decree of any Governmental Authority or any arbitral award to which the Issuer, the Guarantor or any Subsidiary or its property is subject or (c) violate any Law, except to the extent that such violation could not reasonably be expected to have a Material Adverse Effect.</w:t>
      </w:r>
    </w:p>
    <w:p>
      <w:pPr>
        <w:spacing w:after="0" w:line="1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xml:space="preserve"> . No approval, consent, exemption, authorization, or other action by, or notice to, or filing with, any Governmental Authority or any other Person is necessary or required in connection with the execution, delivery or performance by, or enforcement against, the Issuer or any Guarantor of this Note, except for such approvals, consents, exemptions, authorizations, actions or notices that have been duly obtained, taken or made and in full force and effect.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Execution and Delivery; Binding Effect</w:t>
      </w:r>
      <w:r>
        <w:rPr>
          <w:rFonts w:ascii="Arial" w:cs="Arial" w:eastAsia="Arial" w:hAnsi="Arial"/>
          <w:sz w:val="18"/>
          <w:szCs w:val="18"/>
          <w:color w:val="auto"/>
        </w:rPr>
        <w:t xml:space="preserve"> . This Note has been duly executed and delivered by the Issuer and each Guarantor. This Note constitutes a legal, valid and binding obligation of the Issuer and each Guarantor, enforceable against the Issuer and each Guarantor in accordance with its terms, except as such enforceability may be limited by bankruptcy, insolvency, reorganization, receivership, moratorium or other Laws affecting creditors’ rights generally and by general principles of equity.</w:t>
      </w:r>
    </w:p>
    <w:p>
      <w:pPr>
        <w:spacing w:after="0" w:line="196" w:lineRule="exact"/>
        <w:rPr>
          <w:sz w:val="20"/>
          <w:szCs w:val="20"/>
          <w:color w:val="auto"/>
        </w:rPr>
      </w:pPr>
    </w:p>
    <w:p>
      <w:pPr>
        <w:ind w:left="160" w:hanging="152"/>
        <w:spacing w:after="0"/>
        <w:tabs>
          <w:tab w:leader="none" w:pos="160" w:val="left"/>
        </w:tabs>
        <w:numPr>
          <w:ilvl w:val="0"/>
          <w:numId w:val="891"/>
        </w:numPr>
        <w:rPr>
          <w:rFonts w:ascii="Arial" w:cs="Arial" w:eastAsia="Arial" w:hAnsi="Arial"/>
          <w:sz w:val="20"/>
          <w:szCs w:val="20"/>
          <w:color w:val="auto"/>
        </w:rPr>
      </w:pPr>
      <w:r>
        <w:rPr>
          <w:rFonts w:ascii="Arial" w:cs="Arial" w:eastAsia="Arial" w:hAnsi="Arial"/>
          <w:sz w:val="18"/>
          <w:szCs w:val="18"/>
          <w:b w:val="1"/>
          <w:bCs w:val="1"/>
          <w:u w:val="single" w:color="auto"/>
          <w:color w:val="auto"/>
        </w:rPr>
        <w:t>COVENANTS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Until all Obligations shall have been paid in full or until any later date as provided for in this Note, the Issuer covenants and agrees with the Holder that: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 The Issuer will promptly notify the Holder of the occurrence of any Default.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53" w:name="page654"/>
    <w:bookmarkEnd w:id="653"/>
    <w:p>
      <w:pPr>
        <w:ind w:right="40"/>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 The Guarantors listed on the signature page to this Note hereby Guarantee the Guaranteed Obligations as set forth in Annex B. If any Subsidiary (other than an Excluded Subsidiary) is formed or acquired after the Closing Date or if any Subsidiary ceases to be an Excluded Subsidiary, then the Issuer will cause such Subsidiary to become a Guarantor of this Note within 30 days of such Subsidiary being formed or acquired or of such Subsidiary ceasing to be an Excluded Subsidiary pursuant to customary documentation reasonably acceptable to the Holder and on the terms and conditions set forth in Annex B.</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Pari Passu Ranking</w:t>
      </w:r>
      <w:r>
        <w:rPr>
          <w:rFonts w:ascii="Arial" w:cs="Arial" w:eastAsia="Arial" w:hAnsi="Arial"/>
          <w:sz w:val="18"/>
          <w:szCs w:val="18"/>
          <w:color w:val="auto"/>
        </w:rPr>
        <w:t xml:space="preserve"> . The Obligations of the Issuer and any Guaranteed Obligations of any Guarantor under this Note shall be unsecured obligations of the Issuer and any Guarantor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unsecured Indebtedness of the Issuer or any Guarantor that is not subordinated in right of payment to the holder or lender of such Indebtedness.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5 </w:t>
      </w:r>
      <w:r>
        <w:rPr>
          <w:rFonts w:ascii="Arial" w:cs="Arial" w:eastAsia="Arial" w:hAnsi="Arial"/>
          <w:sz w:val="17"/>
          <w:szCs w:val="17"/>
          <w:b w:val="1"/>
          <w:bCs w:val="1"/>
          <w:u w:val="single" w:color="auto"/>
          <w:color w:val="auto"/>
        </w:rPr>
        <w:t>EVENTS OF DEFAULT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Events of Default</w:t>
      </w:r>
      <w:r>
        <w:rPr>
          <w:rFonts w:ascii="Arial" w:cs="Arial" w:eastAsia="Arial" w:hAnsi="Arial"/>
          <w:sz w:val="18"/>
          <w:szCs w:val="18"/>
          <w:color w:val="auto"/>
        </w:rPr>
        <w:t xml:space="preserve"> . If any of the following events (each, an “ </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 shall occur:</w:t>
      </w:r>
    </w:p>
    <w:p>
      <w:pPr>
        <w:spacing w:after="0" w:line="225" w:lineRule="exact"/>
        <w:rPr>
          <w:sz w:val="20"/>
          <w:szCs w:val="20"/>
          <w:color w:val="auto"/>
        </w:rPr>
      </w:pPr>
    </w:p>
    <w:p>
      <w:pPr>
        <w:ind w:right="300" w:firstLine="8"/>
        <w:spacing w:after="0" w:line="277" w:lineRule="auto"/>
        <w:tabs>
          <w:tab w:leader="none" w:pos="244" w:val="left"/>
        </w:tabs>
        <w:numPr>
          <w:ilvl w:val="0"/>
          <w:numId w:val="892"/>
        </w:numPr>
        <w:rPr>
          <w:rFonts w:ascii="Arial" w:cs="Arial" w:eastAsia="Arial" w:hAnsi="Arial"/>
          <w:sz w:val="18"/>
          <w:szCs w:val="18"/>
          <w:color w:val="auto"/>
        </w:rPr>
      </w:pPr>
      <w:r>
        <w:rPr>
          <w:rFonts w:ascii="Arial" w:cs="Arial" w:eastAsia="Arial" w:hAnsi="Arial"/>
          <w:sz w:val="18"/>
          <w:szCs w:val="18"/>
          <w:color w:val="auto"/>
        </w:rPr>
        <w:t>the Issuer shall fail to pay any principal of the Note when and as the same shall become due and payable, whether at the due date thereof or at a date fixed for prepayment thereof or otherwise;</w:t>
      </w:r>
    </w:p>
    <w:p>
      <w:pPr>
        <w:spacing w:after="0" w:line="170" w:lineRule="exact"/>
        <w:rPr>
          <w:rFonts w:ascii="Arial" w:cs="Arial" w:eastAsia="Arial" w:hAnsi="Arial"/>
          <w:sz w:val="18"/>
          <w:szCs w:val="18"/>
          <w:color w:val="auto"/>
        </w:rPr>
      </w:pPr>
    </w:p>
    <w:p>
      <w:pPr>
        <w:ind w:right="200" w:firstLine="8"/>
        <w:spacing w:after="0" w:line="263" w:lineRule="auto"/>
        <w:tabs>
          <w:tab w:leader="none" w:pos="255" w:val="left"/>
        </w:tabs>
        <w:numPr>
          <w:ilvl w:val="0"/>
          <w:numId w:val="892"/>
        </w:numPr>
        <w:rPr>
          <w:rFonts w:ascii="Arial" w:cs="Arial" w:eastAsia="Arial" w:hAnsi="Arial"/>
          <w:sz w:val="18"/>
          <w:szCs w:val="18"/>
          <w:color w:val="auto"/>
        </w:rPr>
      </w:pPr>
      <w:r>
        <w:rPr>
          <w:rFonts w:ascii="Arial" w:cs="Arial" w:eastAsia="Arial" w:hAnsi="Arial"/>
          <w:sz w:val="18"/>
          <w:szCs w:val="18"/>
          <w:color w:val="auto"/>
        </w:rPr>
        <w:t>the Issuer shall fail to pay any interest on the Note, or any fee or any other amount (other than an amount referred to in clause (a) of this Section) payable under this Note, when and as the same shall become due and payable, and such failure shall continue unremedied for a period of two (2) or more Business Days;</w:t>
      </w:r>
    </w:p>
    <w:p>
      <w:pPr>
        <w:spacing w:after="0" w:line="183" w:lineRule="exact"/>
        <w:rPr>
          <w:rFonts w:ascii="Arial" w:cs="Arial" w:eastAsia="Arial" w:hAnsi="Arial"/>
          <w:sz w:val="18"/>
          <w:szCs w:val="18"/>
          <w:color w:val="auto"/>
        </w:rPr>
      </w:pPr>
    </w:p>
    <w:p>
      <w:pPr>
        <w:ind w:right="40" w:firstLine="8"/>
        <w:spacing w:after="0" w:line="255" w:lineRule="auto"/>
        <w:tabs>
          <w:tab w:leader="none" w:pos="244" w:val="left"/>
        </w:tabs>
        <w:numPr>
          <w:ilvl w:val="0"/>
          <w:numId w:val="89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Issuer or any Guarantor, including those made prior to the Closing Date, in or in connection with this Note or any amendment or modification hereof, or any waiver hereunder, or in the PSP Agreement, or in any report, certificate, financial statement or other document furnished pursuant to or in connection with this Note, the PSP Agreement or the PSP Application or any amendment or modification hereof or thereof, or any waiver hereunder or thereunder, shall prove to have been incorrect in any material respect (or, in the case of any such representation or warranty under this Note already qualified by materiality, such representation or warranty shall prove to have been incorrect) when made or deemed made;</w:t>
      </w:r>
    </w:p>
    <w:p>
      <w:pPr>
        <w:spacing w:after="0" w:line="192" w:lineRule="exact"/>
        <w:rPr>
          <w:rFonts w:ascii="Arial" w:cs="Arial" w:eastAsia="Arial" w:hAnsi="Arial"/>
          <w:sz w:val="18"/>
          <w:szCs w:val="18"/>
          <w:color w:val="auto"/>
        </w:rPr>
      </w:pPr>
    </w:p>
    <w:p>
      <w:pPr>
        <w:ind w:left="260" w:hanging="252"/>
        <w:spacing w:after="0"/>
        <w:tabs>
          <w:tab w:leader="none" w:pos="260" w:val="left"/>
        </w:tabs>
        <w:numPr>
          <w:ilvl w:val="0"/>
          <w:numId w:val="892"/>
        </w:numPr>
        <w:rPr>
          <w:rFonts w:ascii="Arial" w:cs="Arial" w:eastAsia="Arial" w:hAnsi="Arial"/>
          <w:sz w:val="18"/>
          <w:szCs w:val="18"/>
          <w:color w:val="auto"/>
        </w:rPr>
      </w:pPr>
      <w:r>
        <w:rPr>
          <w:rFonts w:ascii="Arial" w:cs="Arial" w:eastAsia="Arial" w:hAnsi="Arial"/>
          <w:sz w:val="18"/>
          <w:szCs w:val="18"/>
          <w:color w:val="auto"/>
        </w:rPr>
        <w:t>the Issuer shall fail to observe or perform any covenant, condition or agreement contained in Section 4.1;</w:t>
      </w:r>
    </w:p>
    <w:p>
      <w:pPr>
        <w:spacing w:after="0" w:line="225" w:lineRule="exact"/>
        <w:rPr>
          <w:rFonts w:ascii="Arial" w:cs="Arial" w:eastAsia="Arial" w:hAnsi="Arial"/>
          <w:sz w:val="18"/>
          <w:szCs w:val="18"/>
          <w:color w:val="auto"/>
        </w:rPr>
      </w:pPr>
    </w:p>
    <w:p>
      <w:pPr>
        <w:ind w:right="200" w:firstLine="8"/>
        <w:spacing w:after="0" w:line="263" w:lineRule="auto"/>
        <w:tabs>
          <w:tab w:leader="none" w:pos="244" w:val="left"/>
        </w:tabs>
        <w:numPr>
          <w:ilvl w:val="0"/>
          <w:numId w:val="892"/>
        </w:numPr>
        <w:rPr>
          <w:rFonts w:ascii="Arial" w:cs="Arial" w:eastAsia="Arial" w:hAnsi="Arial"/>
          <w:sz w:val="18"/>
          <w:szCs w:val="18"/>
          <w:color w:val="auto"/>
        </w:rPr>
      </w:pPr>
      <w:r>
        <w:rPr>
          <w:rFonts w:ascii="Arial" w:cs="Arial" w:eastAsia="Arial" w:hAnsi="Arial"/>
          <w:sz w:val="18"/>
          <w:szCs w:val="18"/>
          <w:color w:val="auto"/>
        </w:rPr>
        <w:t>the Issuer or any Guarantor shall fail to observe or perform any covenant, condition or agreement contained in this Note (other than those specified in clause (a), (b) or (d) of this Section) and such failure shall continue unremedied for a period of 30 or more days after notice thereof by the Holder to the Issuer;</w:t>
      </w:r>
    </w:p>
    <w:p>
      <w:pPr>
        <w:spacing w:after="0" w:line="183" w:lineRule="exact"/>
        <w:rPr>
          <w:rFonts w:ascii="Arial" w:cs="Arial" w:eastAsia="Arial" w:hAnsi="Arial"/>
          <w:sz w:val="18"/>
          <w:szCs w:val="18"/>
          <w:color w:val="auto"/>
        </w:rPr>
      </w:pPr>
    </w:p>
    <w:p>
      <w:pPr>
        <w:ind w:firstLine="8"/>
        <w:spacing w:after="0" w:line="270" w:lineRule="auto"/>
        <w:tabs>
          <w:tab w:leader="none" w:pos="225" w:val="left"/>
        </w:tabs>
        <w:numPr>
          <w:ilvl w:val="0"/>
          <w:numId w:val="892"/>
        </w:numPr>
        <w:rPr>
          <w:rFonts w:ascii="Arial" w:cs="Arial" w:eastAsia="Arial" w:hAnsi="Arial"/>
          <w:sz w:val="17"/>
          <w:szCs w:val="17"/>
          <w:color w:val="auto"/>
        </w:rPr>
      </w:pPr>
      <w:r>
        <w:rPr>
          <w:rFonts w:ascii="Arial" w:cs="Arial" w:eastAsia="Arial" w:hAnsi="Arial"/>
          <w:sz w:val="17"/>
          <w:szCs w:val="17"/>
          <w:color w:val="auto"/>
        </w:rPr>
        <w:t xml:space="preserve">(i) the Issuer or any Guarantor shall default in the performance of any obligation relating to any Indebtedness (other than Indebtedness under the Note) having an aggregate principal amount equal to or greater than $260,000,000.00 (“ </w:t>
      </w:r>
      <w:r>
        <w:rPr>
          <w:rFonts w:ascii="Arial" w:cs="Arial" w:eastAsia="Arial" w:hAnsi="Arial"/>
          <w:sz w:val="17"/>
          <w:szCs w:val="17"/>
          <w:u w:val="single" w:color="auto"/>
          <w:color w:val="auto"/>
        </w:rPr>
        <w:t>Material Indebtedness</w:t>
      </w:r>
      <w:r>
        <w:rPr>
          <w:rFonts w:ascii="Arial" w:cs="Arial" w:eastAsia="Arial" w:hAnsi="Arial"/>
          <w:sz w:val="17"/>
          <w:szCs w:val="17"/>
          <w:color w:val="auto"/>
        </w:rPr>
        <w:t xml:space="preserve"> ”)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such Material Indebtedness to become due prior to its scheduled final maturity date or (ii) the Issuer or any Guarantor shall default in the payment of the outstanding principal amount due on the scheduled final maturity date of any Indebtedness outstanding under one or more agreements of the Issuer or any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or the applicable grace period thereunder, in an aggregate principal amount at any single time unpaid exceeding $260,000,000.00;</w:t>
      </w:r>
    </w:p>
    <w:p>
      <w:pPr>
        <w:spacing w:after="0" w:line="180" w:lineRule="exact"/>
        <w:rPr>
          <w:rFonts w:ascii="Arial" w:cs="Arial" w:eastAsia="Arial" w:hAnsi="Arial"/>
          <w:sz w:val="17"/>
          <w:szCs w:val="17"/>
          <w:color w:val="auto"/>
        </w:rPr>
      </w:pPr>
    </w:p>
    <w:p>
      <w:pPr>
        <w:jc w:val="both"/>
        <w:ind w:right="160" w:firstLine="8"/>
        <w:spacing w:after="0" w:line="291" w:lineRule="auto"/>
        <w:tabs>
          <w:tab w:leader="none" w:pos="255" w:val="left"/>
        </w:tabs>
        <w:numPr>
          <w:ilvl w:val="0"/>
          <w:numId w:val="892"/>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the Issuer, any Guarantor or any Subsidiary or its debts, or of a substantial part of its assets, under any Debtor Relief Law now or hereafter in effect or</w:t>
      </w:r>
    </w:p>
    <w:p>
      <w:pPr>
        <w:ind w:right="100" w:firstLine="8"/>
        <w:spacing w:after="0" w:line="255" w:lineRule="auto"/>
        <w:tabs>
          <w:tab w:leader="none" w:pos="265" w:val="left"/>
        </w:tabs>
        <w:numPr>
          <w:ilvl w:val="0"/>
          <w:numId w:val="893"/>
        </w:numPr>
        <w:rPr>
          <w:rFonts w:ascii="Arial" w:cs="Arial" w:eastAsia="Arial" w:hAnsi="Arial"/>
          <w:sz w:val="18"/>
          <w:szCs w:val="18"/>
          <w:color w:val="auto"/>
        </w:rPr>
      </w:pPr>
      <w:r>
        <w:rPr>
          <w:rFonts w:ascii="Arial" w:cs="Arial" w:eastAsia="Arial" w:hAnsi="Arial"/>
          <w:sz w:val="18"/>
          <w:szCs w:val="18"/>
          <w:color w:val="auto"/>
        </w:rPr>
        <w:t>the appointment of a receiver, trustee, custodian, sequestrator, conservator or similar official for the Issuer or any of its Subsidiaries or for a substantial part of its assets, and, in any such case, such proceeding or petition shall continue undismissed for a period of 60 or more days or an order or decree approving or ordering any of the foregoing shall be entered;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654" w:name="page655"/>
    <w:bookmarkEnd w:id="654"/>
    <w:p>
      <w:pPr>
        <w:ind w:right="40" w:firstLine="8"/>
        <w:spacing w:after="0" w:line="296" w:lineRule="auto"/>
        <w:tabs>
          <w:tab w:leader="none" w:pos="255" w:val="left"/>
        </w:tabs>
        <w:numPr>
          <w:ilvl w:val="0"/>
          <w:numId w:val="894"/>
        </w:numPr>
        <w:rPr>
          <w:rFonts w:ascii="Arial" w:cs="Arial" w:eastAsia="Arial" w:hAnsi="Arial"/>
          <w:sz w:val="16"/>
          <w:szCs w:val="16"/>
          <w:color w:val="auto"/>
        </w:rPr>
      </w:pPr>
      <w:r>
        <w:rPr>
          <w:rFonts w:ascii="Arial" w:cs="Arial" w:eastAsia="Arial" w:hAnsi="Arial"/>
          <w:sz w:val="16"/>
          <w:szCs w:val="16"/>
          <w:color w:val="auto"/>
        </w:rPr>
        <w:t>the Issuer, any Guarantor or any Subsidiary shall (i) voluntarily commence any proceeding or file any petition seeking liquidation, reorganization or other relief under any Debtor Relief Law now or hereafter in effect, (ii) consent to the institution of, or fail to contest in a timely and appropriate manner, any proceeding or petition described in clause (g) of this Section, (iii) apply for or consent to the appointment of a receiver, trustee, custodian, sequestrator, conservator or similar official for the Issuer, any Guarantor or any Subsidiary or for a substantial part of its assets, (iv) file an answer admitting the material allegations of a petition filed against it in any such proceeding or (v) make a general assignment for the benefit of creditors;</w:t>
      </w:r>
    </w:p>
    <w:p>
      <w:pPr>
        <w:spacing w:after="0" w:line="161" w:lineRule="exact"/>
        <w:rPr>
          <w:rFonts w:ascii="Arial" w:cs="Arial" w:eastAsia="Arial" w:hAnsi="Arial"/>
          <w:sz w:val="16"/>
          <w:szCs w:val="16"/>
          <w:color w:val="auto"/>
        </w:rPr>
      </w:pPr>
    </w:p>
    <w:p>
      <w:pPr>
        <w:ind w:left="220" w:hanging="212"/>
        <w:spacing w:after="0"/>
        <w:tabs>
          <w:tab w:leader="none" w:pos="220" w:val="left"/>
        </w:tabs>
        <w:numPr>
          <w:ilvl w:val="0"/>
          <w:numId w:val="894"/>
        </w:numPr>
        <w:rPr>
          <w:rFonts w:ascii="Arial" w:cs="Arial" w:eastAsia="Arial" w:hAnsi="Arial"/>
          <w:sz w:val="17"/>
          <w:szCs w:val="17"/>
          <w:color w:val="auto"/>
        </w:rPr>
      </w:pPr>
      <w:r>
        <w:rPr>
          <w:rFonts w:ascii="Arial" w:cs="Arial" w:eastAsia="Arial" w:hAnsi="Arial"/>
          <w:sz w:val="17"/>
          <w:szCs w:val="17"/>
          <w:color w:val="auto"/>
        </w:rPr>
        <w:t>the Issuer, any Guarantor or any Subsidiary shall become unable, admit in writing its inability or fail generally to pay its debts as they become due;</w:t>
      </w:r>
    </w:p>
    <w:p>
      <w:pPr>
        <w:spacing w:after="0" w:line="236" w:lineRule="exact"/>
        <w:rPr>
          <w:rFonts w:ascii="Arial" w:cs="Arial" w:eastAsia="Arial" w:hAnsi="Arial"/>
          <w:sz w:val="17"/>
          <w:szCs w:val="17"/>
          <w:color w:val="auto"/>
        </w:rPr>
      </w:pPr>
    </w:p>
    <w:p>
      <w:pPr>
        <w:ind w:right="20" w:firstLine="8"/>
        <w:spacing w:after="0" w:line="293" w:lineRule="auto"/>
        <w:tabs>
          <w:tab w:leader="none" w:pos="215" w:val="left"/>
        </w:tabs>
        <w:numPr>
          <w:ilvl w:val="0"/>
          <w:numId w:val="894"/>
        </w:numPr>
        <w:rPr>
          <w:rFonts w:ascii="Arial" w:cs="Arial" w:eastAsia="Arial" w:hAnsi="Arial"/>
          <w:sz w:val="16"/>
          <w:szCs w:val="16"/>
          <w:color w:val="auto"/>
        </w:rPr>
      </w:pPr>
      <w:r>
        <w:rPr>
          <w:rFonts w:ascii="Arial" w:cs="Arial" w:eastAsia="Arial" w:hAnsi="Arial"/>
          <w:sz w:val="16"/>
          <w:szCs w:val="16"/>
          <w:color w:val="auto"/>
        </w:rPr>
        <w:t>there is entered against the Issuer, any Guarantor or any Subsidiary (i) a final judgment or order for the payment of money in an aggregate amount (as to all such judgments and orders) exceeding an amount equal to or greater than $260,000,000.00 (to the extent not covered by independent third-party insurance as to which the insurer has been notified of such judgment or order and has not denied or failed to acknowledge coverage), or (ii) a non-monetary final judgment or order that, either individually or in the aggregate, has or could reasonably be expected to have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64" w:lineRule="exact"/>
        <w:rPr>
          <w:rFonts w:ascii="Arial" w:cs="Arial" w:eastAsia="Arial" w:hAnsi="Arial"/>
          <w:sz w:val="16"/>
          <w:szCs w:val="16"/>
          <w:color w:val="auto"/>
        </w:rPr>
      </w:pPr>
    </w:p>
    <w:p>
      <w:pPr>
        <w:ind w:right="40" w:firstLine="8"/>
        <w:spacing w:after="0" w:line="259" w:lineRule="auto"/>
        <w:tabs>
          <w:tab w:leader="none" w:pos="255" w:val="left"/>
        </w:tabs>
        <w:numPr>
          <w:ilvl w:val="0"/>
          <w:numId w:val="894"/>
        </w:numPr>
        <w:rPr>
          <w:rFonts w:ascii="Arial" w:cs="Arial" w:eastAsia="Arial" w:hAnsi="Arial"/>
          <w:sz w:val="18"/>
          <w:szCs w:val="18"/>
          <w:color w:val="auto"/>
        </w:rPr>
      </w:pPr>
      <w:r>
        <w:rPr>
          <w:rFonts w:ascii="Arial" w:cs="Arial" w:eastAsia="Arial" w:hAnsi="Arial"/>
          <w:sz w:val="18"/>
          <w:szCs w:val="18"/>
          <w:color w:val="auto"/>
        </w:rPr>
        <w:t>any material provision of the Note, at any time after its execution and delivery and for any reason other than as expressly permitted hereunder or satisfaction in full of all Obligations, ceases to be in full force and effect; or the Issuer, any Guarantor or any other Person contests in writing the validity or enforceability of any provision of the Note; or the Issuer or any Guarantor denies in writing that it has any or further liability or obligation under the Note, or purports in writing to revoke, terminate or rescind the Note;</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then, and in every such event (other than an event with respect to the Issuer or any Guarantor described in clause (g) or (h) of this Section), and at any time thereafter during the continuance of such event, the Holder may, by notice to the Issuer, take any or all of the following actions, at the same or different times:</w:t>
      </w:r>
    </w:p>
    <w:p>
      <w:pPr>
        <w:spacing w:after="0" w:line="103" w:lineRule="exact"/>
        <w:rPr>
          <w:sz w:val="20"/>
          <w:szCs w:val="20"/>
          <w:color w:val="auto"/>
        </w:rPr>
      </w:pPr>
    </w:p>
    <w:p>
      <w:pPr>
        <w:ind w:right="240" w:firstLine="8"/>
        <w:spacing w:after="0" w:line="301" w:lineRule="auto"/>
        <w:tabs>
          <w:tab w:leader="none" w:pos="215" w:val="left"/>
        </w:tabs>
        <w:numPr>
          <w:ilvl w:val="0"/>
          <w:numId w:val="895"/>
        </w:numPr>
        <w:rPr>
          <w:rFonts w:ascii="Arial" w:cs="Arial" w:eastAsia="Arial" w:hAnsi="Arial"/>
          <w:sz w:val="16"/>
          <w:szCs w:val="16"/>
          <w:color w:val="auto"/>
        </w:rPr>
      </w:pPr>
      <w:r>
        <w:rPr>
          <w:rFonts w:ascii="Arial" w:cs="Arial" w:eastAsia="Arial" w:hAnsi="Arial"/>
          <w:sz w:val="16"/>
          <w:szCs w:val="16"/>
          <w:color w:val="auto"/>
        </w:rPr>
        <w:t>declare any amounts then outstanding under the Note to be due and payable in whole (or in part, in which case any principal not so declared to be due and payable may thereafter be declared to be due and payable), and thereupon the principal of the Note so declared to be due and payable, together with accrued interest thereon and all fees and other Obligations of the Issuer accrued hereunder, shall become due and payable immediately, without presentment, demand, protest or other notice of any kind, all of which are hereby waived by the Issuer and any Guarantor; and</w:t>
      </w:r>
    </w:p>
    <w:p>
      <w:pPr>
        <w:spacing w:after="0" w:line="157" w:lineRule="exact"/>
        <w:rPr>
          <w:rFonts w:ascii="Arial" w:cs="Arial" w:eastAsia="Arial" w:hAnsi="Arial"/>
          <w:sz w:val="16"/>
          <w:szCs w:val="16"/>
          <w:color w:val="auto"/>
        </w:rPr>
      </w:pPr>
    </w:p>
    <w:p>
      <w:pPr>
        <w:ind w:left="280" w:hanging="272"/>
        <w:spacing w:after="0"/>
        <w:tabs>
          <w:tab w:leader="none" w:pos="280" w:val="left"/>
        </w:tabs>
        <w:numPr>
          <w:ilvl w:val="0"/>
          <w:numId w:val="895"/>
        </w:numPr>
        <w:rPr>
          <w:rFonts w:ascii="Arial" w:cs="Arial" w:eastAsia="Arial" w:hAnsi="Arial"/>
          <w:sz w:val="18"/>
          <w:szCs w:val="18"/>
          <w:color w:val="auto"/>
        </w:rPr>
      </w:pPr>
      <w:r>
        <w:rPr>
          <w:rFonts w:ascii="Arial" w:cs="Arial" w:eastAsia="Arial" w:hAnsi="Arial"/>
          <w:sz w:val="18"/>
          <w:szCs w:val="18"/>
          <w:color w:val="auto"/>
        </w:rPr>
        <w:t>exercise on all rights and remedies available to it under the Note and Applicable Law;</w:t>
      </w:r>
    </w:p>
    <w:p>
      <w:pPr>
        <w:spacing w:after="0" w:line="225"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any event with respect to the Issuer or any Guarantor described in clause (g) or (h) of this Section, the principal of the Note then outstanding, together with accrued interest thereon and all fees and other Obligations accrued hereunder, shall automatically become due and payable, in each case without presentment, demand, protest or other notice of any kind, all of which are hereby waived by the Issuer and any Guarantor.</w:t>
      </w:r>
    </w:p>
    <w:p>
      <w:pPr>
        <w:spacing w:after="0" w:line="77" w:lineRule="exact"/>
        <w:rPr>
          <w:sz w:val="20"/>
          <w:szCs w:val="20"/>
          <w:color w:val="auto"/>
        </w:rPr>
      </w:pPr>
    </w:p>
    <w:p>
      <w:pPr>
        <w:ind w:left="160" w:hanging="152"/>
        <w:spacing w:after="0"/>
        <w:tabs>
          <w:tab w:leader="none" w:pos="160" w:val="left"/>
        </w:tabs>
        <w:numPr>
          <w:ilvl w:val="0"/>
          <w:numId w:val="896"/>
        </w:numPr>
        <w:rPr>
          <w:rFonts w:ascii="Arial" w:cs="Arial" w:eastAsia="Arial" w:hAnsi="Arial"/>
          <w:sz w:val="20"/>
          <w:szCs w:val="20"/>
          <w:color w:val="auto"/>
        </w:rPr>
      </w:pPr>
      <w:r>
        <w:rPr>
          <w:rFonts w:ascii="Arial" w:cs="Arial" w:eastAsia="Arial" w:hAnsi="Arial"/>
          <w:sz w:val="18"/>
          <w:szCs w:val="18"/>
          <w:b w:val="1"/>
          <w:bCs w:val="1"/>
          <w:u w:val="single" w:color="auto"/>
          <w:color w:val="auto"/>
        </w:rPr>
        <w:t>MISCELLANEOUS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w:t>
      </w:r>
    </w:p>
    <w:p>
      <w:pPr>
        <w:spacing w:after="0" w:line="225" w:lineRule="exact"/>
        <w:rPr>
          <w:sz w:val="20"/>
          <w:szCs w:val="20"/>
          <w:color w:val="auto"/>
        </w:rPr>
      </w:pPr>
    </w:p>
    <w:p>
      <w:pPr>
        <w:ind w:right="320" w:firstLine="8"/>
        <w:spacing w:after="0" w:line="263" w:lineRule="auto"/>
        <w:tabs>
          <w:tab w:leader="none" w:pos="244" w:val="left"/>
        </w:tabs>
        <w:numPr>
          <w:ilvl w:val="0"/>
          <w:numId w:val="897"/>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xml:space="preserve"> .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email as follows:</w:t>
      </w:r>
    </w:p>
    <w:p>
      <w:pPr>
        <w:spacing w:after="0" w:line="184" w:lineRule="exact"/>
        <w:rPr>
          <w:sz w:val="20"/>
          <w:szCs w:val="20"/>
          <w:color w:val="auto"/>
        </w:rPr>
      </w:pPr>
    </w:p>
    <w:p>
      <w:pPr>
        <w:ind w:left="220" w:hanging="212"/>
        <w:spacing w:after="0"/>
        <w:tabs>
          <w:tab w:leader="none" w:pos="220" w:val="left"/>
        </w:tabs>
        <w:numPr>
          <w:ilvl w:val="0"/>
          <w:numId w:val="898"/>
        </w:numPr>
        <w:rPr>
          <w:rFonts w:ascii="Arial" w:cs="Arial" w:eastAsia="Arial" w:hAnsi="Arial"/>
          <w:sz w:val="16"/>
          <w:szCs w:val="16"/>
          <w:color w:val="auto"/>
        </w:rPr>
      </w:pPr>
      <w:r>
        <w:rPr>
          <w:rFonts w:ascii="Arial" w:cs="Arial" w:eastAsia="Arial" w:hAnsi="Arial"/>
          <w:sz w:val="16"/>
          <w:szCs w:val="16"/>
          <w:color w:val="auto"/>
        </w:rPr>
        <w:t>if to the Issuer or any Guarantor, to 1 Skyview Drive, Fort Worth, Texas, 76155, Attention of Thomas T. Weir, Treasurer (Telephone No. ###; Email: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w:t>
      </w:r>
    </w:p>
    <w:p>
      <w:pPr>
        <w:spacing w:after="0" w:line="210" w:lineRule="exact"/>
        <w:rPr>
          <w:rFonts w:ascii="Arial" w:cs="Arial" w:eastAsia="Arial" w:hAnsi="Arial"/>
          <w:sz w:val="16"/>
          <w:szCs w:val="16"/>
          <w:color w:val="auto"/>
        </w:rPr>
      </w:pPr>
    </w:p>
    <w:p>
      <w:pPr>
        <w:ind w:firstLine="8"/>
        <w:spacing w:after="0" w:line="277" w:lineRule="auto"/>
        <w:tabs>
          <w:tab w:leader="none" w:pos="265" w:val="left"/>
        </w:tabs>
        <w:numPr>
          <w:ilvl w:val="0"/>
          <w:numId w:val="898"/>
        </w:numPr>
        <w:rPr>
          <w:rFonts w:ascii="Arial" w:cs="Arial" w:eastAsia="Arial" w:hAnsi="Arial"/>
          <w:sz w:val="18"/>
          <w:szCs w:val="18"/>
          <w:color w:val="auto"/>
        </w:rPr>
      </w:pPr>
      <w:r>
        <w:rPr>
          <w:rFonts w:ascii="Arial" w:cs="Arial" w:eastAsia="Arial" w:hAnsi="Arial"/>
          <w:sz w:val="18"/>
          <w:szCs w:val="18"/>
          <w:color w:val="auto"/>
        </w:rPr>
        <w:t xml:space="preserve">if to the Holder, to the Department of the Treasury at 1500 Pennsylvania Avenue, NW, Washington, D.C. 20220, Attention of Assistant General Counsel (Banking and Finance) (Telephone No. ###; Email: </w:t>
      </w:r>
      <w:r>
        <w:rPr>
          <w:rFonts w:ascii="Arial" w:cs="Arial" w:eastAsia="Arial" w:hAnsi="Arial"/>
          <w:sz w:val="18"/>
          <w:szCs w:val="18"/>
          <w:u w:val="single" w:color="auto"/>
          <w:color w:val="auto"/>
        </w:rPr>
        <w:t>###</w:t>
      </w:r>
      <w:r>
        <w:rPr>
          <w:rFonts w:ascii="Arial" w:cs="Arial" w:eastAsia="Arial" w:hAnsi="Arial"/>
          <w:sz w:val="18"/>
          <w:szCs w:val="18"/>
          <w:color w:val="auto"/>
        </w:rPr>
        <w:t xml:space="preserve"> ); and</w:t>
      </w:r>
    </w:p>
    <w:p>
      <w:pPr>
        <w:spacing w:after="0" w:line="17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Notices sent by hand or overnight courier service, or mailed by certified or registered mail, shall be deemed to have been given when received. Notices delivered through electronic communications, to the extent provided in paragraph (b) below, shall be effective as provided in said paragraph (b).</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55" w:name="page656"/>
    <w:bookmarkEnd w:id="655"/>
    <w:p>
      <w:pPr>
        <w:ind w:firstLine="8"/>
        <w:spacing w:after="0" w:line="220" w:lineRule="exact"/>
        <w:tabs>
          <w:tab w:leader="none" w:pos="255" w:val="left"/>
        </w:tabs>
        <w:numPr>
          <w:ilvl w:val="0"/>
          <w:numId w:val="899"/>
        </w:numPr>
        <w:rPr>
          <w:rFonts w:ascii="Arial" w:cs="Arial" w:eastAsia="Arial" w:hAnsi="Arial"/>
          <w:sz w:val="17"/>
          <w:szCs w:val="17"/>
          <w:color w:val="auto"/>
        </w:rPr>
      </w:pPr>
      <w:r>
        <w:rPr>
          <w:rFonts w:ascii="Arial" w:cs="Arial" w:eastAsia="Arial" w:hAnsi="Arial"/>
          <w:sz w:val="17"/>
          <w:szCs w:val="17"/>
          <w:u w:val="single" w:color="auto"/>
          <w:color w:val="auto"/>
        </w:rPr>
        <w:t>Electronic Communications</w:t>
      </w:r>
      <w:r>
        <w:rPr>
          <w:rFonts w:ascii="Arial" w:cs="Arial" w:eastAsia="Arial" w:hAnsi="Arial"/>
          <w:sz w:val="17"/>
          <w:szCs w:val="17"/>
          <w:color w:val="auto"/>
        </w:rPr>
        <w:t xml:space="preserve"> . Notices and other communications to the Holder hereunder may be delivered or furnished by electronic communication (including e</w:t>
      </w:r>
      <w:r>
        <w:rPr>
          <w:rFonts w:ascii="MS PGothic" w:cs="MS PGothic" w:eastAsia="MS PGothic" w:hAnsi="MS PGothic"/>
          <w:sz w:val="17"/>
          <w:szCs w:val="17"/>
          <w:color w:val="auto"/>
        </w:rPr>
        <w:t>‑</w:t>
      </w:r>
      <w:r>
        <w:rPr>
          <w:rFonts w:ascii="Arial" w:cs="Arial" w:eastAsia="Arial" w:hAnsi="Arial"/>
          <w:sz w:val="17"/>
          <w:szCs w:val="17"/>
          <w:color w:val="auto"/>
        </w:rPr>
        <w:t xml:space="preserve">mail, FpML, and Internet or intranet websites) pursuant to procedures approved by the Holder. The Holder, the Issuer or any Guarantor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 w:lineRule="exact"/>
        <w:rPr>
          <w:rFonts w:ascii="Arial" w:cs="Arial" w:eastAsia="Arial" w:hAnsi="Arial"/>
          <w:sz w:val="17"/>
          <w:szCs w:val="17"/>
          <w:color w:val="auto"/>
        </w:rPr>
      </w:pPr>
    </w:p>
    <w:p>
      <w:pPr>
        <w:ind w:right="12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Unless the Holder otherwise prescribes, (i) notices and other communications sent to an e-mail address shall be deemed received upon the sender’s receipt of an acknowledgement from the intended recipient (such as by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Waivers; Amendments</w:t>
      </w:r>
      <w:r>
        <w:rPr>
          <w:rFonts w:ascii="Arial" w:cs="Arial" w:eastAsia="Arial" w:hAnsi="Arial"/>
          <w:sz w:val="18"/>
          <w:szCs w:val="18"/>
          <w:color w:val="auto"/>
        </w:rPr>
        <w:t xml:space="preserve"> .</w:t>
      </w:r>
    </w:p>
    <w:p>
      <w:pPr>
        <w:spacing w:after="0" w:line="225" w:lineRule="exact"/>
        <w:rPr>
          <w:sz w:val="20"/>
          <w:szCs w:val="20"/>
          <w:color w:val="auto"/>
        </w:rPr>
      </w:pPr>
    </w:p>
    <w:p>
      <w:pPr>
        <w:ind w:right="100" w:firstLine="8"/>
        <w:spacing w:after="0" w:line="275" w:lineRule="auto"/>
        <w:tabs>
          <w:tab w:leader="none" w:pos="244" w:val="left"/>
        </w:tabs>
        <w:numPr>
          <w:ilvl w:val="0"/>
          <w:numId w:val="900"/>
        </w:numPr>
        <w:rPr>
          <w:rFonts w:ascii="Arial" w:cs="Arial" w:eastAsia="Arial" w:hAnsi="Arial"/>
          <w:sz w:val="17"/>
          <w:szCs w:val="17"/>
          <w:color w:val="auto"/>
        </w:rPr>
      </w:pPr>
      <w:r>
        <w:rPr>
          <w:rFonts w:ascii="Arial" w:cs="Arial" w:eastAsia="Arial" w:hAnsi="Arial"/>
          <w:sz w:val="17"/>
          <w:szCs w:val="17"/>
          <w:u w:val="single" w:color="auto"/>
          <w:color w:val="auto"/>
        </w:rPr>
        <w:t>No Waiver; Remedies Cumulative; Enforcement</w:t>
      </w:r>
      <w:r>
        <w:rPr>
          <w:rFonts w:ascii="Arial" w:cs="Arial" w:eastAsia="Arial" w:hAnsi="Arial"/>
          <w:sz w:val="17"/>
          <w:szCs w:val="17"/>
          <w:color w:val="auto"/>
        </w:rPr>
        <w:t xml:space="preserve"> . No failure or delay by the Holder in exercising any right, remedy, power or privilege hereunder shall operate as a waiver thereof, nor shall any single or partial exercise of any such right, remedy, power or privilege, or any abandonment or discontinuance of steps to enforce such a right remedy, power or privilege, preclude any other or further exercise thereof or the exercise of any other right remedy, power or privilege. The rights, remedies, powers and privileges of the Holder hereunder and under the Note are cumulative and are not exclusive of any rights, remedies, powers or privileges that any such Person would otherwise have.</w:t>
      </w:r>
    </w:p>
    <w:p>
      <w:pPr>
        <w:spacing w:after="0" w:line="176" w:lineRule="exact"/>
        <w:rPr>
          <w:rFonts w:ascii="Arial" w:cs="Arial" w:eastAsia="Arial" w:hAnsi="Arial"/>
          <w:sz w:val="17"/>
          <w:szCs w:val="17"/>
          <w:color w:val="auto"/>
        </w:rPr>
      </w:pPr>
    </w:p>
    <w:p>
      <w:pPr>
        <w:ind w:right="200" w:firstLine="8"/>
        <w:spacing w:after="0" w:line="263" w:lineRule="auto"/>
        <w:tabs>
          <w:tab w:leader="none" w:pos="255" w:val="left"/>
        </w:tabs>
        <w:numPr>
          <w:ilvl w:val="0"/>
          <w:numId w:val="900"/>
        </w:numPr>
        <w:rPr>
          <w:rFonts w:ascii="Arial" w:cs="Arial" w:eastAsia="Arial" w:hAnsi="Arial"/>
          <w:sz w:val="18"/>
          <w:szCs w:val="18"/>
          <w:color w:val="auto"/>
        </w:rPr>
      </w:pP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 Except as otherwise expressly set forth in this Note, no amendment or waiver of any provision of this Note, and no consent to any departure by the Issuer therefrom, shall be effective unless in writing executed by the Issuer and the Holder, and each such waiver or consent shall be effective only in the specific instance and for the specific purpose for which given.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 xml:space="preserve"> .</w:t>
      </w:r>
    </w:p>
    <w:p>
      <w:pPr>
        <w:spacing w:after="0" w:line="225" w:lineRule="exact"/>
        <w:rPr>
          <w:sz w:val="20"/>
          <w:szCs w:val="20"/>
          <w:color w:val="auto"/>
        </w:rPr>
      </w:pPr>
    </w:p>
    <w:p>
      <w:pPr>
        <w:ind w:right="100" w:firstLine="8"/>
        <w:spacing w:after="0" w:line="217" w:lineRule="exact"/>
        <w:tabs>
          <w:tab w:leader="none" w:pos="244" w:val="left"/>
        </w:tabs>
        <w:numPr>
          <w:ilvl w:val="0"/>
          <w:numId w:val="901"/>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xml:space="preserve"> . The Issuer shall pay (i) all reasonable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by the Holder (including the reasonable fees, charges and disbursements of any counsel for the Holder) in connection with the preparation, negotiation, execution, delivery and administration of this Note and the PSP Agreement, any other agreements or documents executed in connection herewith or therewith, or any amendments, modifications or waivers of the provisions hereof or thereof (whether or not the transactions contemplated hereby or thereby shall be consummated), and (ii) all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by the Holder (including the fees, charges and disbursements of any counsel for the Holder), in connection with the enforcement or protection of its rights in connection with this Note and the PSP Agreement, any other agreements or documents executed in connection herewith or therewith, or any amendments, modifications or waivers of the provisions hereof or thereof (whether or not the transactions contemplated hereby or thereby shall be consummated), including all such out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during any workout, restructuring, negotiations or enforcement in respect of such Note, PSP Agreement and other agreements or documents executed in connection herewith or therewith.</w:t>
      </w:r>
    </w:p>
    <w:p>
      <w:pPr>
        <w:spacing w:after="0" w:line="207" w:lineRule="exact"/>
        <w:rPr>
          <w:rFonts w:ascii="Arial" w:cs="Arial" w:eastAsia="Arial" w:hAnsi="Arial"/>
          <w:sz w:val="16"/>
          <w:szCs w:val="16"/>
          <w:color w:val="auto"/>
        </w:rPr>
      </w:pPr>
    </w:p>
    <w:p>
      <w:pPr>
        <w:ind w:right="140" w:firstLine="8"/>
        <w:spacing w:after="0" w:line="289" w:lineRule="auto"/>
        <w:tabs>
          <w:tab w:leader="none" w:pos="255" w:val="left"/>
        </w:tabs>
        <w:numPr>
          <w:ilvl w:val="0"/>
          <w:numId w:val="901"/>
        </w:numPr>
        <w:rPr>
          <w:rFonts w:ascii="Arial" w:cs="Arial" w:eastAsia="Arial" w:hAnsi="Arial"/>
          <w:sz w:val="16"/>
          <w:szCs w:val="16"/>
          <w:color w:val="auto"/>
        </w:rPr>
      </w:pPr>
      <w:r>
        <w:rPr>
          <w:rFonts w:ascii="Arial" w:cs="Arial" w:eastAsia="Arial" w:hAnsi="Arial"/>
          <w:sz w:val="16"/>
          <w:szCs w:val="16"/>
          <w:u w:val="single" w:color="auto"/>
          <w:color w:val="auto"/>
        </w:rPr>
        <w:t>Indemnification by the Issuer</w:t>
      </w:r>
      <w:r>
        <w:rPr>
          <w:rFonts w:ascii="Arial" w:cs="Arial" w:eastAsia="Arial" w:hAnsi="Arial"/>
          <w:sz w:val="16"/>
          <w:szCs w:val="16"/>
          <w:color w:val="auto"/>
        </w:rPr>
        <w:t xml:space="preserve"> . The Issuer shall indemnify the Holder and each of its Related Parties (each such Person being called an “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 against, and hold each Indemnitee harmless from, any and all losses, claims, damages, liabilities, obligations, penalties, fines, settlements, judgments, disbursements and related costs and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Issuer) arising out of, in connection with, or as a result of (i) the execution or delivery of this Note or any agreement or instrument contemplated hereby, the performance by the Issuer or any Guarantor of its obligations hereunder or the consummation of the transactions contemplated hereby, (ii) the Note or the use or proposed use of the proceeds therefrom, or (iii) any actual or prospective claim, litigation, investigation or proceeding relating to any of the foregoing, whether based on contract, tort or any other theory, whether brought by a third party or by the Issuer or any Guarantor, and regardless of whether any Indemnitee is a party thereto.</w:t>
      </w:r>
    </w:p>
    <w:p>
      <w:pPr>
        <w:spacing w:after="0" w:line="166" w:lineRule="exact"/>
        <w:rPr>
          <w:rFonts w:ascii="Arial" w:cs="Arial" w:eastAsia="Arial" w:hAnsi="Arial"/>
          <w:sz w:val="16"/>
          <w:szCs w:val="16"/>
          <w:color w:val="auto"/>
        </w:rPr>
      </w:pPr>
    </w:p>
    <w:p>
      <w:pPr>
        <w:ind w:left="260" w:hanging="252"/>
        <w:spacing w:after="0"/>
        <w:tabs>
          <w:tab w:leader="none" w:pos="260" w:val="left"/>
        </w:tabs>
        <w:numPr>
          <w:ilvl w:val="0"/>
          <w:numId w:val="901"/>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the Issuer and any Guarantor shall not assert, and hereby</w:t>
      </w:r>
    </w:p>
    <w:p>
      <w:pPr>
        <w:spacing w:after="0" w:line="46"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waives, any claim against any Indemnitee, on any theory of liability, for special, indirect, consequential or punitive damages (as opposed to direct or actual damages) arising out of, in connection with, or as a result of, this Note or any agreement or instrument contemplated hereby, the transactions contemplated hereby, or the use of the proceeds thereof. No Indemnitee referred to in paragraph (b) above shall be liable for any damages arising from the use by unintended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56" w:name="page657"/>
    <w:bookmarkEnd w:id="656"/>
    <w:p>
      <w:pPr>
        <w:ind w:right="460"/>
        <w:spacing w:after="0" w:line="277" w:lineRule="auto"/>
        <w:rPr>
          <w:sz w:val="20"/>
          <w:szCs w:val="20"/>
          <w:color w:val="auto"/>
        </w:rPr>
      </w:pPr>
      <w:r>
        <w:rPr>
          <w:rFonts w:ascii="Arial" w:cs="Arial" w:eastAsia="Arial" w:hAnsi="Arial"/>
          <w:sz w:val="18"/>
          <w:szCs w:val="18"/>
          <w:color w:val="auto"/>
        </w:rPr>
        <w:t>recipients of any information or other materials distributed by it through telecommunications, electronic or other information transmission systems in connection with this Note or the transactions contemplated hereby.</w:t>
      </w:r>
    </w:p>
    <w:p>
      <w:pPr>
        <w:spacing w:after="0" w:line="170" w:lineRule="exact"/>
        <w:rPr>
          <w:sz w:val="20"/>
          <w:szCs w:val="20"/>
          <w:color w:val="auto"/>
        </w:rPr>
      </w:pPr>
    </w:p>
    <w:p>
      <w:pPr>
        <w:ind w:left="260" w:hanging="252"/>
        <w:spacing w:after="0"/>
        <w:tabs>
          <w:tab w:leader="none" w:pos="260" w:val="left"/>
        </w:tabs>
        <w:numPr>
          <w:ilvl w:val="0"/>
          <w:numId w:val="90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 All amounts due under this Section shall be payable not later than five (5) days after demand therefor.</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0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 Each party’s obligations under this Section shall survive the termination of the Note and payment of the obligations hereunder.</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 Neither the Issuer nor any Guarantor may assign or transfer this Note or any of its rights or obligations hereunder and any purported assignment or transfer in violation of this Note shall be void. Holder may assign or participate a portion or all of its rights under this Note at any time in compliance with all Applicable Laws. This Note shall inure to the benefit of and be binding upon Issuer, any Guarantor and Holder and their permitted successors and assigns. Any Holder that assigns, or sells participations in, any portion of the Note will take such actions as are necessary for the Note and such portion to be in “registered form” (within the meaning of Treasury Regulations Section 5f.103-1).</w:t>
      </w:r>
    </w:p>
    <w:p>
      <w:pPr>
        <w:spacing w:after="0" w:line="17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 This Note and any amendments, waivers, consents or supplements hereto may be executed in counterparts, each of which shall constitute an original, but all taken together shall constitute a single contract. This Note constitutes the entire contract between Issuer, any Guarantor and the Holder with respect to the subject matter hereof and supersede all previous agreements and understandings, oral or written, with respect thereto. Notwithstanding anything herein to the contrary, delivery of an executed counterpart of a signature page of this Note by electronic means shall be effective as delivery of a manually executed counterpart of this Note.</w:t>
      </w:r>
    </w:p>
    <w:p>
      <w:pPr>
        <w:spacing w:after="0" w:line="17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 If any term or provision of this Note is invalid, illegal or unenforceable in any jurisdiction, such invalidity, illegality or unenforceability shall not affect any other term or provision of this Note or invalidate or render unenforceable such term or provision in any other jurisdiction.</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 If an Event of Default shall have occurred and be continuing, the Holder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the Holder, to or for the credit or the account of the Issuer against any and all of the due and unpaid Obligations of the Issuer now or hereafter existing under this Note to the Holder, irrespective of whether or not the Holder shall have made any demand under this Note. The rights of the Holder under this Section are in addition to other rights and remedies (including other rights of setoff) that the Holder may have. The Holder agrees to notify the Issuer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7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 xml:space="preserve"> . This Note will be governed by and construed in accordance with the federal law of the United States if and to the extent such law is applicable, and otherwise in accordance with the laws of the State of New York applicable to contracts made and to be performed entirely within such State. Each of the Issuer, any Guarantor and the Holder agrees (a) to submit to the exclusive jurisdiction and venue of the United States District Court for the District of Columbia for any civil action, suit or proceeding arising out of or relating to this Note or the transactions contemplated hereby, and (b) that notice may be served upon the Issuer, any Guarantor or the Holder at the applicable address in Section 6.1 hereof (or upon any Holder that is not Treasury at an address provided by such Holder to Issuer in writing). To the extent permitted by Applicable Law, each of the Issuer, any Guarantor and the Holder hereby unconditionally waives trial by jury in any civil legal action or proceeding relating to the Note or the transactions contemplated hereby.</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 Section headings used herein are for convenience of reference only, are not part of this Note and shall not affect the construction of, or be taken into consideration in interpreting, this Note.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657" w:name="page658"/>
    <w:bookmarkEnd w:id="657"/>
    <w:p>
      <w:pPr>
        <w:spacing w:after="0"/>
        <w:rPr>
          <w:sz w:val="20"/>
          <w:szCs w:val="20"/>
          <w:color w:val="auto"/>
        </w:rPr>
      </w:pPr>
      <w:r>
        <w:rPr>
          <w:rFonts w:ascii="Arial" w:cs="Arial" w:eastAsia="Arial" w:hAnsi="Arial"/>
          <w:sz w:val="16"/>
          <w:szCs w:val="16"/>
          <w:color w:val="auto"/>
        </w:rPr>
        <w:t>IN WITNESS WHEREOF, the Issuer and each Guarantor have executed this Note as of the day and year written below.</w:t>
      </w:r>
    </w:p>
    <w:p>
      <w:pPr>
        <w:sectPr>
          <w:pgSz w:w="11900" w:h="16838" w:orient="portrait"/>
          <w:cols w:equalWidth="0" w:num="1">
            <w:col w:w="10139"/>
          </w:cols>
          <w:pgMar w:left="320" w:top="1084" w:right="1440"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 Issuer</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T. Weir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Vice President and Treasurer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April 20, 2020</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T. Weir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Vice President and Treasurer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April 20, 2020</w:t>
      </w:r>
    </w:p>
    <w:p>
      <w:pPr>
        <w:spacing w:after="0" w:line="38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ENVOY AIR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Thomas T. Weir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Vice President and Treasurer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April 20, 2020</w:t>
      </w:r>
    </w:p>
    <w:p>
      <w:pPr>
        <w:spacing w:after="0" w:line="38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PIEDMONT AIRLINES,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Lyle W. Hogg</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Lyle W. Hogg</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Title: Chief Executive Officer and President</w:t>
      </w:r>
    </w:p>
    <w:p>
      <w:pPr>
        <w:spacing w:after="0" w:line="3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April 20, 2020</w:t>
      </w:r>
    </w:p>
    <w:p>
      <w:pPr>
        <w:spacing w:after="0" w:line="38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PSA AIRLINES,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as Guarantor</w:t>
      </w:r>
    </w:p>
    <w:p>
      <w:pPr>
        <w:spacing w:after="0" w:line="200" w:lineRule="exact"/>
        <w:rPr>
          <w:sz w:val="20"/>
          <w:szCs w:val="20"/>
          <w:color w:val="auto"/>
        </w:rPr>
      </w:pPr>
    </w:p>
    <w:p>
      <w:pPr>
        <w:spacing w:after="0" w:line="2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Dion J. Flannery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Dion J. Flannery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President</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Date: April 20, 2020</w:t>
      </w:r>
    </w:p>
    <w:p>
      <w:pPr>
        <w:spacing w:after="0" w:line="200" w:lineRule="exact"/>
        <w:rPr>
          <w:sz w:val="20"/>
          <w:szCs w:val="20"/>
          <w:color w:val="auto"/>
        </w:rPr>
      </w:pPr>
    </w:p>
    <w:p>
      <w:pPr>
        <w:spacing w:after="0" w:line="27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4" w:right="1440" w:bottom="1440" w:gutter="0" w:footer="0" w:header="0"/>
          <w:type w:val="continuous"/>
        </w:sectPr>
      </w:pPr>
    </w:p>
    <w:bookmarkStart w:id="658" w:name="page659"/>
    <w:bookmarkEnd w:id="658"/>
    <w:p>
      <w:pPr>
        <w:jc w:val="center"/>
        <w:spacing w:after="0"/>
        <w:rPr>
          <w:sz w:val="20"/>
          <w:szCs w:val="20"/>
          <w:color w:val="auto"/>
        </w:rPr>
      </w:pPr>
      <w:r>
        <w:rPr>
          <w:rFonts w:ascii="Arial" w:cs="Arial" w:eastAsia="Arial" w:hAnsi="Arial"/>
          <w:sz w:val="18"/>
          <w:szCs w:val="18"/>
          <w:b w:val="1"/>
          <w:bCs w:val="1"/>
          <w:color w:val="auto"/>
        </w:rPr>
        <w:t>ANNEX 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144" w:lineRule="exact"/>
        <w:rPr>
          <w:sz w:val="20"/>
          <w:szCs w:val="20"/>
          <w:color w:val="auto"/>
        </w:rPr>
      </w:pPr>
    </w:p>
    <w:p>
      <w:pPr>
        <w:jc w:val="both"/>
        <w:ind w:right="1980"/>
        <w:spacing w:after="0" w:line="56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Affiliate</w:t>
      </w:r>
      <w:r>
        <w:rPr>
          <w:rFonts w:ascii="Arial" w:cs="Arial" w:eastAsia="Arial" w:hAnsi="Arial"/>
          <w:sz w:val="16"/>
          <w:szCs w:val="16"/>
          <w:color w:val="auto"/>
        </w:rPr>
        <w:t xml:space="preserve"> ” means any Person that directly or indirectly Controls, is Controlled by, or is under common Control with, the Issuer. “ </w:t>
      </w:r>
      <w:r>
        <w:rPr>
          <w:rFonts w:ascii="Arial" w:cs="Arial" w:eastAsia="Arial" w:hAnsi="Arial"/>
          <w:sz w:val="16"/>
          <w:szCs w:val="16"/>
          <w:u w:val="single" w:color="auto"/>
          <w:color w:val="auto"/>
        </w:rPr>
        <w:t>Applicable Law</w:t>
      </w:r>
      <w:r>
        <w:rPr>
          <w:rFonts w:ascii="Arial" w:cs="Arial" w:eastAsia="Arial" w:hAnsi="Arial"/>
          <w:sz w:val="16"/>
          <w:szCs w:val="16"/>
          <w:color w:val="auto"/>
        </w:rPr>
        <w:t xml:space="preserve"> ” means, as to any Person, all applicable Laws binding upon such Person or to which such a Person is subject.</w:t>
      </w:r>
    </w:p>
    <w:p>
      <w:pPr>
        <w:ind w:right="20"/>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Applicable SOFR Rate</w:t>
      </w:r>
      <w:r>
        <w:rPr>
          <w:rFonts w:ascii="Arial" w:cs="Arial" w:eastAsia="Arial" w:hAnsi="Arial"/>
          <w:sz w:val="18"/>
          <w:szCs w:val="18"/>
          <w:color w:val="auto"/>
        </w:rPr>
        <w:t xml:space="preserve"> ” means a rate of interest based on SOFR that shall be determined by the Holder and publicly announced by the Holder on or prior to the fifth anniversary of the Closing Date and shall, to the extent reasonably practicable, be based on customary market conventions as in effect at the time of such announcement. In no event will the Applicable SOFR Rate be less than 0.00% per annum.</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ARRC Fallback Provisions</w:t>
      </w:r>
      <w:r>
        <w:rPr>
          <w:rFonts w:ascii="Arial" w:cs="Arial" w:eastAsia="Arial" w:hAnsi="Arial"/>
          <w:sz w:val="18"/>
          <w:szCs w:val="18"/>
          <w:color w:val="auto"/>
        </w:rPr>
        <w:t xml:space="preserve"> ” means the Fallback Language for New Issuances of LIBOR Floating Rate Notes set forth in the ARRC Recommendations Regarding More Robust Fallback Language for New Issuances of LIBOR Floating Rate Notes, dated April 25, 2019.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ASU</w:t>
      </w:r>
      <w:r>
        <w:rPr>
          <w:rFonts w:ascii="Arial" w:cs="Arial" w:eastAsia="Arial" w:hAnsi="Arial"/>
          <w:sz w:val="16"/>
          <w:szCs w:val="16"/>
          <w:color w:val="auto"/>
        </w:rPr>
        <w:t xml:space="preserve"> ” means the Accounting Standards Update 2016-02, Leases (Topic 842) by the Financial Accounting Standards Board issued on February 25, 2016.</w:t>
      </w:r>
    </w:p>
    <w:p>
      <w:pPr>
        <w:spacing w:after="0" w:line="24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Beneficial Owner</w:t>
      </w:r>
      <w:r>
        <w:rPr>
          <w:rFonts w:ascii="Arial" w:cs="Arial" w:eastAsia="Arial" w:hAnsi="Arial"/>
          <w:sz w:val="16"/>
          <w:szCs w:val="16"/>
          <w:color w:val="auto"/>
        </w:rPr>
        <w:t xml:space="preserve"> ”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 means any on which Treasury and the Federal Reserve Bank of New York are both open for business.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Capitalized Lease Obligations</w:t>
      </w:r>
      <w:r>
        <w:rPr>
          <w:rFonts w:ascii="Arial" w:cs="Arial" w:eastAsia="Arial" w:hAnsi="Arial"/>
          <w:sz w:val="16"/>
          <w:szCs w:val="16"/>
          <w:color w:val="auto"/>
        </w:rPr>
        <w:t xml:space="preserve"> ”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leases of such Person that are or would have been treated as operating leases for purposes of GAAP prior to the issuance of the ASU shall continue to be accounted for as operating leases for purposes of all financial definitions and calculations for purposes of this Note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Capitalized Leases</w:t>
      </w:r>
      <w:r>
        <w:rPr>
          <w:rFonts w:ascii="Arial" w:cs="Arial" w:eastAsia="Arial" w:hAnsi="Arial"/>
          <w:sz w:val="16"/>
          <w:szCs w:val="16"/>
          <w:color w:val="auto"/>
        </w:rPr>
        <w:t xml:space="preserve"> ” means all leases that have been or should be, in accordance with GAAP as in effect on the Closing Date, recorded as capitalized leases;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all purposes hereunder the amount of obligations under any Capitalized Lease shall be the amount thereof accounted for as a liability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 that all leases of such Person that are or would have been treated as operating leases for purposes of GAAP prior to the issuance of the ASU shall continue to be accounted for as operating leases for purposes of all financial definitions and calculations for purposes of this Note (whether or not such operating lease obligations were in effect on such date) notwithstanding the fact that such obligations are required in accordance with the ASU (on a prospective or retroactive basis or otherwise) to be treated as capitalized lease obligations for other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CARES Act</w:t>
      </w:r>
      <w:r>
        <w:rPr>
          <w:rFonts w:ascii="Arial" w:cs="Arial" w:eastAsia="Arial" w:hAnsi="Arial"/>
          <w:sz w:val="18"/>
          <w:szCs w:val="18"/>
          <w:color w:val="auto"/>
        </w:rPr>
        <w:t xml:space="preserve"> ” has the meaning specified in the preamble to this Note.</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 means the occurrence of any of the following: (a) the sale, lease, transfer, conveyance or other disposition (other than by way of merger or consolidation), in one or a series of related transactions, of all or substantially all of the properties or assets of the Issuer and its Subsidiaries, or if the Issuer is a Subsidiary of any Guarantor, such Guarantor (the “ </w:t>
      </w:r>
      <w:r>
        <w:rPr>
          <w:rFonts w:ascii="Arial" w:cs="Arial" w:eastAsia="Arial" w:hAnsi="Arial"/>
          <w:sz w:val="16"/>
          <w:szCs w:val="16"/>
          <w:u w:val="single" w:color="auto"/>
          <w:color w:val="auto"/>
        </w:rPr>
        <w:t>Parent Guarantor</w:t>
      </w:r>
      <w:r>
        <w:rPr>
          <w:rFonts w:ascii="Arial" w:cs="Arial" w:eastAsia="Arial" w:hAnsi="Arial"/>
          <w:sz w:val="16"/>
          <w:szCs w:val="16"/>
          <w:color w:val="auto"/>
        </w:rPr>
        <w:t xml:space="preserve"> ”) and its Subsidiaries, taken as a whole to any Person (including any “person” (as that term is used in Section 13(d)(3) of the Exchange Act)); or (b) the consummation of any transaction (including, without limitation, any merger or consolidation), the result of which is that any Person (including any “person” (as defined above)) becomes the Beneficial Owner, directly or indirectly, of more than 50% of the Voting Stock of the Issuer or Parent Guarantor, as applicable, (measured by voting power rather than number of shares), other than (i) any such transaction where the Voting Stock of the Issuer or Parent Guarantor, as applicable, (measured by voting power rather than number of shares) outstanding immediately prior to such transaction constitutes or is converted into or exchanged for at least a majority of the outstanding shares of the Voting Stock of such Beneficial Owner (measured by voting power rather than number of shares), or (ii) any merger or consolidation of the Issuer or Parent Guarantor, as applicable, with or into any Person (including any “person” (as defined above)) which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59" w:name="page660"/>
    <w:bookmarkEnd w:id="659"/>
    <w:p>
      <w:pPr>
        <w:ind w:right="320"/>
        <w:spacing w:after="0" w:line="311" w:lineRule="auto"/>
        <w:rPr>
          <w:sz w:val="20"/>
          <w:szCs w:val="20"/>
          <w:color w:val="auto"/>
        </w:rPr>
      </w:pPr>
      <w:r>
        <w:rPr>
          <w:rFonts w:ascii="Arial" w:cs="Arial" w:eastAsia="Arial" w:hAnsi="Arial"/>
          <w:sz w:val="16"/>
          <w:szCs w:val="16"/>
          <w:color w:val="auto"/>
        </w:rPr>
        <w:t xml:space="preserve">owns or operates (directly or indirectly through a contractual arrangement) a Permitted Business (a “ </w:t>
      </w:r>
      <w:r>
        <w:rPr>
          <w:rFonts w:ascii="Arial" w:cs="Arial" w:eastAsia="Arial" w:hAnsi="Arial"/>
          <w:sz w:val="16"/>
          <w:szCs w:val="16"/>
          <w:u w:val="single" w:color="auto"/>
          <w:color w:val="auto"/>
        </w:rPr>
        <w:t>Permitted Person</w:t>
      </w:r>
      <w:r>
        <w:rPr>
          <w:rFonts w:ascii="Arial" w:cs="Arial" w:eastAsia="Arial" w:hAnsi="Arial"/>
          <w:sz w:val="16"/>
          <w:szCs w:val="16"/>
          <w:color w:val="auto"/>
        </w:rPr>
        <w:t xml:space="preserve"> ”)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 means the date set forth on the Issuer’s and each Guarantor’s signature page to this Note.</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xml:space="preserve"> ”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w:t>
      </w:r>
      <w:r>
        <w:rPr>
          <w:rFonts w:ascii="Arial" w:cs="Arial" w:eastAsia="Arial" w:hAnsi="Arial"/>
          <w:sz w:val="17"/>
          <w:szCs w:val="17"/>
          <w:color w:val="auto"/>
        </w:rPr>
        <w:t xml:space="preserve"> ” means the possession, directly or indirectly, of the power to direct or cause the direction of the management or policies of a Person, whether through the ability to exercise voting power, by contract or otherwise. “ </w:t>
      </w:r>
      <w:r>
        <w:rPr>
          <w:rFonts w:ascii="Arial" w:cs="Arial" w:eastAsia="Arial" w:hAnsi="Arial"/>
          <w:sz w:val="17"/>
          <w:szCs w:val="17"/>
          <w:u w:val="single" w:color="auto"/>
          <w:color w:val="auto"/>
        </w:rPr>
        <w:t>Controlling</w:t>
      </w:r>
      <w:r>
        <w:rPr>
          <w:rFonts w:ascii="Arial" w:cs="Arial" w:eastAsia="Arial" w:hAnsi="Arial"/>
          <w:sz w:val="17"/>
          <w:szCs w:val="17"/>
          <w:color w:val="auto"/>
        </w:rPr>
        <w:t xml:space="preserve"> ” and “ </w:t>
      </w:r>
      <w:r>
        <w:rPr>
          <w:rFonts w:ascii="Arial" w:cs="Arial" w:eastAsia="Arial" w:hAnsi="Arial"/>
          <w:sz w:val="17"/>
          <w:szCs w:val="17"/>
          <w:u w:val="single" w:color="auto"/>
          <w:color w:val="auto"/>
        </w:rPr>
        <w:t>Controlled</w:t>
      </w:r>
      <w:r>
        <w:rPr>
          <w:rFonts w:ascii="Arial" w:cs="Arial" w:eastAsia="Arial" w:hAnsi="Arial"/>
          <w:sz w:val="17"/>
          <w:szCs w:val="17"/>
          <w:color w:val="auto"/>
        </w:rPr>
        <w:t xml:space="preserve"> ” have meanings analogous thereto.</w:t>
      </w:r>
    </w:p>
    <w:p>
      <w:pPr>
        <w:spacing w:after="0" w:line="14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Debtor Relief Laws</w:t>
      </w:r>
      <w:r>
        <w:rPr>
          <w:rFonts w:ascii="Arial" w:cs="Arial" w:eastAsia="Arial" w:hAnsi="Arial"/>
          <w:sz w:val="18"/>
          <w:szCs w:val="18"/>
          <w:color w:val="auto"/>
        </w:rPr>
        <w:t xml:space="preserve"> ”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Default</w:t>
      </w:r>
      <w:r>
        <w:rPr>
          <w:rFonts w:ascii="Arial" w:cs="Arial" w:eastAsia="Arial" w:hAnsi="Arial"/>
          <w:sz w:val="18"/>
          <w:szCs w:val="18"/>
          <w:color w:val="auto"/>
        </w:rPr>
        <w:t xml:space="preserve"> ”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 means an interest rate (before as well as after judgment) equal to the interest rate on the Note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2.00% per annum.</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xml:space="preserve"> ”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Note and all other Obligations that are accrued and payable), (b) is redeemable at the option of the holder thereof, in whole or in part, (c) provides for scheduled payments of dividends in cash, or (d) is or becomes convertible into or exchangeable for Indebtedness or any other equity interests that would constitute Disqualified Equity Interests, in each case, prior to the date that is ninety-one days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equity interests are issued pursuant to a plan for the benefit of employees of the Issuer or any Subsidiary or by any such plan to such employees, such equity interests shall not constitute Disqualified Equity Interests solely because they may be required to be repurchased by the Issuer or its Subsidiaries in order to satisfy applicable statutory or regulatory obligations or as a result of such employee’s termination, death or disability.</w:t>
      </w:r>
    </w:p>
    <w:p>
      <w:pPr>
        <w:spacing w:after="0" w:line="168" w:lineRule="exact"/>
        <w:rPr>
          <w:sz w:val="20"/>
          <w:szCs w:val="20"/>
          <w:color w:val="auto"/>
        </w:rPr>
      </w:pPr>
    </w:p>
    <w:p>
      <w:pPr>
        <w:ind w:right="6840"/>
        <w:spacing w:after="0" w:line="56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Dollar</w:t>
      </w:r>
      <w:r>
        <w:rPr>
          <w:rFonts w:ascii="Arial" w:cs="Arial" w:eastAsia="Arial" w:hAnsi="Arial"/>
          <w:sz w:val="16"/>
          <w:szCs w:val="16"/>
          <w:color w:val="auto"/>
        </w:rPr>
        <w:t xml:space="preserve"> ” and “ </w:t>
      </w:r>
      <w:r>
        <w:rPr>
          <w:rFonts w:ascii="Arial" w:cs="Arial" w:eastAsia="Arial" w:hAnsi="Arial"/>
          <w:sz w:val="16"/>
          <w:szCs w:val="16"/>
          <w:u w:val="single" w:color="auto"/>
          <w:color w:val="auto"/>
        </w:rPr>
        <w:t>$</w:t>
      </w:r>
      <w:r>
        <w:rPr>
          <w:rFonts w:ascii="Arial" w:cs="Arial" w:eastAsia="Arial" w:hAnsi="Arial"/>
          <w:sz w:val="16"/>
          <w:szCs w:val="16"/>
          <w:color w:val="auto"/>
        </w:rPr>
        <w:t xml:space="preserve"> ” mean lawful money of the United States. “ </w:t>
      </w:r>
      <w:r>
        <w:rPr>
          <w:rFonts w:ascii="Arial" w:cs="Arial" w:eastAsia="Arial" w:hAnsi="Arial"/>
          <w:sz w:val="16"/>
          <w:szCs w:val="16"/>
          <w:u w:val="single" w:color="auto"/>
          <w:color w:val="auto"/>
        </w:rPr>
        <w:t>Event of Default</w:t>
      </w:r>
      <w:r>
        <w:rPr>
          <w:rFonts w:ascii="Arial" w:cs="Arial" w:eastAsia="Arial" w:hAnsi="Arial"/>
          <w:sz w:val="16"/>
          <w:szCs w:val="16"/>
          <w:color w:val="auto"/>
        </w:rPr>
        <w:t xml:space="preserve"> ” has the meaning specified in Section 5.</w:t>
      </w: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 shall mean the Securities Exchange Act of 1934, as amended.</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Excluded Subsidiary</w:t>
      </w:r>
      <w:r>
        <w:rPr>
          <w:rFonts w:ascii="Arial" w:cs="Arial" w:eastAsia="Arial" w:hAnsi="Arial"/>
          <w:sz w:val="18"/>
          <w:szCs w:val="18"/>
          <w:color w:val="auto"/>
        </w:rPr>
        <w:t xml:space="preserve"> ” means any Subsidiary of the Issuer that is not an obligor in respect of any Material Indebtedness that is unsecured of the Issuer or any of its Subsidiaries, unless such Subsidiary is required to be an obligor under any agreement, instrument or other document relating to any Material Indebtedness that is unsecured of the Issuer or any of its Subsidiaries.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 means United States generally accepted accounting principles as in effect as of the date of determination thereof. Notwithstanding any other provision contained herein, (a)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any subsidiary at “fair value,” as defined therein and (b) the amount of any Indebtedness under GAAP with respect to Capitalized Lease Obligations shall be determined in accordance with the definition of Capitalized Lease Obligations.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xml:space="preserve"> ”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60" w:name="page661"/>
    <w:bookmarkEnd w:id="660"/>
    <w:p>
      <w:pPr>
        <w:spacing w:after="0" w:line="26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provided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 has the meaning specified in Annex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Guarantor</w:t>
      </w:r>
      <w:r>
        <w:rPr>
          <w:rFonts w:ascii="Arial" w:cs="Arial" w:eastAsia="Arial" w:hAnsi="Arial"/>
          <w:sz w:val="18"/>
          <w:szCs w:val="18"/>
          <w:color w:val="auto"/>
        </w:rPr>
        <w:t xml:space="preserve"> ” means each Guarantor listed on the signature page to this Note and any other Person that Guarantees this Note.</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 means the United States Department of the Treasury or its designees or any other Person that shall have rights pursuant to an assignment hereunder.</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 means, as to any Person at a particular time,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(b) all direct or contingent obligations of such Person arising under (i) letters of credit (including standby and commercial), bankers’ acceptances and bank guaranties and (ii) surety bonds, performance bonds and similar instruments issued or created by or for the account of such Person; (c) net obligations of such Person under any swap contract; (d) all obligations of such Person to pay the deferred purchase price of property or services (other than trade accounts payable in the ordinary course of business);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attributable indebtedness in respect of any Capitalized Lease Obligation and any synthetic lease obligation of any Person; (g) all obligations of such Person in respect of Disqualified Equity Interests;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Indebtedness of any Person for purposes of clause (e) that is expressly made non-recourse or limited-recourse (limited solely to the assets securing such Indebtedness) to such Person shall be deemed to be equal to the lesser of (i) the aggregate principal amount of such Indebtedness and (ii) the fair market value of the property encumbered thereby as determined by such Person in good faith.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 has the meaning specified in Section 6.3(b).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 has the meaning specified in the preamble to this Note.</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Laws</w:t>
      </w:r>
      <w:r>
        <w:rPr>
          <w:rFonts w:ascii="Arial" w:cs="Arial" w:eastAsia="Arial" w:hAnsi="Arial"/>
          <w:sz w:val="17"/>
          <w:szCs w:val="17"/>
          <w:color w:val="auto"/>
        </w:rPr>
        <w:t xml:space="preserve"> ”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 means any mortgage, pledge, hypothecation, collateral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661" w:name="page662"/>
    <w:bookmarkEnd w:id="661"/>
    <w:p>
      <w:pPr>
        <w:spacing w:after="0" w:line="27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xml:space="preserve"> ” means (a) a material adverse change in, or a material adverse effect on, the operations, business, properties, liabilities (actual or contingent), condition (financial or otherwise) or prospects of the Issuer and its Subsidiaries taken as a whole; or (b) a material adverse effect on (i) the ability of the Issuer or any Guarantor to perform its Obligations, (ii) the legality, validity, binding effect or enforceability against the Issuer or any Guarantors of the Note or (iii) the rights, remedies and benefits available to, or conferred upon, the Holder under the Note.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xml:space="preserve"> ” has the meaning specified in Section 5.1(f).</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 means the date that is ten years after the Closing Date (except that, if such date is not a Business Day, the Maturity Date shall be the next preceding Business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 has the meaning specified in the preamble to this Note.</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 means all advances to, and debts, liabilities, obligations, covenants and duties of, the Issuer arising under or otherwise with respect to the Note, whether direct or indirect (including those acquired by assumption), absolute or contingent, due or to become due, now existing or hereafter arising and including interest and fees that accrue after the commencement by or against the Issuer or any Affiliate thereof of any proceeding under any Debtor Relief Laws naming such Person as the debtor in such proceeding, regardless of whether such interest and fees are allowed claims in such proceeding. Without limiting the foregoing, the Obligations include (a) the obligation to pay principal, interest, charges, expenses, fees, indemnities and other amounts payable by the Issuer under the Note and (b) the obligation of the Issuer to reimburse any amount in respect of any of the foregoing that the Holder, in each case in its sole discretion, may elect to pay or advance on behalf of the Issuer.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 has the meaning specified in Annex B.</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xml:space="preserve"> ” means (a) as to any corporation, the charter or certificate or articles of incorporation and the bylaws (or equivalent or comparable constitutive documents with respect to any non-U.S. jurisdiction), (b) as to any limited liability company, the certificate or articles of formation or organization and operating or limited liability agreement and (c) as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Permitted Business</w:t>
      </w:r>
      <w:r>
        <w:rPr>
          <w:rFonts w:ascii="Arial" w:cs="Arial" w:eastAsia="Arial" w:hAnsi="Arial"/>
          <w:sz w:val="18"/>
          <w:szCs w:val="18"/>
          <w:color w:val="auto"/>
        </w:rPr>
        <w:t xml:space="preserve"> ” means any business that is the same as, or reasonably related, ancillary, supportive or complementary to, the business in which the Issuer and its Subsidiaries are engaged on the date of this Note.</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Person</w:t>
      </w:r>
      <w:r>
        <w:rPr>
          <w:rFonts w:ascii="Arial" w:cs="Arial" w:eastAsia="Arial" w:hAnsi="Arial"/>
          <w:sz w:val="18"/>
          <w:szCs w:val="18"/>
          <w:color w:val="auto"/>
        </w:rPr>
        <w:t xml:space="preserve"> ”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5660"/>
        <w:spacing w:after="0" w:line="56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Principal Amount</w:t>
      </w:r>
      <w:r>
        <w:rPr>
          <w:rFonts w:ascii="Arial" w:cs="Arial" w:eastAsia="Arial" w:hAnsi="Arial"/>
          <w:sz w:val="16"/>
          <w:szCs w:val="16"/>
          <w:color w:val="auto"/>
        </w:rPr>
        <w:t xml:space="preserve"> ” has the meaning specified in the preamble to this Note. “ </w:t>
      </w:r>
      <w:r>
        <w:rPr>
          <w:rFonts w:ascii="Arial" w:cs="Arial" w:eastAsia="Arial" w:hAnsi="Arial"/>
          <w:sz w:val="16"/>
          <w:szCs w:val="16"/>
          <w:u w:val="single" w:color="auto"/>
          <w:color w:val="auto"/>
        </w:rPr>
        <w:t>PSP Agreement</w:t>
      </w:r>
      <w:r>
        <w:rPr>
          <w:rFonts w:ascii="Arial" w:cs="Arial" w:eastAsia="Arial" w:hAnsi="Arial"/>
          <w:sz w:val="16"/>
          <w:szCs w:val="16"/>
          <w:color w:val="auto"/>
        </w:rPr>
        <w:t xml:space="preserve"> ” has the meaning specified in the preamble to this Note.</w:t>
      </w:r>
    </w:p>
    <w:p>
      <w:pPr>
        <w:ind w:right="62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PSP Application</w:t>
      </w:r>
      <w:r>
        <w:rPr>
          <w:rFonts w:ascii="Arial" w:cs="Arial" w:eastAsia="Arial" w:hAnsi="Arial"/>
          <w:sz w:val="18"/>
          <w:szCs w:val="18"/>
          <w:color w:val="auto"/>
        </w:rPr>
        <w:t xml:space="preserve"> ” means the application form and any related materials submitted by the Issuer to Treasury in connection with an application for financial assistance under Division A, Title IV, Subtitle B of the CARES Act.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Related Parties</w:t>
      </w:r>
      <w:r>
        <w:rPr>
          <w:rFonts w:ascii="Arial" w:cs="Arial" w:eastAsia="Arial" w:hAnsi="Arial"/>
          <w:sz w:val="18"/>
          <w:szCs w:val="18"/>
          <w:color w:val="auto"/>
        </w:rPr>
        <w:t xml:space="preserve"> ” means, with respect to any Person, such Person’s Affiliates and the agents, advisors and representatives of such Person and of such Person’s Affiliates.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SOFR</w:t>
      </w:r>
      <w:r>
        <w:rPr>
          <w:rFonts w:ascii="Arial" w:cs="Arial" w:eastAsia="Arial" w:hAnsi="Arial"/>
          <w:sz w:val="18"/>
          <w:szCs w:val="18"/>
          <w:color w:val="auto"/>
        </w:rPr>
        <w:t xml:space="preserve"> ” means the secured overnight financing rate published by the Federal Reserve Bank of New York, as administrator of the benchmark (or a successor administrator) on the Federal Reserve Bank of New York’s (or such successor’s) website.</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 of a Person means a corporation, partnership, limited liability company, association or joint venture or other business entity of which a majority of the equity interests having ordinary voting power for the election of directors or other governing body (other than securities or interests having such power only by reason of the happening of a contingency) are at the time owned or the management of which is Controlled, directly, or indirectly through one or more intermediaries, by such Person. Unless otherwise specified, all references herein to a “Subsidiary” or to “Subsidiaries” shall refer to a Subsidiary or Subsidiaries of the Issuer.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Annex 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0" w:right="379" w:bottom="1440" w:gutter="0" w:footer="0" w:header="0"/>
        </w:sectPr>
      </w:pPr>
    </w:p>
    <w:bookmarkStart w:id="662" w:name="page663"/>
    <w:bookmarkEnd w:id="662"/>
    <w:p>
      <w:pPr>
        <w:ind w:right="6000"/>
        <w:spacing w:after="0" w:line="56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Treasury</w:t>
      </w:r>
      <w:r>
        <w:rPr>
          <w:rFonts w:ascii="Arial" w:cs="Arial" w:eastAsia="Arial" w:hAnsi="Arial"/>
          <w:sz w:val="16"/>
          <w:szCs w:val="16"/>
          <w:color w:val="auto"/>
        </w:rPr>
        <w:t xml:space="preserve"> ” has the meaning specified in the preamble to this Note. “ </w:t>
      </w:r>
      <w:r>
        <w:rPr>
          <w:rFonts w:ascii="Arial" w:cs="Arial" w:eastAsia="Arial" w:hAnsi="Arial"/>
          <w:sz w:val="16"/>
          <w:szCs w:val="16"/>
          <w:u w:val="single" w:color="auto"/>
          <w:color w:val="auto"/>
        </w:rPr>
        <w:t>United States</w:t>
      </w:r>
      <w:r>
        <w:rPr>
          <w:rFonts w:ascii="Arial" w:cs="Arial" w:eastAsia="Arial" w:hAnsi="Arial"/>
          <w:sz w:val="16"/>
          <w:szCs w:val="16"/>
          <w:color w:val="auto"/>
        </w:rPr>
        <w:t xml:space="preserve"> ” and “ </w:t>
      </w:r>
      <w:r>
        <w:rPr>
          <w:rFonts w:ascii="Arial" w:cs="Arial" w:eastAsia="Arial" w:hAnsi="Arial"/>
          <w:sz w:val="16"/>
          <w:szCs w:val="16"/>
          <w:u w:val="single" w:color="auto"/>
          <w:color w:val="auto"/>
        </w:rPr>
        <w:t>U.S.</w:t>
      </w:r>
      <w:r>
        <w:rPr>
          <w:rFonts w:ascii="Arial" w:cs="Arial" w:eastAsia="Arial" w:hAnsi="Arial"/>
          <w:sz w:val="16"/>
          <w:szCs w:val="16"/>
          <w:color w:val="auto"/>
        </w:rPr>
        <w:t xml:space="preserve"> ” mean the United States of America.</w:t>
      </w:r>
    </w:p>
    <w:p>
      <w:pPr>
        <w:spacing w:after="0" w:line="277"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Stock</w:t>
      </w:r>
      <w:r>
        <w:rPr>
          <w:rFonts w:ascii="Arial" w:cs="Arial" w:eastAsia="Arial" w:hAnsi="Arial"/>
          <w:sz w:val="18"/>
          <w:szCs w:val="18"/>
          <w:color w:val="auto"/>
        </w:rPr>
        <w:t xml:space="preserve"> ” of any specified Person as of any date means the equity interests of such Person that is at the time entitled to vote in the election of the board of directors of such Person.</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Annex 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084" w:right="679" w:bottom="1440" w:gutter="0" w:footer="0" w:header="0"/>
        </w:sectPr>
      </w:pPr>
    </w:p>
    <w:bookmarkStart w:id="663" w:name="page664"/>
    <w:bookmarkEnd w:id="663"/>
    <w:p>
      <w:pPr>
        <w:jc w:val="center"/>
        <w:ind w:right="-31"/>
        <w:spacing w:after="0"/>
        <w:rPr>
          <w:sz w:val="20"/>
          <w:szCs w:val="20"/>
          <w:color w:val="auto"/>
        </w:rPr>
      </w:pPr>
      <w:r>
        <w:rPr>
          <w:rFonts w:ascii="Arial" w:cs="Arial" w:eastAsia="Arial" w:hAnsi="Arial"/>
          <w:sz w:val="18"/>
          <w:szCs w:val="18"/>
          <w:b w:val="1"/>
          <w:bCs w:val="1"/>
          <w:color w:val="auto"/>
        </w:rPr>
        <w:t>ANNEX B</w:t>
      </w:r>
    </w:p>
    <w:p>
      <w:pPr>
        <w:spacing w:after="0" w:line="148"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GUARANTEE</w:t>
      </w:r>
    </w:p>
    <w:p>
      <w:pPr>
        <w:spacing w:after="0" w:line="200" w:lineRule="exact"/>
        <w:rPr>
          <w:sz w:val="20"/>
          <w:szCs w:val="20"/>
          <w:color w:val="auto"/>
        </w:rPr>
      </w:pPr>
    </w:p>
    <w:p>
      <w:pPr>
        <w:spacing w:after="0" w:line="390" w:lineRule="exact"/>
        <w:rPr>
          <w:sz w:val="20"/>
          <w:szCs w:val="20"/>
          <w:color w:val="auto"/>
        </w:rPr>
      </w:pPr>
    </w:p>
    <w:p>
      <w:pPr>
        <w:ind w:left="-8" w:right="20" w:firstLine="8"/>
        <w:spacing w:after="0" w:line="301" w:lineRule="auto"/>
        <w:tabs>
          <w:tab w:leader="none" w:pos="352" w:val="left"/>
        </w:tabs>
        <w:numPr>
          <w:ilvl w:val="0"/>
          <w:numId w:val="908"/>
        </w:numPr>
        <w:rPr>
          <w:rFonts w:ascii="Arial" w:cs="Arial" w:eastAsia="Arial" w:hAnsi="Arial"/>
          <w:sz w:val="16"/>
          <w:szCs w:val="16"/>
          <w:color w:val="auto"/>
        </w:rPr>
      </w:pPr>
      <w:r>
        <w:rPr>
          <w:rFonts w:ascii="Arial" w:cs="Arial" w:eastAsia="Arial" w:hAnsi="Arial"/>
          <w:sz w:val="16"/>
          <w:szCs w:val="16"/>
          <w:u w:val="single" w:color="auto"/>
          <w:color w:val="auto"/>
        </w:rPr>
        <w:t>Guarantee of the Obligations</w:t>
      </w:r>
      <w:r>
        <w:rPr>
          <w:rFonts w:ascii="Arial" w:cs="Arial" w:eastAsia="Arial" w:hAnsi="Arial"/>
          <w:sz w:val="16"/>
          <w:szCs w:val="16"/>
          <w:color w:val="auto"/>
        </w:rPr>
        <w:t xml:space="preserve"> . Each Guarantor jointly and severally hereby irrevocably and unconditionally guarantees to the Holder, the due and punctual payment in full of all Obligations (or such lesser amount as agreed by the Holder in its sole discretion)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w:t>
      </w:r>
    </w:p>
    <w:p>
      <w:pPr>
        <w:spacing w:after="0" w:line="157" w:lineRule="exact"/>
        <w:rPr>
          <w:rFonts w:ascii="Arial" w:cs="Arial" w:eastAsia="Arial" w:hAnsi="Arial"/>
          <w:sz w:val="16"/>
          <w:szCs w:val="16"/>
          <w:color w:val="auto"/>
        </w:rPr>
      </w:pPr>
    </w:p>
    <w:p>
      <w:pPr>
        <w:ind w:left="-8" w:right="20" w:firstLine="8"/>
        <w:spacing w:after="0" w:line="290" w:lineRule="auto"/>
        <w:tabs>
          <w:tab w:leader="none" w:pos="352" w:val="left"/>
        </w:tabs>
        <w:numPr>
          <w:ilvl w:val="0"/>
          <w:numId w:val="908"/>
        </w:numPr>
        <w:rPr>
          <w:rFonts w:ascii="Arial" w:cs="Arial" w:eastAsia="Arial" w:hAnsi="Arial"/>
          <w:sz w:val="16"/>
          <w:szCs w:val="16"/>
          <w:color w:val="auto"/>
        </w:rPr>
      </w:pPr>
      <w:r>
        <w:rPr>
          <w:rFonts w:ascii="Arial" w:cs="Arial" w:eastAsia="Arial" w:hAnsi="Arial"/>
          <w:sz w:val="16"/>
          <w:szCs w:val="16"/>
          <w:u w:val="single" w:color="auto"/>
          <w:color w:val="auto"/>
        </w:rPr>
        <w:t>Payment by a Guarantor</w:t>
      </w:r>
      <w:r>
        <w:rPr>
          <w:rFonts w:ascii="Arial" w:cs="Arial" w:eastAsia="Arial" w:hAnsi="Arial"/>
          <w:sz w:val="16"/>
          <w:szCs w:val="16"/>
          <w:color w:val="auto"/>
        </w:rPr>
        <w:t xml:space="preserve"> . Each Guarantor hereby jointly and severally agrees, in furtherance of the foregoing and not in limitation of any other right which the Holder may have at law or in equity against any Guarantor by virtue hereof, that upon the failure of the Issuer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such Guarantor will upon demand pay, or cause to be paid, in cash, to the Holder an amount equal to the sum of the unpaid principal amount of all Guaranteed Obligations then due as aforesaid, accrued and unpaid interest on such Guaranteed Obligations (including interest which, but for the Issuer’s becoming the subject of a case under the Bankruptcy Code, would have accrued on such Guaranteed Obligations, whether or not a claim is allowed against the Issuer for such interest in the related bankruptcy case) and all other Guaranteed Obligations then owed to the Holder as aforesaid.</w:t>
      </w:r>
    </w:p>
    <w:p>
      <w:pPr>
        <w:spacing w:after="0" w:line="165" w:lineRule="exact"/>
        <w:rPr>
          <w:rFonts w:ascii="Arial" w:cs="Arial" w:eastAsia="Arial" w:hAnsi="Arial"/>
          <w:sz w:val="16"/>
          <w:szCs w:val="16"/>
          <w:color w:val="auto"/>
        </w:rPr>
      </w:pPr>
    </w:p>
    <w:p>
      <w:pPr>
        <w:ind w:left="-8" w:right="140" w:firstLine="8"/>
        <w:spacing w:after="0" w:line="311" w:lineRule="auto"/>
        <w:tabs>
          <w:tab w:leader="none" w:pos="352" w:val="left"/>
        </w:tabs>
        <w:numPr>
          <w:ilvl w:val="0"/>
          <w:numId w:val="908"/>
        </w:numPr>
        <w:rPr>
          <w:rFonts w:ascii="Arial" w:cs="Arial" w:eastAsia="Arial" w:hAnsi="Arial"/>
          <w:sz w:val="16"/>
          <w:szCs w:val="16"/>
          <w:color w:val="auto"/>
        </w:rPr>
      </w:pPr>
      <w:r>
        <w:rPr>
          <w:rFonts w:ascii="Arial" w:cs="Arial" w:eastAsia="Arial" w:hAnsi="Arial"/>
          <w:sz w:val="16"/>
          <w:szCs w:val="16"/>
          <w:u w:val="single" w:color="auto"/>
          <w:color w:val="auto"/>
        </w:rPr>
        <w:t>Liability of Guarantors Absolute</w:t>
      </w:r>
      <w:r>
        <w:rPr>
          <w:rFonts w:ascii="Arial" w:cs="Arial" w:eastAsia="Arial" w:hAnsi="Arial"/>
          <w:sz w:val="16"/>
          <w:szCs w:val="16"/>
          <w:color w:val="auto"/>
        </w:rPr>
        <w:t xml:space="preserve"> . Each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49" w:lineRule="exact"/>
        <w:rPr>
          <w:sz w:val="20"/>
          <w:szCs w:val="20"/>
          <w:color w:val="auto"/>
        </w:rPr>
      </w:pPr>
    </w:p>
    <w:p>
      <w:pPr>
        <w:ind w:left="252" w:hanging="252"/>
        <w:spacing w:after="0"/>
        <w:tabs>
          <w:tab w:leader="none" w:pos="252" w:val="left"/>
        </w:tabs>
        <w:numPr>
          <w:ilvl w:val="0"/>
          <w:numId w:val="909"/>
        </w:numPr>
        <w:rPr>
          <w:rFonts w:ascii="Arial" w:cs="Arial" w:eastAsia="Arial" w:hAnsi="Arial"/>
          <w:sz w:val="18"/>
          <w:szCs w:val="18"/>
          <w:color w:val="auto"/>
        </w:rPr>
      </w:pPr>
      <w:r>
        <w:rPr>
          <w:rFonts w:ascii="Arial" w:cs="Arial" w:eastAsia="Arial" w:hAnsi="Arial"/>
          <w:sz w:val="18"/>
          <w:szCs w:val="18"/>
          <w:color w:val="auto"/>
        </w:rPr>
        <w:t>this Guarantee is a guarantee of payment when due and not of collectability;</w:t>
      </w:r>
    </w:p>
    <w:p>
      <w:pPr>
        <w:spacing w:after="0" w:line="225" w:lineRule="exact"/>
        <w:rPr>
          <w:rFonts w:ascii="Arial" w:cs="Arial" w:eastAsia="Arial" w:hAnsi="Arial"/>
          <w:sz w:val="18"/>
          <w:szCs w:val="18"/>
          <w:color w:val="auto"/>
        </w:rPr>
      </w:pPr>
    </w:p>
    <w:p>
      <w:pPr>
        <w:ind w:left="-8" w:right="60" w:firstLine="8"/>
        <w:spacing w:after="0" w:line="277" w:lineRule="auto"/>
        <w:tabs>
          <w:tab w:leader="none" w:pos="247" w:val="left"/>
        </w:tabs>
        <w:numPr>
          <w:ilvl w:val="0"/>
          <w:numId w:val="909"/>
        </w:numPr>
        <w:rPr>
          <w:rFonts w:ascii="Arial" w:cs="Arial" w:eastAsia="Arial" w:hAnsi="Arial"/>
          <w:sz w:val="18"/>
          <w:szCs w:val="18"/>
          <w:color w:val="auto"/>
        </w:rPr>
      </w:pPr>
      <w:r>
        <w:rPr>
          <w:rFonts w:ascii="Arial" w:cs="Arial" w:eastAsia="Arial" w:hAnsi="Arial"/>
          <w:sz w:val="18"/>
          <w:szCs w:val="18"/>
          <w:color w:val="auto"/>
        </w:rPr>
        <w:t>the Holder may enforce this Guarantee upon the occurrence of an Event of Default notwithstanding the existence of any dispute between the Issuer and the Holder with respect to the existence of such Event of Default;</w:t>
      </w:r>
    </w:p>
    <w:p>
      <w:pPr>
        <w:spacing w:after="0" w:line="170" w:lineRule="exact"/>
        <w:rPr>
          <w:rFonts w:ascii="Arial" w:cs="Arial" w:eastAsia="Arial" w:hAnsi="Arial"/>
          <w:sz w:val="18"/>
          <w:szCs w:val="18"/>
          <w:color w:val="auto"/>
        </w:rPr>
      </w:pPr>
    </w:p>
    <w:p>
      <w:pPr>
        <w:ind w:left="-8" w:right="140" w:firstLine="8"/>
        <w:spacing w:after="0" w:line="277" w:lineRule="auto"/>
        <w:tabs>
          <w:tab w:leader="none" w:pos="236" w:val="left"/>
        </w:tabs>
        <w:numPr>
          <w:ilvl w:val="0"/>
          <w:numId w:val="909"/>
        </w:numPr>
        <w:rPr>
          <w:rFonts w:ascii="Arial" w:cs="Arial" w:eastAsia="Arial" w:hAnsi="Arial"/>
          <w:sz w:val="18"/>
          <w:szCs w:val="18"/>
          <w:color w:val="auto"/>
        </w:rPr>
      </w:pPr>
      <w:r>
        <w:rPr>
          <w:rFonts w:ascii="Arial" w:cs="Arial" w:eastAsia="Arial" w:hAnsi="Arial"/>
          <w:sz w:val="18"/>
          <w:szCs w:val="18"/>
          <w:color w:val="auto"/>
        </w:rPr>
        <w:t>a separate action or actions may be brought and prosecuted against such Guarantor whether or not any action is brought against the Issuer or any other Guarantors and whether or not Issuer or such Guarantors are joined in any such action or actions;</w:t>
      </w:r>
    </w:p>
    <w:p>
      <w:pPr>
        <w:spacing w:after="0" w:line="170" w:lineRule="exact"/>
        <w:rPr>
          <w:rFonts w:ascii="Arial" w:cs="Arial" w:eastAsia="Arial" w:hAnsi="Arial"/>
          <w:sz w:val="18"/>
          <w:szCs w:val="18"/>
          <w:color w:val="auto"/>
        </w:rPr>
      </w:pPr>
    </w:p>
    <w:p>
      <w:pPr>
        <w:ind w:left="-8" w:right="20" w:firstLine="8"/>
        <w:spacing w:after="0" w:line="277" w:lineRule="auto"/>
        <w:tabs>
          <w:tab w:leader="none" w:pos="247" w:val="left"/>
        </w:tabs>
        <w:numPr>
          <w:ilvl w:val="0"/>
          <w:numId w:val="909"/>
        </w:numPr>
        <w:rPr>
          <w:rFonts w:ascii="Arial" w:cs="Arial" w:eastAsia="Arial" w:hAnsi="Arial"/>
          <w:sz w:val="18"/>
          <w:szCs w:val="18"/>
          <w:color w:val="auto"/>
        </w:rPr>
      </w:pPr>
      <w:r>
        <w:rPr>
          <w:rFonts w:ascii="Arial" w:cs="Arial" w:eastAsia="Arial" w:hAnsi="Arial"/>
          <w:sz w:val="18"/>
          <w:szCs w:val="18"/>
          <w:color w:val="auto"/>
        </w:rPr>
        <w:t>payment by any Guarantor of a portion, but not all, of the Guaranteed Obligations shall in no way limit, affect, modify or abridge any other Guarantor’s liability for any portion of the Guaranteed Obligations which has not been paid;</w:t>
      </w:r>
    </w:p>
    <w:p>
      <w:pPr>
        <w:spacing w:after="0" w:line="170" w:lineRule="exact"/>
        <w:rPr>
          <w:rFonts w:ascii="Arial" w:cs="Arial" w:eastAsia="Arial" w:hAnsi="Arial"/>
          <w:sz w:val="18"/>
          <w:szCs w:val="18"/>
          <w:color w:val="auto"/>
        </w:rPr>
      </w:pPr>
    </w:p>
    <w:p>
      <w:pPr>
        <w:ind w:left="-8" w:firstLine="8"/>
        <w:spacing w:after="0" w:line="270" w:lineRule="auto"/>
        <w:tabs>
          <w:tab w:leader="none" w:pos="236" w:val="left"/>
        </w:tabs>
        <w:numPr>
          <w:ilvl w:val="0"/>
          <w:numId w:val="909"/>
        </w:numPr>
        <w:rPr>
          <w:rFonts w:ascii="Arial" w:cs="Arial" w:eastAsia="Arial" w:hAnsi="Arial"/>
          <w:sz w:val="17"/>
          <w:szCs w:val="17"/>
          <w:color w:val="auto"/>
        </w:rPr>
      </w:pPr>
      <w:r>
        <w:rPr>
          <w:rFonts w:ascii="Arial" w:cs="Arial" w:eastAsia="Arial" w:hAnsi="Arial"/>
          <w:sz w:val="17"/>
          <w:szCs w:val="17"/>
          <w:color w:val="auto"/>
        </w:rPr>
        <w:t>the Holder,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subordinate the payment of the same to the payment of any other obligations; (iii) release, surrender, exchange, substitute, compromise, settle, rescind, waive, alter, subordinate or modify, with or without consideration, any security for payment of the Guaranteed Obligations, any other guarantees of the Guaranteed Obligations, or any other obligation of any Person (including any other Guarantor) with respect to the Guaranteed Obligations; and (iv) enforce its rights and remedies even though such action may operate to impair or extinguish any right of reimbursement or subrogation or other right or remedy of any Guarantor against the Issuer or any security for the Guaranteed Obligations; and</w:t>
      </w:r>
    </w:p>
    <w:p>
      <w:pPr>
        <w:spacing w:after="0" w:line="180" w:lineRule="exact"/>
        <w:rPr>
          <w:rFonts w:ascii="Arial" w:cs="Arial" w:eastAsia="Arial" w:hAnsi="Arial"/>
          <w:sz w:val="17"/>
          <w:szCs w:val="17"/>
          <w:color w:val="auto"/>
        </w:rPr>
      </w:pPr>
    </w:p>
    <w:p>
      <w:pPr>
        <w:ind w:left="-8" w:right="20" w:firstLine="8"/>
        <w:spacing w:after="0" w:line="296" w:lineRule="auto"/>
        <w:tabs>
          <w:tab w:leader="none" w:pos="217" w:val="left"/>
        </w:tabs>
        <w:numPr>
          <w:ilvl w:val="0"/>
          <w:numId w:val="909"/>
        </w:numPr>
        <w:rPr>
          <w:rFonts w:ascii="Arial" w:cs="Arial" w:eastAsia="Arial" w:hAnsi="Arial"/>
          <w:sz w:val="16"/>
          <w:szCs w:val="16"/>
          <w:color w:val="auto"/>
        </w:rPr>
      </w:pPr>
      <w:r>
        <w:rPr>
          <w:rFonts w:ascii="Arial" w:cs="Arial" w:eastAsia="Arial" w:hAnsi="Arial"/>
          <w:sz w:val="16"/>
          <w:szCs w:val="16"/>
          <w:color w:val="auto"/>
        </w:rPr>
        <w:t>this Guarantee and the obligations of each Guarantor hereunder shall be valid and enforceable and shall not be subject to any reduction, limitation, impairment, discharge or termination for any reason (other than payment in full of the Guaranteed Obligations), including the occurrence of any of the following: (i) any failure, delay or omission to assert or enforce or agreement or election not to assert or enforce, or the stay or enjoining, by order of court, by operation of law or otherwise, of the exercise or enforcement of, any claim or demand or any right, power or remedy with respect to the Guaranteed Obligations, or with respect to any security for the payment of the Guaranteed Obligations; (ii) any rescission, waiver, amendment or</w:t>
      </w:r>
    </w:p>
    <w:p>
      <w:pPr>
        <w:spacing w:after="0" w:line="16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Annex 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32320"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080" w:right="379" w:bottom="1440" w:gutter="0" w:footer="0" w:header="0"/>
        </w:sectPr>
      </w:pPr>
    </w:p>
    <w:bookmarkStart w:id="664" w:name="page665"/>
    <w:bookmarkEnd w:id="664"/>
    <w:p>
      <w:pPr>
        <w:spacing w:after="0" w:line="218" w:lineRule="exact"/>
        <w:rPr>
          <w:sz w:val="20"/>
          <w:szCs w:val="20"/>
          <w:color w:val="auto"/>
        </w:rPr>
      </w:pPr>
      <w:r>
        <w:rPr>
          <w:rFonts w:ascii="Arial" w:cs="Arial" w:eastAsia="Arial" w:hAnsi="Arial"/>
          <w:sz w:val="18"/>
          <w:szCs w:val="18"/>
          <w:color w:val="auto"/>
        </w:rPr>
        <w:t>modification of, or any consent to departure from, any of the terms or provisions hereof; (iii) the Guaranteed Obligations, or any agreement relating thereto, at any time being found to be illegal, invalid or unenforceable in any respect; (iv) the Holder’s consent to the change, reorganization or termination of the corporate structure or existence of the Issuer or any of its Subsidiaries and to any corresponding restructuring of the Guaranteed Obligations; (v) any defenses, set</w:t>
      </w:r>
      <w:r>
        <w:rPr>
          <w:rFonts w:ascii="MS PGothic" w:cs="MS PGothic" w:eastAsia="MS PGothic" w:hAnsi="MS PGothic"/>
          <w:sz w:val="18"/>
          <w:szCs w:val="18"/>
          <w:color w:val="auto"/>
        </w:rPr>
        <w:t>‑</w:t>
      </w:r>
      <w:r>
        <w:rPr>
          <w:rFonts w:ascii="Arial" w:cs="Arial" w:eastAsia="Arial" w:hAnsi="Arial"/>
          <w:sz w:val="18"/>
          <w:szCs w:val="18"/>
          <w:color w:val="auto"/>
        </w:rPr>
        <w:t>offs or counterclaims which the Issuer or any Guarantor may allege or assert against the Holder in respect of the Guaranteed Obligations, including failure of consideration, lack of authority, validity or enforceability, breach of warranty, payment, statute of frauds, statute of limitations, accord and satisfaction and usury; and (vi) any other event or circumstance that might in any manner vary the risk of any Guarantor as an obligor in respect of the Guaranteed Obligations.</w:t>
      </w:r>
    </w:p>
    <w:p>
      <w:pPr>
        <w:spacing w:after="0" w:line="207" w:lineRule="exact"/>
        <w:rPr>
          <w:sz w:val="20"/>
          <w:szCs w:val="20"/>
          <w:color w:val="auto"/>
        </w:rPr>
      </w:pPr>
    </w:p>
    <w:p>
      <w:pPr>
        <w:ind w:right="20" w:firstLine="8"/>
        <w:spacing w:after="0" w:line="257" w:lineRule="auto"/>
        <w:tabs>
          <w:tab w:leader="none" w:pos="360" w:val="left"/>
        </w:tabs>
        <w:numPr>
          <w:ilvl w:val="0"/>
          <w:numId w:val="910"/>
        </w:numPr>
        <w:rPr>
          <w:rFonts w:ascii="Arial" w:cs="Arial" w:eastAsia="Arial" w:hAnsi="Arial"/>
          <w:sz w:val="18"/>
          <w:szCs w:val="18"/>
          <w:color w:val="auto"/>
        </w:rPr>
      </w:pPr>
      <w:r>
        <w:rPr>
          <w:rFonts w:ascii="Arial" w:cs="Arial" w:eastAsia="Arial" w:hAnsi="Arial"/>
          <w:sz w:val="18"/>
          <w:szCs w:val="18"/>
          <w:u w:val="single" w:color="auto"/>
          <w:color w:val="auto"/>
        </w:rPr>
        <w:t>Waivers by Guarantors</w:t>
      </w:r>
      <w:r>
        <w:rPr>
          <w:rFonts w:ascii="Arial" w:cs="Arial" w:eastAsia="Arial" w:hAnsi="Arial"/>
          <w:sz w:val="18"/>
          <w:szCs w:val="18"/>
          <w:color w:val="auto"/>
        </w:rPr>
        <w:t xml:space="preserve"> . Each Guarantor hereby waives, for the benefit of the Holder: (a) any right to require the Holder, as a condition of payment or performance by such Guarantor, to (i) proceed against Issuer, any Guarantor or any other Person; (ii) proceed against or exhaust any security in favor of the Holder; or (iii) pursue any other remedy in the power of the Holder whatsoever or (b) presentment to, demand for payment from and protest to the Issuer or any Guarantor or notice of acceptance; and (c) any defenses or benefits that may be derived from or afforded by law which limit the liability of or exonerate guarantors or sureties, or which may conflict with the terms hereof.</w:t>
      </w:r>
    </w:p>
    <w:p>
      <w:pPr>
        <w:spacing w:after="0" w:line="187" w:lineRule="exact"/>
        <w:rPr>
          <w:rFonts w:ascii="Arial" w:cs="Arial" w:eastAsia="Arial" w:hAnsi="Arial"/>
          <w:sz w:val="18"/>
          <w:szCs w:val="18"/>
          <w:color w:val="auto"/>
        </w:rPr>
      </w:pPr>
    </w:p>
    <w:p>
      <w:pPr>
        <w:ind w:right="180" w:firstLine="8"/>
        <w:spacing w:after="0" w:line="285" w:lineRule="auto"/>
        <w:tabs>
          <w:tab w:leader="none" w:pos="360" w:val="left"/>
        </w:tabs>
        <w:numPr>
          <w:ilvl w:val="0"/>
          <w:numId w:val="910"/>
        </w:numPr>
        <w:rPr>
          <w:rFonts w:ascii="Arial" w:cs="Arial" w:eastAsia="Arial" w:hAnsi="Arial"/>
          <w:sz w:val="16"/>
          <w:szCs w:val="16"/>
          <w:color w:val="auto"/>
        </w:rPr>
      </w:pPr>
      <w:r>
        <w:rPr>
          <w:rFonts w:ascii="Arial" w:cs="Arial" w:eastAsia="Arial" w:hAnsi="Arial"/>
          <w:sz w:val="16"/>
          <w:szCs w:val="16"/>
          <w:u w:val="single" w:color="auto"/>
          <w:color w:val="auto"/>
        </w:rPr>
        <w:t>Guarantors’ Rights of Subrogation, Contribution, etc</w:t>
      </w:r>
      <w:r>
        <w:rPr>
          <w:rFonts w:ascii="Arial" w:cs="Arial" w:eastAsia="Arial" w:hAnsi="Arial"/>
          <w:sz w:val="16"/>
          <w:szCs w:val="16"/>
          <w:color w:val="auto"/>
        </w:rPr>
        <w:t xml:space="preserve"> . Until the Guaranteed Obligations shall have been paid in full, each Guarantor hereby waives any claim, right or remedy, direct or indirect, that such Guarantor now has or may hereafter have against the Issuer or any other Guarantor or any of its assets in connection with this Guarantee or the performance by such Guarantor of its obligations hereunder, including without limitation (a) any right of subrogation, reimbursement or indemnification that such Guarantor now has or may hereafter have against the Issuer with respect to the Guaranteed Obligations, (b) any right to enforce, or to participate in, any claim, right or remedy that the Holder now has or may hereafter have against the Issuer, and</w:t>
      </w:r>
    </w:p>
    <w:p>
      <w:pPr>
        <w:spacing w:after="0" w:line="1"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(c) any benefit of, and any right to participate in, any collateral or security now or hereafter held by the Holder. In addition, until the Guaranteed Obligations shall have been paid in full, each Guarantor shall withhold exercise of any right of contribution such Guarantor may have against any other guarantor (including any other Guarantor) of the Guaranteed Obligations. If any amount shall be paid to any Guarantor on account of any such subrogation, reimbursement, indemnification or contribution rights at any time when all Guaranteed Obligations shall not have been finally and paid in full, such amount shall be held in trust for the Holder and shall forthwith be paid over to the Holder to be credited and applied against the Guaranteed Obligations, whether matured or unmatured, in accordance with the terms hereof.</w:t>
      </w:r>
    </w:p>
    <w:p>
      <w:pPr>
        <w:spacing w:after="0" w:line="193" w:lineRule="exact"/>
        <w:rPr>
          <w:rFonts w:ascii="Arial" w:cs="Arial" w:eastAsia="Arial" w:hAnsi="Arial"/>
          <w:sz w:val="16"/>
          <w:szCs w:val="16"/>
          <w:color w:val="auto"/>
        </w:rPr>
      </w:pPr>
    </w:p>
    <w:p>
      <w:pPr>
        <w:ind w:right="160" w:firstLine="8"/>
        <w:spacing w:after="0" w:line="257" w:lineRule="auto"/>
        <w:tabs>
          <w:tab w:leader="none" w:pos="360" w:val="left"/>
        </w:tabs>
        <w:numPr>
          <w:ilvl w:val="0"/>
          <w:numId w:val="910"/>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 Any Indebtedness of the Issuer or any Guarantor now or hereafter held by any Guarantor (the “ </w:t>
      </w:r>
      <w:r>
        <w:rPr>
          <w:rFonts w:ascii="Arial" w:cs="Arial" w:eastAsia="Arial" w:hAnsi="Arial"/>
          <w:sz w:val="18"/>
          <w:szCs w:val="18"/>
          <w:u w:val="single" w:color="auto"/>
          <w:color w:val="auto"/>
        </w:rPr>
        <w:t>Obligee Guarantor</w:t>
      </w:r>
      <w:r>
        <w:rPr>
          <w:rFonts w:ascii="Arial" w:cs="Arial" w:eastAsia="Arial" w:hAnsi="Arial"/>
          <w:sz w:val="18"/>
          <w:szCs w:val="18"/>
          <w:color w:val="auto"/>
        </w:rPr>
        <w:t xml:space="preserve"> ”) is hereby subordinated in right of payment to the Guaranteed Obligations, and any such indebtedness collected or received by the Obligee Guarantor after an Event of Default has occurred and is continuing shall be held in trust for the Holder and shall forthwith be paid over to the Holder to be credited and applied against the Guaranteed Obligations but without affecting, impairing or limiting in any manner the liability of the Obligee Guarantor under any other provision hereof.</w:t>
      </w:r>
    </w:p>
    <w:p>
      <w:pPr>
        <w:spacing w:after="0" w:line="187" w:lineRule="exact"/>
        <w:rPr>
          <w:rFonts w:ascii="Arial" w:cs="Arial" w:eastAsia="Arial" w:hAnsi="Arial"/>
          <w:sz w:val="18"/>
          <w:szCs w:val="18"/>
          <w:color w:val="auto"/>
        </w:rPr>
      </w:pPr>
    </w:p>
    <w:p>
      <w:pPr>
        <w:ind w:right="320" w:firstLine="8"/>
        <w:spacing w:after="0" w:line="263" w:lineRule="auto"/>
        <w:tabs>
          <w:tab w:leader="none" w:pos="360" w:val="left"/>
        </w:tabs>
        <w:numPr>
          <w:ilvl w:val="0"/>
          <w:numId w:val="910"/>
        </w:numPr>
        <w:rPr>
          <w:rFonts w:ascii="Arial" w:cs="Arial" w:eastAsia="Arial" w:hAnsi="Arial"/>
          <w:sz w:val="18"/>
          <w:szCs w:val="18"/>
          <w:color w:val="auto"/>
        </w:rPr>
      </w:pPr>
      <w:r>
        <w:rPr>
          <w:rFonts w:ascii="Arial" w:cs="Arial" w:eastAsia="Arial" w:hAnsi="Arial"/>
          <w:sz w:val="18"/>
          <w:szCs w:val="18"/>
          <w:u w:val="single" w:color="auto"/>
          <w:color w:val="auto"/>
        </w:rPr>
        <w:t>Continuing Guarantee</w:t>
      </w:r>
      <w:r>
        <w:rPr>
          <w:rFonts w:ascii="Arial" w:cs="Arial" w:eastAsia="Arial" w:hAnsi="Arial"/>
          <w:sz w:val="18"/>
          <w:szCs w:val="18"/>
          <w:color w:val="auto"/>
        </w:rPr>
        <w:t xml:space="preserve"> . This Guarantee is a continuing guarantee and shall remain in effect until all of the Guaranteed Obligations shall have been paid in full. Each Guarantor hereby irrevocably waives any right to revoke this Guarantee as to future transactions giving rise to any Guaranteed Obligations.</w:t>
      </w:r>
    </w:p>
    <w:p>
      <w:pPr>
        <w:spacing w:after="0" w:line="183" w:lineRule="exact"/>
        <w:rPr>
          <w:rFonts w:ascii="Arial" w:cs="Arial" w:eastAsia="Arial" w:hAnsi="Arial"/>
          <w:sz w:val="18"/>
          <w:szCs w:val="18"/>
          <w:color w:val="auto"/>
        </w:rPr>
      </w:pPr>
    </w:p>
    <w:p>
      <w:pPr>
        <w:ind w:right="160" w:firstLine="8"/>
        <w:spacing w:after="0" w:line="257" w:lineRule="auto"/>
        <w:tabs>
          <w:tab w:leader="none" w:pos="360" w:val="left"/>
        </w:tabs>
        <w:numPr>
          <w:ilvl w:val="0"/>
          <w:numId w:val="910"/>
        </w:numPr>
        <w:rPr>
          <w:rFonts w:ascii="Arial" w:cs="Arial" w:eastAsia="Arial" w:hAnsi="Arial"/>
          <w:sz w:val="18"/>
          <w:szCs w:val="18"/>
          <w:color w:val="auto"/>
        </w:rPr>
      </w:pPr>
      <w:r>
        <w:rPr>
          <w:rFonts w:ascii="Arial" w:cs="Arial" w:eastAsia="Arial" w:hAnsi="Arial"/>
          <w:sz w:val="18"/>
          <w:szCs w:val="18"/>
          <w:u w:val="single" w:color="auto"/>
          <w:color w:val="auto"/>
        </w:rPr>
        <w:t>Financial Condition of the Issuer</w:t>
      </w:r>
      <w:r>
        <w:rPr>
          <w:rFonts w:ascii="Arial" w:cs="Arial" w:eastAsia="Arial" w:hAnsi="Arial"/>
          <w:sz w:val="18"/>
          <w:szCs w:val="18"/>
          <w:color w:val="auto"/>
        </w:rPr>
        <w:t xml:space="preserve"> . The Note may be issued to the Issuer without notice to or authorization from any Guarantor regardless of the financial or other condition of the Issuer at the time of such grant. Each Guarantor has adequate means to obtain information from the Issuer on a continuing basis concerning the financial condition of the Issuer and its ability to perform its obligations under the Note, and each Guarantor assumes the responsibility for being and keeping informed of the financial condition of the Issuer and of all circumstances bearing upon the risk of nonpayment of the Guaranteed Obligations.</w:t>
      </w:r>
    </w:p>
    <w:p>
      <w:pPr>
        <w:spacing w:after="0" w:line="187" w:lineRule="exact"/>
        <w:rPr>
          <w:rFonts w:ascii="Arial" w:cs="Arial" w:eastAsia="Arial" w:hAnsi="Arial"/>
          <w:sz w:val="18"/>
          <w:szCs w:val="18"/>
          <w:color w:val="auto"/>
        </w:rPr>
      </w:pPr>
    </w:p>
    <w:p>
      <w:pPr>
        <w:ind w:firstLine="8"/>
        <w:spacing w:after="0" w:line="279" w:lineRule="auto"/>
        <w:tabs>
          <w:tab w:leader="none" w:pos="360" w:val="left"/>
        </w:tabs>
        <w:numPr>
          <w:ilvl w:val="0"/>
          <w:numId w:val="910"/>
        </w:numPr>
        <w:rPr>
          <w:rFonts w:ascii="Arial" w:cs="Arial" w:eastAsia="Arial" w:hAnsi="Arial"/>
          <w:sz w:val="17"/>
          <w:szCs w:val="17"/>
          <w:color w:val="auto"/>
        </w:rPr>
      </w:pP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 In the event that all or any portion of the Guaranteed Obligations are paid by the Issuer or any Guarantor, the obligations of any other Guarantor hereunder shall continue and remain in full force and effect or be reinstated, as the case may be, in the event that all or any part of such payment(s) are rescinded or recovered directly or indirectly from the Holder as a preference, fraudulent transfer or otherwise, and any such payments which are so rescinded or recovered shall constitute Guaranteed Obligations for all purposes hereunder.</w:t>
      </w:r>
    </w:p>
    <w:p>
      <w:pPr>
        <w:spacing w:after="0" w:line="171" w:lineRule="exact"/>
        <w:rPr>
          <w:rFonts w:ascii="Arial" w:cs="Arial" w:eastAsia="Arial" w:hAnsi="Arial"/>
          <w:sz w:val="17"/>
          <w:szCs w:val="17"/>
          <w:color w:val="auto"/>
        </w:rPr>
      </w:pPr>
    </w:p>
    <w:p>
      <w:pPr>
        <w:ind w:right="460" w:firstLine="8"/>
        <w:spacing w:after="0" w:line="259" w:lineRule="auto"/>
        <w:tabs>
          <w:tab w:leader="none" w:pos="450" w:val="left"/>
        </w:tabs>
        <w:numPr>
          <w:ilvl w:val="0"/>
          <w:numId w:val="910"/>
        </w:numPr>
        <w:rPr>
          <w:rFonts w:ascii="Arial" w:cs="Arial" w:eastAsia="Arial" w:hAnsi="Arial"/>
          <w:sz w:val="18"/>
          <w:szCs w:val="18"/>
          <w:color w:val="auto"/>
        </w:rPr>
      </w:pPr>
      <w:r>
        <w:rPr>
          <w:rFonts w:ascii="Arial" w:cs="Arial" w:eastAsia="Arial" w:hAnsi="Arial"/>
          <w:sz w:val="18"/>
          <w:szCs w:val="18"/>
          <w:u w:val="single" w:color="auto"/>
          <w:color w:val="auto"/>
        </w:rPr>
        <w:t>Discharge of Guarantee Upon Sale of the Guarantor</w:t>
      </w:r>
      <w:r>
        <w:rPr>
          <w:rFonts w:ascii="Arial" w:cs="Arial" w:eastAsia="Arial" w:hAnsi="Arial"/>
          <w:sz w:val="18"/>
          <w:szCs w:val="18"/>
          <w:color w:val="auto"/>
        </w:rPr>
        <w:t xml:space="preserve"> . If, in compliance with the terms and provisions of the Note, all of the capital stock of any Guarantor that is a Subsidiary of the Issuer (other than AA, Envoy Air Inc., Piedmont Airlines, Inc. or PSA Airlines, Inc.) or any of its successors in interest hereunder shall be sold or otherwise disposed of (including by merger or consolidation) to any Person (other than to the Issuer or to any other Guarantor), the Guarantee of such Guarantor or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665" w:name="page666"/>
    <w:bookmarkEnd w:id="665"/>
    <w:p>
      <w:pPr>
        <w:spacing w:after="0" w:line="277" w:lineRule="auto"/>
        <w:rPr>
          <w:sz w:val="20"/>
          <w:szCs w:val="20"/>
          <w:color w:val="auto"/>
        </w:rPr>
      </w:pPr>
      <w:r>
        <w:rPr>
          <w:rFonts w:ascii="Arial" w:cs="Arial" w:eastAsia="Arial" w:hAnsi="Arial"/>
          <w:sz w:val="18"/>
          <w:szCs w:val="18"/>
          <w:color w:val="auto"/>
        </w:rPr>
        <w:t>successor in interest, as the case may be, hereunder shall automatically be discharged and released without any further action by any beneficiary or any other Person effective as of the time of such asset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Annex B- 3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084" w:right="699" w:bottom="1440" w:gutter="0" w:footer="0" w:header="0"/>
        </w:sectPr>
      </w:pPr>
    </w:p>
    <w:bookmarkStart w:id="666" w:name="page667"/>
    <w:bookmarkEnd w:id="666"/>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jc w:val="center"/>
        <w:ind w:right="1479"/>
        <w:spacing w:after="0"/>
        <w:rPr>
          <w:sz w:val="20"/>
          <w:szCs w:val="20"/>
          <w:color w:val="auto"/>
        </w:rPr>
      </w:pPr>
      <w:r>
        <w:rPr>
          <w:rFonts w:ascii="Arial" w:cs="Arial" w:eastAsia="Arial" w:hAnsi="Arial"/>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-1332865</wp:posOffset>
            </wp:positionH>
            <wp:positionV relativeFrom="paragraph">
              <wp:posOffset>188595</wp:posOffset>
            </wp:positionV>
            <wp:extent cx="6549390" cy="62922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6549390" cy="629221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Current Outstanding</w:t>
            </w: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Increase or Decrease in</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Resulting Outstanding</w:t>
            </w:r>
          </w:p>
        </w:tc>
        <w:tc>
          <w:tcPr>
            <w:tcW w:w="1360" w:type="dxa"/>
            <w:vAlign w:val="bottom"/>
          </w:tcPr>
          <w:p>
            <w:pPr>
              <w:ind w:left="20"/>
              <w:spacing w:after="0"/>
              <w:rPr>
                <w:sz w:val="20"/>
                <w:szCs w:val="20"/>
                <w:color w:val="auto"/>
              </w:rPr>
            </w:pPr>
            <w:r>
              <w:rPr>
                <w:rFonts w:ascii="Arial" w:cs="Arial" w:eastAsia="Arial" w:hAnsi="Arial"/>
                <w:sz w:val="18"/>
                <w:szCs w:val="18"/>
                <w:color w:val="auto"/>
                <w:w w:val="92"/>
              </w:rPr>
              <w:t>Notation Made By</w:t>
            </w:r>
          </w:p>
        </w:tc>
      </w:tr>
      <w:tr>
        <w:trPr>
          <w:trHeight w:val="216"/>
        </w:trPr>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Principal Amount</w:t>
            </w: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Outstanding Principal</w:t>
            </w:r>
          </w:p>
        </w:tc>
        <w:tc>
          <w:tcPr>
            <w:tcW w:w="20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Principal Amount</w:t>
            </w:r>
          </w:p>
        </w:tc>
        <w:tc>
          <w:tcPr>
            <w:tcW w:w="1360" w:type="dxa"/>
            <w:vAlign w:val="bottom"/>
          </w:tcPr>
          <w:p>
            <w:pPr>
              <w:spacing w:after="0"/>
              <w:rPr>
                <w:sz w:val="18"/>
                <w:szCs w:val="18"/>
                <w:color w:val="auto"/>
              </w:rPr>
            </w:pPr>
          </w:p>
        </w:tc>
      </w:tr>
      <w:tr>
        <w:trPr>
          <w:trHeight w:val="230"/>
        </w:trPr>
        <w:tc>
          <w:tcPr>
            <w:tcW w:w="20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w:t>
            </w:r>
          </w:p>
        </w:tc>
        <w:tc>
          <w:tcPr>
            <w:tcW w:w="204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r>
        <w:trPr>
          <w:trHeight w:val="9220"/>
        </w:trPr>
        <w:tc>
          <w:tcPr>
            <w:tcW w:w="206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1340" w:space="720"/>
            <w:col w:w="7559"/>
          </w:cols>
          <w:pgMar w:left="840" w:top="10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Schedule I</w:t>
      </w:r>
    </w:p>
    <w:p>
      <w:pPr>
        <w:sectPr>
          <w:pgSz w:w="11900" w:h="16838" w:orient="portrait"/>
          <w:cols w:equalWidth="0" w:num="1">
            <w:col w:w="9619"/>
          </w:cols>
          <w:pgMar w:left="840" w:top="1080" w:right="1440" w:bottom="1440" w:gutter="0" w:footer="0" w:header="0"/>
          <w:type w:val="continuous"/>
        </w:sectPr>
      </w:pPr>
    </w:p>
    <w:bookmarkStart w:id="667" w:name="page668"/>
    <w:bookmarkEnd w:id="667"/>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9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9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660"/>
        <w:spacing w:after="0"/>
        <w:tabs>
          <w:tab w:leader="none" w:pos="72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549" w:right="339" w:bottom="1440" w:gutter="0" w:footer="0" w:header="0"/>
        </w:sectPr>
      </w:pPr>
    </w:p>
    <w:bookmarkStart w:id="668" w:name="page669"/>
    <w:bookmarkEnd w:id="66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9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49" w:right="339" w:bottom="1440" w:gutter="0" w:footer="0" w:header="0"/>
        </w:sectPr>
      </w:pPr>
    </w:p>
    <w:bookmarkStart w:id="669" w:name="page670"/>
    <w:bookmarkEnd w:id="669"/>
    <w:p>
      <w:pPr>
        <w:jc w:val="right"/>
        <w:spacing w:after="0"/>
        <w:rPr>
          <w:sz w:val="20"/>
          <w:szCs w:val="20"/>
          <w:color w:val="auto"/>
        </w:rPr>
      </w:pPr>
      <w:r>
        <w:rPr>
          <w:rFonts w:ascii="Arial" w:cs="Arial" w:eastAsia="Arial" w:hAnsi="Arial"/>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660" w:hanging="328"/>
        <w:spacing w:after="0"/>
        <w:tabs>
          <w:tab w:leader="none" w:pos="66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9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549" w:right="339" w:bottom="1440" w:gutter="0" w:footer="0" w:header="0"/>
        </w:sectPr>
      </w:pPr>
    </w:p>
    <w:bookmarkStart w:id="670" w:name="page671"/>
    <w:bookmarkEnd w:id="670"/>
    <w:p>
      <w:pPr>
        <w:jc w:val="right"/>
        <w:spacing w:after="0"/>
        <w:rPr>
          <w:sz w:val="20"/>
          <w:szCs w:val="20"/>
          <w:color w:val="auto"/>
        </w:rPr>
      </w:pPr>
      <w:r>
        <w:rPr>
          <w:rFonts w:ascii="Arial" w:cs="Arial" w:eastAsia="Arial" w:hAnsi="Arial"/>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660" w:hanging="328"/>
        <w:spacing w:after="0"/>
        <w:tabs>
          <w:tab w:leader="none" w:pos="660" w:val="left"/>
        </w:tabs>
        <w:numPr>
          <w:ilvl w:val="0"/>
          <w:numId w:val="9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9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hanging="320"/>
        <w:spacing w:after="0" w:line="261" w:lineRule="auto"/>
        <w:tabs>
          <w:tab w:leader="none" w:pos="1300" w:val="left"/>
        </w:tabs>
        <w:numPr>
          <w:ilvl w:val="1"/>
          <w:numId w:val="9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18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28854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Executive Vice President and</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549" w:right="339" w:bottom="1440" w:gutter="0" w:footer="0" w:header="0"/>
        </w:sectPr>
      </w:pPr>
    </w:p>
    <w:bookmarkStart w:id="671" w:name="page672"/>
    <w:bookmarkEnd w:id="671"/>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March 31, 2020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9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30, 2020</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30, 2020</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549" w:right="339" w:bottom="1440" w:gutter="0" w:footer="0" w:header="0"/>
        </w:sectPr>
      </w:pPr>
    </w:p>
    <w:bookmarkStart w:id="672" w:name="page673"/>
    <w:bookmarkEnd w:id="672"/>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March 31, 2020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04" w:lineRule="exact"/>
        <w:rPr>
          <w:sz w:val="20"/>
          <w:szCs w:val="20"/>
          <w:color w:val="auto"/>
        </w:rPr>
      </w:pPr>
    </w:p>
    <w:p>
      <w:pPr>
        <w:ind w:left="660" w:hanging="328"/>
        <w:spacing w:after="0"/>
        <w:tabs>
          <w:tab w:leader="none" w:pos="66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W. Douglas Parker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30, 2020</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60065"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Derek J. Kerr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April 30, 2020</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CF16C4"/>
    <w:multiLevelType w:val="hybridMultilevel"/>
    <w:lvl w:ilvl="0">
      <w:lvlJc w:val="left"/>
      <w:lvlText w:val="☒"/>
      <w:numFmt w:val="bullet"/>
      <w:start w:val="1"/>
    </w:lvl>
  </w:abstractNum>
  <w:abstractNum w:abstractNumId="1">
    <w:nsid w:val="527FA04C"/>
    <w:multiLevelType w:val="hybridMultilevel"/>
    <w:lvl w:ilvl="0">
      <w:lvlJc w:val="left"/>
      <w:lvlText w:val="☐"/>
      <w:numFmt w:val="bullet"/>
      <w:start w:val="1"/>
    </w:lvl>
  </w:abstractNum>
  <w:abstractNum w:abstractNumId="2">
    <w:nsid w:val="6FCC0624"/>
    <w:multiLevelType w:val="hybridMultilevel"/>
    <w:lvl w:ilvl="0">
      <w:lvlJc w:val="left"/>
      <w:lvlText w:val="(%1)"/>
      <w:numFmt w:val="decimal"/>
      <w:start w:val="1"/>
    </w:lvl>
  </w:abstractNum>
  <w:abstractNum w:abstractNumId="3">
    <w:nsid w:val="1DCDF795"/>
    <w:multiLevelType w:val="hybridMultilevel"/>
    <w:lvl w:ilvl="0">
      <w:lvlJc w:val="left"/>
      <w:lvlText w:val="%1."/>
      <w:numFmt w:val="decimal"/>
      <w:start w:val="1"/>
    </w:lvl>
    <w:lvl w:ilvl="1">
      <w:lvlJc w:val="left"/>
      <w:lvlText w:val="(%2)"/>
      <w:numFmt w:val="lowerLetter"/>
      <w:start w:val="1"/>
    </w:lvl>
  </w:abstractNum>
  <w:abstractNum w:abstractNumId="4">
    <w:nsid w:val="564580C8"/>
    <w:multiLevelType w:val="hybridMultilevel"/>
    <w:lvl w:ilvl="0">
      <w:lvlJc w:val="left"/>
      <w:lvlText w:val="•"/>
      <w:numFmt w:val="bullet"/>
      <w:start w:val="1"/>
    </w:lvl>
  </w:abstractNum>
  <w:abstractNum w:abstractNumId="5">
    <w:nsid w:val="508ED897"/>
    <w:multiLevelType w:val="hybridMultilevel"/>
    <w:lvl w:ilvl="0">
      <w:lvlJc w:val="left"/>
      <w:lvlText w:val="%1."/>
      <w:numFmt w:val="decimal"/>
      <w:start w:val="2"/>
    </w:lvl>
  </w:abstractNum>
  <w:abstractNum w:abstractNumId="6">
    <w:nsid w:val="6A9126B5"/>
    <w:multiLevelType w:val="hybridMultilevel"/>
    <w:lvl w:ilvl="0">
      <w:lvlJc w:val="left"/>
      <w:lvlText w:val="(%1)"/>
      <w:numFmt w:val="decimal"/>
      <w:start w:val="1"/>
    </w:lvl>
  </w:abstractNum>
  <w:abstractNum w:abstractNumId="7">
    <w:nsid w:val="68104812"/>
    <w:multiLevelType w:val="hybridMultilevel"/>
    <w:lvl w:ilvl="0">
      <w:lvlJc w:val="left"/>
      <w:lvlText w:val="%1"/>
      <w:numFmt w:val="decimal"/>
      <w:start w:val="1"/>
    </w:lvl>
    <w:lvl w:ilvl="1">
      <w:lvlJc w:val="left"/>
      <w:lvlText w:val="(%2)"/>
      <w:numFmt w:val="decimal"/>
      <w:start w:val="5"/>
    </w:lvl>
  </w:abstractNum>
  <w:abstractNum w:abstractNumId="8">
    <w:nsid w:val="62FB8680"/>
    <w:multiLevelType w:val="hybridMultilevel"/>
    <w:lvl w:ilvl="0">
      <w:lvlJc w:val="left"/>
      <w:lvlText w:val="%1."/>
      <w:numFmt w:val="decimal"/>
      <w:start w:val="3"/>
    </w:lvl>
    <w:lvl w:ilvl="1">
      <w:lvlJc w:val="left"/>
      <w:lvlText w:val="%2"/>
      <w:numFmt w:val="decimal"/>
      <w:start w:val="1"/>
    </w:lvl>
  </w:abstractNum>
  <w:abstractNum w:abstractNumId="9">
    <w:nsid w:val="3A45530"/>
    <w:multiLevelType w:val="hybridMultilevel"/>
    <w:lvl w:ilvl="0">
      <w:lvlJc w:val="left"/>
      <w:lvlText w:val="%1."/>
      <w:numFmt w:val="decimal"/>
      <w:start w:val="5"/>
    </w:lvl>
  </w:abstractNum>
  <w:abstractNum w:abstractNumId="10">
    <w:nsid w:val="4B9275D2"/>
    <w:multiLevelType w:val="hybridMultilevel"/>
    <w:lvl w:ilvl="0">
      <w:lvlJc w:val="left"/>
      <w:lvlText w:val="(%1)"/>
      <w:numFmt w:val="decimal"/>
      <w:start w:val="1"/>
    </w:lvl>
  </w:abstractNum>
  <w:abstractNum w:abstractNumId="11">
    <w:nsid w:val="4F0CEEDB"/>
    <w:multiLevelType w:val="hybridMultilevel"/>
    <w:lvl w:ilvl="0">
      <w:lvlJc w:val="left"/>
      <w:lvlText w:val="(%1)"/>
      <w:numFmt w:val="decimal"/>
      <w:start w:val="1"/>
    </w:lvl>
  </w:abstractNum>
  <w:abstractNum w:abstractNumId="12">
    <w:nsid w:val="61C30361"/>
    <w:multiLevelType w:val="hybridMultilevel"/>
    <w:lvl w:ilvl="0">
      <w:lvlJc w:val="left"/>
      <w:lvlText w:val="%1."/>
      <w:numFmt w:val="decimal"/>
      <w:start w:val="6"/>
    </w:lvl>
  </w:abstractNum>
  <w:abstractNum w:abstractNumId="13">
    <w:nsid w:val="632099E0"/>
    <w:multiLevelType w:val="hybridMultilevel"/>
    <w:lvl w:ilvl="0">
      <w:lvlJc w:val="left"/>
      <w:lvlText w:val="%1."/>
      <w:numFmt w:val="decimal"/>
      <w:start w:val="8"/>
    </w:lvl>
  </w:abstractNum>
  <w:abstractNum w:abstractNumId="14">
    <w:nsid w:val="24639756"/>
    <w:multiLevelType w:val="hybridMultilevel"/>
    <w:lvl w:ilvl="0">
      <w:lvlJc w:val="left"/>
      <w:lvlText w:val="(%1)"/>
      <w:numFmt w:val="decimal"/>
      <w:start w:val="1"/>
    </w:lvl>
  </w:abstractNum>
  <w:abstractNum w:abstractNumId="15">
    <w:nsid w:val="9D30DFD"/>
    <w:multiLevelType w:val="hybridMultilevel"/>
    <w:lvl w:ilvl="0">
      <w:lvlJc w:val="left"/>
      <w:lvlText w:val="(%1)"/>
      <w:numFmt w:val="decimal"/>
      <w:start w:val="1"/>
    </w:lvl>
  </w:abstractNum>
  <w:abstractNum w:abstractNumId="16">
    <w:nsid w:val="70A42016"/>
    <w:multiLevelType w:val="hybridMultilevel"/>
    <w:lvl w:ilvl="0">
      <w:lvlJc w:val="left"/>
      <w:lvlText w:val="%1"/>
      <w:numFmt w:val="decimal"/>
      <w:start w:val="1"/>
    </w:lvl>
    <w:lvl w:ilvl="1">
      <w:lvlJc w:val="left"/>
      <w:lvlText w:val="(%2)"/>
      <w:numFmt w:val="decimal"/>
      <w:start w:val="1"/>
    </w:lvl>
  </w:abstractNum>
  <w:abstractNum w:abstractNumId="17">
    <w:nsid w:val="161BC243"/>
    <w:multiLevelType w:val="hybridMultilevel"/>
    <w:lvl w:ilvl="0">
      <w:lvlJc w:val="left"/>
      <w:lvlText w:val="%1."/>
      <w:numFmt w:val="decimal"/>
      <w:start w:val="12"/>
    </w:lvl>
    <w:lvl w:ilvl="1">
      <w:lvlJc w:val="left"/>
      <w:lvlText w:val="%2"/>
      <w:numFmt w:val="decimal"/>
      <w:start w:val="1"/>
    </w:lvl>
  </w:abstractNum>
  <w:abstractNum w:abstractNumId="18">
    <w:nsid w:val="16E908C8"/>
    <w:multiLevelType w:val="hybridMultilevel"/>
    <w:lvl w:ilvl="0">
      <w:lvlJc w:val="left"/>
      <w:lvlText w:val="%1."/>
      <w:numFmt w:val="decimal"/>
      <w:start w:val="13"/>
    </w:lvl>
  </w:abstractNum>
  <w:abstractNum w:abstractNumId="19">
    <w:nsid w:val="2E0D7671"/>
    <w:multiLevelType w:val="hybridMultilevel"/>
    <w:lvl w:ilvl="0">
      <w:lvlJc w:val="left"/>
      <w:lvlText w:val="(%1)"/>
      <w:numFmt w:val="decimal"/>
      <w:start w:val="1"/>
    </w:lvl>
  </w:abstractNum>
  <w:abstractNum w:abstractNumId="20">
    <w:nsid w:val="38B59EFF"/>
    <w:multiLevelType w:val="hybridMultilevel"/>
    <w:lvl w:ilvl="0">
      <w:lvlJc w:val="left"/>
      <w:lvlText w:val="%1."/>
      <w:numFmt w:val="decimal"/>
      <w:start w:val="1"/>
    </w:lvl>
    <w:lvl w:ilvl="1">
      <w:lvlJc w:val="left"/>
      <w:lvlText w:val="(%2)"/>
      <w:numFmt w:val="lowerLetter"/>
      <w:start w:val="1"/>
    </w:lvl>
  </w:abstractNum>
  <w:abstractNum w:abstractNumId="21">
    <w:nsid w:val="307995CA"/>
    <w:multiLevelType w:val="hybridMultilevel"/>
    <w:lvl w:ilvl="0">
      <w:lvlJc w:val="left"/>
      <w:lvlText w:val="•"/>
      <w:numFmt w:val="bullet"/>
      <w:start w:val="1"/>
    </w:lvl>
  </w:abstractNum>
  <w:abstractNum w:abstractNumId="22">
    <w:nsid w:val="52E2024D"/>
    <w:multiLevelType w:val="hybridMultilevel"/>
    <w:lvl w:ilvl="0">
      <w:lvlJc w:val="left"/>
      <w:lvlText w:val="%1."/>
      <w:numFmt w:val="decimal"/>
      <w:start w:val="2"/>
    </w:lvl>
  </w:abstractNum>
  <w:abstractNum w:abstractNumId="23">
    <w:nsid w:val="CE344B5"/>
    <w:multiLevelType w:val="hybridMultilevel"/>
    <w:lvl w:ilvl="0">
      <w:lvlJc w:val="left"/>
      <w:lvlText w:val="(%1)"/>
      <w:numFmt w:val="decimal"/>
      <w:start w:val="1"/>
    </w:lvl>
  </w:abstractNum>
  <w:abstractNum w:abstractNumId="24">
    <w:nsid w:val="29B0E9A8"/>
    <w:multiLevelType w:val="hybridMultilevel"/>
    <w:lvl w:ilvl="0">
      <w:lvlJc w:val="left"/>
      <w:lvlText w:val="%1"/>
      <w:numFmt w:val="decimal"/>
      <w:start w:val="1"/>
    </w:lvl>
    <w:lvl w:ilvl="1">
      <w:lvlJc w:val="left"/>
      <w:lvlText w:val="(%2)"/>
      <w:numFmt w:val="decimal"/>
      <w:start w:val="4"/>
    </w:lvl>
  </w:abstractNum>
  <w:abstractNum w:abstractNumId="25">
    <w:nsid w:val="6F49CD8A"/>
    <w:multiLevelType w:val="hybridMultilevel"/>
    <w:lvl w:ilvl="0">
      <w:lvlJc w:val="left"/>
      <w:lvlText w:val="%1."/>
      <w:numFmt w:val="decimal"/>
      <w:start w:val="3"/>
    </w:lvl>
    <w:lvl w:ilvl="1">
      <w:lvlJc w:val="left"/>
      <w:lvlText w:val="%2"/>
      <w:numFmt w:val="decimal"/>
      <w:start w:val="1"/>
    </w:lvl>
  </w:abstractNum>
  <w:abstractNum w:abstractNumId="26">
    <w:nsid w:val="4DC5D907"/>
    <w:multiLevelType w:val="hybridMultilevel"/>
    <w:lvl w:ilvl="0">
      <w:lvlJc w:val="left"/>
      <w:lvlText w:val="(%1)"/>
      <w:numFmt w:val="decimal"/>
      <w:start w:val="1"/>
    </w:lvl>
  </w:abstractNum>
  <w:abstractNum w:abstractNumId="27">
    <w:nsid w:val="D55945E"/>
    <w:multiLevelType w:val="hybridMultilevel"/>
    <w:lvl w:ilvl="0">
      <w:lvlJc w:val="left"/>
      <w:lvlText w:val="(%1)"/>
      <w:numFmt w:val="decimal"/>
      <w:start w:val="1"/>
    </w:lvl>
  </w:abstractNum>
  <w:abstractNum w:abstractNumId="28">
    <w:nsid w:val="672417E1"/>
    <w:multiLevelType w:val="hybridMultilevel"/>
    <w:lvl w:ilvl="0">
      <w:lvlJc w:val="left"/>
      <w:lvlText w:val="%1."/>
      <w:numFmt w:val="decimal"/>
      <w:start w:val="6"/>
    </w:lvl>
  </w:abstractNum>
  <w:abstractNum w:abstractNumId="29">
    <w:nsid w:val="5FF6CA09"/>
    <w:multiLevelType w:val="hybridMultilevel"/>
    <w:lvl w:ilvl="0">
      <w:lvlJc w:val="left"/>
      <w:lvlText w:val="(%1)"/>
      <w:numFmt w:val="decimal"/>
      <w:start w:val="1"/>
    </w:lvl>
  </w:abstractNum>
  <w:abstractNum w:abstractNumId="30">
    <w:nsid w:val="330B1333"/>
    <w:multiLevelType w:val="hybridMultilevel"/>
    <w:lvl w:ilvl="0">
      <w:lvlJc w:val="left"/>
      <w:lvlText w:val="%1."/>
      <w:numFmt w:val="decimal"/>
      <w:start w:val="7"/>
    </w:lvl>
  </w:abstractNum>
  <w:abstractNum w:abstractNumId="31">
    <w:nsid w:val="2EF32EA6"/>
    <w:multiLevelType w:val="hybridMultilevel"/>
    <w:lvl w:ilvl="0">
      <w:lvlJc w:val="left"/>
      <w:lvlText w:val="(%1)"/>
      <w:numFmt w:val="decimal"/>
      <w:start w:val="1"/>
    </w:lvl>
  </w:abstractNum>
  <w:abstractNum w:abstractNumId="32">
    <w:nsid w:val="32766A55"/>
    <w:multiLevelType w:val="hybridMultilevel"/>
    <w:lvl w:ilvl="0">
      <w:lvlJc w:val="left"/>
      <w:lvlText w:val="%1"/>
      <w:numFmt w:val="decimal"/>
      <w:start w:val="1"/>
    </w:lvl>
    <w:lvl w:ilvl="1">
      <w:lvlJc w:val="left"/>
      <w:lvlText w:val="(%2)"/>
      <w:numFmt w:val="decimal"/>
      <w:start w:val="1"/>
    </w:lvl>
  </w:abstractNum>
  <w:abstractNum w:abstractNumId="33">
    <w:nsid w:val="22D71957"/>
    <w:multiLevelType w:val="hybridMultilevel"/>
    <w:lvl w:ilvl="0">
      <w:lvlJc w:val="left"/>
      <w:lvlText w:val="%1."/>
      <w:numFmt w:val="decimal"/>
      <w:start w:val="10"/>
    </w:lvl>
    <w:lvl w:ilvl="1">
      <w:lvlJc w:val="left"/>
      <w:lvlText w:val="%2"/>
      <w:numFmt w:val="decimal"/>
      <w:start w:val="1"/>
    </w:lvl>
  </w:abstractNum>
  <w:abstractNum w:abstractNumId="34">
    <w:nsid w:val="4CC1263B"/>
    <w:multiLevelType w:val="hybridMultilevel"/>
    <w:lvl w:ilvl="0">
      <w:lvlJc w:val="left"/>
      <w:lvlText w:val="(%1)"/>
      <w:numFmt w:val="decimal"/>
      <w:start w:val="1"/>
    </w:lvl>
  </w:abstractNum>
  <w:abstractNum w:abstractNumId="35">
    <w:nsid w:val="8BBEB1D"/>
    <w:multiLevelType w:val="hybridMultilevel"/>
    <w:lvl w:ilvl="0">
      <w:lvlJc w:val="left"/>
      <w:lvlText w:val="%1"/>
      <w:numFmt w:val="decimal"/>
      <w:start w:val="1"/>
    </w:lvl>
    <w:lvl w:ilvl="1">
      <w:lvlJc w:val="left"/>
      <w:lvlText w:val="(%2)"/>
      <w:numFmt w:val="decimal"/>
      <w:start w:val="2"/>
    </w:lvl>
  </w:abstractNum>
  <w:abstractNum w:abstractNumId="36">
    <w:nsid w:val="7365F1EE"/>
    <w:multiLevelType w:val="hybridMultilevel"/>
    <w:lvl w:ilvl="0">
      <w:lvlJc w:val="left"/>
      <w:lvlText w:val="%1."/>
      <w:numFmt w:val="decimal"/>
      <w:start w:val="11"/>
    </w:lvl>
    <w:lvl w:ilvl="1">
      <w:lvlJc w:val="left"/>
      <w:lvlText w:val="%2"/>
      <w:numFmt w:val="decimal"/>
      <w:start w:val="1"/>
    </w:lvl>
  </w:abstractNum>
  <w:abstractNum w:abstractNumId="37">
    <w:nsid w:val="37524CF0"/>
    <w:multiLevelType w:val="hybridMultilevel"/>
    <w:lvl w:ilvl="0">
      <w:lvlJc w:val="left"/>
      <w:lvlText w:val="%1."/>
      <w:numFmt w:val="decimal"/>
      <w:start w:val="12"/>
    </w:lvl>
  </w:abstractNum>
  <w:abstractNum w:abstractNumId="38">
    <w:nsid w:val="70CC332F"/>
    <w:multiLevelType w:val="hybridMultilevel"/>
    <w:lvl w:ilvl="0">
      <w:lvlJc w:val="left"/>
      <w:lvlText w:val="•"/>
      <w:numFmt w:val="bullet"/>
      <w:start w:val="1"/>
    </w:lvl>
  </w:abstractNum>
  <w:abstractNum w:abstractNumId="39">
    <w:nsid w:val="5661786E"/>
    <w:multiLevelType w:val="hybridMultilevel"/>
    <w:lvl w:ilvl="0">
      <w:lvlJc w:val="left"/>
      <w:lvlText w:val="(%1)"/>
      <w:numFmt w:val="decimal"/>
      <w:start w:val="1"/>
    </w:lvl>
  </w:abstractNum>
  <w:abstractNum w:abstractNumId="40">
    <w:nsid w:val="3AF6A220"/>
    <w:multiLevelType w:val="hybridMultilevel"/>
    <w:lvl w:ilvl="0">
      <w:lvlJc w:val="left"/>
      <w:lvlText w:val="(%1)"/>
      <w:numFmt w:val="decimal"/>
      <w:start w:val="1"/>
    </w:lvl>
  </w:abstractNum>
  <w:abstractNum w:abstractNumId="41">
    <w:nsid w:val="3C5EA902"/>
    <w:multiLevelType w:val="hybridMultilevel"/>
    <w:lvl w:ilvl="0">
      <w:lvlJc w:val="left"/>
      <w:lvlText w:val="(%1)"/>
      <w:numFmt w:val="decimal"/>
      <w:start w:val="1"/>
    </w:lvl>
  </w:abstractNum>
  <w:abstractNum w:abstractNumId="42">
    <w:nsid w:val="256E6749"/>
    <w:multiLevelType w:val="hybridMultilevel"/>
    <w:lvl w:ilvl="0">
      <w:lvlJc w:val="left"/>
      <w:lvlText w:val="(%1)"/>
      <w:numFmt w:val="lowerLetter"/>
      <w:start w:val="7"/>
    </w:lvl>
  </w:abstractNum>
  <w:abstractNum w:abstractNumId="43">
    <w:nsid w:val="1CB9A581"/>
    <w:multiLevelType w:val="hybridMultilevel"/>
    <w:lvl w:ilvl="0">
      <w:lvlJc w:val="left"/>
      <w:lvlText w:val="•"/>
      <w:numFmt w:val="bullet"/>
      <w:start w:val="1"/>
    </w:lvl>
  </w:abstractNum>
  <w:abstractNum w:abstractNumId="44">
    <w:nsid w:val="1F7F42E2"/>
    <w:multiLevelType w:val="hybridMultilevel"/>
    <w:lvl w:ilvl="0">
      <w:lvlJc w:val="left"/>
      <w:lvlText w:val="•"/>
      <w:numFmt w:val="bullet"/>
      <w:start w:val="1"/>
    </w:lvl>
  </w:abstractNum>
  <w:abstractNum w:abstractNumId="45">
    <w:nsid w:val="49D1FEA0"/>
    <w:multiLevelType w:val="hybridMultilevel"/>
    <w:lvl w:ilvl="0">
      <w:lvlJc w:val="left"/>
      <w:lvlText w:val="(%1)"/>
      <w:numFmt w:val="decimal"/>
      <w:start w:val="1"/>
    </w:lvl>
  </w:abstractNum>
  <w:abstractNum w:abstractNumId="46">
    <w:nsid w:val="268CB37F"/>
    <w:multiLevelType w:val="hybridMultilevel"/>
    <w:lvl w:ilvl="0">
      <w:lvlJc w:val="left"/>
      <w:lvlText w:val="•"/>
      <w:numFmt w:val="bullet"/>
      <w:start w:val="1"/>
    </w:lvl>
  </w:abstractNum>
  <w:abstractNum w:abstractNumId="47">
    <w:nsid w:val="102362F8"/>
    <w:multiLevelType w:val="hybridMultilevel"/>
    <w:lvl w:ilvl="0">
      <w:lvlJc w:val="left"/>
      <w:lvlText w:val="(%1)"/>
      <w:numFmt w:val="decimal"/>
      <w:start w:val="1"/>
    </w:lvl>
  </w:abstractNum>
  <w:abstractNum w:abstractNumId="48">
    <w:nsid w:val="5FEDC0E3"/>
    <w:multiLevelType w:val="hybridMultilevel"/>
    <w:lvl w:ilvl="0">
      <w:lvlJc w:val="left"/>
      <w:lvlText w:val="(%1)"/>
      <w:numFmt w:val="decimal"/>
      <w:start w:val="1"/>
    </w:lvl>
  </w:abstractNum>
  <w:abstractNum w:abstractNumId="49">
    <w:nsid w:val="3D75BC47"/>
    <w:multiLevelType w:val="hybridMultilevel"/>
    <w:lvl w:ilvl="0">
      <w:lvlJc w:val="left"/>
      <w:lvlText w:val="(%1)"/>
      <w:numFmt w:val="decimal"/>
      <w:start w:val="2"/>
    </w:lvl>
  </w:abstractNum>
  <w:abstractNum w:abstractNumId="50">
    <w:nsid w:val="3E30D969"/>
    <w:multiLevelType w:val="hybridMultilevel"/>
    <w:lvl w:ilvl="0">
      <w:lvlJc w:val="left"/>
      <w:lvlText w:val="(%1)"/>
      <w:numFmt w:val="lowerLetter"/>
      <w:start w:val="1"/>
    </w:lvl>
  </w:abstractNum>
  <w:abstractNum w:abstractNumId="51">
    <w:nsid w:val="18A35FE3"/>
    <w:multiLevelType w:val="hybridMultilevel"/>
    <w:lvl w:ilvl="0">
      <w:lvlJc w:val="left"/>
      <w:lvlText w:val="(%1)"/>
      <w:numFmt w:val="lowerLetter"/>
      <w:start w:val="5"/>
    </w:lvl>
  </w:abstractNum>
  <w:abstractNum w:abstractNumId="52">
    <w:nsid w:val="6DEF5211"/>
    <w:multiLevelType w:val="hybridMultilevel"/>
    <w:lvl w:ilvl="0">
      <w:lvlJc w:val="left"/>
      <w:lvlText w:val=","/>
      <w:numFmt w:val="bullet"/>
      <w:start w:val="1"/>
    </w:lvl>
  </w:abstractNum>
  <w:abstractNum w:abstractNumId="53">
    <w:nsid w:val="1112DBB6"/>
    <w:multiLevelType w:val="hybridMultilevel"/>
    <w:lvl w:ilvl="0">
      <w:lvlJc w:val="left"/>
      <w:lvlText w:val="•"/>
      <w:numFmt w:val="bullet"/>
      <w:start w:val="1"/>
    </w:lvl>
    <w:lvl w:ilvl="1">
      <w:lvlJc w:val="left"/>
      <w:lvlText w:val="◦"/>
      <w:numFmt w:val="bullet"/>
      <w:start w:val="1"/>
    </w:lvl>
  </w:abstractNum>
  <w:abstractNum w:abstractNumId="54">
    <w:nsid w:val="2586A498"/>
    <w:multiLevelType w:val="hybridMultilevel"/>
    <w:lvl w:ilvl="0">
      <w:lvlJc w:val="left"/>
      <w:lvlText w:val="•"/>
      <w:numFmt w:val="bullet"/>
      <w:start w:val="1"/>
    </w:lvl>
  </w:abstractNum>
  <w:abstractNum w:abstractNumId="55">
    <w:nsid w:val="17A03BB9"/>
    <w:multiLevelType w:val="hybridMultilevel"/>
    <w:lvl w:ilvl="0">
      <w:lvlJc w:val="left"/>
      <w:lvlText w:val="•"/>
      <w:numFmt w:val="bullet"/>
      <w:start w:val="1"/>
    </w:lvl>
  </w:abstractNum>
  <w:abstractNum w:abstractNumId="56">
    <w:nsid w:val="5CA941"/>
    <w:multiLevelType w:val="hybridMultilevel"/>
    <w:lvl w:ilvl="0">
      <w:lvlJc w:val="left"/>
      <w:lvlText w:val="•"/>
      <w:numFmt w:val="bullet"/>
      <w:start w:val="1"/>
    </w:lvl>
  </w:abstractNum>
  <w:abstractNum w:abstractNumId="57">
    <w:nsid w:val="734C7D9F"/>
    <w:multiLevelType w:val="hybridMultilevel"/>
    <w:lvl w:ilvl="0">
      <w:lvlJc w:val="left"/>
      <w:lvlText w:val="•"/>
      <w:numFmt w:val="bullet"/>
      <w:start w:val="1"/>
    </w:lvl>
  </w:abstractNum>
  <w:abstractNum w:abstractNumId="58">
    <w:nsid w:val="24F5D018"/>
    <w:multiLevelType w:val="hybridMultilevel"/>
    <w:lvl w:ilvl="0">
      <w:lvlJc w:val="left"/>
      <w:lvlText w:val="•"/>
      <w:numFmt w:val="bullet"/>
      <w:start w:val="1"/>
    </w:lvl>
  </w:abstractNum>
  <w:abstractNum w:abstractNumId="59">
    <w:nsid w:val="6780C122"/>
    <w:multiLevelType w:val="hybridMultilevel"/>
    <w:lvl w:ilvl="0">
      <w:lvlJc w:val="left"/>
      <w:lvlText w:val="*"/>
      <w:numFmt w:val="bullet"/>
      <w:start w:val="1"/>
    </w:lvl>
  </w:abstractNum>
  <w:abstractNum w:abstractNumId="60">
    <w:nsid w:val="534347A8"/>
    <w:multiLevelType w:val="hybridMultilevel"/>
    <w:lvl w:ilvl="0">
      <w:lvlJc w:val="left"/>
      <w:lvlText w:val="(%1)"/>
      <w:numFmt w:val="lowerLetter"/>
      <w:start w:val="1"/>
    </w:lvl>
  </w:abstractNum>
  <w:abstractNum w:abstractNumId="61">
    <w:nsid w:val="5800E34B"/>
    <w:multiLevelType w:val="hybridMultilevel"/>
    <w:lvl w:ilvl="0">
      <w:lvlJc w:val="left"/>
      <w:lvlText w:val="(%1)"/>
      <w:numFmt w:val="lowerLetter"/>
      <w:start w:val="1"/>
    </w:lvl>
  </w:abstractNum>
  <w:abstractNum w:abstractNumId="62">
    <w:nsid w:val="1673EFC8"/>
    <w:multiLevelType w:val="hybridMultilevel"/>
    <w:lvl w:ilvl="0">
      <w:lvlJc w:val="left"/>
      <w:lvlText w:val="(%1)"/>
      <w:numFmt w:val="lowerLetter"/>
      <w:start w:val="3"/>
    </w:lvl>
  </w:abstractNum>
  <w:abstractNum w:abstractNumId="63">
    <w:nsid w:val="5B9B1FD"/>
    <w:multiLevelType w:val="hybridMultilevel"/>
    <w:lvl w:ilvl="0">
      <w:lvlJc w:val="left"/>
      <w:lvlText w:val="(%1)"/>
      <w:numFmt w:val="lowerLetter"/>
      <w:start w:val="1"/>
    </w:lvl>
    <w:lvl w:ilvl="1">
      <w:lvlJc w:val="left"/>
      <w:lvlText w:val="-"/>
      <w:numFmt w:val="bullet"/>
      <w:start w:val="1"/>
    </w:lvl>
  </w:abstractNum>
  <w:abstractNum w:abstractNumId="64">
    <w:nsid w:val="7AD7FCA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5">
    <w:nsid w:val="63351604"/>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66">
    <w:nsid w:val="E759D1A"/>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67">
    <w:nsid w:val="6E3DEE90"/>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68">
    <w:nsid w:val="1A8762F4"/>
    <w:multiLevelType w:val="hybridMultilevel"/>
    <w:lvl w:ilvl="0">
      <w:lvlJc w:val="left"/>
      <w:lvlText w:val="(%1)"/>
      <w:numFmt w:val="lowerLetter"/>
      <w:start w:val="10"/>
    </w:lvl>
  </w:abstractNum>
  <w:abstractNum w:abstractNumId="69">
    <w:nsid w:val="7F41D049"/>
    <w:multiLevelType w:val="hybridMultilevel"/>
    <w:lvl w:ilvl="0">
      <w:lvlJc w:val="left"/>
      <w:lvlText w:val="(%1)"/>
      <w:numFmt w:val="lowerLetter"/>
      <w:start w:val="1"/>
    </w:lvl>
    <w:lvl w:ilvl="1">
      <w:lvlJc w:val="left"/>
      <w:lvlText w:val="-"/>
      <w:numFmt w:val="bullet"/>
      <w:start w:val="1"/>
    </w:lvl>
  </w:abstractNum>
  <w:abstractNum w:abstractNumId="70">
    <w:nsid w:val="449F66FE"/>
    <w:multiLevelType w:val="hybridMultilevel"/>
    <w:lvl w:ilvl="0">
      <w:lvlJc w:val="left"/>
      <w:lvlText w:val="(%1)"/>
      <w:numFmt w:val="lowerLetter"/>
      <w:start w:val="3"/>
    </w:lvl>
  </w:abstractNum>
  <w:abstractNum w:abstractNumId="71">
    <w:nsid w:val="557E0515"/>
    <w:multiLevelType w:val="hybridMultilevel"/>
    <w:lvl w:ilvl="0">
      <w:lvlJc w:val="left"/>
      <w:lvlText w:val="(%1)"/>
      <w:numFmt w:val="lowerLetter"/>
      <w:start w:val="1"/>
    </w:lvl>
  </w:abstractNum>
  <w:abstractNum w:abstractNumId="72">
    <w:nsid w:val="3BA0794B"/>
    <w:multiLevelType w:val="hybridMultilevel"/>
    <w:lvl w:ilvl="0">
      <w:lvlJc w:val="left"/>
      <w:lvlText w:val="(%1)"/>
      <w:numFmt w:val="lowerLetter"/>
      <w:start w:val="2"/>
    </w:lvl>
  </w:abstractNum>
  <w:abstractNum w:abstractNumId="73">
    <w:nsid w:val="6A0DCE4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4">
    <w:nsid w:val="7237AA96"/>
    <w:multiLevelType w:val="hybridMultilevel"/>
    <w:lvl w:ilvl="0">
      <w:lvlJc w:val="left"/>
      <w:lvlText w:val="%1"/>
      <w:numFmt w:val="decimal"/>
      <w:start w:val="1"/>
    </w:lvl>
    <w:lvl w:ilvl="1">
      <w:lvlJc w:val="left"/>
      <w:lvlText w:val="(%2)"/>
      <w:numFmt w:val="lowerRoman"/>
      <w:start w:val="2"/>
    </w:lvl>
    <w:lvl w:ilvl="2">
      <w:lvlJc w:val="left"/>
      <w:lvlText w:val="-"/>
      <w:numFmt w:val="bullet"/>
      <w:start w:val="1"/>
    </w:lvl>
  </w:abstractNum>
  <w:abstractNum w:abstractNumId="75">
    <w:nsid w:val="5B1FBC2D"/>
    <w:multiLevelType w:val="hybridMultilevel"/>
    <w:lvl w:ilvl="0">
      <w:lvlJc w:val="left"/>
      <w:lvlText w:val="(%1)"/>
      <w:numFmt w:val="decimal"/>
      <w:start w:val="2"/>
    </w:lvl>
    <w:lvl w:ilvl="1">
      <w:lvlJc w:val="left"/>
      <w:lvlText w:val="(%2)"/>
      <w:numFmt w:val="lowerRoman"/>
      <w:start w:val="4"/>
    </w:lvl>
    <w:lvl w:ilvl="2">
      <w:lvlJc w:val="left"/>
      <w:lvlText w:val="-"/>
      <w:numFmt w:val="bullet"/>
      <w:start w:val="1"/>
    </w:lvl>
  </w:abstractNum>
  <w:abstractNum w:abstractNumId="76">
    <w:nsid w:val="33DFCCE8"/>
    <w:multiLevelType w:val="hybridMultilevel"/>
    <w:lvl w:ilvl="0">
      <w:lvlJc w:val="left"/>
      <w:lvlText w:val="(%1)"/>
      <w:numFmt w:val="lowerRoman"/>
      <w:start w:val="4"/>
    </w:lvl>
    <w:lvl w:ilvl="1">
      <w:lvlJc w:val="left"/>
      <w:lvlText w:val="(%2)"/>
      <w:numFmt w:val="lowerRoman"/>
      <w:start w:val="5"/>
    </w:lvl>
    <w:lvl w:ilvl="2">
      <w:lvlJc w:val="left"/>
      <w:lvlText w:val="-"/>
      <w:numFmt w:val="bullet"/>
      <w:start w:val="1"/>
    </w:lvl>
  </w:abstractNum>
  <w:abstractNum w:abstractNumId="77">
    <w:nsid w:val="18C45E1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8">
    <w:nsid w:val="6B431F25"/>
    <w:multiLevelType w:val="hybridMultilevel"/>
    <w:lvl w:ilvl="0">
      <w:lvlJc w:val="left"/>
      <w:lvlText w:val="(%1)"/>
      <w:numFmt w:val="lowerRoman"/>
      <w:start w:val="5"/>
    </w:lvl>
    <w:lvl w:ilvl="1">
      <w:lvlJc w:val="left"/>
      <w:lvlText w:val="(%2)"/>
      <w:numFmt w:val="upperLetter"/>
      <w:start w:val="1"/>
    </w:lvl>
    <w:lvl w:ilvl="2">
      <w:lvlJc w:val="left"/>
      <w:lvlText w:val="-"/>
      <w:numFmt w:val="bullet"/>
      <w:start w:val="1"/>
    </w:lvl>
  </w:abstractNum>
  <w:abstractNum w:abstractNumId="79">
    <w:nsid w:val="13CD8DCB"/>
    <w:multiLevelType w:val="hybridMultilevel"/>
    <w:lvl w:ilvl="0">
      <w:lvlJc w:val="left"/>
      <w:lvlText w:val="(%1)"/>
      <w:numFmt w:val="lowerRoman"/>
      <w:start w:val="9"/>
    </w:lvl>
    <w:lvl w:ilvl="1">
      <w:lvlJc w:val="left"/>
      <w:lvlText w:val="-"/>
      <w:numFmt w:val="bullet"/>
      <w:start w:val="1"/>
    </w:lvl>
  </w:abstractNum>
  <w:abstractNum w:abstractNumId="80">
    <w:nsid w:val="563A1A5C"/>
    <w:multiLevelType w:val="hybridMultilevel"/>
    <w:lvl w:ilvl="0">
      <w:lvlJc w:val="left"/>
      <w:lvlText w:val="%1"/>
      <w:numFmt w:val="lowerLetter"/>
      <w:start w:val="1"/>
    </w:lvl>
    <w:lvl w:ilvl="1">
      <w:lvlJc w:val="left"/>
      <w:lvlText w:val="(%2)"/>
      <w:numFmt w:val="lowerRoman"/>
      <w:start w:val="11"/>
    </w:lvl>
    <w:lvl w:ilvl="2">
      <w:lvlJc w:val="left"/>
      <w:lvlText w:val="-"/>
      <w:numFmt w:val="bullet"/>
      <w:start w:val="1"/>
    </w:lvl>
  </w:abstractNum>
  <w:abstractNum w:abstractNumId="81">
    <w:nsid w:val="2973F88F"/>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82">
    <w:nsid w:val="2C70EDAE"/>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83">
    <w:nsid w:val="44296C6D"/>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84">
    <w:nsid w:val="3A86D445"/>
    <w:multiLevelType w:val="hybridMultilevel"/>
    <w:lvl w:ilvl="0">
      <w:lvlJc w:val="left"/>
      <w:lvlText w:val="(%1)"/>
      <w:numFmt w:val="lowerLetter"/>
      <w:start w:val="8"/>
    </w:lvl>
    <w:lvl w:ilvl="1">
      <w:lvlJc w:val="left"/>
      <w:lvlText w:val="%2"/>
      <w:numFmt w:val="lowerLetter"/>
      <w:start w:val="1"/>
    </w:lvl>
    <w:lvl w:ilvl="2">
      <w:lvlJc w:val="left"/>
      <w:lvlText w:val="-"/>
      <w:numFmt w:val="bullet"/>
      <w:start w:val="1"/>
    </w:lvl>
  </w:abstractNum>
  <w:abstractNum w:abstractNumId="85">
    <w:nsid w:val="51F79246"/>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86">
    <w:nsid w:val="5BC9A827"/>
    <w:multiLevelType w:val="hybridMultilevel"/>
    <w:lvl w:ilvl="0">
      <w:lvlJc w:val="left"/>
      <w:lvlText w:val="%1"/>
      <w:numFmt w:val="decimal"/>
      <w:start w:val="1"/>
    </w:lvl>
    <w:lvl w:ilvl="1">
      <w:lvlJc w:val="left"/>
      <w:lvlText w:val="(%2)"/>
      <w:numFmt w:val="lowerRoman"/>
      <w:start w:val="3"/>
    </w:lvl>
  </w:abstractNum>
  <w:abstractNum w:abstractNumId="87">
    <w:nsid w:val="3AE37D86"/>
    <w:multiLevelType w:val="hybridMultilevel"/>
    <w:lvl w:ilvl="0">
      <w:lvlJc w:val="left"/>
      <w:lvlText w:val="(%1)"/>
      <w:numFmt w:val="decimal"/>
      <w:start w:val="1"/>
    </w:lvl>
    <w:lvl w:ilvl="1">
      <w:lvlJc w:val="left"/>
      <w:lvlText w:val="(%2)"/>
      <w:numFmt w:val="lowerRoman"/>
      <w:start w:val="4"/>
    </w:lvl>
  </w:abstractNum>
  <w:abstractNum w:abstractNumId="88">
    <w:nsid w:val="45440FE5"/>
    <w:multiLevelType w:val="hybridMultilevel"/>
    <w:lvl w:ilvl="0">
      <w:lvlJc w:val="left"/>
      <w:lvlText w:val="%1"/>
      <w:numFmt w:val="lowerLetter"/>
      <w:start w:val="1"/>
    </w:lvl>
    <w:lvl w:ilvl="1">
      <w:lvlJc w:val="left"/>
      <w:lvlText w:val="(%2)"/>
      <w:numFmt w:val="lowerLetter"/>
      <w:start w:val="12"/>
    </w:lvl>
    <w:lvl w:ilvl="2">
      <w:lvlJc w:val="left"/>
      <w:lvlText w:val="-"/>
      <w:numFmt w:val="bullet"/>
      <w:start w:val="1"/>
    </w:lvl>
  </w:abstractNum>
  <w:abstractNum w:abstractNumId="89">
    <w:nsid w:val="BF783F"/>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90">
    <w:nsid w:val="22643EA9"/>
    <w:multiLevelType w:val="hybridMultilevel"/>
    <w:lvl w:ilvl="0">
      <w:lvlJc w:val="left"/>
      <w:lvlText w:val="(%1)"/>
      <w:numFmt w:val="lowerLetter"/>
      <w:start w:val="13"/>
    </w:lvl>
  </w:abstractNum>
  <w:abstractNum w:abstractNumId="91">
    <w:nsid w:val="1887578D"/>
    <w:multiLevelType w:val="hybridMultilevel"/>
    <w:lvl w:ilvl="0">
      <w:lvlJc w:val="left"/>
      <w:lvlText w:val="(%1)"/>
      <w:numFmt w:val="lowerLetter"/>
      <w:start w:val="1"/>
    </w:lvl>
    <w:lvl w:ilvl="1">
      <w:lvlJc w:val="left"/>
      <w:lvlText w:val="-"/>
      <w:numFmt w:val="bullet"/>
      <w:start w:val="1"/>
    </w:lvl>
  </w:abstractNum>
  <w:abstractNum w:abstractNumId="92">
    <w:nsid w:val="58C05B8A"/>
    <w:multiLevelType w:val="hybridMultilevel"/>
    <w:lvl w:ilvl="0">
      <w:lvlJc w:val="left"/>
      <w:lvlText w:val="(%1)"/>
      <w:numFmt w:val="lowerLetter"/>
      <w:start w:val="5"/>
    </w:lvl>
  </w:abstractNum>
  <w:abstractNum w:abstractNumId="93">
    <w:nsid w:val="38D82E71"/>
    <w:multiLevelType w:val="hybridMultilevel"/>
    <w:lvl w:ilvl="0">
      <w:lvlJc w:val="left"/>
      <w:lvlText w:val="\ldblquote"/>
      <w:numFmt w:val="bullet"/>
      <w:start w:val="1"/>
    </w:lvl>
    <w:lvl w:ilvl="1">
      <w:lvlJc w:val="left"/>
      <w:lvlText w:val="%2."/>
      <w:numFmt w:val="decimal"/>
      <w:start w:val="1"/>
    </w:lvl>
  </w:abstractNum>
  <w:abstractNum w:abstractNumId="94">
    <w:nsid w:val="1E41098A"/>
    <w:multiLevelType w:val="hybridMultilevel"/>
    <w:lvl w:ilvl="0">
      <w:lvlJc w:val="left"/>
      <w:lvlText w:val="\ldblquote"/>
      <w:numFmt w:val="bullet"/>
      <w:start w:val="1"/>
    </w:lvl>
  </w:abstractNum>
  <w:abstractNum w:abstractNumId="95">
    <w:nsid w:val="5398582C"/>
    <w:multiLevelType w:val="hybridMultilevel"/>
    <w:lvl w:ilvl="0">
      <w:lvlJc w:val="left"/>
      <w:lvlText w:val="\ldblquote"/>
      <w:numFmt w:val="bullet"/>
      <w:start w:val="1"/>
    </w:lvl>
  </w:abstractNum>
  <w:abstractNum w:abstractNumId="96">
    <w:nsid w:val="1C0D4475"/>
    <w:multiLevelType w:val="hybridMultilevel"/>
    <w:lvl w:ilvl="0">
      <w:lvlJc w:val="left"/>
      <w:lvlText w:val="(%1)"/>
      <w:numFmt w:val="decimal"/>
      <w:start w:val="2"/>
    </w:lvl>
    <w:lvl w:ilvl="1">
      <w:lvlJc w:val="left"/>
      <w:lvlText w:val="\ldblquote"/>
      <w:numFmt w:val="bullet"/>
      <w:start w:val="1"/>
    </w:lvl>
  </w:abstractNum>
  <w:abstractNum w:abstractNumId="97">
    <w:nsid w:val="2CB6A6A4"/>
    <w:multiLevelType w:val="hybridMultilevel"/>
    <w:lvl w:ilvl="0">
      <w:lvlJc w:val="left"/>
      <w:lvlText w:val="\ldblquote"/>
      <w:numFmt w:val="bullet"/>
      <w:start w:val="1"/>
    </w:lvl>
  </w:abstractNum>
  <w:abstractNum w:abstractNumId="98">
    <w:nsid w:val="41D646BC"/>
    <w:multiLevelType w:val="hybridMultilevel"/>
    <w:lvl w:ilvl="0">
      <w:lvlJc w:val="left"/>
      <w:lvlText w:val="\ldblquote"/>
      <w:numFmt w:val="bullet"/>
      <w:start w:val="1"/>
    </w:lvl>
  </w:abstractNum>
  <w:abstractNum w:abstractNumId="99">
    <w:nsid w:val="3694A76A"/>
    <w:multiLevelType w:val="hybridMultilevel"/>
    <w:lvl w:ilvl="0">
      <w:lvlJc w:val="left"/>
      <w:lvlText w:val="%1."/>
      <w:numFmt w:val="decimal"/>
      <w:start w:val="2"/>
    </w:lvl>
  </w:abstractNum>
  <w:abstractNum w:abstractNumId="100">
    <w:nsid w:val="2BF876EE"/>
    <w:multiLevelType w:val="hybridMultilevel"/>
    <w:lvl w:ilvl="0">
      <w:lvlJc w:val="left"/>
      <w:lvlText w:val="%1"/>
      <w:numFmt w:val="decimal"/>
      <w:start w:val="1"/>
    </w:lvl>
    <w:lvl w:ilvl="1">
      <w:lvlJc w:val="left"/>
      <w:lvlText w:val="(%2)"/>
      <w:numFmt w:val="lowerRoman"/>
      <w:start w:val="1"/>
    </w:lvl>
  </w:abstractNum>
  <w:abstractNum w:abstractNumId="101">
    <w:nsid w:val="675ADBA"/>
    <w:multiLevelType w:val="hybridMultilevel"/>
    <w:lvl w:ilvl="0">
      <w:lvlJc w:val="left"/>
      <w:lvlText w:val="%1."/>
      <w:numFmt w:val="decimal"/>
      <w:start w:val="3"/>
    </w:lvl>
    <w:lvl w:ilvl="1">
      <w:lvlJc w:val="left"/>
      <w:lvlText w:val="%2"/>
      <w:numFmt w:val="lowerRoman"/>
      <w:start w:val="1"/>
    </w:lvl>
  </w:abstractNum>
  <w:abstractNum w:abstractNumId="102">
    <w:nsid w:val="C12AC7F"/>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1"/>
    </w:lvl>
  </w:abstractNum>
  <w:abstractNum w:abstractNumId="103">
    <w:nsid w:val="6798F039"/>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1"/>
    </w:lvl>
  </w:abstractNum>
  <w:abstractNum w:abstractNumId="104">
    <w:nsid w:val="70837C02"/>
    <w:multiLevelType w:val="hybridMultilevel"/>
    <w:lvl w:ilvl="0">
      <w:lvlJc w:val="left"/>
      <w:lvlText w:val="%1."/>
      <w:numFmt w:val="decimal"/>
      <w:start w:val="5"/>
    </w:lvl>
  </w:abstractNum>
  <w:abstractNum w:abstractNumId="105">
    <w:nsid w:val="7E4A5715"/>
    <w:multiLevelType w:val="hybridMultilevel"/>
    <w:lvl w:ilvl="0">
      <w:lvlJc w:val="left"/>
      <w:lvlText w:val="(%1)"/>
      <w:numFmt w:val="upperLetter"/>
      <w:start w:val="1"/>
    </w:lvl>
  </w:abstractNum>
  <w:abstractNum w:abstractNumId="106">
    <w:nsid w:val="42B8AC67"/>
    <w:multiLevelType w:val="hybridMultilevel"/>
    <w:lvl w:ilvl="0">
      <w:lvlJc w:val="left"/>
      <w:lvlText w:val="(%1)"/>
      <w:numFmt w:val="upperLetter"/>
      <w:start w:val="2"/>
    </w:lvl>
  </w:abstractNum>
  <w:abstractNum w:abstractNumId="107">
    <w:nsid w:val="246348EA"/>
    <w:multiLevelType w:val="hybridMultilevel"/>
    <w:lvl w:ilvl="0">
      <w:lvlJc w:val="left"/>
      <w:lvlText w:val="%1."/>
      <w:numFmt w:val="decimal"/>
      <w:start w:val="9"/>
    </w:lvl>
  </w:abstractNum>
  <w:abstractNum w:abstractNumId="108">
    <w:nsid w:val="170EB52B"/>
    <w:multiLevelType w:val="hybridMultilevel"/>
    <w:lvl w:ilvl="0">
      <w:lvlJc w:val="left"/>
      <w:lvlText w:val="(%1)"/>
      <w:numFmt w:val="upperLetter"/>
      <w:start w:val="1"/>
    </w:lvl>
  </w:abstractNum>
  <w:abstractNum w:abstractNumId="109">
    <w:nsid w:val="2DFBCB8C"/>
    <w:multiLevelType w:val="hybridMultilevel"/>
    <w:lvl w:ilvl="0">
      <w:lvlJc w:val="left"/>
      <w:lvlText w:val="(%1)"/>
      <w:numFmt w:val="upperLetter"/>
      <w:start w:val="4"/>
    </w:lvl>
  </w:abstractNum>
  <w:abstractNum w:abstractNumId="110">
    <w:nsid w:val="3830D6B6"/>
    <w:multiLevelType w:val="hybridMultilevel"/>
    <w:lvl w:ilvl="0">
      <w:lvlJc w:val="left"/>
      <w:lvlText w:val="%1."/>
      <w:numFmt w:val="decimal"/>
      <w:start w:val="13"/>
    </w:lvl>
  </w:abstractNum>
  <w:abstractNum w:abstractNumId="111">
    <w:nsid w:val="6D48CF87"/>
    <w:multiLevelType w:val="hybridMultilevel"/>
    <w:lvl w:ilvl="0">
      <w:lvlJc w:val="left"/>
      <w:lvlText w:val="(%1)"/>
      <w:numFmt w:val="upperLetter"/>
      <w:start w:val="1"/>
    </w:lvl>
    <w:lvl w:ilvl="1">
      <w:lvlJc w:val="left"/>
      <w:lvlText w:val="(%2)"/>
      <w:numFmt w:val="upperLetter"/>
      <w:start w:val="1"/>
    </w:lvl>
  </w:abstractNum>
  <w:abstractNum w:abstractNumId="112">
    <w:nsid w:val="576FC41B"/>
    <w:multiLevelType w:val="hybridMultilevel"/>
    <w:lvl w:ilvl="0">
      <w:lvlJc w:val="left"/>
      <w:lvlText w:val="(%1)"/>
      <w:numFmt w:val="upperLetter"/>
      <w:start w:val="2"/>
    </w:lvl>
  </w:abstractNum>
  <w:abstractNum w:abstractNumId="113">
    <w:nsid w:val="64A1C464"/>
    <w:multiLevelType w:val="hybridMultilevel"/>
    <w:lvl w:ilvl="0">
      <w:lvlJc w:val="left"/>
      <w:lvlText w:val="(%1)"/>
      <w:numFmt w:val="upperLetter"/>
      <w:start w:val="3"/>
    </w:lvl>
  </w:abstractNum>
  <w:abstractNum w:abstractNumId="114">
    <w:nsid w:val="31723BF5"/>
    <w:multiLevelType w:val="hybridMultilevel"/>
    <w:lvl w:ilvl="0">
      <w:lvlJc w:val="left"/>
      <w:lvlText w:val="(%1)"/>
      <w:numFmt w:val="upperLetter"/>
      <w:start w:val="5"/>
    </w:lvl>
  </w:abstractNum>
  <w:abstractNum w:abstractNumId="115">
    <w:nsid w:val="11F69861"/>
    <w:multiLevelType w:val="hybridMultilevel"/>
    <w:lvl w:ilvl="0">
      <w:lvlJc w:val="left"/>
      <w:lvlText w:val="(%1)"/>
      <w:numFmt w:val="upperLetter"/>
      <w:start w:val="8"/>
    </w:lvl>
  </w:abstractNum>
  <w:abstractNum w:abstractNumId="116">
    <w:nsid w:val="369956AB"/>
    <w:multiLevelType w:val="hybridMultilevel"/>
    <w:lvl w:ilvl="0">
      <w:lvlJc w:val="left"/>
      <w:lvlText w:val="%1."/>
      <w:numFmt w:val="decimal"/>
      <w:start w:val="14"/>
    </w:lvl>
  </w:abstractNum>
  <w:abstractNum w:abstractNumId="117">
    <w:nsid w:val="D3BE41C"/>
    <w:multiLevelType w:val="hybridMultilevel"/>
    <w:lvl w:ilvl="0">
      <w:lvlJc w:val="left"/>
      <w:lvlText w:val="(%1)"/>
      <w:numFmt w:val="lowerRoman"/>
      <w:start w:val="1"/>
    </w:lvl>
  </w:abstractNum>
  <w:abstractNum w:abstractNumId="118">
    <w:nsid w:val="4CDA15E7"/>
    <w:multiLevelType w:val="hybridMultilevel"/>
    <w:lvl w:ilvl="0">
      <w:lvlJc w:val="left"/>
      <w:lvlText w:val="%1."/>
      <w:numFmt w:val="decimal"/>
      <w:start w:val="1"/>
    </w:lvl>
  </w:abstractNum>
  <w:abstractNum w:abstractNumId="119">
    <w:nsid w:val="7BDD6690"/>
    <w:multiLevelType w:val="hybridMultilevel"/>
    <w:lvl w:ilvl="0">
      <w:lvlJc w:val="left"/>
      <w:lvlText w:val="%1."/>
      <w:numFmt w:val="decimal"/>
      <w:start w:val="10"/>
    </w:lvl>
  </w:abstractNum>
  <w:abstractNum w:abstractNumId="120">
    <w:nsid w:val="DFB5C5B"/>
    <w:multiLevelType w:val="hybridMultilevel"/>
    <w:lvl w:ilvl="0">
      <w:lvlJc w:val="left"/>
      <w:lvlText w:val="%1."/>
      <w:numFmt w:val="decimal"/>
      <w:start w:val="1"/>
    </w:lvl>
  </w:abstractNum>
  <w:abstractNum w:abstractNumId="121">
    <w:nsid w:val="6F3E5490"/>
    <w:multiLevelType w:val="hybridMultilevel"/>
    <w:lvl w:ilvl="0">
      <w:lvlJc w:val="left"/>
      <w:lvlText w:val="%1."/>
      <w:numFmt w:val="decimal"/>
      <w:start w:val="2"/>
    </w:lvl>
  </w:abstractNum>
  <w:abstractNum w:abstractNumId="122">
    <w:nsid w:val="1464BE1E"/>
    <w:multiLevelType w:val="hybridMultilevel"/>
    <w:lvl w:ilvl="0">
      <w:lvlJc w:val="left"/>
      <w:lvlText w:val="%1."/>
      <w:numFmt w:val="decimal"/>
      <w:start w:val="3"/>
    </w:lvl>
  </w:abstractNum>
  <w:abstractNum w:abstractNumId="123">
    <w:nsid w:val="66BBB7E5"/>
    <w:multiLevelType w:val="hybridMultilevel"/>
    <w:lvl w:ilvl="0">
      <w:lvlJc w:val="left"/>
      <w:lvlText w:val="%1."/>
      <w:numFmt w:val="decimal"/>
      <w:start w:val="1"/>
    </w:lvl>
  </w:abstractNum>
  <w:abstractNum w:abstractNumId="124">
    <w:nsid w:val="28168302"/>
    <w:multiLevelType w:val="hybridMultilevel"/>
    <w:lvl w:ilvl="0">
      <w:lvlJc w:val="left"/>
      <w:lvlText w:val="%1."/>
      <w:numFmt w:val="decimal"/>
      <w:start w:val="2"/>
    </w:lvl>
  </w:abstractNum>
  <w:abstractNum w:abstractNumId="125">
    <w:nsid w:val="32A5C7A8"/>
    <w:multiLevelType w:val="hybridMultilevel"/>
    <w:lvl w:ilvl="0">
      <w:lvlJc w:val="left"/>
      <w:lvlText w:val="1"/>
      <w:numFmt w:val="bullet"/>
      <w:start w:val="1"/>
    </w:lvl>
  </w:abstractNum>
  <w:abstractNum w:abstractNumId="126">
    <w:nsid w:val="3A541011"/>
    <w:multiLevelType w:val="hybridMultilevel"/>
    <w:lvl w:ilvl="0">
      <w:lvlJc w:val="left"/>
      <w:lvlText w:val="3"/>
      <w:numFmt w:val="bullet"/>
      <w:start w:val="1"/>
    </w:lvl>
  </w:abstractNum>
  <w:abstractNum w:abstractNumId="127">
    <w:nsid w:val="4423C777"/>
    <w:multiLevelType w:val="hybridMultilevel"/>
    <w:lvl w:ilvl="0">
      <w:lvlJc w:val="left"/>
      <w:lvlText w:val="4"/>
      <w:numFmt w:val="bullet"/>
      <w:start w:val="1"/>
    </w:lvl>
  </w:abstractNum>
  <w:abstractNum w:abstractNumId="128">
    <w:nsid w:val="5F5C6E4D"/>
    <w:multiLevelType w:val="hybridMultilevel"/>
    <w:lvl w:ilvl="0">
      <w:lvlJc w:val="left"/>
      <w:lvlText w:val="5"/>
      <w:numFmt w:val="bullet"/>
      <w:start w:val="1"/>
    </w:lvl>
  </w:abstractNum>
  <w:abstractNum w:abstractNumId="129">
    <w:nsid w:val="7C2A56CD"/>
    <w:multiLevelType w:val="hybridMultilevel"/>
    <w:lvl w:ilvl="0">
      <w:lvlJc w:val="left"/>
      <w:lvlText w:val="1"/>
      <w:numFmt w:val="bullet"/>
      <w:start w:val="1"/>
    </w:lvl>
  </w:abstractNum>
  <w:abstractNum w:abstractNumId="130">
    <w:nsid w:val="7AB86EE1"/>
    <w:multiLevelType w:val="hybridMultilevel"/>
    <w:lvl w:ilvl="0">
      <w:lvlJc w:val="left"/>
      <w:lvlText w:val="2"/>
      <w:numFmt w:val="bullet"/>
      <w:start w:val="1"/>
    </w:lvl>
  </w:abstractNum>
  <w:abstractNum w:abstractNumId="131">
    <w:nsid w:val="B54E53B"/>
    <w:multiLevelType w:val="hybridMultilevel"/>
    <w:lvl w:ilvl="0">
      <w:lvlJc w:val="left"/>
      <w:lvlText w:val="3"/>
      <w:numFmt w:val="bullet"/>
      <w:start w:val="1"/>
    </w:lvl>
  </w:abstractNum>
  <w:abstractNum w:abstractNumId="132">
    <w:nsid w:val="2A00487"/>
    <w:multiLevelType w:val="hybridMultilevel"/>
    <w:lvl w:ilvl="0">
      <w:lvlJc w:val="left"/>
      <w:lvlText w:val="4"/>
      <w:numFmt w:val="bullet"/>
      <w:start w:val="1"/>
    </w:lvl>
  </w:abstractNum>
  <w:abstractNum w:abstractNumId="133">
    <w:nsid w:val="6CB1B60"/>
    <w:multiLevelType w:val="hybridMultilevel"/>
    <w:lvl w:ilvl="0">
      <w:lvlJc w:val="left"/>
      <w:lvlText w:val="5"/>
      <w:numFmt w:val="bullet"/>
      <w:start w:val="1"/>
    </w:lvl>
  </w:abstractNum>
  <w:abstractNum w:abstractNumId="134">
    <w:nsid w:val="72EDD574"/>
    <w:multiLevelType w:val="hybridMultilevel"/>
    <w:lvl w:ilvl="0">
      <w:lvlJc w:val="left"/>
      <w:lvlText w:val="\ldblquote"/>
      <w:numFmt w:val="bullet"/>
      <w:start w:val="1"/>
    </w:lvl>
  </w:abstractNum>
  <w:abstractNum w:abstractNumId="135">
    <w:nsid w:val="7323808A"/>
    <w:multiLevelType w:val="hybridMultilevel"/>
    <w:lvl w:ilvl="0">
      <w:lvlJc w:val="left"/>
      <w:lvlText w:val="(%1)"/>
      <w:numFmt w:val="lowerLetter"/>
      <w:start w:val="1"/>
    </w:lvl>
    <w:lvl w:ilvl="1">
      <w:lvlJc w:val="left"/>
      <w:lvlText w:val="\ldblquote"/>
      <w:numFmt w:val="bullet"/>
      <w:start w:val="1"/>
    </w:lvl>
    <w:lvl w:ilvl="2">
      <w:lvlJc w:val="left"/>
      <w:lvlText w:val="\ldblquote"/>
      <w:numFmt w:val="bullet"/>
      <w:start w:val="1"/>
    </w:lvl>
  </w:abstractNum>
  <w:abstractNum w:abstractNumId="136">
    <w:nsid w:val="5157276"/>
    <w:multiLevelType w:val="hybridMultilevel"/>
    <w:lvl w:ilvl="0">
      <w:lvlJc w:val="left"/>
      <w:lvlText w:val="(%1)"/>
      <w:numFmt w:val="lowerLetter"/>
      <w:start w:val="2"/>
    </w:lvl>
    <w:lvl w:ilvl="1">
      <w:lvlJc w:val="left"/>
      <w:lvlText w:val="\ldblquote"/>
      <w:numFmt w:val="bullet"/>
      <w:start w:val="1"/>
    </w:lvl>
  </w:abstractNum>
  <w:abstractNum w:abstractNumId="137">
    <w:nsid w:val="35A681DB"/>
    <w:multiLevelType w:val="hybridMultilevel"/>
    <w:lvl w:ilvl="0">
      <w:lvlJc w:val="left"/>
      <w:lvlText w:val="\ldblquote"/>
      <w:numFmt w:val="bullet"/>
      <w:start w:val="1"/>
    </w:lvl>
  </w:abstractNum>
  <w:abstractNum w:abstractNumId="138">
    <w:nsid w:val="1786C974"/>
    <w:multiLevelType w:val="hybridMultilevel"/>
    <w:lvl w:ilvl="0">
      <w:lvlJc w:val="left"/>
      <w:lvlText w:val="(%1)"/>
      <w:numFmt w:val="lowerLetter"/>
      <w:start w:val="3"/>
    </w:lvl>
  </w:abstractNum>
  <w:abstractNum w:abstractNumId="139">
    <w:nsid w:val="1C2427A1"/>
    <w:multiLevelType w:val="hybridMultilevel"/>
    <w:lvl w:ilvl="0">
      <w:lvlJc w:val="left"/>
      <w:lvlText w:val="\ldblquote"/>
      <w:numFmt w:val="bullet"/>
      <w:start w:val="1"/>
    </w:lvl>
  </w:abstractNum>
  <w:abstractNum w:abstractNumId="140">
    <w:nsid w:val="63A24D68"/>
    <w:multiLevelType w:val="hybridMultilevel"/>
    <w:lvl w:ilvl="0">
      <w:lvlJc w:val="left"/>
      <w:lvlText w:val="(%1)"/>
      <w:numFmt w:val="lowerLetter"/>
      <w:start w:val="4"/>
    </w:lvl>
  </w:abstractNum>
  <w:abstractNum w:abstractNumId="141">
    <w:nsid w:val="4FB7A02A"/>
    <w:multiLevelType w:val="hybridMultilevel"/>
    <w:lvl w:ilvl="0">
      <w:lvlJc w:val="left"/>
      <w:lvlText w:val="\ldblquote"/>
      <w:numFmt w:val="bullet"/>
      <w:start w:val="1"/>
    </w:lvl>
  </w:abstractNum>
  <w:abstractNum w:abstractNumId="142">
    <w:nsid w:val="96CF728"/>
    <w:multiLevelType w:val="hybridMultilevel"/>
    <w:lvl w:ilvl="0">
      <w:lvlJc w:val="left"/>
      <w:lvlText w:val="(%1)"/>
      <w:numFmt w:val="lowerLetter"/>
      <w:start w:val="8"/>
    </w:lvl>
  </w:abstractNum>
  <w:abstractNum w:abstractNumId="143">
    <w:nsid w:val="3B121183"/>
    <w:multiLevelType w:val="hybridMultilevel"/>
    <w:lvl w:ilvl="0">
      <w:lvlJc w:val="left"/>
      <w:lvlText w:val="(%1)"/>
      <w:numFmt w:val="lowerRoman"/>
      <w:start w:val="1"/>
    </w:lvl>
  </w:abstractNum>
  <w:abstractNum w:abstractNumId="144">
    <w:nsid w:val="3459648F"/>
    <w:multiLevelType w:val="hybridMultilevel"/>
    <w:lvl w:ilvl="0">
      <w:lvlJc w:val="left"/>
      <w:lvlText w:val="(%1)"/>
      <w:numFmt w:val="lowerLetter"/>
      <w:start w:val="10"/>
    </w:lvl>
  </w:abstractNum>
  <w:abstractNum w:abstractNumId="145">
    <w:nsid w:val="3ADF331D"/>
    <w:multiLevelType w:val="hybridMultilevel"/>
    <w:lvl w:ilvl="0">
      <w:lvlJc w:val="left"/>
      <w:lvlText w:val="(%1)"/>
      <w:numFmt w:val="lowerRoman"/>
      <w:start w:val="1"/>
    </w:lvl>
  </w:abstractNum>
  <w:abstractNum w:abstractNumId="146">
    <w:nsid w:val="4D08A9E4"/>
    <w:multiLevelType w:val="hybridMultilevel"/>
    <w:lvl w:ilvl="0">
      <w:lvlJc w:val="left"/>
      <w:lvlText w:val="(%1)"/>
      <w:numFmt w:val="lowerLetter"/>
      <w:start w:val="11"/>
    </w:lvl>
  </w:abstractNum>
  <w:abstractNum w:abstractNumId="147">
    <w:nsid w:val="6AF2BB3A"/>
    <w:multiLevelType w:val="hybridMultilevel"/>
    <w:lvl w:ilvl="0">
      <w:lvlJc w:val="left"/>
      <w:lvlText w:val="\ldblquote"/>
      <w:numFmt w:val="bullet"/>
      <w:start w:val="1"/>
    </w:lvl>
  </w:abstractNum>
  <w:abstractNum w:abstractNumId="148">
    <w:nsid w:val="481B1739"/>
    <w:multiLevelType w:val="hybridMultilevel"/>
    <w:lvl w:ilvl="0">
      <w:lvlJc w:val="left"/>
      <w:lvlText w:val="(%1)"/>
      <w:numFmt w:val="lowerLetter"/>
      <w:start w:val="12"/>
    </w:lvl>
  </w:abstractNum>
  <w:abstractNum w:abstractNumId="149">
    <w:nsid w:val="19E2BFCC"/>
    <w:multiLevelType w:val="hybridMultilevel"/>
    <w:lvl w:ilvl="0">
      <w:lvlJc w:val="left"/>
      <w:lvlText w:val="(%1)"/>
      <w:numFmt w:val="lowerLetter"/>
      <w:start w:val="14"/>
    </w:lvl>
  </w:abstractNum>
  <w:abstractNum w:abstractNumId="150">
    <w:nsid w:val="66D021CA"/>
    <w:multiLevelType w:val="hybridMultilevel"/>
    <w:lvl w:ilvl="0">
      <w:lvlJc w:val="left"/>
      <w:lvlText w:val="(%1)"/>
      <w:numFmt w:val="lowerLetter"/>
      <w:start w:val="15"/>
    </w:lvl>
  </w:abstractNum>
  <w:abstractNum w:abstractNumId="151">
    <w:nsid w:val="56167394"/>
    <w:multiLevelType w:val="hybridMultilevel"/>
    <w:lvl w:ilvl="0">
      <w:lvlJc w:val="left"/>
      <w:lvlText w:val="(%1)"/>
      <w:numFmt w:val="lowerLetter"/>
      <w:start w:val="16"/>
    </w:lvl>
  </w:abstractNum>
  <w:abstractNum w:abstractNumId="152">
    <w:nsid w:val="921145C"/>
    <w:multiLevelType w:val="hybridMultilevel"/>
    <w:lvl w:ilvl="0">
      <w:lvlJc w:val="left"/>
      <w:lvlText w:val="(%1)"/>
      <w:numFmt w:val="lowerLetter"/>
      <w:start w:val="17"/>
    </w:lvl>
  </w:abstractNum>
  <w:abstractNum w:abstractNumId="153">
    <w:nsid w:val="7B34DFE8"/>
    <w:multiLevelType w:val="hybridMultilevel"/>
    <w:lvl w:ilvl="0">
      <w:lvlJc w:val="left"/>
      <w:lvlText w:val="(%1)"/>
      <w:numFmt w:val="lowerLetter"/>
      <w:start w:val="1"/>
    </w:lvl>
    <w:lvl w:ilvl="1">
      <w:lvlJc w:val="left"/>
      <w:lvlText w:val="%2."/>
      <w:numFmt w:val="lowerRoman"/>
      <w:start w:val="1"/>
    </w:lvl>
  </w:abstractNum>
  <w:abstractNum w:abstractNumId="154">
    <w:nsid w:val="3CD22B79"/>
    <w:multiLevelType w:val="hybridMultilevel"/>
    <w:lvl w:ilvl="0">
      <w:lvlJc w:val="left"/>
      <w:lvlText w:val="(%1)"/>
      <w:numFmt w:val="lowerLetter"/>
      <w:start w:val="3"/>
    </w:lvl>
  </w:abstractNum>
  <w:abstractNum w:abstractNumId="155">
    <w:nsid w:val="3137975E"/>
    <w:multiLevelType w:val="hybridMultilevel"/>
    <w:lvl w:ilvl="0">
      <w:lvlJc w:val="left"/>
      <w:lvlText w:val="(%1)"/>
      <w:numFmt w:val="lowerLetter"/>
      <w:start w:val="5"/>
    </w:lvl>
  </w:abstractNum>
  <w:abstractNum w:abstractNumId="156">
    <w:nsid w:val="2DDAA791"/>
    <w:multiLevelType w:val="hybridMultilevel"/>
    <w:lvl w:ilvl="0">
      <w:lvlJc w:val="left"/>
      <w:lvlText w:val="(%1)"/>
      <w:numFmt w:val="lowerLetter"/>
      <w:start w:val="1"/>
    </w:lvl>
  </w:abstractNum>
  <w:abstractNum w:abstractNumId="157">
    <w:nsid w:val="77263B8A"/>
    <w:multiLevelType w:val="hybridMultilevel"/>
    <w:lvl w:ilvl="0">
      <w:lvlJc w:val="left"/>
      <w:lvlText w:val="(%1)"/>
      <w:numFmt w:val="lowerLetter"/>
      <w:start w:val="1"/>
    </w:lvl>
  </w:abstractNum>
  <w:abstractNum w:abstractNumId="158">
    <w:nsid w:val="755B5ED6"/>
    <w:multiLevelType w:val="hybridMultilevel"/>
    <w:lvl w:ilvl="0">
      <w:lvlJc w:val="left"/>
      <w:lvlText w:val="(%1)"/>
      <w:numFmt w:val="lowerLetter"/>
      <w:start w:val="7"/>
    </w:lvl>
  </w:abstractNum>
  <w:abstractNum w:abstractNumId="159">
    <w:nsid w:val="D3715DE"/>
    <w:multiLevelType w:val="hybridMultilevel"/>
    <w:lvl w:ilvl="0">
      <w:lvlJc w:val="left"/>
      <w:lvlText w:val="(%1)"/>
      <w:numFmt w:val="lowerLetter"/>
      <w:start w:val="2"/>
    </w:lvl>
  </w:abstractNum>
  <w:abstractNum w:abstractNumId="160">
    <w:nsid w:val="73509257"/>
    <w:multiLevelType w:val="hybridMultilevel"/>
    <w:lvl w:ilvl="0">
      <w:lvlJc w:val="left"/>
      <w:lvlText w:val="\endash "/>
      <w:numFmt w:val="bullet"/>
      <w:start w:val="1"/>
    </w:lvl>
  </w:abstractNum>
  <w:abstractNum w:abstractNumId="161">
    <w:nsid w:val="7013CDB7"/>
    <w:multiLevelType w:val="hybridMultilevel"/>
    <w:lvl w:ilvl="0">
      <w:lvlJc w:val="left"/>
      <w:lvlText w:val="(%1)"/>
      <w:numFmt w:val="lowerLetter"/>
      <w:start w:val="1"/>
    </w:lvl>
  </w:abstractNum>
  <w:abstractNum w:abstractNumId="162">
    <w:nsid w:val="188BFB19"/>
    <w:multiLevelType w:val="hybridMultilevel"/>
    <w:lvl w:ilvl="0">
      <w:lvlJc w:val="left"/>
      <w:lvlText w:val="\ldblquote"/>
      <w:numFmt w:val="bullet"/>
      <w:start w:val="1"/>
    </w:lvl>
  </w:abstractNum>
  <w:abstractNum w:abstractNumId="163">
    <w:nsid w:val="75F096DF"/>
    <w:multiLevelType w:val="hybridMultilevel"/>
    <w:lvl w:ilvl="0">
      <w:lvlJc w:val="left"/>
      <w:lvlText w:val="\ldblquote"/>
      <w:numFmt w:val="bullet"/>
      <w:start w:val="1"/>
    </w:lvl>
  </w:abstractNum>
  <w:abstractNum w:abstractNumId="164">
    <w:nsid w:val="76DEE918"/>
    <w:multiLevelType w:val="hybridMultilevel"/>
    <w:lvl w:ilvl="0">
      <w:lvlJc w:val="left"/>
      <w:lvlText w:val="\ldblquote"/>
      <w:numFmt w:val="bullet"/>
      <w:start w:val="1"/>
    </w:lvl>
  </w:abstractNum>
  <w:abstractNum w:abstractNumId="165">
    <w:nsid w:val="B79D08D"/>
    <w:multiLevelType w:val="hybridMultilevel"/>
    <w:lvl w:ilvl="0">
      <w:lvlJc w:val="left"/>
      <w:lvlText w:val="\ldblquote"/>
      <w:numFmt w:val="bullet"/>
      <w:start w:val="1"/>
    </w:lvl>
    <w:lvl w:ilvl="1">
      <w:lvlJc w:val="left"/>
      <w:lvlText w:val="\ldblquote"/>
      <w:numFmt w:val="bullet"/>
      <w:start w:val="1"/>
    </w:lvl>
  </w:abstractNum>
  <w:abstractNum w:abstractNumId="166">
    <w:nsid w:val="69141769"/>
    <w:multiLevelType w:val="hybridMultilevel"/>
    <w:lvl w:ilvl="0">
      <w:lvlJc w:val="left"/>
      <w:lvlText w:val="\ldblquote"/>
      <w:numFmt w:val="bullet"/>
      <w:start w:val="1"/>
    </w:lvl>
  </w:abstractNum>
  <w:abstractNum w:abstractNumId="167">
    <w:nsid w:val="7BF45B8E"/>
    <w:multiLevelType w:val="hybridMultilevel"/>
    <w:lvl w:ilvl="0">
      <w:lvlJc w:val="left"/>
      <w:lvlText w:val="\ldblquote"/>
      <w:numFmt w:val="bullet"/>
      <w:start w:val="1"/>
    </w:lvl>
    <w:lvl w:ilvl="1">
      <w:lvlJc w:val="left"/>
      <w:lvlText w:val="(%2)"/>
      <w:numFmt w:val="decimal"/>
      <w:start w:val="1"/>
    </w:lvl>
  </w:abstractNum>
  <w:abstractNum w:abstractNumId="168">
    <w:nsid w:val="41205269"/>
    <w:multiLevelType w:val="hybridMultilevel"/>
    <w:lvl w:ilvl="0">
      <w:lvlJc w:val="left"/>
      <w:lvlText w:val="\ldblquote"/>
      <w:numFmt w:val="bullet"/>
      <w:start w:val="1"/>
    </w:lvl>
  </w:abstractNum>
  <w:abstractNum w:abstractNumId="169">
    <w:nsid w:val="9AE0DD"/>
    <w:multiLevelType w:val="hybridMultilevel"/>
    <w:lvl w:ilvl="0">
      <w:lvlJc w:val="left"/>
      <w:lvlText w:val="(%1)"/>
      <w:numFmt w:val="decimal"/>
      <w:start w:val="3"/>
    </w:lvl>
    <w:lvl w:ilvl="1">
      <w:lvlJc w:val="left"/>
      <w:lvlText w:val="\ldblquote"/>
      <w:numFmt w:val="bullet"/>
      <w:start w:val="1"/>
    </w:lvl>
  </w:abstractNum>
  <w:abstractNum w:abstractNumId="170">
    <w:nsid w:val="1818832F"/>
    <w:multiLevelType w:val="hybridMultilevel"/>
    <w:lvl w:ilvl="0">
      <w:lvlJc w:val="left"/>
      <w:lvlText w:val="\ldblquote"/>
      <w:numFmt w:val="bullet"/>
      <w:start w:val="1"/>
    </w:lvl>
  </w:abstractNum>
  <w:abstractNum w:abstractNumId="171">
    <w:nsid w:val="24C29FD1"/>
    <w:multiLevelType w:val="hybridMultilevel"/>
    <w:lvl w:ilvl="0">
      <w:lvlJc w:val="left"/>
      <w:lvlText w:val="(%1)"/>
      <w:numFmt w:val="decimal"/>
      <w:start w:val="1"/>
    </w:lvl>
  </w:abstractNum>
  <w:abstractNum w:abstractNumId="172">
    <w:nsid w:val="50528108"/>
    <w:multiLevelType w:val="hybridMultilevel"/>
    <w:lvl w:ilvl="0">
      <w:lvlJc w:val="left"/>
      <w:lvlText w:val="\ldblquote"/>
      <w:numFmt w:val="bullet"/>
      <w:start w:val="1"/>
    </w:lvl>
  </w:abstractNum>
  <w:abstractNum w:abstractNumId="173">
    <w:nsid w:val="21857A57"/>
    <w:multiLevelType w:val="hybridMultilevel"/>
    <w:lvl w:ilvl="0">
      <w:lvlJc w:val="left"/>
      <w:lvlText w:val="\ldblquote"/>
      <w:numFmt w:val="bullet"/>
      <w:start w:val="1"/>
    </w:lvl>
  </w:abstractNum>
  <w:abstractNum w:abstractNumId="174">
    <w:nsid w:val="5FD4B154"/>
    <w:multiLevelType w:val="hybridMultilevel"/>
    <w:lvl w:ilvl="0">
      <w:lvlJc w:val="left"/>
      <w:lvlText w:val="(%1)"/>
      <w:numFmt w:val="decimal"/>
      <w:start w:val="1"/>
    </w:lvl>
  </w:abstractNum>
  <w:abstractNum w:abstractNumId="175">
    <w:nsid w:val="4ABE597"/>
    <w:multiLevelType w:val="hybridMultilevel"/>
    <w:lvl w:ilvl="0">
      <w:lvlJc w:val="left"/>
      <w:lvlText w:val="(%1)"/>
      <w:numFmt w:val="decimal"/>
      <w:start w:val="1"/>
    </w:lvl>
  </w:abstractNum>
  <w:abstractNum w:abstractNumId="176">
    <w:nsid w:val="5C64AD75"/>
    <w:multiLevelType w:val="hybridMultilevel"/>
    <w:lvl w:ilvl="0">
      <w:lvlJc w:val="left"/>
      <w:lvlText w:val="(%1)"/>
      <w:numFmt w:val="decimal"/>
      <w:start w:val="6"/>
    </w:lvl>
  </w:abstractNum>
  <w:abstractNum w:abstractNumId="177">
    <w:nsid w:val="2CDD5B39"/>
    <w:multiLevelType w:val="hybridMultilevel"/>
    <w:lvl w:ilvl="0">
      <w:lvlJc w:val="left"/>
      <w:lvlText w:val="\ldblquote"/>
      <w:numFmt w:val="bullet"/>
      <w:start w:val="1"/>
    </w:lvl>
  </w:abstractNum>
  <w:abstractNum w:abstractNumId="178">
    <w:nsid w:val="6F9EA0D1"/>
    <w:multiLevelType w:val="hybridMultilevel"/>
    <w:lvl w:ilvl="0">
      <w:lvlJc w:val="left"/>
      <w:lvlText w:val="(%1)"/>
      <w:numFmt w:val="decimal"/>
      <w:start w:val="1"/>
    </w:lvl>
  </w:abstractNum>
  <w:abstractNum w:abstractNumId="179">
    <w:nsid w:val="247FC4AE"/>
    <w:multiLevelType w:val="hybridMultilevel"/>
    <w:lvl w:ilvl="0">
      <w:lvlJc w:val="left"/>
      <w:lvlText w:val="\ldblquote"/>
      <w:numFmt w:val="bullet"/>
      <w:start w:val="1"/>
    </w:lvl>
  </w:abstractNum>
  <w:abstractNum w:abstractNumId="180">
    <w:nsid w:val="46C01B05"/>
    <w:multiLevelType w:val="hybridMultilevel"/>
    <w:lvl w:ilvl="0">
      <w:lvlJc w:val="left"/>
      <w:lvlText w:val="\ldblquote"/>
      <w:numFmt w:val="bullet"/>
      <w:start w:val="1"/>
    </w:lvl>
  </w:abstractNum>
  <w:abstractNum w:abstractNumId="181">
    <w:nsid w:val="566EC29B"/>
    <w:multiLevelType w:val="hybridMultilevel"/>
    <w:lvl w:ilvl="0">
      <w:lvlJc w:val="left"/>
      <w:lvlText w:val="\ldblquote"/>
      <w:numFmt w:val="bullet"/>
      <w:start w:val="1"/>
    </w:lvl>
  </w:abstractNum>
  <w:abstractNum w:abstractNumId="182">
    <w:nsid w:val="7A963843"/>
    <w:multiLevelType w:val="hybridMultilevel"/>
    <w:lvl w:ilvl="0">
      <w:lvlJc w:val="left"/>
      <w:lvlText w:val="(%1)"/>
      <w:numFmt w:val="decimal"/>
      <w:start w:val="1"/>
    </w:lvl>
  </w:abstractNum>
  <w:abstractNum w:abstractNumId="183">
    <w:nsid w:val="4FE12F61"/>
    <w:multiLevelType w:val="hybridMultilevel"/>
    <w:lvl w:ilvl="0">
      <w:lvlJc w:val="left"/>
      <w:lvlText w:val="(%1)"/>
      <w:numFmt w:val="decimal"/>
      <w:start w:val="6"/>
    </w:lvl>
  </w:abstractNum>
  <w:abstractNum w:abstractNumId="184">
    <w:nsid w:val="51A3A284"/>
    <w:multiLevelType w:val="hybridMultilevel"/>
    <w:lvl w:ilvl="0">
      <w:lvlJc w:val="left"/>
      <w:lvlText w:val="\ldblquote"/>
      <w:numFmt w:val="bullet"/>
      <w:start w:val="1"/>
    </w:lvl>
  </w:abstractNum>
  <w:abstractNum w:abstractNumId="185">
    <w:nsid w:val="376863BC"/>
    <w:multiLevelType w:val="hybridMultilevel"/>
    <w:lvl w:ilvl="0">
      <w:lvlJc w:val="left"/>
      <w:lvlText w:val="%1"/>
      <w:numFmt w:val="lowerLetter"/>
      <w:start w:val="1"/>
    </w:lvl>
    <w:lvl w:ilvl="1">
      <w:lvlJc w:val="left"/>
      <w:lvlText w:val="(%2)"/>
      <w:numFmt w:val="decimal"/>
      <w:start w:val="1"/>
    </w:lvl>
  </w:abstractNum>
  <w:abstractNum w:abstractNumId="186">
    <w:nsid w:val="118C6C0"/>
    <w:multiLevelType w:val="hybridMultilevel"/>
    <w:lvl w:ilvl="0">
      <w:lvlJc w:val="left"/>
      <w:lvlText w:val="(%1)"/>
      <w:numFmt w:val="lowerLetter"/>
      <w:start w:val="2"/>
    </w:lvl>
    <w:lvl w:ilvl="1">
      <w:lvlJc w:val="left"/>
      <w:lvlText w:val="(%2)"/>
      <w:numFmt w:val="decimal"/>
      <w:start w:val="2"/>
    </w:lvl>
  </w:abstractNum>
  <w:abstractNum w:abstractNumId="187">
    <w:nsid w:val="7F7E4A15"/>
    <w:multiLevelType w:val="hybridMultilevel"/>
    <w:lvl w:ilvl="0">
      <w:lvlJc w:val="left"/>
      <w:lvlText w:val="(%1)"/>
      <w:numFmt w:val="decimal"/>
      <w:start w:val="8"/>
    </w:lvl>
  </w:abstractNum>
  <w:abstractNum w:abstractNumId="188">
    <w:nsid w:val="2E8E9F47"/>
    <w:multiLevelType w:val="hybridMultilevel"/>
    <w:lvl w:ilvl="0">
      <w:lvlJc w:val="left"/>
      <w:lvlText w:val="(%1)"/>
      <w:numFmt w:val="lowerLetter"/>
      <w:start w:val="2"/>
    </w:lvl>
    <w:lvl w:ilvl="1">
      <w:lvlJc w:val="left"/>
      <w:lvlText w:val="\ldblquote"/>
      <w:numFmt w:val="bullet"/>
      <w:start w:val="1"/>
    </w:lvl>
  </w:abstractNum>
  <w:abstractNum w:abstractNumId="189">
    <w:nsid w:val="76742596"/>
    <w:multiLevelType w:val="hybridMultilevel"/>
    <w:lvl w:ilvl="0">
      <w:lvlJc w:val="left"/>
      <w:lvlText w:val="(%1)"/>
      <w:numFmt w:val="lowerLetter"/>
      <w:start w:val="1"/>
    </w:lvl>
  </w:abstractNum>
  <w:abstractNum w:abstractNumId="190">
    <w:nsid w:val="CB55FF3"/>
    <w:multiLevelType w:val="hybridMultilevel"/>
    <w:lvl w:ilvl="0">
      <w:lvlJc w:val="left"/>
      <w:lvlText w:val="(%1)"/>
      <w:numFmt w:val="lowerLetter"/>
      <w:start w:val="3"/>
    </w:lvl>
  </w:abstractNum>
  <w:abstractNum w:abstractNumId="191">
    <w:nsid w:val="21DF319E"/>
    <w:multiLevelType w:val="hybridMultilevel"/>
    <w:lvl w:ilvl="0">
      <w:lvlJc w:val="left"/>
      <w:lvlText w:val="%1"/>
      <w:numFmt w:val="lowerRoman"/>
      <w:start w:val="1"/>
    </w:lvl>
    <w:lvl w:ilvl="1">
      <w:lvlJc w:val="left"/>
      <w:lvlText w:val="(%2)"/>
      <w:numFmt w:val="lowerRoman"/>
      <w:start w:val="1"/>
    </w:lvl>
  </w:abstractNum>
  <w:abstractNum w:abstractNumId="192">
    <w:nsid w:val="6687F34D"/>
    <w:multiLevelType w:val="hybridMultilevel"/>
    <w:lvl w:ilvl="0">
      <w:lvlJc w:val="left"/>
      <w:lvlText w:val="(%1)"/>
      <w:numFmt w:val="lowerRoman"/>
      <w:start w:val="2"/>
    </w:lvl>
    <w:lvl w:ilvl="1">
      <w:lvlJc w:val="left"/>
      <w:lvlText w:val="%2"/>
      <w:numFmt w:val="lowerRoman"/>
      <w:start w:val="1"/>
    </w:lvl>
  </w:abstractNum>
  <w:abstractNum w:abstractNumId="193">
    <w:nsid w:val="25415B0C"/>
    <w:multiLevelType w:val="hybridMultilevel"/>
    <w:lvl w:ilvl="0">
      <w:lvlJc w:val="left"/>
      <w:lvlText w:val="\ldblquote"/>
      <w:numFmt w:val="bullet"/>
      <w:start w:val="1"/>
    </w:lvl>
  </w:abstractNum>
  <w:abstractNum w:abstractNumId="194">
    <w:nsid w:val="17CFC87D"/>
    <w:multiLevelType w:val="hybridMultilevel"/>
    <w:lvl w:ilvl="0">
      <w:lvlJc w:val="left"/>
      <w:lvlText w:val="\ldblquote"/>
      <w:numFmt w:val="bullet"/>
      <w:start w:val="1"/>
    </w:lvl>
  </w:abstractNum>
  <w:abstractNum w:abstractNumId="195">
    <w:nsid w:val="5D66DC65"/>
    <w:multiLevelType w:val="hybridMultilevel"/>
    <w:lvl w:ilvl="0">
      <w:lvlJc w:val="left"/>
      <w:lvlText w:val="\ldblquote"/>
      <w:numFmt w:val="bullet"/>
      <w:start w:val="1"/>
    </w:lvl>
  </w:abstractNum>
  <w:abstractNum w:abstractNumId="196">
    <w:nsid w:val="30BB2B99"/>
    <w:multiLevelType w:val="hybridMultilevel"/>
    <w:lvl w:ilvl="0">
      <w:lvlJc w:val="left"/>
      <w:lvlText w:val="\ldblquote"/>
      <w:numFmt w:val="bullet"/>
      <w:start w:val="1"/>
    </w:lvl>
  </w:abstractNum>
  <w:abstractNum w:abstractNumId="197">
    <w:nsid w:val="E3DFE6"/>
    <w:multiLevelType w:val="hybridMultilevel"/>
    <w:lvl w:ilvl="0">
      <w:lvlJc w:val="left"/>
      <w:lvlText w:val="(%1)"/>
      <w:numFmt w:val="lowerLetter"/>
      <w:start w:val="1"/>
    </w:lvl>
    <w:lvl w:ilvl="1">
      <w:lvlJc w:val="left"/>
      <w:lvlText w:val="\ldblquote"/>
      <w:numFmt w:val="bullet"/>
      <w:start w:val="1"/>
    </w:lvl>
  </w:abstractNum>
  <w:abstractNum w:abstractNumId="198">
    <w:nsid w:val="595B37F3"/>
    <w:multiLevelType w:val="hybridMultilevel"/>
    <w:lvl w:ilvl="0">
      <w:lvlJc w:val="left"/>
      <w:lvlText w:val="(%1)"/>
      <w:numFmt w:val="lowerLetter"/>
      <w:start w:val="6"/>
    </w:lvl>
    <w:lvl w:ilvl="1">
      <w:lvlJc w:val="left"/>
      <w:lvlText w:val="\ldblquote"/>
      <w:numFmt w:val="bullet"/>
      <w:start w:val="1"/>
    </w:lvl>
  </w:abstractNum>
  <w:abstractNum w:abstractNumId="199">
    <w:nsid w:val="71DB7E02"/>
    <w:multiLevelType w:val="hybridMultilevel"/>
    <w:lvl w:ilvl="0">
      <w:lvlJc w:val="left"/>
      <w:lvlText w:val="\ldblquote"/>
      <w:numFmt w:val="bullet"/>
      <w:start w:val="1"/>
    </w:lvl>
  </w:abstractNum>
  <w:abstractNum w:abstractNumId="200">
    <w:nsid w:val="17EC0C4"/>
    <w:multiLevelType w:val="hybridMultilevel"/>
    <w:lvl w:ilvl="0">
      <w:lvlJc w:val="left"/>
      <w:lvlText w:val="(%1)"/>
      <w:numFmt w:val="decimal"/>
      <w:start w:val="1"/>
    </w:lvl>
  </w:abstractNum>
  <w:abstractNum w:abstractNumId="201">
    <w:nsid w:val="7173BB22"/>
    <w:multiLevelType w:val="hybridMultilevel"/>
    <w:lvl w:ilvl="0">
      <w:lvlJc w:val="left"/>
      <w:lvlText w:val="\ldblquote"/>
      <w:numFmt w:val="bullet"/>
      <w:start w:val="1"/>
    </w:lvl>
  </w:abstractNum>
  <w:abstractNum w:abstractNumId="202">
    <w:nsid w:val="169E1DD3"/>
    <w:multiLevelType w:val="hybridMultilevel"/>
    <w:lvl w:ilvl="0">
      <w:lvlJc w:val="left"/>
      <w:lvlText w:val="(%1)"/>
      <w:numFmt w:val="lowerLetter"/>
      <w:start w:val="2"/>
    </w:lvl>
    <w:lvl w:ilvl="1">
      <w:lvlJc w:val="left"/>
      <w:lvlText w:val="\ldblquote"/>
      <w:numFmt w:val="bullet"/>
      <w:start w:val="1"/>
    </w:lvl>
  </w:abstractNum>
  <w:abstractNum w:abstractNumId="203">
    <w:nsid w:val="51D141CC"/>
    <w:multiLevelType w:val="hybridMultilevel"/>
    <w:lvl w:ilvl="0">
      <w:lvlJc w:val="left"/>
      <w:lvlText w:val="\ldblquote"/>
      <w:numFmt w:val="bullet"/>
      <w:start w:val="1"/>
    </w:lvl>
  </w:abstractNum>
  <w:abstractNum w:abstractNumId="204">
    <w:nsid w:val="12F9357A"/>
    <w:multiLevelType w:val="hybridMultilevel"/>
    <w:lvl w:ilvl="0">
      <w:lvlJc w:val="left"/>
      <w:lvlText w:val="\ldblquote"/>
      <w:numFmt w:val="bullet"/>
      <w:start w:val="1"/>
    </w:lvl>
  </w:abstractNum>
  <w:abstractNum w:abstractNumId="205">
    <w:nsid w:val="7672CF28"/>
    <w:multiLevelType w:val="hybridMultilevel"/>
    <w:lvl w:ilvl="0">
      <w:lvlJc w:val="left"/>
      <w:lvlText w:val="\ldblquote"/>
      <w:numFmt w:val="bullet"/>
      <w:start w:val="1"/>
    </w:lvl>
  </w:abstractNum>
  <w:abstractNum w:abstractNumId="206">
    <w:nsid w:val="567D2763"/>
    <w:multiLevelType w:val="hybridMultilevel"/>
    <w:lvl w:ilvl="0">
      <w:lvlJc w:val="left"/>
      <w:lvlText w:val="(%1)"/>
      <w:numFmt w:val="decimal"/>
      <w:start w:val="1"/>
    </w:lvl>
  </w:abstractNum>
  <w:abstractNum w:abstractNumId="207">
    <w:nsid w:val="6F5DE2EF"/>
    <w:multiLevelType w:val="hybridMultilevel"/>
    <w:lvl w:ilvl="0">
      <w:lvlJc w:val="left"/>
      <w:lvlText w:val="(%1)"/>
      <w:numFmt w:val="decimal"/>
      <w:start w:val="5"/>
    </w:lvl>
  </w:abstractNum>
  <w:abstractNum w:abstractNumId="208">
    <w:nsid w:val="23502A61"/>
    <w:multiLevelType w:val="hybridMultilevel"/>
    <w:lvl w:ilvl="0">
      <w:lvlJc w:val="left"/>
      <w:lvlText w:val="\ldblquote"/>
      <w:numFmt w:val="bullet"/>
      <w:start w:val="1"/>
    </w:lvl>
  </w:abstractNum>
  <w:abstractNum w:abstractNumId="209">
    <w:nsid w:val="461BC834"/>
    <w:multiLevelType w:val="hybridMultilevel"/>
    <w:lvl w:ilvl="0">
      <w:lvlJc w:val="left"/>
      <w:lvlText w:val="(%1)"/>
      <w:numFmt w:val="lowerLetter"/>
      <w:start w:val="2"/>
    </w:lvl>
    <w:lvl w:ilvl="1">
      <w:lvlJc w:val="left"/>
      <w:lvlText w:val="\ldblquote"/>
      <w:numFmt w:val="bullet"/>
      <w:start w:val="1"/>
    </w:lvl>
  </w:abstractNum>
  <w:abstractNum w:abstractNumId="210">
    <w:nsid w:val="13DDA79D"/>
    <w:multiLevelType w:val="hybridMultilevel"/>
    <w:lvl w:ilvl="0">
      <w:lvlJc w:val="left"/>
      <w:lvlText w:val="\ldblquote"/>
      <w:numFmt w:val="bullet"/>
      <w:start w:val="1"/>
    </w:lvl>
  </w:abstractNum>
  <w:abstractNum w:abstractNumId="211">
    <w:nsid w:val="6A104566"/>
    <w:multiLevelType w:val="hybridMultilevel"/>
    <w:lvl w:ilvl="0">
      <w:lvlJc w:val="left"/>
      <w:lvlText w:val="(%1)"/>
      <w:numFmt w:val="decimal"/>
      <w:start w:val="1"/>
    </w:lvl>
  </w:abstractNum>
  <w:abstractNum w:abstractNumId="212">
    <w:nsid w:val="1C8A8ACF"/>
    <w:multiLevelType w:val="hybridMultilevel"/>
    <w:lvl w:ilvl="0">
      <w:lvlJc w:val="left"/>
      <w:lvlText w:val="\ldblquote"/>
      <w:numFmt w:val="bullet"/>
      <w:start w:val="1"/>
    </w:lvl>
  </w:abstractNum>
  <w:abstractNum w:abstractNumId="213">
    <w:nsid w:val="E73DFE0"/>
    <w:multiLevelType w:val="hybridMultilevel"/>
    <w:lvl w:ilvl="0">
      <w:lvlJc w:val="left"/>
      <w:lvlText w:val="\ldblquote"/>
      <w:numFmt w:val="bullet"/>
      <w:start w:val="1"/>
    </w:lvl>
  </w:abstractNum>
  <w:abstractNum w:abstractNumId="214">
    <w:nsid w:val="39F174C7"/>
    <w:multiLevelType w:val="hybridMultilevel"/>
    <w:lvl w:ilvl="0">
      <w:lvlJc w:val="left"/>
      <w:lvlText w:val="(%1)"/>
      <w:numFmt w:val="decimal"/>
      <w:start w:val="1"/>
    </w:lvl>
  </w:abstractNum>
  <w:abstractNum w:abstractNumId="215">
    <w:nsid w:val="6E2E2D53"/>
    <w:multiLevelType w:val="hybridMultilevel"/>
    <w:lvl w:ilvl="0">
      <w:lvlJc w:val="left"/>
      <w:lvlText w:val="\ldblquote"/>
      <w:numFmt w:val="bullet"/>
      <w:start w:val="1"/>
    </w:lvl>
  </w:abstractNum>
  <w:abstractNum w:abstractNumId="216">
    <w:nsid w:val="45DC439D"/>
    <w:multiLevelType w:val="hybridMultilevel"/>
    <w:lvl w:ilvl="0">
      <w:lvlJc w:val="left"/>
      <w:lvlText w:val="\ldblquote"/>
      <w:numFmt w:val="bullet"/>
      <w:start w:val="1"/>
    </w:lvl>
  </w:abstractNum>
  <w:abstractNum w:abstractNumId="217">
    <w:nsid w:val="3B0A3B87"/>
    <w:multiLevelType w:val="hybridMultilevel"/>
    <w:lvl w:ilvl="0">
      <w:lvlJc w:val="left"/>
      <w:lvlText w:val="(%1)"/>
      <w:numFmt w:val="lowerLetter"/>
      <w:start w:val="1"/>
    </w:lvl>
  </w:abstractNum>
  <w:abstractNum w:abstractNumId="218">
    <w:nsid w:val="6DAC7768"/>
    <w:multiLevelType w:val="hybridMultilevel"/>
    <w:lvl w:ilvl="0">
      <w:lvlJc w:val="left"/>
      <w:lvlText w:val="\ldblquote"/>
      <w:numFmt w:val="bullet"/>
      <w:start w:val="1"/>
    </w:lvl>
  </w:abstractNum>
  <w:abstractNum w:abstractNumId="219">
    <w:nsid w:val="746AE2E4"/>
    <w:multiLevelType w:val="hybridMultilevel"/>
    <w:lvl w:ilvl="0">
      <w:lvlJc w:val="left"/>
      <w:lvlText w:val="(%1)"/>
      <w:numFmt w:val="lowerRoman"/>
      <w:start w:val="4"/>
    </w:lvl>
    <w:lvl w:ilvl="1">
      <w:lvlJc w:val="left"/>
      <w:lvlText w:val="\ldblquote"/>
      <w:numFmt w:val="bullet"/>
      <w:start w:val="1"/>
    </w:lvl>
  </w:abstractNum>
  <w:abstractNum w:abstractNumId="220">
    <w:nsid w:val="317E611D"/>
    <w:multiLevelType w:val="hybridMultilevel"/>
    <w:lvl w:ilvl="0">
      <w:lvlJc w:val="left"/>
      <w:lvlText w:val="\ldblquote"/>
      <w:numFmt w:val="bullet"/>
      <w:start w:val="1"/>
    </w:lvl>
  </w:abstractNum>
  <w:abstractNum w:abstractNumId="221">
    <w:nsid w:val="7A61D75B"/>
    <w:multiLevelType w:val="hybridMultilevel"/>
    <w:lvl w:ilvl="0">
      <w:lvlJc w:val="left"/>
      <w:lvlText w:val="\ldblquote"/>
      <w:numFmt w:val="bullet"/>
      <w:start w:val="1"/>
    </w:lvl>
  </w:abstractNum>
  <w:abstractNum w:abstractNumId="222">
    <w:nsid w:val="164A1482"/>
    <w:multiLevelType w:val="hybridMultilevel"/>
    <w:lvl w:ilvl="0">
      <w:lvlJc w:val="left"/>
      <w:lvlText w:val="(%1)"/>
      <w:numFmt w:val="decimal"/>
      <w:start w:val="1"/>
    </w:lvl>
  </w:abstractNum>
  <w:abstractNum w:abstractNumId="223">
    <w:nsid w:val="1806546B"/>
    <w:multiLevelType w:val="hybridMultilevel"/>
    <w:lvl w:ilvl="0">
      <w:lvlJc w:val="left"/>
      <w:lvlText w:val="\ldblquote"/>
      <w:numFmt w:val="bullet"/>
      <w:start w:val="1"/>
    </w:lvl>
  </w:abstractNum>
  <w:abstractNum w:abstractNumId="224">
    <w:nsid w:val="1FA33267"/>
    <w:multiLevelType w:val="hybridMultilevel"/>
    <w:lvl w:ilvl="0">
      <w:lvlJc w:val="left"/>
      <w:lvlText w:val="(%1)"/>
      <w:numFmt w:val="lowerLetter"/>
      <w:start w:val="35"/>
    </w:lvl>
    <w:lvl w:ilvl="1">
      <w:lvlJc w:val="left"/>
      <w:lvlText w:val="\ldblquote"/>
      <w:numFmt w:val="bullet"/>
      <w:start w:val="1"/>
    </w:lvl>
  </w:abstractNum>
  <w:abstractNum w:abstractNumId="225">
    <w:nsid w:val="2E19DD00"/>
    <w:multiLevelType w:val="hybridMultilevel"/>
    <w:lvl w:ilvl="0">
      <w:lvlJc w:val="left"/>
      <w:lvlText w:val="(%1)"/>
      <w:numFmt w:val="lowerLetter"/>
      <w:start w:val="2"/>
    </w:lvl>
    <w:lvl w:ilvl="1">
      <w:lvlJc w:val="left"/>
      <w:lvlText w:val="\ldblquote"/>
      <w:numFmt w:val="bullet"/>
      <w:start w:val="1"/>
    </w:lvl>
  </w:abstractNum>
  <w:abstractNum w:abstractNumId="226">
    <w:nsid w:val="756D30D0"/>
    <w:multiLevelType w:val="hybridMultilevel"/>
    <w:lvl w:ilvl="0">
      <w:lvlJc w:val="left"/>
      <w:lvlText w:val="(%1)"/>
      <w:numFmt w:val="lowerRoman"/>
      <w:start w:val="6"/>
    </w:lvl>
    <w:lvl w:ilvl="1">
      <w:lvlJc w:val="left"/>
      <w:lvlText w:val="\ldblquote"/>
      <w:numFmt w:val="bullet"/>
      <w:start w:val="1"/>
    </w:lvl>
  </w:abstractNum>
  <w:abstractNum w:abstractNumId="227">
    <w:nsid w:val="505E5E01"/>
    <w:multiLevelType w:val="hybridMultilevel"/>
    <w:lvl w:ilvl="0">
      <w:lvlJc w:val="left"/>
      <w:lvlText w:val="\ldblquote"/>
      <w:numFmt w:val="bullet"/>
      <w:start w:val="1"/>
    </w:lvl>
  </w:abstractNum>
  <w:abstractNum w:abstractNumId="228">
    <w:nsid w:val="2EFDBCE6"/>
    <w:multiLevelType w:val="hybridMultilevel"/>
    <w:lvl w:ilvl="0">
      <w:lvlJc w:val="left"/>
      <w:lvlText w:val="(%1)"/>
      <w:numFmt w:val="decimal"/>
      <w:start w:val="1"/>
    </w:lvl>
  </w:abstractNum>
  <w:abstractNum w:abstractNumId="229">
    <w:nsid w:val="4EC868C4"/>
    <w:multiLevelType w:val="hybridMultilevel"/>
    <w:lvl w:ilvl="0">
      <w:lvlJc w:val="left"/>
      <w:lvlText w:val="(%1)"/>
      <w:numFmt w:val="lowerRoman"/>
      <w:start w:val="10"/>
    </w:lvl>
    <w:lvl w:ilvl="1">
      <w:lvlJc w:val="left"/>
      <w:lvlText w:val="(%2)"/>
      <w:numFmt w:val="decimal"/>
      <w:start w:val="7"/>
    </w:lvl>
  </w:abstractNum>
  <w:abstractNum w:abstractNumId="230">
    <w:nsid w:val="4239DC03"/>
    <w:multiLevelType w:val="hybridMultilevel"/>
    <w:lvl w:ilvl="0">
      <w:lvlJc w:val="left"/>
      <w:lvlText w:val="(%1)"/>
      <w:numFmt w:val="decimal"/>
      <w:start w:val="9"/>
    </w:lvl>
  </w:abstractNum>
  <w:abstractNum w:abstractNumId="231">
    <w:nsid w:val="307C7DAA"/>
    <w:multiLevelType w:val="hybridMultilevel"/>
    <w:lvl w:ilvl="0">
      <w:lvlJc w:val="left"/>
      <w:lvlText w:val="\ldblquote"/>
      <w:numFmt w:val="bullet"/>
      <w:start w:val="1"/>
    </w:lvl>
  </w:abstractNum>
  <w:abstractNum w:abstractNumId="232">
    <w:nsid w:val="403C23E6"/>
    <w:multiLevelType w:val="hybridMultilevel"/>
    <w:lvl w:ilvl="0">
      <w:lvlJc w:val="left"/>
      <w:lvlText w:val="(%1)"/>
      <w:numFmt w:val="decimal"/>
      <w:start w:val="1"/>
    </w:lvl>
    <w:lvl w:ilvl="1">
      <w:lvlJc w:val="left"/>
      <w:lvlText w:val="(%2)"/>
      <w:numFmt w:val="upperLetter"/>
      <w:start w:val="1"/>
    </w:lvl>
  </w:abstractNum>
  <w:abstractNum w:abstractNumId="233">
    <w:nsid w:val="58D7F9D7"/>
    <w:multiLevelType w:val="hybridMultilevel"/>
    <w:lvl w:ilvl="0">
      <w:lvlJc w:val="left"/>
      <w:lvlText w:val="%1"/>
      <w:numFmt w:val="upperLetter"/>
      <w:start w:val="1"/>
    </w:lvl>
    <w:lvl w:ilvl="1">
      <w:lvlJc w:val="left"/>
      <w:lvlText w:val="(%2)"/>
      <w:numFmt w:val="decimal"/>
      <w:start w:val="10"/>
    </w:lvl>
  </w:abstractNum>
  <w:abstractNum w:abstractNumId="234">
    <w:nsid w:val="24DBF76"/>
    <w:multiLevelType w:val="hybridMultilevel"/>
    <w:lvl w:ilvl="0">
      <w:lvlJc w:val="left"/>
      <w:lvlText w:val="(%1)"/>
      <w:numFmt w:val="upperLetter"/>
      <w:start w:val="1"/>
    </w:lvl>
    <w:lvl w:ilvl="1">
      <w:lvlJc w:val="left"/>
      <w:lvlText w:val="(%2)"/>
      <w:numFmt w:val="decimal"/>
      <w:start w:val="12"/>
    </w:lvl>
  </w:abstractNum>
  <w:abstractNum w:abstractNumId="235">
    <w:nsid w:val="53355960"/>
    <w:multiLevelType w:val="hybridMultilevel"/>
    <w:lvl w:ilvl="0">
      <w:lvlJc w:val="left"/>
      <w:lvlText w:val="(%1)"/>
      <w:numFmt w:val="decimal"/>
      <w:start w:val="19"/>
    </w:lvl>
  </w:abstractNum>
  <w:abstractNum w:abstractNumId="236">
    <w:nsid w:val="4F4AC8FF"/>
    <w:multiLevelType w:val="hybridMultilevel"/>
    <w:lvl w:ilvl="0">
      <w:lvlJc w:val="left"/>
      <w:lvlText w:val="(%1)"/>
      <w:numFmt w:val="decimal"/>
      <w:start w:val="30"/>
    </w:lvl>
  </w:abstractNum>
  <w:abstractNum w:abstractNumId="237">
    <w:nsid w:val="58CAE6D9"/>
    <w:multiLevelType w:val="hybridMultilevel"/>
    <w:lvl w:ilvl="0">
      <w:lvlJc w:val="left"/>
      <w:lvlText w:val="\ldblquote"/>
      <w:numFmt w:val="bullet"/>
      <w:start w:val="1"/>
    </w:lvl>
  </w:abstractNum>
  <w:abstractNum w:abstractNumId="238">
    <w:nsid w:val="42933C4F"/>
    <w:multiLevelType w:val="hybridMultilevel"/>
    <w:lvl w:ilvl="0">
      <w:lvlJc w:val="left"/>
      <w:lvlText w:val="(%1)"/>
      <w:numFmt w:val="decimal"/>
      <w:start w:val="1"/>
    </w:lvl>
  </w:abstractNum>
  <w:abstractNum w:abstractNumId="239">
    <w:nsid w:val="729AF360"/>
    <w:multiLevelType w:val="hybridMultilevel"/>
    <w:lvl w:ilvl="0">
      <w:lvlJc w:val="left"/>
      <w:lvlText w:val="%1"/>
      <w:numFmt w:val="upperLetter"/>
      <w:start w:val="1"/>
    </w:lvl>
    <w:lvl w:ilvl="1">
      <w:lvlJc w:val="left"/>
      <w:lvlText w:val="(%2)"/>
      <w:numFmt w:val="decimal"/>
      <w:start w:val="7"/>
    </w:lvl>
  </w:abstractNum>
  <w:abstractNum w:abstractNumId="240">
    <w:nsid w:val="1EE6AF0D"/>
    <w:multiLevelType w:val="hybridMultilevel"/>
    <w:lvl w:ilvl="0">
      <w:lvlJc w:val="left"/>
      <w:lvlText w:val="(%1)"/>
      <w:numFmt w:val="upperLetter"/>
      <w:start w:val="2"/>
    </w:lvl>
    <w:lvl w:ilvl="1">
      <w:lvlJc w:val="left"/>
      <w:lvlText w:val="(%2)"/>
      <w:numFmt w:val="decimal"/>
      <w:start w:val="11"/>
    </w:lvl>
  </w:abstractNum>
  <w:abstractNum w:abstractNumId="241">
    <w:nsid w:val="5670E3ED"/>
    <w:multiLevelType w:val="hybridMultilevel"/>
    <w:lvl w:ilvl="0">
      <w:lvlJc w:val="left"/>
      <w:lvlText w:val="(%1)"/>
      <w:numFmt w:val="decimal"/>
      <w:start w:val="16"/>
    </w:lvl>
  </w:abstractNum>
  <w:abstractNum w:abstractNumId="242">
    <w:nsid w:val="5CAB38C6"/>
    <w:multiLevelType w:val="hybridMultilevel"/>
    <w:lvl w:ilvl="0">
      <w:lvlJc w:val="left"/>
      <w:lvlText w:val="\ldblquote"/>
      <w:numFmt w:val="bullet"/>
      <w:start w:val="1"/>
    </w:lvl>
  </w:abstractNum>
  <w:abstractNum w:abstractNumId="243">
    <w:nsid w:val="3B7139DD"/>
    <w:multiLevelType w:val="hybridMultilevel"/>
    <w:lvl w:ilvl="0">
      <w:lvlJc w:val="left"/>
      <w:lvlText w:val="(%1)"/>
      <w:numFmt w:val="decimal"/>
      <w:start w:val="1"/>
    </w:lvl>
  </w:abstractNum>
  <w:abstractNum w:abstractNumId="244">
    <w:nsid w:val="64E4C3CD"/>
    <w:multiLevelType w:val="hybridMultilevel"/>
    <w:lvl w:ilvl="0">
      <w:lvlJc w:val="left"/>
      <w:lvlText w:val="(%1)"/>
      <w:numFmt w:val="decimal"/>
      <w:start w:val="3"/>
    </w:lvl>
    <w:lvl w:ilvl="1">
      <w:lvlJc w:val="left"/>
      <w:lvlText w:val="\ldblquote"/>
      <w:numFmt w:val="bullet"/>
      <w:start w:val="1"/>
    </w:lvl>
  </w:abstractNum>
  <w:abstractNum w:abstractNumId="245">
    <w:nsid w:val="169CAD8D"/>
    <w:multiLevelType w:val="hybridMultilevel"/>
    <w:lvl w:ilvl="0">
      <w:lvlJc w:val="left"/>
      <w:lvlText w:val="\ldblquote"/>
      <w:numFmt w:val="bullet"/>
      <w:start w:val="1"/>
    </w:lvl>
  </w:abstractNum>
  <w:abstractNum w:abstractNumId="246">
    <w:nsid w:val="299F6730"/>
    <w:multiLevelType w:val="hybridMultilevel"/>
    <w:lvl w:ilvl="0">
      <w:lvlJc w:val="left"/>
      <w:lvlText w:val="\ldblquote"/>
      <w:numFmt w:val="bullet"/>
      <w:start w:val="1"/>
    </w:lvl>
  </w:abstractNum>
  <w:abstractNum w:abstractNumId="247">
    <w:nsid w:val="2AC1076A"/>
    <w:multiLevelType w:val="hybridMultilevel"/>
    <w:lvl w:ilvl="0">
      <w:lvlJc w:val="left"/>
      <w:lvlText w:val="(%1)"/>
      <w:numFmt w:val="lowerRoman"/>
      <w:start w:val="2"/>
    </w:lvl>
    <w:lvl w:ilvl="1">
      <w:lvlJc w:val="left"/>
      <w:lvlText w:val="\ldblquote"/>
      <w:numFmt w:val="bullet"/>
      <w:start w:val="1"/>
    </w:lvl>
  </w:abstractNum>
  <w:abstractNum w:abstractNumId="248">
    <w:nsid w:val="51A6E915"/>
    <w:multiLevelType w:val="hybridMultilevel"/>
    <w:lvl w:ilvl="0">
      <w:lvlJc w:val="left"/>
      <w:lvlText w:val="(%1)"/>
      <w:numFmt w:val="decimal"/>
      <w:start w:val="4"/>
    </w:lvl>
    <w:lvl w:ilvl="1">
      <w:lvlJc w:val="left"/>
      <w:lvlText w:val="\ldblquote"/>
      <w:numFmt w:val="bullet"/>
      <w:start w:val="1"/>
    </w:lvl>
  </w:abstractNum>
  <w:abstractNum w:abstractNumId="249">
    <w:nsid w:val="174BDE99"/>
    <w:multiLevelType w:val="hybridMultilevel"/>
    <w:lvl w:ilvl="0">
      <w:lvlJc w:val="left"/>
      <w:lvlText w:val="\ldblquote"/>
      <w:numFmt w:val="bullet"/>
      <w:start w:val="1"/>
    </w:lvl>
  </w:abstractNum>
  <w:abstractNum w:abstractNumId="250">
    <w:nsid w:val="1F2BEA4E"/>
    <w:multiLevelType w:val="hybridMultilevel"/>
    <w:lvl w:ilvl="0">
      <w:lvlJc w:val="left"/>
      <w:lvlText w:val="%1"/>
      <w:numFmt w:val="upperLetter"/>
      <w:start w:val="1"/>
    </w:lvl>
    <w:lvl w:ilvl="1">
      <w:lvlJc w:val="left"/>
      <w:lvlText w:val="(%2)"/>
      <w:numFmt w:val="decimal"/>
      <w:start w:val="1"/>
    </w:lvl>
  </w:abstractNum>
  <w:abstractNum w:abstractNumId="251">
    <w:nsid w:val="3254A32"/>
    <w:multiLevelType w:val="hybridMultilevel"/>
    <w:lvl w:ilvl="0">
      <w:lvlJc w:val="left"/>
      <w:lvlText w:val="(%1)"/>
      <w:numFmt w:val="upperLetter"/>
      <w:start w:val="2"/>
    </w:lvl>
    <w:lvl w:ilvl="1">
      <w:lvlJc w:val="left"/>
      <w:lvlText w:val="%2"/>
      <w:numFmt w:val="decimal"/>
      <w:start w:val="1"/>
    </w:lvl>
  </w:abstractNum>
  <w:abstractNum w:abstractNumId="252">
    <w:nsid w:val="11ADB5F4"/>
    <w:multiLevelType w:val="hybridMultilevel"/>
    <w:lvl w:ilvl="0">
      <w:lvlJc w:val="left"/>
      <w:lvlText w:val="\ldblquote"/>
      <w:numFmt w:val="bullet"/>
      <w:start w:val="1"/>
    </w:lvl>
  </w:abstractNum>
  <w:abstractNum w:abstractNumId="253">
    <w:nsid w:val="3575FED1"/>
    <w:multiLevelType w:val="hybridMultilevel"/>
    <w:lvl w:ilvl="0">
      <w:lvlJc w:val="left"/>
      <w:lvlText w:val="\ldblquote"/>
      <w:numFmt w:val="bullet"/>
      <w:start w:val="1"/>
    </w:lvl>
  </w:abstractNum>
  <w:abstractNum w:abstractNumId="254">
    <w:nsid w:val="1B2B9E9D"/>
    <w:multiLevelType w:val="hybridMultilevel"/>
    <w:lvl w:ilvl="0">
      <w:lvlJc w:val="left"/>
      <w:lvlText w:val="\ldblquote"/>
      <w:numFmt w:val="bullet"/>
      <w:start w:val="1"/>
    </w:lvl>
  </w:abstractNum>
  <w:abstractNum w:abstractNumId="255">
    <w:nsid w:val="3150E85C"/>
    <w:multiLevelType w:val="hybridMultilevel"/>
    <w:lvl w:ilvl="0">
      <w:lvlJc w:val="left"/>
      <w:lvlText w:val="\ldblquote"/>
      <w:numFmt w:val="bullet"/>
      <w:start w:val="1"/>
    </w:lvl>
  </w:abstractNum>
  <w:abstractNum w:abstractNumId="256">
    <w:nsid w:val="638FDBD1"/>
    <w:multiLevelType w:val="hybridMultilevel"/>
    <w:lvl w:ilvl="0">
      <w:lvlJc w:val="left"/>
      <w:lvlText w:val="(%1)"/>
      <w:numFmt w:val="decimal"/>
      <w:start w:val="1"/>
    </w:lvl>
  </w:abstractNum>
  <w:abstractNum w:abstractNumId="257">
    <w:nsid w:val="1098CF6E"/>
    <w:multiLevelType w:val="hybridMultilevel"/>
    <w:lvl w:ilvl="0">
      <w:lvlJc w:val="left"/>
      <w:lvlText w:val="(%1)"/>
      <w:numFmt w:val="decimal"/>
      <w:start w:val="3"/>
    </w:lvl>
  </w:abstractNum>
  <w:abstractNum w:abstractNumId="258">
    <w:nsid w:val="1AF465D"/>
    <w:multiLevelType w:val="hybridMultilevel"/>
    <w:lvl w:ilvl="0">
      <w:lvlJc w:val="left"/>
      <w:lvlText w:val="\ldblquote"/>
      <w:numFmt w:val="bullet"/>
      <w:start w:val="1"/>
    </w:lvl>
  </w:abstractNum>
  <w:abstractNum w:abstractNumId="259">
    <w:nsid w:val="128D98B7"/>
    <w:multiLevelType w:val="hybridMultilevel"/>
    <w:lvl w:ilvl="0">
      <w:lvlJc w:val="left"/>
      <w:lvlText w:val="(%1)"/>
      <w:numFmt w:val="decimal"/>
      <w:start w:val="1"/>
    </w:lvl>
  </w:abstractNum>
  <w:abstractNum w:abstractNumId="260">
    <w:nsid w:val="5F613832"/>
    <w:multiLevelType w:val="hybridMultilevel"/>
    <w:lvl w:ilvl="0">
      <w:lvlJc w:val="left"/>
      <w:lvlText w:val="\ldblquote"/>
      <w:numFmt w:val="bullet"/>
      <w:start w:val="1"/>
    </w:lvl>
  </w:abstractNum>
  <w:abstractNum w:abstractNumId="261">
    <w:nsid w:val="43E92260"/>
    <w:multiLevelType w:val="hybridMultilevel"/>
    <w:lvl w:ilvl="0">
      <w:lvlJc w:val="left"/>
      <w:lvlText w:val="(%1)"/>
      <w:numFmt w:val="lowerLetter"/>
      <w:start w:val="3"/>
    </w:lvl>
  </w:abstractNum>
  <w:abstractNum w:abstractNumId="262">
    <w:nsid w:val="430A1662"/>
    <w:multiLevelType w:val="hybridMultilevel"/>
    <w:lvl w:ilvl="0">
      <w:lvlJc w:val="left"/>
      <w:lvlText w:val="(%1)"/>
      <w:numFmt w:val="lowerLetter"/>
      <w:start w:val="1"/>
    </w:lvl>
  </w:abstractNum>
  <w:abstractNum w:abstractNumId="263">
    <w:nsid w:val="1F9D5C18"/>
    <w:multiLevelType w:val="hybridMultilevel"/>
    <w:lvl w:ilvl="0">
      <w:lvlJc w:val="left"/>
      <w:lvlText w:val="(%1)"/>
      <w:numFmt w:val="lowerLetter"/>
      <w:start w:val="4"/>
    </w:lvl>
  </w:abstractNum>
  <w:abstractNum w:abstractNumId="264">
    <w:nsid w:val="1CC11C37"/>
    <w:multiLevelType w:val="hybridMultilevel"/>
    <w:lvl w:ilvl="0">
      <w:lvlJc w:val="left"/>
      <w:lvlText w:val="(%1)"/>
      <w:numFmt w:val="lowerLetter"/>
      <w:start w:val="1"/>
    </w:lvl>
  </w:abstractNum>
  <w:abstractNum w:abstractNumId="265">
    <w:nsid w:val="4557D5D8"/>
    <w:multiLevelType w:val="hybridMultilevel"/>
    <w:lvl w:ilvl="0">
      <w:lvlJc w:val="left"/>
      <w:lvlText w:val="(%1)"/>
      <w:numFmt w:val="lowerRoman"/>
      <w:start w:val="1"/>
    </w:lvl>
  </w:abstractNum>
  <w:abstractNum w:abstractNumId="266">
    <w:nsid w:val="72D2B579"/>
    <w:multiLevelType w:val="hybridMultilevel"/>
    <w:lvl w:ilvl="0">
      <w:lvlJc w:val="left"/>
      <w:lvlText w:val="(%1)"/>
      <w:numFmt w:val="lowerLetter"/>
      <w:start w:val="1"/>
    </w:lvl>
  </w:abstractNum>
  <w:abstractNum w:abstractNumId="267">
    <w:nsid w:val="6C0BE536"/>
    <w:multiLevelType w:val="hybridMultilevel"/>
    <w:lvl w:ilvl="0">
      <w:lvlJc w:val="left"/>
      <w:lvlText w:val="(%1)"/>
      <w:numFmt w:val="lowerLetter"/>
      <w:start w:val="1"/>
    </w:lvl>
  </w:abstractNum>
  <w:abstractNum w:abstractNumId="268">
    <w:nsid w:val="1E22BCB2"/>
    <w:multiLevelType w:val="hybridMultilevel"/>
    <w:lvl w:ilvl="0">
      <w:lvlJc w:val="left"/>
      <w:lvlText w:val="(%1)"/>
      <w:numFmt w:val="lowerLetter"/>
      <w:start w:val="3"/>
    </w:lvl>
  </w:abstractNum>
  <w:abstractNum w:abstractNumId="269">
    <w:nsid w:val="3565F1C8"/>
    <w:multiLevelType w:val="hybridMultilevel"/>
    <w:lvl w:ilvl="0">
      <w:lvlJc w:val="left"/>
      <w:lvlText w:val="(%1)"/>
      <w:numFmt w:val="lowerRoman"/>
      <w:start w:val="1"/>
    </w:lvl>
  </w:abstractNum>
  <w:abstractNum w:abstractNumId="270">
    <w:nsid w:val="5EA6D896"/>
    <w:multiLevelType w:val="hybridMultilevel"/>
    <w:lvl w:ilvl="0">
      <w:lvlJc w:val="left"/>
      <w:lvlText w:val="%1"/>
      <w:numFmt w:val="lowerLetter"/>
      <w:start w:val="1"/>
    </w:lvl>
    <w:lvl w:ilvl="1">
      <w:lvlJc w:val="left"/>
      <w:lvlText w:val="(%2)"/>
      <w:numFmt w:val="lowerLetter"/>
      <w:start w:val="4"/>
    </w:lvl>
  </w:abstractNum>
  <w:abstractNum w:abstractNumId="271">
    <w:nsid w:val="3D096BBF"/>
    <w:multiLevelType w:val="hybridMultilevel"/>
    <w:lvl w:ilvl="0">
      <w:lvlJc w:val="left"/>
      <w:lvlText w:val="(%1)"/>
      <w:numFmt w:val="lowerLetter"/>
      <w:start w:val="9"/>
    </w:lvl>
    <w:lvl w:ilvl="1">
      <w:lvlJc w:val="left"/>
      <w:lvlText w:val="%2"/>
      <w:numFmt w:val="lowerLetter"/>
      <w:start w:val="1"/>
    </w:lvl>
  </w:abstractNum>
  <w:abstractNum w:abstractNumId="272">
    <w:nsid w:val="BD6D5B5"/>
    <w:multiLevelType w:val="hybridMultilevel"/>
    <w:lvl w:ilvl="0">
      <w:lvlJc w:val="left"/>
      <w:lvlText w:val="(%1)"/>
      <w:numFmt w:val="lowerLetter"/>
      <w:start w:val="1"/>
    </w:lvl>
  </w:abstractNum>
  <w:abstractNum w:abstractNumId="273">
    <w:nsid w:val="3B52115C"/>
    <w:multiLevelType w:val="hybridMultilevel"/>
    <w:lvl w:ilvl="0">
      <w:lvlJc w:val="left"/>
      <w:lvlText w:val="(%1)"/>
      <w:numFmt w:val="lowerLetter"/>
      <w:start w:val="1"/>
    </w:lvl>
  </w:abstractNum>
  <w:abstractNum w:abstractNumId="274">
    <w:nsid w:val="787AA59C"/>
    <w:multiLevelType w:val="hybridMultilevel"/>
    <w:lvl w:ilvl="0">
      <w:lvlJc w:val="left"/>
      <w:lvlText w:val="(%1)"/>
      <w:numFmt w:val="lowerLetter"/>
      <w:start w:val="3"/>
    </w:lvl>
  </w:abstractNum>
  <w:abstractNum w:abstractNumId="275">
    <w:nsid w:val="70BB9983"/>
    <w:multiLevelType w:val="hybridMultilevel"/>
    <w:lvl w:ilvl="0">
      <w:lvlJc w:val="left"/>
      <w:lvlText w:val="%1"/>
      <w:numFmt w:val="lowerLetter"/>
      <w:start w:val="1"/>
    </w:lvl>
    <w:lvl w:ilvl="1">
      <w:lvlJc w:val="left"/>
      <w:lvlText w:val="(%2)"/>
      <w:numFmt w:val="lowerLetter"/>
      <w:start w:val="1"/>
    </w:lvl>
  </w:abstractNum>
  <w:abstractNum w:abstractNumId="276">
    <w:nsid w:val="51EEBEEA"/>
    <w:multiLevelType w:val="hybridMultilevel"/>
    <w:lvl w:ilvl="0">
      <w:lvlJc w:val="left"/>
      <w:lvlText w:val="(%1)"/>
      <w:numFmt w:val="lowerLetter"/>
      <w:start w:val="9"/>
    </w:lvl>
    <w:lvl w:ilvl="1">
      <w:lvlJc w:val="left"/>
      <w:lvlText w:val="(%2)"/>
      <w:numFmt w:val="lowerLetter"/>
      <w:start w:val="4"/>
    </w:lvl>
  </w:abstractNum>
  <w:abstractNum w:abstractNumId="277">
    <w:nsid w:val="221A0CCD"/>
    <w:multiLevelType w:val="hybridMultilevel"/>
    <w:lvl w:ilvl="0">
      <w:lvlJc w:val="left"/>
      <w:lvlText w:val="(%1)"/>
      <w:numFmt w:val="lowerLetter"/>
      <w:start w:val="6"/>
    </w:lvl>
  </w:abstractNum>
  <w:abstractNum w:abstractNumId="278">
    <w:nsid w:val="1B7CA0ED"/>
    <w:multiLevelType w:val="hybridMultilevel"/>
    <w:lvl w:ilvl="0">
      <w:lvlJc w:val="left"/>
      <w:lvlText w:val="(%1)"/>
      <w:numFmt w:val="lowerLetter"/>
      <w:start w:val="1"/>
    </w:lvl>
  </w:abstractNum>
  <w:abstractNum w:abstractNumId="279">
    <w:nsid w:val="2395A7FF"/>
    <w:multiLevelType w:val="hybridMultilevel"/>
    <w:lvl w:ilvl="0">
      <w:lvlJc w:val="left"/>
      <w:lvlText w:val="(%1)"/>
      <w:numFmt w:val="lowerLetter"/>
      <w:start w:val="2"/>
    </w:lvl>
  </w:abstractNum>
  <w:abstractNum w:abstractNumId="280">
    <w:nsid w:val="3965EB66"/>
    <w:multiLevelType w:val="hybridMultilevel"/>
    <w:lvl w:ilvl="0">
      <w:lvlJc w:val="left"/>
      <w:lvlText w:val="(%1)"/>
      <w:numFmt w:val="lowerLetter"/>
      <w:start w:val="1"/>
    </w:lvl>
  </w:abstractNum>
  <w:abstractNum w:abstractNumId="281">
    <w:nsid w:val="3AA88B3C"/>
    <w:multiLevelType w:val="hybridMultilevel"/>
    <w:lvl w:ilvl="0">
      <w:lvlJc w:val="left"/>
      <w:lvlText w:val="(%1)"/>
      <w:numFmt w:val="lowerRoman"/>
      <w:start w:val="1"/>
    </w:lvl>
  </w:abstractNum>
  <w:abstractNum w:abstractNumId="282">
    <w:nsid w:val="26BAF231"/>
    <w:multiLevelType w:val="hybridMultilevel"/>
    <w:lvl w:ilvl="0">
      <w:lvlJc w:val="left"/>
      <w:lvlText w:val="(%1)"/>
      <w:numFmt w:val="lowerLetter"/>
      <w:start w:val="2"/>
    </w:lvl>
  </w:abstractNum>
  <w:abstractNum w:abstractNumId="283">
    <w:nsid w:val="4B13A15A"/>
    <w:multiLevelType w:val="hybridMultilevel"/>
    <w:lvl w:ilvl="0">
      <w:lvlJc w:val="left"/>
      <w:lvlText w:val="%1"/>
      <w:numFmt w:val="upperLetter"/>
      <w:start w:val="1"/>
    </w:lvl>
    <w:lvl w:ilvl="1">
      <w:lvlJc w:val="left"/>
      <w:lvlText w:val="(%2)"/>
      <w:numFmt w:val="lowerLetter"/>
      <w:start w:val="6"/>
    </w:lvl>
  </w:abstractNum>
  <w:abstractNum w:abstractNumId="284">
    <w:nsid w:val="701E8A0D"/>
    <w:multiLevelType w:val="hybridMultilevel"/>
    <w:lvl w:ilvl="0">
      <w:lvlJc w:val="left"/>
      <w:lvlText w:val="(%1)"/>
      <w:numFmt w:val="upperLetter"/>
      <w:start w:val="3"/>
    </w:lvl>
    <w:lvl w:ilvl="1">
      <w:lvlJc w:val="left"/>
      <w:lvlText w:val="(%2)"/>
      <w:numFmt w:val="lowerLetter"/>
      <w:start w:val="7"/>
    </w:lvl>
  </w:abstractNum>
  <w:abstractNum w:abstractNumId="285">
    <w:nsid w:val="41E690CF"/>
    <w:multiLevelType w:val="hybridMultilevel"/>
    <w:lvl w:ilvl="0">
      <w:lvlJc w:val="left"/>
      <w:lvlText w:val="%1"/>
      <w:numFmt w:val="lowerLetter"/>
      <w:start w:val="1"/>
    </w:lvl>
    <w:lvl w:ilvl="1">
      <w:lvlJc w:val="left"/>
      <w:lvlText w:val="(%2)"/>
      <w:numFmt w:val="lowerLetter"/>
      <w:start w:val="1"/>
    </w:lvl>
  </w:abstractNum>
  <w:abstractNum w:abstractNumId="286">
    <w:nsid w:val="7C6489B6"/>
    <w:multiLevelType w:val="hybridMultilevel"/>
    <w:lvl w:ilvl="0">
      <w:lvlJc w:val="left"/>
      <w:lvlText w:val="(%1)"/>
      <w:numFmt w:val="lowerLetter"/>
      <w:start w:val="35"/>
    </w:lvl>
    <w:lvl w:ilvl="1">
      <w:lvlJc w:val="left"/>
      <w:lvlText w:val="(%2)"/>
      <w:numFmt w:val="lowerLetter"/>
      <w:start w:val="2"/>
    </w:lvl>
  </w:abstractNum>
  <w:abstractNum w:abstractNumId="287">
    <w:nsid w:val="53AE65DE"/>
    <w:multiLevelType w:val="hybridMultilevel"/>
    <w:lvl w:ilvl="0">
      <w:lvlJc w:val="left"/>
      <w:lvlText w:val="(%1)"/>
      <w:numFmt w:val="lowerLetter"/>
      <w:start w:val="6"/>
    </w:lvl>
  </w:abstractNum>
  <w:abstractNum w:abstractNumId="288">
    <w:nsid w:val="527F603D"/>
    <w:multiLevelType w:val="hybridMultilevel"/>
    <w:lvl w:ilvl="0">
      <w:lvlJc w:val="left"/>
      <w:lvlText w:val="(%1)"/>
      <w:numFmt w:val="lowerRoman"/>
      <w:start w:val="1"/>
    </w:lvl>
  </w:abstractNum>
  <w:abstractNum w:abstractNumId="289">
    <w:nsid w:val="7E13D013"/>
    <w:multiLevelType w:val="hybridMultilevel"/>
    <w:lvl w:ilvl="0">
      <w:lvlJc w:val="left"/>
      <w:lvlText w:val="(%1)"/>
      <w:numFmt w:val="upperLetter"/>
      <w:start w:val="4"/>
    </w:lvl>
    <w:lvl w:ilvl="1">
      <w:lvlJc w:val="left"/>
      <w:lvlText w:val="(%2)"/>
      <w:numFmt w:val="lowerRoman"/>
      <w:start w:val="5"/>
    </w:lvl>
  </w:abstractNum>
  <w:abstractNum w:abstractNumId="290">
    <w:nsid w:val="663BFE95"/>
    <w:multiLevelType w:val="hybridMultilevel"/>
    <w:lvl w:ilvl="0">
      <w:lvlJc w:val="left"/>
      <w:lvlText w:val="(%1)"/>
      <w:numFmt w:val="decimal"/>
      <w:start w:val="2"/>
    </w:lvl>
  </w:abstractNum>
  <w:abstractNum w:abstractNumId="291">
    <w:nsid w:val="31E0986F"/>
    <w:multiLevelType w:val="hybridMultilevel"/>
    <w:lvl w:ilvl="0">
      <w:lvlJc w:val="left"/>
      <w:lvlText w:val="(%1)"/>
      <w:numFmt w:val="decimal"/>
      <w:start w:val="3"/>
    </w:lvl>
  </w:abstractNum>
  <w:abstractNum w:abstractNumId="292">
    <w:nsid w:val="41FCF274"/>
    <w:multiLevelType w:val="hybridMultilevel"/>
    <w:lvl w:ilvl="0">
      <w:lvlJc w:val="left"/>
      <w:lvlText w:val="(%1)"/>
      <w:numFmt w:val="lowerLetter"/>
      <w:start w:val="8"/>
    </w:lvl>
  </w:abstractNum>
  <w:abstractNum w:abstractNumId="293">
    <w:nsid w:val="294614F7"/>
    <w:multiLevelType w:val="hybridMultilevel"/>
    <w:lvl w:ilvl="0">
      <w:lvlJc w:val="left"/>
      <w:lvlText w:val="(%1)"/>
      <w:numFmt w:val="lowerLetter"/>
      <w:start w:val="1"/>
    </w:lvl>
  </w:abstractNum>
  <w:abstractNum w:abstractNumId="294">
    <w:nsid w:val="517DF487"/>
    <w:multiLevelType w:val="hybridMultilevel"/>
    <w:lvl w:ilvl="0">
      <w:lvlJc w:val="left"/>
      <w:lvlText w:val="(%1)"/>
      <w:numFmt w:val="lowerLetter"/>
      <w:start w:val="4"/>
    </w:lvl>
  </w:abstractNum>
  <w:abstractNum w:abstractNumId="295">
    <w:nsid w:val="5EBE0EAB"/>
    <w:multiLevelType w:val="hybridMultilevel"/>
    <w:lvl w:ilvl="0">
      <w:lvlJc w:val="left"/>
      <w:lvlText w:val="(%1)"/>
      <w:numFmt w:val="upperLetter"/>
      <w:start w:val="1"/>
    </w:lvl>
  </w:abstractNum>
  <w:abstractNum w:abstractNumId="296">
    <w:nsid w:val="6E9DEAD0"/>
    <w:multiLevelType w:val="hybridMultilevel"/>
    <w:lvl w:ilvl="0">
      <w:lvlJc w:val="left"/>
      <w:lvlText w:val="%1"/>
      <w:numFmt w:val="lowerLetter"/>
      <w:start w:val="1"/>
    </w:lvl>
    <w:lvl w:ilvl="1">
      <w:lvlJc w:val="left"/>
      <w:lvlText w:val="(%2)"/>
      <w:numFmt w:val="lowerLetter"/>
      <w:start w:val="1"/>
    </w:lvl>
  </w:abstractNum>
  <w:abstractNum w:abstractNumId="297">
    <w:nsid w:val="4450AA00"/>
    <w:multiLevelType w:val="hybridMultilevel"/>
    <w:lvl w:ilvl="0">
      <w:lvlJc w:val="left"/>
      <w:lvlText w:val="(%1)"/>
      <w:numFmt w:val="lowerLetter"/>
      <w:start w:val="35"/>
    </w:lvl>
    <w:lvl w:ilvl="1">
      <w:lvlJc w:val="left"/>
      <w:lvlText w:val="%2"/>
      <w:numFmt w:val="lowerLetter"/>
      <w:start w:val="1"/>
    </w:lvl>
  </w:abstractNum>
  <w:abstractNum w:abstractNumId="298">
    <w:nsid w:val="4AC9F3E2"/>
    <w:multiLevelType w:val="hybridMultilevel"/>
    <w:lvl w:ilvl="0">
      <w:lvlJc w:val="left"/>
      <w:lvlText w:val="%1"/>
      <w:numFmt w:val="lowerLetter"/>
      <w:start w:val="1"/>
    </w:lvl>
    <w:lvl w:ilvl="1">
      <w:lvlJc w:val="left"/>
      <w:lvlText w:val="(%2)"/>
      <w:numFmt w:val="lowerLetter"/>
      <w:start w:val="2"/>
    </w:lvl>
  </w:abstractNum>
  <w:abstractNum w:abstractNumId="299">
    <w:nsid w:val="CC0A782"/>
    <w:multiLevelType w:val="hybridMultilevel"/>
    <w:lvl w:ilvl="0">
      <w:lvlJc w:val="left"/>
      <w:lvlText w:val="(%1)"/>
      <w:numFmt w:val="lowerLetter"/>
      <w:start w:val="9"/>
    </w:lvl>
    <w:lvl w:ilvl="1">
      <w:lvlJc w:val="left"/>
      <w:lvlText w:val="%2"/>
      <w:numFmt w:val="lowerLetter"/>
      <w:start w:val="1"/>
    </w:lvl>
  </w:abstractNum>
  <w:abstractNum w:abstractNumId="300">
    <w:nsid w:val="79B69BC9"/>
    <w:multiLevelType w:val="hybridMultilevel"/>
    <w:lvl w:ilvl="0">
      <w:lvlJc w:val="left"/>
      <w:lvlText w:val="(%1)"/>
      <w:numFmt w:val="lowerLetter"/>
      <w:start w:val="9"/>
    </w:lvl>
    <w:lvl w:ilvl="1">
      <w:lvlJc w:val="left"/>
      <w:lvlText w:val="%2"/>
      <w:numFmt w:val="lowerLetter"/>
      <w:start w:val="1"/>
    </w:lvl>
  </w:abstractNum>
  <w:abstractNum w:abstractNumId="301">
    <w:nsid w:val="2970CC78"/>
    <w:multiLevelType w:val="hybridMultilevel"/>
    <w:lvl w:ilvl="0">
      <w:lvlJc w:val="left"/>
      <w:lvlText w:val="(%1)"/>
      <w:numFmt w:val="lowerLetter"/>
      <w:start w:val="1"/>
    </w:lvl>
  </w:abstractNum>
  <w:abstractNum w:abstractNumId="302">
    <w:nsid w:val="49CA1341"/>
    <w:multiLevelType w:val="hybridMultilevel"/>
    <w:lvl w:ilvl="0">
      <w:lvlJc w:val="left"/>
      <w:lvlText w:val="(%1)"/>
      <w:numFmt w:val="lowerLetter"/>
      <w:start w:val="1"/>
    </w:lvl>
  </w:abstractNum>
  <w:abstractNum w:abstractNumId="303">
    <w:nsid w:val="58D717E"/>
    <w:multiLevelType w:val="hybridMultilevel"/>
    <w:lvl w:ilvl="0">
      <w:lvlJc w:val="left"/>
      <w:lvlText w:val="(%1)"/>
      <w:numFmt w:val="lowerLetter"/>
      <w:start w:val="3"/>
    </w:lvl>
  </w:abstractNum>
  <w:abstractNum w:abstractNumId="304">
    <w:nsid w:val="64C2DDD5"/>
    <w:multiLevelType w:val="hybridMultilevel"/>
    <w:lvl w:ilvl="0">
      <w:lvlJc w:val="left"/>
      <w:lvlText w:val="(%1)"/>
      <w:numFmt w:val="lowerLetter"/>
      <w:start w:val="7"/>
    </w:lvl>
  </w:abstractNum>
  <w:abstractNum w:abstractNumId="305">
    <w:nsid w:val="4244B8DE"/>
    <w:multiLevelType w:val="hybridMultilevel"/>
    <w:lvl w:ilvl="0">
      <w:lvlJc w:val="left"/>
      <w:lvlText w:val="(%1)"/>
      <w:numFmt w:val="lowerLetter"/>
      <w:start w:val="1"/>
    </w:lvl>
  </w:abstractNum>
  <w:abstractNum w:abstractNumId="306">
    <w:nsid w:val="76490B01"/>
    <w:multiLevelType w:val="hybridMultilevel"/>
    <w:lvl w:ilvl="0">
      <w:lvlJc w:val="left"/>
      <w:lvlText w:val="(%1)"/>
      <w:numFmt w:val="lowerLetter"/>
      <w:start w:val="2"/>
    </w:lvl>
  </w:abstractNum>
  <w:abstractNum w:abstractNumId="307">
    <w:nsid w:val="36B19CBF"/>
    <w:multiLevelType w:val="hybridMultilevel"/>
    <w:lvl w:ilvl="0">
      <w:lvlJc w:val="left"/>
      <w:lvlText w:val="%1"/>
      <w:numFmt w:val="decimal"/>
      <w:start w:val="1"/>
    </w:lvl>
    <w:lvl w:ilvl="1">
      <w:lvlJc w:val="left"/>
      <w:lvlText w:val="(%2)"/>
      <w:numFmt w:val="lowerRoman"/>
      <w:start w:val="1"/>
    </w:lvl>
  </w:abstractNum>
  <w:abstractNum w:abstractNumId="308">
    <w:nsid w:val="645EC5AB"/>
    <w:multiLevelType w:val="hybridMultilevel"/>
    <w:lvl w:ilvl="0">
      <w:lvlJc w:val="left"/>
      <w:lvlText w:val="(%1)"/>
      <w:numFmt w:val="decimal"/>
      <w:start w:val="3"/>
    </w:lvl>
    <w:lvl w:ilvl="1">
      <w:lvlJc w:val="left"/>
      <w:lvlText w:val="(%2)"/>
      <w:numFmt w:val="lowerRoman"/>
      <w:start w:val="4"/>
    </w:lvl>
  </w:abstractNum>
  <w:abstractNum w:abstractNumId="309">
    <w:nsid w:val="11C5ABEF"/>
    <w:multiLevelType w:val="hybridMultilevel"/>
    <w:lvl w:ilvl="0">
      <w:lvlJc w:val="left"/>
      <w:lvlText w:val="(%1)"/>
      <w:numFmt w:val="lowerLetter"/>
      <w:start w:val="3"/>
    </w:lvl>
  </w:abstractNum>
  <w:abstractNum w:abstractNumId="310">
    <w:nsid w:val="5A4744BE"/>
    <w:multiLevelType w:val="hybridMultilevel"/>
    <w:lvl w:ilvl="0">
      <w:lvlJc w:val="left"/>
      <w:lvlText w:val="(%1)"/>
      <w:numFmt w:val="lowerRoman"/>
      <w:start w:val="1"/>
    </w:lvl>
  </w:abstractNum>
  <w:abstractNum w:abstractNumId="311">
    <w:nsid w:val="1DC4B111"/>
    <w:multiLevelType w:val="hybridMultilevel"/>
    <w:lvl w:ilvl="0">
      <w:lvlJc w:val="left"/>
      <w:lvlText w:val="(%1)"/>
      <w:numFmt w:val="lowerRoman"/>
      <w:start w:val="4"/>
    </w:lvl>
  </w:abstractNum>
  <w:abstractNum w:abstractNumId="312">
    <w:nsid w:val="4C6E372B"/>
    <w:multiLevelType w:val="hybridMultilevel"/>
    <w:lvl w:ilvl="0">
      <w:lvlJc w:val="left"/>
      <w:lvlText w:val="(%1)"/>
      <w:numFmt w:val="lowerLetter"/>
      <w:start w:val="4"/>
    </w:lvl>
  </w:abstractNum>
  <w:abstractNum w:abstractNumId="313">
    <w:nsid w:val="10236EF"/>
    <w:multiLevelType w:val="hybridMultilevel"/>
    <w:lvl w:ilvl="0">
      <w:lvlJc w:val="left"/>
      <w:lvlText w:val="(%1)"/>
      <w:numFmt w:val="lowerLetter"/>
      <w:start w:val="1"/>
    </w:lvl>
  </w:abstractNum>
  <w:abstractNum w:abstractNumId="314">
    <w:nsid w:val="68D8526B"/>
    <w:multiLevelType w:val="hybridMultilevel"/>
    <w:lvl w:ilvl="0">
      <w:lvlJc w:val="left"/>
      <w:lvlText w:val="(%1)"/>
      <w:numFmt w:val="lowerRoman"/>
      <w:start w:val="1"/>
    </w:lvl>
  </w:abstractNum>
  <w:abstractNum w:abstractNumId="315">
    <w:nsid w:val="3C8CC138"/>
    <w:multiLevelType w:val="hybridMultilevel"/>
    <w:lvl w:ilvl="0">
      <w:lvlJc w:val="left"/>
      <w:lvlText w:val="(%1)"/>
      <w:numFmt w:val="lowerRoman"/>
      <w:start w:val="3"/>
    </w:lvl>
  </w:abstractNum>
  <w:abstractNum w:abstractNumId="316">
    <w:nsid w:val="42E8C7BE"/>
    <w:multiLevelType w:val="hybridMultilevel"/>
    <w:lvl w:ilvl="0">
      <w:lvlJc w:val="left"/>
      <w:lvlText w:val="(%1)"/>
      <w:numFmt w:val="lowerLetter"/>
      <w:start w:val="2"/>
    </w:lvl>
  </w:abstractNum>
  <w:abstractNum w:abstractNumId="317">
    <w:nsid w:val="653CDC22"/>
    <w:multiLevelType w:val="hybridMultilevel"/>
    <w:lvl w:ilvl="0">
      <w:lvlJc w:val="left"/>
      <w:lvlText w:val="(%1)"/>
      <w:numFmt w:val="lowerLetter"/>
      <w:start w:val="5"/>
    </w:lvl>
  </w:abstractNum>
  <w:abstractNum w:abstractNumId="318">
    <w:nsid w:val="103B2716"/>
    <w:multiLevelType w:val="hybridMultilevel"/>
    <w:lvl w:ilvl="0">
      <w:lvlJc w:val="left"/>
      <w:lvlText w:val="(%1)"/>
      <w:numFmt w:val="lowerLetter"/>
      <w:start w:val="1"/>
    </w:lvl>
  </w:abstractNum>
  <w:abstractNum w:abstractNumId="319">
    <w:nsid w:val="156827FB"/>
    <w:multiLevelType w:val="hybridMultilevel"/>
    <w:lvl w:ilvl="0">
      <w:lvlJc w:val="left"/>
      <w:lvlText w:val="(%1)"/>
      <w:numFmt w:val="lowerLetter"/>
      <w:start w:val="2"/>
    </w:lvl>
  </w:abstractNum>
  <w:abstractNum w:abstractNumId="320">
    <w:nsid w:val="6350AC35"/>
    <w:multiLevelType w:val="hybridMultilevel"/>
    <w:lvl w:ilvl="0">
      <w:lvlJc w:val="left"/>
      <w:lvlText w:val="(%1)"/>
      <w:numFmt w:val="lowerLetter"/>
      <w:start w:val="1"/>
    </w:lvl>
  </w:abstractNum>
  <w:abstractNum w:abstractNumId="321">
    <w:nsid w:val="767725AB"/>
    <w:multiLevelType w:val="hybridMultilevel"/>
    <w:lvl w:ilvl="0">
      <w:lvlJc w:val="left"/>
      <w:lvlText w:val="(%1)"/>
      <w:numFmt w:val="lowerLetter"/>
      <w:start w:val="1"/>
    </w:lvl>
  </w:abstractNum>
  <w:abstractNum w:abstractNumId="322">
    <w:nsid w:val="4748C06A"/>
    <w:multiLevelType w:val="hybridMultilevel"/>
    <w:lvl w:ilvl="0">
      <w:lvlJc w:val="left"/>
      <w:lvlText w:val="(%1)"/>
      <w:numFmt w:val="lowerLetter"/>
      <w:start w:val="1"/>
    </w:lvl>
  </w:abstractNum>
  <w:abstractNum w:abstractNumId="323">
    <w:nsid w:val="254D9EA9"/>
    <w:multiLevelType w:val="hybridMultilevel"/>
    <w:lvl w:ilvl="0">
      <w:lvlJc w:val="left"/>
      <w:lvlText w:val="(%1)"/>
      <w:numFmt w:val="lowerLetter"/>
      <w:start w:val="1"/>
    </w:lvl>
  </w:abstractNum>
  <w:abstractNum w:abstractNumId="324">
    <w:nsid w:val="1FBD3AA3"/>
    <w:multiLevelType w:val="hybridMultilevel"/>
    <w:lvl w:ilvl="0">
      <w:lvlJc w:val="left"/>
      <w:lvlText w:val="(%1)"/>
      <w:numFmt w:val="lowerRoman"/>
      <w:start w:val="1"/>
    </w:lvl>
  </w:abstractNum>
  <w:abstractNum w:abstractNumId="325">
    <w:nsid w:val="18C6B4F2"/>
    <w:multiLevelType w:val="hybridMultilevel"/>
    <w:lvl w:ilvl="0">
      <w:lvlJc w:val="left"/>
      <w:lvlText w:val="(%1)"/>
      <w:numFmt w:val="upperLetter"/>
      <w:start w:val="3"/>
    </w:lvl>
    <w:lvl w:ilvl="1">
      <w:lvlJc w:val="left"/>
      <w:lvlText w:val="(%2)"/>
      <w:numFmt w:val="lowerRoman"/>
      <w:start w:val="3"/>
    </w:lvl>
  </w:abstractNum>
  <w:abstractNum w:abstractNumId="326">
    <w:nsid w:val="40BAD55"/>
    <w:multiLevelType w:val="hybridMultilevel"/>
    <w:lvl w:ilvl="0">
      <w:lvlJc w:val="left"/>
      <w:lvlText w:val="(%1)"/>
      <w:numFmt w:val="lowerLetter"/>
      <w:start w:val="2"/>
    </w:lvl>
  </w:abstractNum>
  <w:abstractNum w:abstractNumId="327">
    <w:nsid w:val="E5B2573"/>
    <w:multiLevelType w:val="hybridMultilevel"/>
    <w:lvl w:ilvl="0">
      <w:lvlJc w:val="left"/>
      <w:lvlText w:val="(%1)"/>
      <w:numFmt w:val="lowerRoman"/>
      <w:start w:val="1"/>
    </w:lvl>
  </w:abstractNum>
  <w:abstractNum w:abstractNumId="328">
    <w:nsid w:val="5D175EF2"/>
    <w:multiLevelType w:val="hybridMultilevel"/>
    <w:lvl w:ilvl="0">
      <w:lvlJc w:val="left"/>
      <w:lvlText w:val="(%1)"/>
      <w:numFmt w:val="lowerLetter"/>
      <w:start w:val="5"/>
    </w:lvl>
  </w:abstractNum>
  <w:abstractNum w:abstractNumId="329">
    <w:nsid w:val="4ED5A137"/>
    <w:multiLevelType w:val="hybridMultilevel"/>
    <w:lvl w:ilvl="0">
      <w:lvlJc w:val="left"/>
      <w:lvlText w:val="(%1)"/>
      <w:numFmt w:val="lowerLetter"/>
      <w:start w:val="12"/>
    </w:lvl>
  </w:abstractNum>
  <w:abstractNum w:abstractNumId="330">
    <w:nsid w:val="1B1BCCF5"/>
    <w:multiLevelType w:val="hybridMultilevel"/>
    <w:lvl w:ilvl="0">
      <w:lvlJc w:val="left"/>
      <w:lvlText w:val="(%1)"/>
      <w:numFmt w:val="lowerLetter"/>
      <w:start w:val="1"/>
    </w:lvl>
  </w:abstractNum>
  <w:abstractNum w:abstractNumId="331">
    <w:nsid w:val="56CDFABB"/>
    <w:multiLevelType w:val="hybridMultilevel"/>
    <w:lvl w:ilvl="0">
      <w:lvlJc w:val="left"/>
      <w:lvlText w:val="(%1)"/>
      <w:numFmt w:val="lowerLetter"/>
      <w:start w:val="5"/>
    </w:lvl>
  </w:abstractNum>
  <w:abstractNum w:abstractNumId="332">
    <w:nsid w:val="78466DAF"/>
    <w:multiLevelType w:val="hybridMultilevel"/>
    <w:lvl w:ilvl="0">
      <w:lvlJc w:val="left"/>
      <w:lvlText w:val="(%1)"/>
      <w:numFmt w:val="lowerLetter"/>
      <w:start w:val="1"/>
    </w:lvl>
  </w:abstractNum>
  <w:abstractNum w:abstractNumId="333">
    <w:nsid w:val="64E5E036"/>
    <w:multiLevelType w:val="hybridMultilevel"/>
    <w:lvl w:ilvl="0">
      <w:lvlJc w:val="left"/>
      <w:lvlText w:val="(%1)"/>
      <w:numFmt w:val="lowerLetter"/>
      <w:start w:val="2"/>
    </w:lvl>
  </w:abstractNum>
  <w:abstractNum w:abstractNumId="334">
    <w:nsid w:val="5C5B6C3A"/>
    <w:multiLevelType w:val="hybridMultilevel"/>
    <w:lvl w:ilvl="0">
      <w:lvlJc w:val="left"/>
      <w:lvlText w:val="(%1)"/>
      <w:numFmt w:val="lowerLetter"/>
      <w:start w:val="10"/>
    </w:lvl>
  </w:abstractNum>
  <w:abstractNum w:abstractNumId="335">
    <w:nsid w:val="5D094B84"/>
    <w:multiLevelType w:val="hybridMultilevel"/>
    <w:lvl w:ilvl="0">
      <w:lvlJc w:val="left"/>
      <w:lvlText w:val="(%1)"/>
      <w:numFmt w:val="lowerLetter"/>
      <w:start w:val="2"/>
    </w:lvl>
  </w:abstractNum>
  <w:abstractNum w:abstractNumId="336">
    <w:nsid w:val="272A9914"/>
    <w:multiLevelType w:val="hybridMultilevel"/>
    <w:lvl w:ilvl="0">
      <w:lvlJc w:val="left"/>
      <w:lvlText w:val="(%1)"/>
      <w:numFmt w:val="lowerRoman"/>
      <w:start w:val="3"/>
    </w:lvl>
  </w:abstractNum>
  <w:abstractNum w:abstractNumId="337">
    <w:nsid w:val="52A4773B"/>
    <w:multiLevelType w:val="hybridMultilevel"/>
    <w:lvl w:ilvl="0">
      <w:lvlJc w:val="left"/>
      <w:lvlText w:val="(%1)"/>
      <w:numFmt w:val="decimal"/>
      <w:start w:val="1"/>
    </w:lvl>
  </w:abstractNum>
  <w:abstractNum w:abstractNumId="338">
    <w:nsid w:val="13BAE843"/>
    <w:multiLevelType w:val="hybridMultilevel"/>
    <w:lvl w:ilvl="0">
      <w:lvlJc w:val="left"/>
      <w:lvlText w:val="(%1)"/>
      <w:numFmt w:val="decimal"/>
      <w:start w:val="2"/>
    </w:lvl>
  </w:abstractNum>
  <w:abstractNum w:abstractNumId="339">
    <w:nsid w:val="B895EBF"/>
    <w:multiLevelType w:val="hybridMultilevel"/>
    <w:lvl w:ilvl="0">
      <w:lvlJc w:val="left"/>
      <w:lvlText w:val="%1"/>
      <w:numFmt w:val="lowerLetter"/>
      <w:start w:val="1"/>
    </w:lvl>
    <w:lvl w:ilvl="1">
      <w:lvlJc w:val="left"/>
      <w:lvlText w:val="(%2)"/>
      <w:numFmt w:val="lowerLetter"/>
      <w:start w:val="1"/>
    </w:lvl>
  </w:abstractNum>
  <w:abstractNum w:abstractNumId="340">
    <w:nsid w:val="646A232A"/>
    <w:multiLevelType w:val="hybridMultilevel"/>
    <w:lvl w:ilvl="0">
      <w:lvlJc w:val="left"/>
      <w:lvlText w:val="(%1)"/>
      <w:numFmt w:val="lowerLetter"/>
      <w:start w:val="24"/>
    </w:lvl>
    <w:lvl w:ilvl="1">
      <w:lvlJc w:val="left"/>
      <w:lvlText w:val="%2"/>
      <w:numFmt w:val="lowerLetter"/>
      <w:start w:val="1"/>
    </w:lvl>
  </w:abstractNum>
  <w:abstractNum w:abstractNumId="341">
    <w:nsid w:val="6E022D01"/>
    <w:multiLevelType w:val="hybridMultilevel"/>
    <w:lvl w:ilvl="0">
      <w:lvlJc w:val="left"/>
      <w:lvlText w:val="(%1)"/>
      <w:numFmt w:val="decimal"/>
      <w:start w:val="1"/>
    </w:lvl>
  </w:abstractNum>
  <w:abstractNum w:abstractNumId="342">
    <w:nsid w:val="294E0FD0"/>
    <w:multiLevelType w:val="hybridMultilevel"/>
    <w:lvl w:ilvl="0">
      <w:lvlJc w:val="left"/>
      <w:lvlText w:val="(%1)"/>
      <w:numFmt w:val="decimal"/>
      <w:start w:val="2"/>
    </w:lvl>
  </w:abstractNum>
  <w:abstractNum w:abstractNumId="343">
    <w:nsid w:val="30D85A55"/>
    <w:multiLevelType w:val="hybridMultilevel"/>
    <w:lvl w:ilvl="0">
      <w:lvlJc w:val="left"/>
      <w:lvlText w:val="(%1)"/>
      <w:numFmt w:val="lowerLetter"/>
      <w:start w:val="1"/>
    </w:lvl>
  </w:abstractNum>
  <w:abstractNum w:abstractNumId="344">
    <w:nsid w:val="6F0463F1"/>
    <w:multiLevelType w:val="hybridMultilevel"/>
    <w:lvl w:ilvl="0">
      <w:lvlJc w:val="left"/>
      <w:lvlText w:val="(%1)"/>
      <w:numFmt w:val="decimal"/>
      <w:start w:val="1"/>
    </w:lvl>
  </w:abstractNum>
  <w:abstractNum w:abstractNumId="345">
    <w:nsid w:val="1226623C"/>
    <w:multiLevelType w:val="hybridMultilevel"/>
    <w:lvl w:ilvl="0">
      <w:lvlJc w:val="left"/>
      <w:lvlText w:val="(%1)"/>
      <w:numFmt w:val="decimal"/>
      <w:start w:val="4"/>
    </w:lvl>
  </w:abstractNum>
  <w:abstractNum w:abstractNumId="346">
    <w:nsid w:val="6D651B8D"/>
    <w:multiLevelType w:val="hybridMultilevel"/>
    <w:lvl w:ilvl="0">
      <w:lvlJc w:val="left"/>
      <w:lvlText w:val="(%1)"/>
      <w:numFmt w:val="lowerLetter"/>
      <w:start w:val="2"/>
    </w:lvl>
  </w:abstractNum>
  <w:abstractNum w:abstractNumId="347">
    <w:nsid w:val="31ED2BAF"/>
    <w:multiLevelType w:val="hybridMultilevel"/>
    <w:lvl w:ilvl="0">
      <w:lvlJc w:val="left"/>
      <w:lvlText w:val="(%1)"/>
      <w:numFmt w:val="lowerLetter"/>
      <w:start w:val="1"/>
    </w:lvl>
  </w:abstractNum>
  <w:abstractNum w:abstractNumId="348">
    <w:nsid w:val="77633E5E"/>
    <w:multiLevelType w:val="hybridMultilevel"/>
    <w:lvl w:ilvl="0">
      <w:lvlJc w:val="left"/>
      <w:lvlText w:val="(%1)"/>
      <w:numFmt w:val="lowerLetter"/>
      <w:start w:val="4"/>
    </w:lvl>
  </w:abstractNum>
  <w:abstractNum w:abstractNumId="349">
    <w:nsid w:val="7DA042A3"/>
    <w:multiLevelType w:val="hybridMultilevel"/>
    <w:lvl w:ilvl="0">
      <w:lvlJc w:val="left"/>
      <w:lvlText w:val="(%1)"/>
      <w:numFmt w:val="lowerLetter"/>
      <w:start w:val="1"/>
    </w:lvl>
  </w:abstractNum>
  <w:abstractNum w:abstractNumId="350">
    <w:nsid w:val="475553AB"/>
    <w:multiLevelType w:val="hybridMultilevel"/>
    <w:lvl w:ilvl="0">
      <w:lvlJc w:val="left"/>
      <w:lvlText w:val="(%1)"/>
      <w:numFmt w:val="lowerLetter"/>
      <w:start w:val="1"/>
    </w:lvl>
  </w:abstractNum>
  <w:abstractNum w:abstractNumId="351">
    <w:nsid w:val="5AB3EA93"/>
    <w:multiLevelType w:val="hybridMultilevel"/>
    <w:lvl w:ilvl="0">
      <w:lvlJc w:val="left"/>
      <w:lvlText w:val="(%1)"/>
      <w:numFmt w:val="lowerLetter"/>
      <w:start w:val="2"/>
    </w:lvl>
  </w:abstractNum>
  <w:abstractNum w:abstractNumId="352">
    <w:nsid w:val="7417684F"/>
    <w:multiLevelType w:val="hybridMultilevel"/>
    <w:lvl w:ilvl="0">
      <w:lvlJc w:val="left"/>
      <w:lvlText w:val="(%1)"/>
      <w:numFmt w:val="lowerLetter"/>
      <w:start w:val="1"/>
    </w:lvl>
  </w:abstractNum>
  <w:abstractNum w:abstractNumId="353">
    <w:nsid w:val="E9E1415"/>
    <w:multiLevelType w:val="hybridMultilevel"/>
    <w:lvl w:ilvl="0">
      <w:lvlJc w:val="left"/>
      <w:lvlText w:val="%1"/>
      <w:numFmt w:val="lowerRoman"/>
      <w:start w:val="1"/>
    </w:lvl>
    <w:lvl w:ilvl="1">
      <w:lvlJc w:val="left"/>
      <w:lvlText w:val="(%2)"/>
      <w:numFmt w:val="lowerRoman"/>
      <w:start w:val="1"/>
    </w:lvl>
  </w:abstractNum>
  <w:abstractNum w:abstractNumId="354">
    <w:nsid w:val="1893D"/>
    <w:multiLevelType w:val="hybridMultilevel"/>
    <w:lvl w:ilvl="0">
      <w:lvlJc w:val="left"/>
      <w:lvlText w:val="(%1)"/>
      <w:numFmt w:val="lowerRoman"/>
      <w:start w:val="1"/>
    </w:lvl>
    <w:lvl w:ilvl="1">
      <w:lvlJc w:val="left"/>
      <w:lvlText w:val="%2"/>
      <w:numFmt w:val="lowerRoman"/>
      <w:start w:val="1"/>
    </w:lvl>
  </w:abstractNum>
  <w:abstractNum w:abstractNumId="355">
    <w:nsid w:val="13D4A2F2"/>
    <w:multiLevelType w:val="hybridMultilevel"/>
    <w:lvl w:ilvl="0">
      <w:lvlJc w:val="left"/>
      <w:lvlText w:val="(%1)"/>
      <w:numFmt w:val="lowerLetter"/>
      <w:start w:val="24"/>
    </w:lvl>
  </w:abstractNum>
  <w:abstractNum w:abstractNumId="356">
    <w:nsid w:val="2764C907"/>
    <w:multiLevelType w:val="hybridMultilevel"/>
    <w:lvl w:ilvl="0">
      <w:lvlJc w:val="left"/>
      <w:lvlText w:val="(%1)"/>
      <w:numFmt w:val="upperLetter"/>
      <w:start w:val="1"/>
    </w:lvl>
  </w:abstractNum>
  <w:abstractNum w:abstractNumId="357">
    <w:nsid w:val="40D3692"/>
    <w:multiLevelType w:val="hybridMultilevel"/>
    <w:lvl w:ilvl="0">
      <w:lvlJc w:val="left"/>
      <w:lvlText w:val="(%1)"/>
      <w:numFmt w:val="upperLetter"/>
      <w:start w:val="5"/>
    </w:lvl>
  </w:abstractNum>
  <w:abstractNum w:abstractNumId="358">
    <w:nsid w:val="222FC865"/>
    <w:multiLevelType w:val="hybridMultilevel"/>
    <w:lvl w:ilvl="0">
      <w:lvlJc w:val="left"/>
      <w:lvlText w:val="(%1)"/>
      <w:numFmt w:val="lowerLetter"/>
      <w:start w:val="2"/>
    </w:lvl>
  </w:abstractNum>
  <w:abstractNum w:abstractNumId="359">
    <w:nsid w:val="47C27FA"/>
    <w:multiLevelType w:val="hybridMultilevel"/>
    <w:lvl w:ilvl="0">
      <w:lvlJc w:val="left"/>
      <w:lvlText w:val="(%1)"/>
      <w:numFmt w:val="decimal"/>
      <w:start w:val="1"/>
    </w:lvl>
  </w:abstractNum>
  <w:abstractNum w:abstractNumId="360">
    <w:nsid w:val="52E2D7C9"/>
    <w:multiLevelType w:val="hybridMultilevel"/>
    <w:lvl w:ilvl="0">
      <w:lvlJc w:val="left"/>
      <w:lvlText w:val="(%1)"/>
      <w:numFmt w:val="decimal"/>
      <w:start w:val="6"/>
    </w:lvl>
  </w:abstractNum>
  <w:abstractNum w:abstractNumId="361">
    <w:nsid w:val="3D4B955A"/>
    <w:multiLevelType w:val="hybridMultilevel"/>
    <w:lvl w:ilvl="0">
      <w:lvlJc w:val="left"/>
      <w:lvlText w:val="%1"/>
      <w:numFmt w:val="lowerRoman"/>
      <w:start w:val="1"/>
    </w:lvl>
    <w:lvl w:ilvl="1">
      <w:lvlJc w:val="left"/>
      <w:lvlText w:val="(%2)"/>
      <w:numFmt w:val="decimal"/>
      <w:start w:val="13"/>
    </w:lvl>
  </w:abstractNum>
  <w:abstractNum w:abstractNumId="362">
    <w:nsid w:val="5B4A22B5"/>
    <w:multiLevelType w:val="hybridMultilevel"/>
    <w:lvl w:ilvl="0">
      <w:lvlJc w:val="left"/>
      <w:lvlText w:val="(%1)"/>
      <w:numFmt w:val="lowerRoman"/>
      <w:start w:val="2"/>
    </w:lvl>
    <w:lvl w:ilvl="1">
      <w:lvlJc w:val="left"/>
      <w:lvlText w:val="(%2)"/>
      <w:numFmt w:val="decimal"/>
      <w:start w:val="18"/>
    </w:lvl>
  </w:abstractNum>
  <w:abstractNum w:abstractNumId="363">
    <w:nsid w:val="4B294578"/>
    <w:multiLevelType w:val="hybridMultilevel"/>
    <w:lvl w:ilvl="0">
      <w:lvlJc w:val="left"/>
      <w:lvlText w:val="(%1)"/>
      <w:numFmt w:val="lowerRoman"/>
      <w:start w:val="1"/>
    </w:lvl>
    <w:lvl w:ilvl="1">
      <w:lvlJc w:val="left"/>
      <w:lvlText w:val="(%2)"/>
      <w:numFmt w:val="decimal"/>
      <w:start w:val="20"/>
    </w:lvl>
  </w:abstractNum>
  <w:abstractNum w:abstractNumId="364">
    <w:nsid w:val="22317590"/>
    <w:multiLevelType w:val="hybridMultilevel"/>
    <w:lvl w:ilvl="0">
      <w:lvlJc w:val="left"/>
      <w:lvlText w:val="(%1)"/>
      <w:numFmt w:val="decimal"/>
      <w:start w:val="22"/>
    </w:lvl>
  </w:abstractNum>
  <w:abstractNum w:abstractNumId="365">
    <w:nsid w:val="37A58EEF"/>
    <w:multiLevelType w:val="hybridMultilevel"/>
    <w:lvl w:ilvl="0">
      <w:lvlJc w:val="left"/>
      <w:lvlText w:val="(%1)"/>
      <w:numFmt w:val="lowerLetter"/>
      <w:start w:val="1"/>
    </w:lvl>
  </w:abstractNum>
  <w:abstractNum w:abstractNumId="366">
    <w:nsid w:val="283290FD"/>
    <w:multiLevelType w:val="hybridMultilevel"/>
    <w:lvl w:ilvl="0">
      <w:lvlJc w:val="left"/>
      <w:lvlText w:val="(%1)"/>
      <w:numFmt w:val="decimal"/>
      <w:start w:val="1"/>
    </w:lvl>
  </w:abstractNum>
  <w:abstractNum w:abstractNumId="367">
    <w:nsid w:val="495C0EA5"/>
    <w:multiLevelType w:val="hybridMultilevel"/>
    <w:lvl w:ilvl="0">
      <w:lvlJc w:val="left"/>
      <w:lvlText w:val="(%1)"/>
      <w:numFmt w:val="decimal"/>
      <w:start w:val="2"/>
    </w:lvl>
  </w:abstractNum>
  <w:abstractNum w:abstractNumId="368">
    <w:nsid w:val="A4A062B"/>
    <w:multiLevelType w:val="hybridMultilevel"/>
    <w:lvl w:ilvl="0">
      <w:lvlJc w:val="left"/>
      <w:lvlText w:val="(%1)"/>
      <w:numFmt w:val="lowerLetter"/>
      <w:start w:val="2"/>
    </w:lvl>
  </w:abstractNum>
  <w:abstractNum w:abstractNumId="369">
    <w:nsid w:val="3BED7940"/>
    <w:multiLevelType w:val="hybridMultilevel"/>
    <w:lvl w:ilvl="0">
      <w:lvlJc w:val="left"/>
      <w:lvlText w:val="(%1)"/>
      <w:numFmt w:val="decimal"/>
      <w:start w:val="1"/>
    </w:lvl>
  </w:abstractNum>
  <w:abstractNum w:abstractNumId="370">
    <w:nsid w:val="54E56D64"/>
    <w:multiLevelType w:val="hybridMultilevel"/>
    <w:lvl w:ilvl="0">
      <w:lvlJc w:val="left"/>
      <w:lvlText w:val="(%1)"/>
      <w:numFmt w:val="decimal"/>
      <w:start w:val="9"/>
    </w:lvl>
  </w:abstractNum>
  <w:abstractNum w:abstractNumId="371">
    <w:nsid w:val="6EB42955"/>
    <w:multiLevelType w:val="hybridMultilevel"/>
    <w:lvl w:ilvl="0">
      <w:lvlJc w:val="left"/>
      <w:lvlText w:val="(%1)"/>
      <w:numFmt w:val="decimal"/>
      <w:start w:val="10"/>
    </w:lvl>
  </w:abstractNum>
  <w:abstractNum w:abstractNumId="372">
    <w:nsid w:val="29EFA642"/>
    <w:multiLevelType w:val="hybridMultilevel"/>
    <w:lvl w:ilvl="0">
      <w:lvlJc w:val="left"/>
      <w:lvlText w:val="(%1)"/>
      <w:numFmt w:val="lowerLetter"/>
      <w:start w:val="1"/>
    </w:lvl>
  </w:abstractNum>
  <w:abstractNum w:abstractNumId="373">
    <w:nsid w:val="7E337D35"/>
    <w:multiLevelType w:val="hybridMultilevel"/>
    <w:lvl w:ilvl="0">
      <w:lvlJc w:val="left"/>
      <w:lvlText w:val="(%1)"/>
      <w:numFmt w:val="decimal"/>
      <w:start w:val="1"/>
    </w:lvl>
  </w:abstractNum>
  <w:abstractNum w:abstractNumId="374">
    <w:nsid w:val="1F8C83AB"/>
    <w:multiLevelType w:val="hybridMultilevel"/>
    <w:lvl w:ilvl="0">
      <w:lvlJc w:val="left"/>
      <w:lvlText w:val="(%1)"/>
      <w:numFmt w:val="decimal"/>
      <w:start w:val="2"/>
    </w:lvl>
    <w:lvl w:ilvl="1">
      <w:lvlJc w:val="left"/>
      <w:lvlText w:val="(%2)"/>
      <w:numFmt w:val="upperLetter"/>
      <w:start w:val="1"/>
    </w:lvl>
  </w:abstractNum>
  <w:abstractNum w:abstractNumId="375">
    <w:nsid w:val="18F40A33"/>
    <w:multiLevelType w:val="hybridMultilevel"/>
    <w:lvl w:ilvl="0">
      <w:lvlJc w:val="left"/>
      <w:lvlText w:val="(%1)"/>
      <w:numFmt w:val="lowerLetter"/>
      <w:start w:val="2"/>
    </w:lvl>
  </w:abstractNum>
  <w:abstractNum w:abstractNumId="376">
    <w:nsid w:val="1059DF71"/>
    <w:multiLevelType w:val="hybridMultilevel"/>
    <w:lvl w:ilvl="0">
      <w:lvlJc w:val="left"/>
      <w:lvlText w:val="(%1)"/>
      <w:numFmt w:val="decimal"/>
      <w:start w:val="1"/>
    </w:lvl>
  </w:abstractNum>
  <w:abstractNum w:abstractNumId="377">
    <w:nsid w:val="CF19F38"/>
    <w:multiLevelType w:val="hybridMultilevel"/>
    <w:lvl w:ilvl="0">
      <w:lvlJc w:val="left"/>
      <w:lvlText w:val="(%1)"/>
      <w:numFmt w:val="decimal"/>
      <w:start w:val="8"/>
    </w:lvl>
  </w:abstractNum>
  <w:abstractNum w:abstractNumId="378">
    <w:nsid w:val="4AE135E2"/>
    <w:multiLevelType w:val="hybridMultilevel"/>
    <w:lvl w:ilvl="0">
      <w:lvlJc w:val="left"/>
      <w:lvlText w:val="(%1)"/>
      <w:numFmt w:val="lowerLetter"/>
      <w:start w:val="1"/>
    </w:lvl>
  </w:abstractNum>
  <w:abstractNum w:abstractNumId="379">
    <w:nsid w:val="7BD1DCF"/>
    <w:multiLevelType w:val="hybridMultilevel"/>
    <w:lvl w:ilvl="0">
      <w:lvlJc w:val="left"/>
      <w:lvlText w:val="(%1)"/>
      <w:numFmt w:val="lowerLetter"/>
      <w:start w:val="1"/>
    </w:lvl>
  </w:abstractNum>
  <w:abstractNum w:abstractNumId="380">
    <w:nsid w:val="A91E1DC"/>
    <w:multiLevelType w:val="hybridMultilevel"/>
    <w:lvl w:ilvl="0">
      <w:lvlJc w:val="left"/>
      <w:lvlText w:val="(%1)"/>
      <w:numFmt w:val="decimal"/>
      <w:start w:val="1"/>
    </w:lvl>
    <w:lvl w:ilvl="1">
      <w:lvlJc w:val="left"/>
      <w:lvlText w:val="(%2)"/>
      <w:numFmt w:val="upperLetter"/>
      <w:start w:val="1"/>
    </w:lvl>
  </w:abstractNum>
  <w:abstractNum w:abstractNumId="381">
    <w:nsid w:val="1236898D"/>
    <w:multiLevelType w:val="hybridMultilevel"/>
    <w:lvl w:ilvl="0">
      <w:lvlJc w:val="left"/>
      <w:lvlText w:val="(%1)"/>
      <w:numFmt w:val="lowerLetter"/>
      <w:start w:val="2"/>
    </w:lvl>
  </w:abstractNum>
  <w:abstractNum w:abstractNumId="382">
    <w:nsid w:val="62710862"/>
    <w:multiLevelType w:val="hybridMultilevel"/>
    <w:lvl w:ilvl="0">
      <w:lvlJc w:val="left"/>
      <w:lvlText w:val="(%1)"/>
      <w:numFmt w:val="decimal"/>
      <w:start w:val="1"/>
    </w:lvl>
  </w:abstractNum>
  <w:abstractNum w:abstractNumId="383">
    <w:nsid w:val="7EA94A2B"/>
    <w:multiLevelType w:val="hybridMultilevel"/>
    <w:lvl w:ilvl="0">
      <w:lvlJc w:val="left"/>
      <w:lvlText w:val="(%1)"/>
      <w:numFmt w:val="lowerLetter"/>
      <w:start w:val="3"/>
    </w:lvl>
  </w:abstractNum>
  <w:abstractNum w:abstractNumId="384">
    <w:nsid w:val="20D49DA3"/>
    <w:multiLevelType w:val="hybridMultilevel"/>
    <w:lvl w:ilvl="0">
      <w:lvlJc w:val="left"/>
      <w:lvlText w:val="(%1)"/>
      <w:numFmt w:val="lowerLetter"/>
      <w:start w:val="1"/>
    </w:lvl>
  </w:abstractNum>
  <w:abstractNum w:abstractNumId="385">
    <w:nsid w:val="6272919F"/>
    <w:multiLevelType w:val="hybridMultilevel"/>
    <w:lvl w:ilvl="0">
      <w:lvlJc w:val="left"/>
      <w:lvlText w:val="(%1)"/>
      <w:numFmt w:val="lowerLetter"/>
      <w:start w:val="4"/>
    </w:lvl>
    <w:lvl w:ilvl="1">
      <w:lvlJc w:val="left"/>
      <w:lvlText w:val="(%2)"/>
      <w:numFmt w:val="decimal"/>
      <w:start w:val="1"/>
    </w:lvl>
  </w:abstractNum>
  <w:abstractNum w:abstractNumId="386">
    <w:nsid w:val="127DED1D"/>
    <w:multiLevelType w:val="hybridMultilevel"/>
    <w:lvl w:ilvl="0">
      <w:lvlJc w:val="left"/>
      <w:lvlText w:val="(%1)"/>
      <w:numFmt w:val="decimal"/>
      <w:start w:val="3"/>
    </w:lvl>
  </w:abstractNum>
  <w:abstractNum w:abstractNumId="387">
    <w:nsid w:val="483966AA"/>
    <w:multiLevelType w:val="hybridMultilevel"/>
    <w:lvl w:ilvl="0">
      <w:lvlJc w:val="left"/>
      <w:lvlText w:val="(%1)"/>
      <w:numFmt w:val="lowerLetter"/>
      <w:start w:val="8"/>
    </w:lvl>
  </w:abstractNum>
  <w:abstractNum w:abstractNumId="388">
    <w:nsid w:val="667FC831"/>
    <w:multiLevelType w:val="hybridMultilevel"/>
    <w:lvl w:ilvl="0">
      <w:lvlJc w:val="left"/>
      <w:lvlText w:val="(%1)"/>
      <w:numFmt w:val="lowerRoman"/>
      <w:start w:val="1"/>
    </w:lvl>
  </w:abstractNum>
  <w:abstractNum w:abstractNumId="389">
    <w:nsid w:val="34ADB582"/>
    <w:multiLevelType w:val="hybridMultilevel"/>
    <w:lvl w:ilvl="0">
      <w:lvlJc w:val="left"/>
      <w:lvlText w:val="(%1)"/>
      <w:numFmt w:val="lowerRoman"/>
      <w:start w:val="3"/>
    </w:lvl>
  </w:abstractNum>
  <w:abstractNum w:abstractNumId="390">
    <w:nsid w:val="4CB58EA4"/>
    <w:multiLevelType w:val="hybridMultilevel"/>
    <w:lvl w:ilvl="0">
      <w:lvlJc w:val="left"/>
      <w:lvlText w:val="(%1)"/>
      <w:numFmt w:val="lowerLetter"/>
      <w:start w:val="1"/>
    </w:lvl>
  </w:abstractNum>
  <w:abstractNum w:abstractNumId="391">
    <w:nsid w:val="39629FFA"/>
    <w:multiLevelType w:val="hybridMultilevel"/>
    <w:lvl w:ilvl="0">
      <w:lvlJc w:val="left"/>
      <w:lvlText w:val="(%1)"/>
      <w:numFmt w:val="lowerRoman"/>
      <w:start w:val="1"/>
    </w:lvl>
  </w:abstractNum>
  <w:abstractNum w:abstractNumId="392">
    <w:nsid w:val="71F94ADC"/>
    <w:multiLevelType w:val="hybridMultilevel"/>
    <w:lvl w:ilvl="0">
      <w:lvlJc w:val="left"/>
      <w:lvlText w:val="(%1)"/>
      <w:numFmt w:val="lowerRoman"/>
      <w:start w:val="2"/>
    </w:lvl>
  </w:abstractNum>
  <w:abstractNum w:abstractNumId="393">
    <w:nsid w:val="27FFB15A"/>
    <w:multiLevelType w:val="hybridMultilevel"/>
    <w:lvl w:ilvl="0">
      <w:lvlJc w:val="left"/>
      <w:lvlText w:val="(%1)"/>
      <w:numFmt w:val="lowerLetter"/>
      <w:start w:val="3"/>
    </w:lvl>
  </w:abstractNum>
  <w:abstractNum w:abstractNumId="394">
    <w:nsid w:val="48BE573"/>
    <w:multiLevelType w:val="hybridMultilevel"/>
    <w:lvl w:ilvl="0">
      <w:lvlJc w:val="left"/>
      <w:lvlText w:val="(%1)"/>
      <w:numFmt w:val="lowerLetter"/>
      <w:start w:val="1"/>
    </w:lvl>
  </w:abstractNum>
  <w:abstractNum w:abstractNumId="395">
    <w:nsid w:val="142AC06C"/>
    <w:multiLevelType w:val="hybridMultilevel"/>
    <w:lvl w:ilvl="0">
      <w:lvlJc w:val="left"/>
      <w:lvlText w:val="(%1)"/>
      <w:numFmt w:val="lowerLetter"/>
      <w:start w:val="3"/>
    </w:lvl>
  </w:abstractNum>
  <w:abstractNum w:abstractNumId="396">
    <w:nsid w:val="5FA54049"/>
    <w:multiLevelType w:val="hybridMultilevel"/>
    <w:lvl w:ilvl="0">
      <w:lvlJc w:val="left"/>
      <w:lvlText w:val="(%1)"/>
      <w:numFmt w:val="lowerLetter"/>
      <w:start w:val="1"/>
    </w:lvl>
  </w:abstractNum>
  <w:abstractNum w:abstractNumId="397">
    <w:nsid w:val="2CBE7670"/>
    <w:multiLevelType w:val="hybridMultilevel"/>
    <w:lvl w:ilvl="0">
      <w:lvlJc w:val="left"/>
      <w:lvlText w:val="(%1)"/>
      <w:numFmt w:val="lowerLetter"/>
      <w:start w:val="2"/>
    </w:lvl>
  </w:abstractNum>
  <w:abstractNum w:abstractNumId="398">
    <w:nsid w:val="5D86CF11"/>
    <w:multiLevelType w:val="hybridMultilevel"/>
    <w:lvl w:ilvl="0">
      <w:lvlJc w:val="left"/>
      <w:lvlText w:val="(%1)"/>
      <w:numFmt w:val="lowerLetter"/>
      <w:start w:val="1"/>
    </w:lvl>
  </w:abstractNum>
  <w:abstractNum w:abstractNumId="399">
    <w:nsid w:val="69EF4674"/>
    <w:multiLevelType w:val="hybridMultilevel"/>
    <w:lvl w:ilvl="0">
      <w:lvlJc w:val="left"/>
      <w:lvlText w:val="(%1)"/>
      <w:numFmt w:val="lowerLetter"/>
      <w:start w:val="4"/>
    </w:lvl>
  </w:abstractNum>
  <w:abstractNum w:abstractNumId="400">
    <w:nsid w:val="68ABEFB0"/>
    <w:multiLevelType w:val="hybridMultilevel"/>
    <w:lvl w:ilvl="0">
      <w:lvlJc w:val="left"/>
      <w:lvlText w:val="(%1)"/>
      <w:numFmt w:val="lowerLetter"/>
      <w:start w:val="1"/>
    </w:lvl>
  </w:abstractNum>
  <w:abstractNum w:abstractNumId="401">
    <w:nsid w:val="326C3C76"/>
    <w:multiLevelType w:val="hybridMultilevel"/>
    <w:lvl w:ilvl="0">
      <w:lvlJc w:val="left"/>
      <w:lvlText w:val="(%1)"/>
      <w:numFmt w:val="lowerLetter"/>
      <w:start w:val="3"/>
    </w:lvl>
  </w:abstractNum>
  <w:abstractNum w:abstractNumId="402">
    <w:nsid w:val="58A36FCA"/>
    <w:multiLevelType w:val="hybridMultilevel"/>
    <w:lvl w:ilvl="0">
      <w:lvlJc w:val="left"/>
      <w:lvlText w:val="(%1)"/>
      <w:numFmt w:val="lowerLetter"/>
      <w:start w:val="1"/>
    </w:lvl>
  </w:abstractNum>
  <w:abstractNum w:abstractNumId="403">
    <w:nsid w:val="129B95F2"/>
    <w:multiLevelType w:val="hybridMultilevel"/>
    <w:lvl w:ilvl="0">
      <w:lvlJc w:val="left"/>
      <w:lvlText w:val="(%1)"/>
      <w:numFmt w:val="lowerRoman"/>
      <w:start w:val="1"/>
    </w:lvl>
  </w:abstractNum>
  <w:abstractNum w:abstractNumId="404">
    <w:nsid w:val="309FB9AB"/>
    <w:multiLevelType w:val="hybridMultilevel"/>
    <w:lvl w:ilvl="0">
      <w:lvlJc w:val="left"/>
      <w:lvlText w:val="(%1)"/>
      <w:numFmt w:val="lowerLetter"/>
      <w:start w:val="2"/>
    </w:lvl>
  </w:abstractNum>
  <w:abstractNum w:abstractNumId="405">
    <w:nsid w:val="782FF375"/>
    <w:multiLevelType w:val="hybridMultilevel"/>
    <w:lvl w:ilvl="0">
      <w:lvlJc w:val="left"/>
      <w:lvlText w:val="(%1)"/>
      <w:numFmt w:val="lowerLetter"/>
      <w:start w:val="3"/>
    </w:lvl>
  </w:abstractNum>
  <w:abstractNum w:abstractNumId="406">
    <w:nsid w:val="2B8FA025"/>
    <w:multiLevelType w:val="hybridMultilevel"/>
    <w:lvl w:ilvl="0">
      <w:lvlJc w:val="left"/>
      <w:lvlText w:val="(%1)"/>
      <w:numFmt w:val="lowerLetter"/>
      <w:start w:val="1"/>
    </w:lvl>
  </w:abstractNum>
  <w:abstractNum w:abstractNumId="407">
    <w:nsid w:val="40F9991C"/>
    <w:multiLevelType w:val="hybridMultilevel"/>
    <w:lvl w:ilvl="0">
      <w:lvlJc w:val="left"/>
      <w:lvlText w:val="(%1)"/>
      <w:numFmt w:val="upperLetter"/>
      <w:start w:val="1"/>
    </w:lvl>
  </w:abstractNum>
  <w:abstractNum w:abstractNumId="408">
    <w:nsid w:val="52192AD"/>
    <w:multiLevelType w:val="hybridMultilevel"/>
    <w:lvl w:ilvl="0">
      <w:lvlJc w:val="left"/>
      <w:lvlText w:val="(%1)"/>
      <w:numFmt w:val="upperLetter"/>
      <w:start w:val="3"/>
    </w:lvl>
  </w:abstractNum>
  <w:abstractNum w:abstractNumId="409">
    <w:nsid w:val="7670D608"/>
    <w:multiLevelType w:val="hybridMultilevel"/>
    <w:lvl w:ilvl="0">
      <w:lvlJc w:val="left"/>
      <w:lvlText w:val="(%1)"/>
      <w:numFmt w:val="lowerRoman"/>
      <w:start w:val="2"/>
    </w:lvl>
  </w:abstractNum>
  <w:abstractNum w:abstractNumId="410">
    <w:nsid w:val="48B6B6EB"/>
    <w:multiLevelType w:val="hybridMultilevel"/>
    <w:lvl w:ilvl="0">
      <w:lvlJc w:val="left"/>
      <w:lvlText w:val="(%1)"/>
      <w:numFmt w:val="upperLetter"/>
      <w:start w:val="1"/>
    </w:lvl>
  </w:abstractNum>
  <w:abstractNum w:abstractNumId="411">
    <w:nsid w:val="FB37489"/>
    <w:multiLevelType w:val="hybridMultilevel"/>
    <w:lvl w:ilvl="0">
      <w:lvlJc w:val="left"/>
      <w:lvlText w:val="(%1)"/>
      <w:numFmt w:val="lowerRoman"/>
      <w:start w:val="3"/>
    </w:lvl>
  </w:abstractNum>
  <w:abstractNum w:abstractNumId="412">
    <w:nsid w:val="8A75F95"/>
    <w:multiLevelType w:val="hybridMultilevel"/>
    <w:lvl w:ilvl="0">
      <w:lvlJc w:val="left"/>
      <w:lvlText w:val="(%1)"/>
      <w:numFmt w:val="lowerLetter"/>
      <w:start w:val="3"/>
    </w:lvl>
  </w:abstractNum>
  <w:abstractNum w:abstractNumId="413">
    <w:nsid w:val="2B27BF4D"/>
    <w:multiLevelType w:val="hybridMultilevel"/>
    <w:lvl w:ilvl="0">
      <w:lvlJc w:val="left"/>
      <w:lvlText w:val="(%1)"/>
      <w:numFmt w:val="lowerRoman"/>
      <w:start w:val="2"/>
    </w:lvl>
  </w:abstractNum>
  <w:abstractNum w:abstractNumId="414">
    <w:nsid w:val="E5CBEB4"/>
    <w:multiLevelType w:val="hybridMultilevel"/>
    <w:lvl w:ilvl="0">
      <w:lvlJc w:val="left"/>
      <w:lvlText w:val="(%1)"/>
      <w:numFmt w:val="lowerLetter"/>
      <w:start w:val="5"/>
    </w:lvl>
  </w:abstractNum>
  <w:abstractNum w:abstractNumId="415">
    <w:nsid w:val="297BFD38"/>
    <w:multiLevelType w:val="hybridMultilevel"/>
    <w:lvl w:ilvl="0">
      <w:lvlJc w:val="left"/>
      <w:lvlText w:val="(%1)"/>
      <w:numFmt w:val="lowerRoman"/>
      <w:start w:val="1"/>
    </w:lvl>
  </w:abstractNum>
  <w:abstractNum w:abstractNumId="416">
    <w:nsid w:val="D9A50ED"/>
    <w:multiLevelType w:val="hybridMultilevel"/>
    <w:lvl w:ilvl="0">
      <w:lvlJc w:val="left"/>
      <w:lvlText w:val="(%1)"/>
      <w:numFmt w:val="lowerLetter"/>
      <w:start w:val="8"/>
    </w:lvl>
  </w:abstractNum>
  <w:abstractNum w:abstractNumId="417">
    <w:nsid w:val="20DAABD1"/>
    <w:multiLevelType w:val="hybridMultilevel"/>
    <w:lvl w:ilvl="0">
      <w:lvlJc w:val="left"/>
      <w:lvlText w:val="(%1)"/>
      <w:numFmt w:val="lowerLetter"/>
      <w:start w:val="10"/>
    </w:lvl>
  </w:abstractNum>
  <w:abstractNum w:abstractNumId="418">
    <w:nsid w:val="71B563E3"/>
    <w:multiLevelType w:val="hybridMultilevel"/>
    <w:lvl w:ilvl="0">
      <w:lvlJc w:val="left"/>
      <w:lvlText w:val="(%1)"/>
      <w:numFmt w:val="lowerRoman"/>
      <w:start w:val="1"/>
    </w:lvl>
  </w:abstractNum>
  <w:abstractNum w:abstractNumId="419">
    <w:nsid w:val="741A191E"/>
    <w:multiLevelType w:val="hybridMultilevel"/>
    <w:lvl w:ilvl="0">
      <w:lvlJc w:val="left"/>
      <w:lvlText w:val="(%1)"/>
      <w:numFmt w:val="lowerLetter"/>
      <w:start w:val="1"/>
    </w:lvl>
  </w:abstractNum>
  <w:abstractNum w:abstractNumId="420">
    <w:nsid w:val="55886153"/>
    <w:multiLevelType w:val="hybridMultilevel"/>
    <w:lvl w:ilvl="0">
      <w:lvlJc w:val="left"/>
      <w:lvlText w:val="(%1)"/>
      <w:numFmt w:val="lowerRoman"/>
      <w:start w:val="2"/>
    </w:lvl>
  </w:abstractNum>
  <w:abstractNum w:abstractNumId="421">
    <w:nsid w:val="3E6AF287"/>
    <w:multiLevelType w:val="hybridMultilevel"/>
    <w:lvl w:ilvl="0">
      <w:lvlJc w:val="left"/>
      <w:lvlText w:val="(%1)"/>
      <w:numFmt w:val="lowerLetter"/>
      <w:start w:val="2"/>
    </w:lvl>
  </w:abstractNum>
  <w:abstractNum w:abstractNumId="422">
    <w:nsid w:val="2D7CB919"/>
    <w:multiLevelType w:val="hybridMultilevel"/>
    <w:lvl w:ilvl="0">
      <w:lvlJc w:val="left"/>
      <w:lvlText w:val="(%1)"/>
      <w:numFmt w:val="lowerLetter"/>
      <w:start w:val="25"/>
    </w:lvl>
    <w:lvl w:ilvl="1">
      <w:lvlJc w:val="left"/>
      <w:lvlText w:val="(%2)"/>
      <w:numFmt w:val="lowerLetter"/>
      <w:start w:val="3"/>
    </w:lvl>
  </w:abstractNum>
  <w:abstractNum w:abstractNumId="423">
    <w:nsid w:val="4781AC2F"/>
    <w:multiLevelType w:val="hybridMultilevel"/>
    <w:lvl w:ilvl="0">
      <w:lvlJc w:val="left"/>
      <w:lvlText w:val="(%1)"/>
      <w:numFmt w:val="lowerLetter"/>
      <w:start w:val="9"/>
    </w:lvl>
    <w:lvl w:ilvl="1">
      <w:lvlJc w:val="left"/>
      <w:lvlText w:val="(%2)"/>
      <w:numFmt w:val="lowerLetter"/>
      <w:start w:val="4"/>
    </w:lvl>
  </w:abstractNum>
  <w:abstractNum w:abstractNumId="424">
    <w:nsid w:val="666AA3E1"/>
    <w:multiLevelType w:val="hybridMultilevel"/>
    <w:lvl w:ilvl="0">
      <w:lvlJc w:val="left"/>
      <w:lvlText w:val="(%1)"/>
      <w:numFmt w:val="lowerLetter"/>
      <w:start w:val="1"/>
    </w:lvl>
  </w:abstractNum>
  <w:abstractNum w:abstractNumId="425">
    <w:nsid w:val="32089E8C"/>
    <w:multiLevelType w:val="hybridMultilevel"/>
    <w:lvl w:ilvl="0">
      <w:lvlJc w:val="left"/>
      <w:lvlText w:val="(%1)"/>
      <w:numFmt w:val="lowerLetter"/>
      <w:start w:val="4"/>
    </w:lvl>
  </w:abstractNum>
  <w:abstractNum w:abstractNumId="426">
    <w:nsid w:val="5BAC6C9C"/>
    <w:multiLevelType w:val="hybridMultilevel"/>
    <w:lvl w:ilvl="0">
      <w:lvlJc w:val="left"/>
      <w:lvlText w:val="(%1)"/>
      <w:numFmt w:val="lowerLetter"/>
      <w:start w:val="1"/>
    </w:lvl>
  </w:abstractNum>
  <w:abstractNum w:abstractNumId="427">
    <w:nsid w:val="460FE42B"/>
    <w:multiLevelType w:val="hybridMultilevel"/>
    <w:lvl w:ilvl="0">
      <w:lvlJc w:val="left"/>
      <w:lvlText w:val="(%1)"/>
      <w:numFmt w:val="lowerRoman"/>
      <w:start w:val="1"/>
    </w:lvl>
  </w:abstractNum>
  <w:abstractNum w:abstractNumId="428">
    <w:nsid w:val="5EC714FC"/>
    <w:multiLevelType w:val="hybridMultilevel"/>
    <w:lvl w:ilvl="0">
      <w:lvlJc w:val="left"/>
      <w:lvlText w:val="(%1)"/>
      <w:numFmt w:val="lowerRoman"/>
      <w:start w:val="2"/>
    </w:lvl>
  </w:abstractNum>
  <w:abstractNum w:abstractNumId="429">
    <w:nsid w:val="39333BAD"/>
    <w:multiLevelType w:val="hybridMultilevel"/>
    <w:lvl w:ilvl="0">
      <w:lvlJc w:val="left"/>
      <w:lvlText w:val="%1"/>
      <w:numFmt w:val="lowerLetter"/>
      <w:start w:val="1"/>
    </w:lvl>
    <w:lvl w:ilvl="1">
      <w:lvlJc w:val="left"/>
      <w:lvlText w:val="(%2)"/>
      <w:numFmt w:val="lowerLetter"/>
      <w:start w:val="2"/>
    </w:lvl>
  </w:abstractNum>
  <w:abstractNum w:abstractNumId="430">
    <w:nsid w:val="2FFF2A9F"/>
    <w:multiLevelType w:val="hybridMultilevel"/>
    <w:lvl w:ilvl="0">
      <w:lvlJc w:val="left"/>
      <w:lvlText w:val="(%1)"/>
      <w:numFmt w:val="lowerLetter"/>
      <w:start w:val="61"/>
    </w:lvl>
    <w:lvl w:ilvl="1">
      <w:lvlJc w:val="left"/>
      <w:lvlText w:val="%2"/>
      <w:numFmt w:val="lowerLetter"/>
      <w:start w:val="1"/>
    </w:lvl>
  </w:abstractNum>
  <w:abstractNum w:abstractNumId="431">
    <w:nsid w:val="477304AC"/>
    <w:multiLevelType w:val="hybridMultilevel"/>
    <w:lvl w:ilvl="0">
      <w:lvlJc w:val="left"/>
      <w:lvlText w:val="(%1)"/>
      <w:numFmt w:val="lowerLetter"/>
      <w:start w:val="5"/>
    </w:lvl>
  </w:abstractNum>
  <w:abstractNum w:abstractNumId="432">
    <w:nsid w:val="6B9F7823"/>
    <w:multiLevelType w:val="hybridMultilevel"/>
    <w:lvl w:ilvl="0">
      <w:lvlJc w:val="left"/>
      <w:lvlText w:val="(%1)"/>
      <w:numFmt w:val="lowerLetter"/>
      <w:start w:val="7"/>
    </w:lvl>
  </w:abstractNum>
  <w:abstractNum w:abstractNumId="433">
    <w:nsid w:val="8A29A69"/>
    <w:multiLevelType w:val="hybridMultilevel"/>
    <w:lvl w:ilvl="0">
      <w:lvlJc w:val="left"/>
      <w:lvlText w:val="(%1)"/>
      <w:numFmt w:val="lowerLetter"/>
      <w:start w:val="25"/>
    </w:lvl>
  </w:abstractNum>
  <w:abstractNum w:abstractNumId="434">
    <w:nsid w:val="5A0E9A9F"/>
    <w:multiLevelType w:val="hybridMultilevel"/>
    <w:lvl w:ilvl="0">
      <w:lvlJc w:val="left"/>
      <w:lvlText w:val="(%1)"/>
      <w:numFmt w:val="lowerLetter"/>
      <w:start w:val="1"/>
    </w:lvl>
  </w:abstractNum>
  <w:abstractNum w:abstractNumId="435">
    <w:nsid w:val="1C3F31CE"/>
    <w:multiLevelType w:val="hybridMultilevel"/>
    <w:lvl w:ilvl="0">
      <w:lvlJc w:val="left"/>
      <w:lvlText w:val="(%1)"/>
      <w:numFmt w:val="lowerRoman"/>
      <w:start w:val="1"/>
    </w:lvl>
  </w:abstractNum>
  <w:abstractNum w:abstractNumId="436">
    <w:nsid w:val="D28DDE"/>
    <w:multiLevelType w:val="hybridMultilevel"/>
    <w:lvl w:ilvl="0">
      <w:lvlJc w:val="left"/>
      <w:lvlText w:val="(%1)"/>
      <w:numFmt w:val="lowerLetter"/>
      <w:start w:val="1"/>
    </w:lvl>
  </w:abstractNum>
  <w:abstractNum w:abstractNumId="437">
    <w:nsid w:val="59E3AC4"/>
    <w:multiLevelType w:val="hybridMultilevel"/>
    <w:lvl w:ilvl="0">
      <w:lvlJc w:val="left"/>
      <w:lvlText w:val="(%1)"/>
      <w:numFmt w:val="lowerRoman"/>
      <w:start w:val="1"/>
    </w:lvl>
  </w:abstractNum>
  <w:abstractNum w:abstractNumId="438">
    <w:nsid w:val="5D38CAEA"/>
    <w:multiLevelType w:val="hybridMultilevel"/>
    <w:lvl w:ilvl="0">
      <w:lvlJc w:val="left"/>
      <w:lvlText w:val="%1"/>
      <w:numFmt w:val="lowerRoman"/>
      <w:start w:val="1"/>
    </w:lvl>
    <w:lvl w:ilvl="1">
      <w:lvlJc w:val="left"/>
      <w:lvlText w:val="(%2)"/>
      <w:numFmt w:val="lowerLetter"/>
      <w:start w:val="2"/>
    </w:lvl>
  </w:abstractNum>
  <w:abstractNum w:abstractNumId="439">
    <w:nsid w:val="5F4208C"/>
    <w:multiLevelType w:val="hybridMultilevel"/>
    <w:lvl w:ilvl="0">
      <w:lvlJc w:val="left"/>
      <w:lvlText w:val="(%1)"/>
      <w:numFmt w:val="lowerRoman"/>
      <w:start w:val="1"/>
    </w:lvl>
    <w:lvl w:ilvl="1">
      <w:lvlJc w:val="left"/>
      <w:lvlText w:val="%2"/>
      <w:numFmt w:val="lowerLetter"/>
      <w:start w:val="1"/>
    </w:lvl>
  </w:abstractNum>
  <w:abstractNum w:abstractNumId="440">
    <w:nsid w:val="7C0F10CC"/>
    <w:multiLevelType w:val="hybridMultilevel"/>
    <w:lvl w:ilvl="0">
      <w:lvlJc w:val="left"/>
      <w:lvlText w:val="%1"/>
      <w:numFmt w:val="lowerRoman"/>
      <w:start w:val="1"/>
    </w:lvl>
    <w:lvl w:ilvl="1">
      <w:lvlJc w:val="left"/>
      <w:lvlText w:val="(%2)"/>
      <w:numFmt w:val="lowerLetter"/>
      <w:start w:val="3"/>
    </w:lvl>
  </w:abstractNum>
  <w:abstractNum w:abstractNumId="441">
    <w:nsid w:val="25EF81D5"/>
    <w:multiLevelType w:val="hybridMultilevel"/>
    <w:lvl w:ilvl="0">
      <w:lvlJc w:val="left"/>
      <w:lvlText w:val="(%1)"/>
      <w:numFmt w:val="lowerRoman"/>
      <w:start w:val="1"/>
    </w:lvl>
    <w:lvl w:ilvl="1">
      <w:lvlJc w:val="left"/>
      <w:lvlText w:val="%2"/>
      <w:numFmt w:val="lowerLetter"/>
      <w:start w:val="1"/>
    </w:lvl>
  </w:abstractNum>
  <w:abstractNum w:abstractNumId="442">
    <w:nsid w:val="15A79515"/>
    <w:multiLevelType w:val="hybridMultilevel"/>
    <w:lvl w:ilvl="0">
      <w:lvlJc w:val="left"/>
      <w:lvlText w:val="(%1)"/>
      <w:numFmt w:val="upperLetter"/>
      <w:start w:val="1"/>
    </w:lvl>
  </w:abstractNum>
  <w:abstractNum w:abstractNumId="443">
    <w:nsid w:val="4B67062"/>
    <w:multiLevelType w:val="hybridMultilevel"/>
    <w:lvl w:ilvl="0">
      <w:lvlJc w:val="left"/>
      <w:lvlText w:val="(%1)"/>
      <w:numFmt w:val="lowerRoman"/>
      <w:start w:val="4"/>
    </w:lvl>
  </w:abstractNum>
  <w:abstractNum w:abstractNumId="444">
    <w:nsid w:val="51174123"/>
    <w:multiLevelType w:val="hybridMultilevel"/>
    <w:lvl w:ilvl="0">
      <w:lvlJc w:val="left"/>
      <w:lvlText w:val="(%1)"/>
      <w:numFmt w:val="lowerLetter"/>
      <w:start w:val="1"/>
    </w:lvl>
  </w:abstractNum>
  <w:abstractNum w:abstractNumId="445">
    <w:nsid w:val="240453CA"/>
    <w:multiLevelType w:val="hybridMultilevel"/>
    <w:lvl w:ilvl="0">
      <w:lvlJc w:val="left"/>
      <w:lvlText w:val="(%1)"/>
      <w:numFmt w:val="lowerRoman"/>
      <w:start w:val="1"/>
    </w:lvl>
  </w:abstractNum>
  <w:abstractNum w:abstractNumId="446">
    <w:nsid w:val="2E326D9A"/>
    <w:multiLevelType w:val="hybridMultilevel"/>
    <w:lvl w:ilvl="0">
      <w:lvlJc w:val="left"/>
      <w:lvlText w:val="(%1)"/>
      <w:numFmt w:val="lowerRoman"/>
      <w:start w:val="2"/>
    </w:lvl>
  </w:abstractNum>
  <w:abstractNum w:abstractNumId="447">
    <w:nsid w:val="5EB19210"/>
    <w:multiLevelType w:val="hybridMultilevel"/>
    <w:lvl w:ilvl="0">
      <w:lvlJc w:val="left"/>
      <w:lvlText w:val="(%1)"/>
      <w:numFmt w:val="lowerLetter"/>
      <w:start w:val="2"/>
    </w:lvl>
  </w:abstractNum>
  <w:abstractNum w:abstractNumId="448">
    <w:nsid w:val="44DEFF9B"/>
    <w:multiLevelType w:val="hybridMultilevel"/>
    <w:lvl w:ilvl="0">
      <w:lvlJc w:val="left"/>
      <w:lvlText w:val="(%1)"/>
      <w:numFmt w:val="lowerLetter"/>
      <w:start w:val="1"/>
    </w:lvl>
  </w:abstractNum>
  <w:abstractNum w:abstractNumId="449">
    <w:nsid w:val="1FE7D17D"/>
    <w:multiLevelType w:val="hybridMultilevel"/>
    <w:lvl w:ilvl="0">
      <w:lvlJc w:val="left"/>
      <w:lvlText w:val="(%1)"/>
      <w:numFmt w:val="lowerLetter"/>
      <w:start w:val="1"/>
    </w:lvl>
  </w:abstractNum>
  <w:abstractNum w:abstractNumId="450">
    <w:nsid w:val="52CBAB2E"/>
    <w:multiLevelType w:val="hybridMultilevel"/>
    <w:lvl w:ilvl="0">
      <w:lvlJc w:val="left"/>
      <w:lvlText w:val="(%1)"/>
      <w:numFmt w:val="lowerLetter"/>
      <w:start w:val="1"/>
    </w:lvl>
  </w:abstractNum>
  <w:abstractNum w:abstractNumId="451">
    <w:nsid w:val="1A6760EF"/>
    <w:multiLevelType w:val="hybridMultilevel"/>
    <w:lvl w:ilvl="0">
      <w:lvlJc w:val="left"/>
      <w:lvlText w:val="(%1)"/>
      <w:numFmt w:val="lowerLetter"/>
      <w:start w:val="1"/>
    </w:lvl>
  </w:abstractNum>
  <w:abstractNum w:abstractNumId="452">
    <w:nsid w:val="5E52C405"/>
    <w:multiLevelType w:val="hybridMultilevel"/>
    <w:lvl w:ilvl="0">
      <w:lvlJc w:val="left"/>
      <w:lvlText w:val="(%1)"/>
      <w:numFmt w:val="lowerLetter"/>
      <w:start w:val="2"/>
    </w:lvl>
  </w:abstractNum>
  <w:abstractNum w:abstractNumId="453">
    <w:nsid w:val="486447"/>
    <w:multiLevelType w:val="hybridMultilevel"/>
    <w:lvl w:ilvl="0">
      <w:lvlJc w:val="left"/>
      <w:lvlText w:val="(%1)"/>
      <w:numFmt w:val="lowerLetter"/>
      <w:start w:val="8"/>
    </w:lvl>
  </w:abstractNum>
  <w:abstractNum w:abstractNumId="454">
    <w:nsid w:val="61E90D1E"/>
    <w:multiLevelType w:val="hybridMultilevel"/>
    <w:lvl w:ilvl="0">
      <w:lvlJc w:val="left"/>
      <w:lvlText w:val="(%1)"/>
      <w:numFmt w:val="lowerLetter"/>
      <w:start w:val="13"/>
    </w:lvl>
  </w:abstractNum>
  <w:abstractNum w:abstractNumId="455">
    <w:nsid w:val="44BD67E6"/>
    <w:multiLevelType w:val="hybridMultilevel"/>
    <w:lvl w:ilvl="0">
      <w:lvlJc w:val="left"/>
      <w:lvlText w:val="(%1)"/>
      <w:numFmt w:val="lowerLetter"/>
      <w:start w:val="1"/>
    </w:lvl>
  </w:abstractNum>
  <w:abstractNum w:abstractNumId="456">
    <w:nsid w:val="325102D3"/>
    <w:multiLevelType w:val="hybridMultilevel"/>
    <w:lvl w:ilvl="0">
      <w:lvlJc w:val="left"/>
      <w:lvlText w:val="(%1)"/>
      <w:numFmt w:val="lowerLetter"/>
      <w:start w:val="1"/>
    </w:lvl>
  </w:abstractNum>
  <w:abstractNum w:abstractNumId="457">
    <w:nsid w:val="3D9579BA"/>
    <w:multiLevelType w:val="hybridMultilevel"/>
    <w:lvl w:ilvl="0">
      <w:lvlJc w:val="left"/>
      <w:lvlText w:val="(%1)"/>
      <w:numFmt w:val="lowerLetter"/>
      <w:start w:val="2"/>
    </w:lvl>
  </w:abstractNum>
  <w:abstractNum w:abstractNumId="458">
    <w:nsid w:val="ACD4C11"/>
    <w:multiLevelType w:val="hybridMultilevel"/>
    <w:lvl w:ilvl="0">
      <w:lvlJc w:val="left"/>
      <w:lvlText w:val="(%1)"/>
      <w:numFmt w:val="lowerLetter"/>
      <w:start w:val="1"/>
    </w:lvl>
  </w:abstractNum>
  <w:abstractNum w:abstractNumId="459">
    <w:nsid w:val="111817CF"/>
    <w:multiLevelType w:val="hybridMultilevel"/>
    <w:lvl w:ilvl="0">
      <w:lvlJc w:val="left"/>
      <w:lvlText w:val="(%1)"/>
      <w:numFmt w:val="lowerLetter"/>
      <w:start w:val="2"/>
    </w:lvl>
  </w:abstractNum>
  <w:abstractNum w:abstractNumId="460">
    <w:nsid w:val="76C8B568"/>
    <w:multiLevelType w:val="hybridMultilevel"/>
    <w:lvl w:ilvl="0">
      <w:lvlJc w:val="left"/>
      <w:lvlText w:val="(%1)"/>
      <w:numFmt w:val="lowerLetter"/>
      <w:start w:val="1"/>
    </w:lvl>
    <w:lvl w:ilvl="1">
      <w:lvlJc w:val="left"/>
      <w:lvlText w:val="(%2)"/>
      <w:numFmt w:val="lowerLetter"/>
      <w:start w:val="9"/>
    </w:lvl>
  </w:abstractNum>
  <w:abstractNum w:abstractNumId="461">
    <w:nsid w:val="3ACC76B1"/>
    <w:multiLevelType w:val="hybridMultilevel"/>
    <w:lvl w:ilvl="0">
      <w:lvlJc w:val="left"/>
      <w:lvlText w:val="%1"/>
      <w:numFmt w:val="lowerLetter"/>
      <w:start w:val="1"/>
    </w:lvl>
    <w:lvl w:ilvl="1">
      <w:lvlJc w:val="left"/>
      <w:lvlText w:val="(%2)"/>
      <w:numFmt w:val="lowerRoman"/>
      <w:start w:val="2"/>
    </w:lvl>
  </w:abstractNum>
  <w:abstractNum w:abstractNumId="462">
    <w:nsid w:val="588B1C7C"/>
    <w:multiLevelType w:val="hybridMultilevel"/>
    <w:lvl w:ilvl="0">
      <w:lvlJc w:val="left"/>
      <w:lvlText w:val="(%1)"/>
      <w:numFmt w:val="lowerLetter"/>
      <w:start w:val="2"/>
    </w:lvl>
    <w:lvl w:ilvl="1">
      <w:lvlJc w:val="left"/>
      <w:lvlText w:val="(%2)"/>
      <w:numFmt w:val="lowerRoman"/>
      <w:start w:val="1"/>
    </w:lvl>
  </w:abstractNum>
  <w:abstractNum w:abstractNumId="463">
    <w:nsid w:val="62682D8B"/>
    <w:multiLevelType w:val="hybridMultilevel"/>
    <w:lvl w:ilvl="0">
      <w:lvlJc w:val="left"/>
      <w:lvlText w:val="(%1)"/>
      <w:numFmt w:val="lowerRoman"/>
      <w:start w:val="2"/>
    </w:lvl>
  </w:abstractNum>
  <w:abstractNum w:abstractNumId="464">
    <w:nsid w:val="436F111A"/>
    <w:multiLevelType w:val="hybridMultilevel"/>
    <w:lvl w:ilvl="0">
      <w:lvlJc w:val="left"/>
      <w:lvlText w:val="(%1)"/>
      <w:numFmt w:val="lowerLetter"/>
      <w:start w:val="1"/>
    </w:lvl>
    <w:lvl w:ilvl="1">
      <w:lvlJc w:val="left"/>
      <w:lvlText w:val="(%2)"/>
      <w:numFmt w:val="lowerRoman"/>
      <w:start w:val="1"/>
    </w:lvl>
  </w:abstractNum>
  <w:abstractNum w:abstractNumId="465">
    <w:nsid w:val="3299B71B"/>
    <w:multiLevelType w:val="hybridMultilevel"/>
    <w:lvl w:ilvl="0">
      <w:lvlJc w:val="left"/>
      <w:lvlText w:val="%1"/>
      <w:numFmt w:val="lowerLetter"/>
      <w:start w:val="1"/>
    </w:lvl>
    <w:lvl w:ilvl="1">
      <w:lvlJc w:val="left"/>
      <w:lvlText w:val="(%2)"/>
      <w:numFmt w:val="lowerRoman"/>
      <w:start w:val="3"/>
    </w:lvl>
  </w:abstractNum>
  <w:abstractNum w:abstractNumId="466">
    <w:nsid w:val="7EA75F5A"/>
    <w:multiLevelType w:val="hybridMultilevel"/>
    <w:lvl w:ilvl="0">
      <w:lvlJc w:val="left"/>
      <w:lvlText w:val="(%1)"/>
      <w:numFmt w:val="lowerLetter"/>
      <w:start w:val="2"/>
    </w:lvl>
    <w:lvl w:ilvl="1">
      <w:lvlJc w:val="left"/>
      <w:lvlText w:val="%2"/>
      <w:numFmt w:val="lowerRoman"/>
      <w:start w:val="1"/>
    </w:lvl>
  </w:abstractNum>
  <w:abstractNum w:abstractNumId="467">
    <w:nsid w:val="44419EF9"/>
    <w:multiLevelType w:val="hybridMultilevel"/>
    <w:lvl w:ilvl="0">
      <w:lvlJc w:val="left"/>
      <w:lvlText w:val="(%1)"/>
      <w:numFmt w:val="lowerLetter"/>
      <w:start w:val="3"/>
    </w:lvl>
  </w:abstractNum>
  <w:abstractNum w:abstractNumId="468">
    <w:nsid w:val="3837F1DF"/>
    <w:multiLevelType w:val="hybridMultilevel"/>
    <w:lvl w:ilvl="0">
      <w:lvlJc w:val="left"/>
      <w:lvlText w:val="(%1)"/>
      <w:numFmt w:val="lowerLetter"/>
      <w:start w:val="1"/>
    </w:lvl>
  </w:abstractNum>
  <w:abstractNum w:abstractNumId="469">
    <w:nsid w:val="5BE02A44"/>
    <w:multiLevelType w:val="hybridMultilevel"/>
    <w:lvl w:ilvl="0">
      <w:lvlJc w:val="left"/>
      <w:lvlText w:val="(%1)"/>
      <w:numFmt w:val="lowerLetter"/>
      <w:start w:val="1"/>
    </w:lvl>
  </w:abstractNum>
  <w:abstractNum w:abstractNumId="470">
    <w:nsid w:val="4A35BF85"/>
    <w:multiLevelType w:val="hybridMultilevel"/>
    <w:lvl w:ilvl="0">
      <w:lvlJc w:val="left"/>
      <w:lvlText w:val="(%1)"/>
      <w:numFmt w:val="lowerLetter"/>
      <w:start w:val="2"/>
    </w:lvl>
  </w:abstractNum>
  <w:abstractNum w:abstractNumId="471">
    <w:nsid w:val="344702AC"/>
    <w:multiLevelType w:val="hybridMultilevel"/>
    <w:lvl w:ilvl="0">
      <w:lvlJc w:val="left"/>
      <w:lvlText w:val="(%1)"/>
      <w:numFmt w:val="lowerLetter"/>
      <w:start w:val="1"/>
    </w:lvl>
  </w:abstractNum>
  <w:abstractNum w:abstractNumId="472">
    <w:nsid w:val="1CFAC1A"/>
    <w:multiLevelType w:val="hybridMultilevel"/>
    <w:lvl w:ilvl="0">
      <w:lvlJc w:val="left"/>
      <w:lvlText w:val="(%1)"/>
      <w:numFmt w:val="lowerLetter"/>
      <w:start w:val="3"/>
    </w:lvl>
  </w:abstractNum>
  <w:abstractNum w:abstractNumId="473">
    <w:nsid w:val="5FDD549A"/>
    <w:multiLevelType w:val="hybridMultilevel"/>
    <w:lvl w:ilvl="0">
      <w:lvlJc w:val="left"/>
      <w:lvlText w:val="(%1)"/>
      <w:numFmt w:val="lowerLetter"/>
      <w:start w:val="6"/>
    </w:lvl>
  </w:abstractNum>
  <w:abstractNum w:abstractNumId="474">
    <w:nsid w:val="38FD730E"/>
    <w:multiLevelType w:val="hybridMultilevel"/>
    <w:lvl w:ilvl="0">
      <w:lvlJc w:val="left"/>
      <w:lvlText w:val="(%1)"/>
      <w:numFmt w:val="lowerLetter"/>
      <w:start w:val="1"/>
    </w:lvl>
    <w:lvl w:ilvl="1">
      <w:lvlJc w:val="left"/>
      <w:lvlText w:val="\ldblquote"/>
      <w:numFmt w:val="bullet"/>
      <w:start w:val="1"/>
    </w:lvl>
  </w:abstractNum>
  <w:abstractNum w:abstractNumId="475">
    <w:nsid w:val="52E6ED3D"/>
    <w:multiLevelType w:val="hybridMultilevel"/>
    <w:lvl w:ilvl="0">
      <w:lvlJc w:val="left"/>
      <w:lvlText w:val="\ldblquote"/>
      <w:numFmt w:val="bullet"/>
      <w:start w:val="1"/>
    </w:lvl>
  </w:abstractNum>
  <w:abstractNum w:abstractNumId="476">
    <w:nsid w:val="3E1A864"/>
    <w:multiLevelType w:val="hybridMultilevel"/>
    <w:lvl w:ilvl="0">
      <w:lvlJc w:val="left"/>
      <w:lvlText w:val="\ldblquote"/>
      <w:numFmt w:val="bullet"/>
      <w:start w:val="1"/>
    </w:lvl>
  </w:abstractNum>
  <w:abstractNum w:abstractNumId="477">
    <w:nsid w:val="672FE0A8"/>
    <w:multiLevelType w:val="hybridMultilevel"/>
    <w:lvl w:ilvl="0">
      <w:lvlJc w:val="left"/>
      <w:lvlText w:val="\ldblquote"/>
      <w:numFmt w:val="bullet"/>
      <w:start w:val="1"/>
    </w:lvl>
  </w:abstractNum>
  <w:abstractNum w:abstractNumId="478">
    <w:nsid w:val="31987F4D"/>
    <w:multiLevelType w:val="hybridMultilevel"/>
    <w:lvl w:ilvl="0">
      <w:lvlJc w:val="left"/>
      <w:lvlText w:val="\ldblquote"/>
      <w:numFmt w:val="bullet"/>
      <w:start w:val="1"/>
    </w:lvl>
  </w:abstractNum>
  <w:abstractNum w:abstractNumId="479">
    <w:nsid w:val="48C0A800"/>
    <w:multiLevelType w:val="hybridMultilevel"/>
    <w:lvl w:ilvl="0">
      <w:lvlJc w:val="left"/>
      <w:lvlText w:val="\ldblquote"/>
      <w:numFmt w:val="bullet"/>
      <w:start w:val="1"/>
    </w:lvl>
  </w:abstractNum>
  <w:abstractNum w:abstractNumId="480">
    <w:nsid w:val="717B226"/>
    <w:multiLevelType w:val="hybridMultilevel"/>
    <w:lvl w:ilvl="0">
      <w:lvlJc w:val="left"/>
      <w:lvlText w:val="\ldblquote"/>
      <w:numFmt w:val="bullet"/>
      <w:start w:val="1"/>
    </w:lvl>
  </w:abstractNum>
  <w:abstractNum w:abstractNumId="481">
    <w:nsid w:val="4642A7B"/>
    <w:multiLevelType w:val="hybridMultilevel"/>
    <w:lvl w:ilvl="0">
      <w:lvlJc w:val="left"/>
      <w:lvlText w:val="(%1)"/>
      <w:numFmt w:val="lowerLetter"/>
      <w:start w:val="2"/>
    </w:lvl>
    <w:lvl w:ilvl="1">
      <w:lvlJc w:val="left"/>
      <w:lvlText w:val="\ldblquote"/>
      <w:numFmt w:val="bullet"/>
      <w:start w:val="1"/>
    </w:lvl>
  </w:abstractNum>
  <w:abstractNum w:abstractNumId="482">
    <w:nsid w:val="632808EF"/>
    <w:multiLevelType w:val="hybridMultilevel"/>
    <w:lvl w:ilvl="0">
      <w:lvlJc w:val="left"/>
      <w:lvlText w:val="(%1)"/>
      <w:numFmt w:val="lowerRoman"/>
      <w:start w:val="1"/>
    </w:lvl>
  </w:abstractNum>
  <w:abstractNum w:abstractNumId="483">
    <w:nsid w:val="656A762B"/>
    <w:multiLevelType w:val="hybridMultilevel"/>
    <w:lvl w:ilvl="0">
      <w:lvlJc w:val="left"/>
      <w:lvlText w:val="(%1)"/>
      <w:numFmt w:val="lowerLetter"/>
      <w:start w:val="1"/>
    </w:lvl>
    <w:lvl w:ilvl="1">
      <w:lvlJc w:val="left"/>
      <w:lvlText w:val="(%2)"/>
      <w:numFmt w:val="lowerRoman"/>
      <w:start w:val="1"/>
    </w:lvl>
  </w:abstractNum>
  <w:abstractNum w:abstractNumId="484">
    <w:nsid w:val="4AC8EC3"/>
    <w:multiLevelType w:val="hybridMultilevel"/>
    <w:lvl w:ilvl="0">
      <w:lvlJc w:val="left"/>
      <w:lvlText w:val="(%1)"/>
      <w:numFmt w:val="lowerLetter"/>
      <w:start w:val="3"/>
    </w:lvl>
  </w:abstractNum>
  <w:abstractNum w:abstractNumId="485">
    <w:nsid w:val="4511160D"/>
    <w:multiLevelType w:val="hybridMultilevel"/>
    <w:lvl w:ilvl="0">
      <w:lvlJc w:val="left"/>
      <w:lvlText w:val="(%1)"/>
      <w:numFmt w:val="lowerLetter"/>
      <w:start w:val="1"/>
    </w:lvl>
  </w:abstractNum>
  <w:abstractNum w:abstractNumId="486">
    <w:nsid w:val="2A27DE11"/>
    <w:multiLevelType w:val="hybridMultilevel"/>
    <w:lvl w:ilvl="0">
      <w:lvlJc w:val="left"/>
      <w:lvlText w:val="(%1)"/>
      <w:numFmt w:val="lowerLetter"/>
      <w:start w:val="2"/>
    </w:lvl>
  </w:abstractNum>
  <w:abstractNum w:abstractNumId="487">
    <w:nsid w:val="36FD9196"/>
    <w:multiLevelType w:val="hybridMultilevel"/>
    <w:lvl w:ilvl="0">
      <w:lvlJc w:val="left"/>
      <w:lvlText w:val="%1)"/>
      <w:numFmt w:val="lowerLetter"/>
      <w:start w:val="1"/>
    </w:lvl>
  </w:abstractNum>
  <w:abstractNum w:abstractNumId="488">
    <w:nsid w:val="2A68FC8"/>
    <w:multiLevelType w:val="hybridMultilevel"/>
    <w:lvl w:ilvl="0">
      <w:lvlJc w:val="left"/>
      <w:lvlText w:val="%1)"/>
      <w:numFmt w:val="lowerLetter"/>
      <w:start w:val="4"/>
    </w:lvl>
  </w:abstractNum>
  <w:abstractNum w:abstractNumId="489">
    <w:nsid w:val="34F52A23"/>
    <w:multiLevelType w:val="hybridMultilevel"/>
    <w:lvl w:ilvl="0">
      <w:lvlJc w:val="left"/>
      <w:lvlText w:val="%1)"/>
      <w:numFmt w:val="lowerLetter"/>
      <w:start w:val="8"/>
    </w:lvl>
  </w:abstractNum>
  <w:abstractNum w:abstractNumId="490">
    <w:nsid w:val="4815A966"/>
    <w:multiLevelType w:val="hybridMultilevel"/>
    <w:lvl w:ilvl="0">
      <w:lvlJc w:val="left"/>
      <w:lvlText w:val="%1."/>
      <w:numFmt w:val="upperLetter"/>
      <w:start w:val="1"/>
    </w:lvl>
  </w:abstractNum>
  <w:abstractNum w:abstractNumId="491">
    <w:nsid w:val="796F4530"/>
    <w:multiLevelType w:val="hybridMultilevel"/>
    <w:lvl w:ilvl="0">
      <w:lvlJc w:val="left"/>
      <w:lvlText w:val="(%1)"/>
      <w:numFmt w:val="lowerRoman"/>
      <w:start w:val="10"/>
    </w:lvl>
  </w:abstractNum>
  <w:abstractNum w:abstractNumId="492">
    <w:nsid w:val="6FC1A0D4"/>
    <w:multiLevelType w:val="hybridMultilevel"/>
    <w:lvl w:ilvl="0">
      <w:lvlJc w:val="left"/>
      <w:lvlText w:val="%1."/>
      <w:numFmt w:val="decimal"/>
      <w:start w:val="1"/>
    </w:lvl>
  </w:abstractNum>
  <w:abstractNum w:abstractNumId="493">
    <w:nsid w:val="20A0C5E2"/>
    <w:multiLevelType w:val="hybridMultilevel"/>
    <w:lvl w:ilvl="0">
      <w:lvlJc w:val="left"/>
      <w:lvlText w:val="(%1)"/>
      <w:numFmt w:val="lowerRoman"/>
      <w:start w:val="1"/>
    </w:lvl>
  </w:abstractNum>
  <w:abstractNum w:abstractNumId="494">
    <w:nsid w:val="5BD772BB"/>
    <w:multiLevelType w:val="hybridMultilevel"/>
    <w:lvl w:ilvl="0">
      <w:lvlJc w:val="left"/>
      <w:lvlText w:val="%1."/>
      <w:numFmt w:val="decimal"/>
      <w:start w:val="4"/>
    </w:lvl>
  </w:abstractNum>
  <w:abstractNum w:abstractNumId="495">
    <w:nsid w:val="3330B1EE"/>
    <w:multiLevelType w:val="hybridMultilevel"/>
    <w:lvl w:ilvl="0">
      <w:lvlJc w:val="left"/>
      <w:lvlText w:val="(%1)"/>
      <w:numFmt w:val="lowerLetter"/>
      <w:start w:val="1"/>
    </w:lvl>
  </w:abstractNum>
  <w:abstractNum w:abstractNumId="496">
    <w:nsid w:val="533A7CFD"/>
    <w:multiLevelType w:val="hybridMultilevel"/>
    <w:lvl w:ilvl="0">
      <w:lvlJc w:val="left"/>
      <w:lvlText w:val="(%1)"/>
      <w:numFmt w:val="lowerLetter"/>
      <w:start w:val="1"/>
    </w:lvl>
  </w:abstractNum>
  <w:abstractNum w:abstractNumId="497">
    <w:nsid w:val="5A7ED215"/>
    <w:multiLevelType w:val="hybridMultilevel"/>
    <w:lvl w:ilvl="0">
      <w:lvlJc w:val="left"/>
      <w:lvlText w:val="(%1)"/>
      <w:numFmt w:val="lowerLetter"/>
      <w:start w:val="1"/>
    </w:lvl>
  </w:abstractNum>
  <w:abstractNum w:abstractNumId="498">
    <w:nsid w:val="777250E7"/>
    <w:multiLevelType w:val="hybridMultilevel"/>
    <w:lvl w:ilvl="0">
      <w:lvlJc w:val="left"/>
      <w:lvlText w:val="(%1)"/>
      <w:numFmt w:val="lowerLetter"/>
      <w:start w:val="1"/>
    </w:lvl>
  </w:abstractNum>
  <w:abstractNum w:abstractNumId="499">
    <w:nsid w:val="B726EDC"/>
    <w:multiLevelType w:val="hybridMultilevel"/>
    <w:lvl w:ilvl="0">
      <w:lvlJc w:val="left"/>
      <w:lvlText w:val="(%1)"/>
      <w:numFmt w:val="lowerLetter"/>
      <w:start w:val="2"/>
    </w:lvl>
  </w:abstractNum>
  <w:abstractNum w:abstractNumId="500">
    <w:nsid w:val="365EFC5A"/>
    <w:multiLevelType w:val="hybridMultilevel"/>
    <w:lvl w:ilvl="0">
      <w:lvlJc w:val="left"/>
      <w:lvlText w:val="(%1)"/>
      <w:numFmt w:val="lowerLetter"/>
      <w:start w:val="7"/>
    </w:lvl>
  </w:abstractNum>
  <w:abstractNum w:abstractNumId="501">
    <w:nsid w:val="41A8106C"/>
    <w:multiLevelType w:val="hybridMultilevel"/>
    <w:lvl w:ilvl="0">
      <w:lvlJc w:val="left"/>
      <w:lvlText w:val="(%1)"/>
      <w:numFmt w:val="lowerLetter"/>
      <w:start w:val="13"/>
    </w:lvl>
  </w:abstractNum>
  <w:abstractNum w:abstractNumId="502">
    <w:nsid w:val="3FB97188"/>
    <w:multiLevelType w:val="hybridMultilevel"/>
    <w:lvl w:ilvl="0">
      <w:lvlJc w:val="left"/>
      <w:lvlText w:val="(%1)"/>
      <w:numFmt w:val="lowerLetter"/>
      <w:start w:val="1"/>
    </w:lvl>
  </w:abstractNum>
  <w:abstractNum w:abstractNumId="503">
    <w:nsid w:val="382EA874"/>
    <w:multiLevelType w:val="hybridMultilevel"/>
    <w:lvl w:ilvl="0">
      <w:lvlJc w:val="left"/>
      <w:lvlText w:val="(%1)"/>
      <w:numFmt w:val="lowerLetter"/>
      <w:start w:val="1"/>
    </w:lvl>
  </w:abstractNum>
  <w:abstractNum w:abstractNumId="504">
    <w:nsid w:val="21856507"/>
    <w:multiLevelType w:val="hybridMultilevel"/>
    <w:lvl w:ilvl="0">
      <w:lvlJc w:val="left"/>
      <w:lvlText w:val="(%1)"/>
      <w:numFmt w:val="lowerLetter"/>
      <w:start w:val="2"/>
    </w:lvl>
  </w:abstractNum>
  <w:abstractNum w:abstractNumId="505">
    <w:nsid w:val="78B6E496"/>
    <w:multiLevelType w:val="hybridMultilevel"/>
    <w:lvl w:ilvl="0">
      <w:lvlJc w:val="left"/>
      <w:lvlText w:val="(%1)"/>
      <w:numFmt w:val="lowerLetter"/>
      <w:start w:val="1"/>
    </w:lvl>
  </w:abstractNum>
  <w:abstractNum w:abstractNumId="506">
    <w:nsid w:val="B1595B1"/>
    <w:multiLevelType w:val="hybridMultilevel"/>
    <w:lvl w:ilvl="0">
      <w:lvlJc w:val="left"/>
      <w:lvlText w:val="(%1)"/>
      <w:numFmt w:val="lowerLetter"/>
      <w:start w:val="2"/>
    </w:lvl>
  </w:abstractNum>
  <w:abstractNum w:abstractNumId="507">
    <w:nsid w:val="25670D6B"/>
    <w:multiLevelType w:val="hybridMultilevel"/>
    <w:lvl w:ilvl="0">
      <w:lvlJc w:val="left"/>
      <w:lvlText w:val="(%1)"/>
      <w:numFmt w:val="lowerLetter"/>
      <w:start w:val="1"/>
    </w:lvl>
    <w:lvl w:ilvl="1">
      <w:lvlJc w:val="left"/>
      <w:lvlText w:val="(%2)"/>
      <w:numFmt w:val="lowerLetter"/>
      <w:start w:val="9"/>
    </w:lvl>
  </w:abstractNum>
  <w:abstractNum w:abstractNumId="508">
    <w:nsid w:val="5FE6C53F"/>
    <w:multiLevelType w:val="hybridMultilevel"/>
    <w:lvl w:ilvl="0">
      <w:lvlJc w:val="left"/>
      <w:lvlText w:val="%1"/>
      <w:numFmt w:val="lowerLetter"/>
      <w:start w:val="1"/>
    </w:lvl>
    <w:lvl w:ilvl="1">
      <w:lvlJc w:val="left"/>
      <w:lvlText w:val="(%2)"/>
      <w:numFmt w:val="lowerRoman"/>
      <w:start w:val="2"/>
    </w:lvl>
  </w:abstractNum>
  <w:abstractNum w:abstractNumId="509">
    <w:nsid w:val="3CAE14FE"/>
    <w:multiLevelType w:val="hybridMultilevel"/>
    <w:lvl w:ilvl="0">
      <w:lvlJc w:val="left"/>
      <w:lvlText w:val="(%1)"/>
      <w:numFmt w:val="lowerLetter"/>
      <w:start w:val="2"/>
    </w:lvl>
    <w:lvl w:ilvl="1">
      <w:lvlJc w:val="left"/>
      <w:lvlText w:val="(%2)"/>
      <w:numFmt w:val="lowerRoman"/>
      <w:start w:val="1"/>
    </w:lvl>
  </w:abstractNum>
  <w:abstractNum w:abstractNumId="510">
    <w:nsid w:val="6E27B56B"/>
    <w:multiLevelType w:val="hybridMultilevel"/>
    <w:lvl w:ilvl="0">
      <w:lvlJc w:val="left"/>
      <w:lvlText w:val="(%1)"/>
      <w:numFmt w:val="lowerRoman"/>
      <w:start w:val="2"/>
    </w:lvl>
  </w:abstractNum>
  <w:abstractNum w:abstractNumId="511">
    <w:nsid w:val="66FE7765"/>
    <w:multiLevelType w:val="hybridMultilevel"/>
    <w:lvl w:ilvl="0">
      <w:lvlJc w:val="left"/>
      <w:lvlText w:val="(%1)"/>
      <w:numFmt w:val="lowerLetter"/>
      <w:start w:val="1"/>
    </w:lvl>
    <w:lvl w:ilvl="1">
      <w:lvlJc w:val="left"/>
      <w:lvlText w:val="(%2)"/>
      <w:numFmt w:val="lowerRoman"/>
      <w:start w:val="1"/>
    </w:lvl>
  </w:abstractNum>
  <w:abstractNum w:abstractNumId="512">
    <w:nsid w:val="41123F79"/>
    <w:multiLevelType w:val="hybridMultilevel"/>
    <w:lvl w:ilvl="0">
      <w:lvlJc w:val="left"/>
      <w:lvlText w:val="%1"/>
      <w:numFmt w:val="lowerLetter"/>
      <w:start w:val="1"/>
    </w:lvl>
    <w:lvl w:ilvl="1">
      <w:lvlJc w:val="left"/>
      <w:lvlText w:val="(%2)"/>
      <w:numFmt w:val="lowerRoman"/>
      <w:start w:val="3"/>
    </w:lvl>
  </w:abstractNum>
  <w:abstractNum w:abstractNumId="513">
    <w:nsid w:val="514FBE5A"/>
    <w:multiLevelType w:val="hybridMultilevel"/>
    <w:lvl w:ilvl="0">
      <w:lvlJc w:val="left"/>
      <w:lvlText w:val="(%1)"/>
      <w:numFmt w:val="lowerLetter"/>
      <w:start w:val="2"/>
    </w:lvl>
    <w:lvl w:ilvl="1">
      <w:lvlJc w:val="left"/>
      <w:lvlText w:val="%2"/>
      <w:numFmt w:val="lowerRoman"/>
      <w:start w:val="1"/>
    </w:lvl>
  </w:abstractNum>
  <w:abstractNum w:abstractNumId="514">
    <w:nsid w:val="4C68ED90"/>
    <w:multiLevelType w:val="hybridMultilevel"/>
    <w:lvl w:ilvl="0">
      <w:lvlJc w:val="left"/>
      <w:lvlText w:val="(%1)"/>
      <w:numFmt w:val="lowerLetter"/>
      <w:start w:val="3"/>
    </w:lvl>
  </w:abstractNum>
  <w:abstractNum w:abstractNumId="515">
    <w:nsid w:val="45BECE3C"/>
    <w:multiLevelType w:val="hybridMultilevel"/>
    <w:lvl w:ilvl="0">
      <w:lvlJc w:val="left"/>
      <w:lvlText w:val="(%1)"/>
      <w:numFmt w:val="lowerLetter"/>
      <w:start w:val="1"/>
    </w:lvl>
  </w:abstractNum>
  <w:abstractNum w:abstractNumId="516">
    <w:nsid w:val="1660D468"/>
    <w:multiLevelType w:val="hybridMultilevel"/>
    <w:lvl w:ilvl="0">
      <w:lvlJc w:val="left"/>
      <w:lvlText w:val="(%1)"/>
      <w:numFmt w:val="lowerLetter"/>
      <w:start w:val="1"/>
    </w:lvl>
  </w:abstractNum>
  <w:abstractNum w:abstractNumId="517">
    <w:nsid w:val="7690CBA1"/>
    <w:multiLevelType w:val="hybridMultilevel"/>
    <w:lvl w:ilvl="0">
      <w:lvlJc w:val="left"/>
      <w:lvlText w:val="(%1)"/>
      <w:numFmt w:val="lowerLetter"/>
      <w:start w:val="2"/>
    </w:lvl>
  </w:abstractNum>
  <w:abstractNum w:abstractNumId="518">
    <w:nsid w:val="7CBC5FD3"/>
    <w:multiLevelType w:val="hybridMultilevel"/>
    <w:lvl w:ilvl="0">
      <w:lvlJc w:val="left"/>
      <w:lvlText w:val="(%1)"/>
      <w:numFmt w:val="lowerLetter"/>
      <w:start w:val="1"/>
    </w:lvl>
  </w:abstractNum>
  <w:abstractNum w:abstractNumId="519">
    <w:nsid w:val="19076430"/>
    <w:multiLevelType w:val="hybridMultilevel"/>
    <w:lvl w:ilvl="0">
      <w:lvlJc w:val="left"/>
      <w:lvlText w:val="(%1)"/>
      <w:numFmt w:val="lowerLetter"/>
      <w:start w:val="3"/>
    </w:lvl>
  </w:abstractNum>
  <w:abstractNum w:abstractNumId="520">
    <w:nsid w:val="2B85F5C4"/>
    <w:multiLevelType w:val="hybridMultilevel"/>
    <w:lvl w:ilvl="0">
      <w:lvlJc w:val="left"/>
      <w:lvlText w:val="(%1)"/>
      <w:numFmt w:val="lowerLetter"/>
      <w:start w:val="6"/>
    </w:lvl>
  </w:abstractNum>
  <w:abstractNum w:abstractNumId="521">
    <w:nsid w:val="44D20939"/>
    <w:multiLevelType w:val="hybridMultilevel"/>
    <w:lvl w:ilvl="0">
      <w:lvlJc w:val="left"/>
      <w:lvlText w:val="(%1)"/>
      <w:numFmt w:val="lowerLetter"/>
      <w:start w:val="1"/>
    </w:lvl>
    <w:lvl w:ilvl="1">
      <w:lvlJc w:val="left"/>
      <w:lvlText w:val="\ldblquote"/>
      <w:numFmt w:val="bullet"/>
      <w:start w:val="1"/>
    </w:lvl>
  </w:abstractNum>
  <w:abstractNum w:abstractNumId="522">
    <w:nsid w:val="1276A960"/>
    <w:multiLevelType w:val="hybridMultilevel"/>
    <w:lvl w:ilvl="0">
      <w:lvlJc w:val="left"/>
      <w:lvlText w:val="\ldblquote"/>
      <w:numFmt w:val="bullet"/>
      <w:start w:val="1"/>
    </w:lvl>
  </w:abstractNum>
  <w:abstractNum w:abstractNumId="523">
    <w:nsid w:val="1B479698"/>
    <w:multiLevelType w:val="hybridMultilevel"/>
    <w:lvl w:ilvl="0">
      <w:lvlJc w:val="left"/>
      <w:lvlText w:val="\ldblquote"/>
      <w:numFmt w:val="bullet"/>
      <w:start w:val="1"/>
    </w:lvl>
  </w:abstractNum>
  <w:abstractNum w:abstractNumId="524">
    <w:nsid w:val="6572CF1B"/>
    <w:multiLevelType w:val="hybridMultilevel"/>
    <w:lvl w:ilvl="0">
      <w:lvlJc w:val="left"/>
      <w:lvlText w:val="\ldblquote"/>
      <w:numFmt w:val="bullet"/>
      <w:start w:val="1"/>
    </w:lvl>
  </w:abstractNum>
  <w:abstractNum w:abstractNumId="525">
    <w:nsid w:val="6E4E1C1B"/>
    <w:multiLevelType w:val="hybridMultilevel"/>
    <w:lvl w:ilvl="0">
      <w:lvlJc w:val="left"/>
      <w:lvlText w:val="\ldblquote"/>
      <w:numFmt w:val="bullet"/>
      <w:start w:val="1"/>
    </w:lvl>
  </w:abstractNum>
  <w:abstractNum w:abstractNumId="526">
    <w:nsid w:val="4E784887"/>
    <w:multiLevelType w:val="hybridMultilevel"/>
    <w:lvl w:ilvl="0">
      <w:lvlJc w:val="left"/>
      <w:lvlText w:val="\ldblquote"/>
      <w:numFmt w:val="bullet"/>
      <w:start w:val="1"/>
    </w:lvl>
  </w:abstractNum>
  <w:abstractNum w:abstractNumId="527">
    <w:nsid w:val="38AD4C18"/>
    <w:multiLevelType w:val="hybridMultilevel"/>
    <w:lvl w:ilvl="0">
      <w:lvlJc w:val="left"/>
      <w:lvlText w:val="\ldblquote"/>
      <w:numFmt w:val="bullet"/>
      <w:start w:val="1"/>
    </w:lvl>
  </w:abstractNum>
  <w:abstractNum w:abstractNumId="528">
    <w:nsid w:val="48CCEE31"/>
    <w:multiLevelType w:val="hybridMultilevel"/>
    <w:lvl w:ilvl="0">
      <w:lvlJc w:val="left"/>
      <w:lvlText w:val="(%1)"/>
      <w:numFmt w:val="lowerLetter"/>
      <w:start w:val="2"/>
    </w:lvl>
    <w:lvl w:ilvl="1">
      <w:lvlJc w:val="left"/>
      <w:lvlText w:val="\ldblquote"/>
      <w:numFmt w:val="bullet"/>
      <w:start w:val="1"/>
    </w:lvl>
  </w:abstractNum>
  <w:abstractNum w:abstractNumId="529">
    <w:nsid w:val="45EA996E"/>
    <w:multiLevelType w:val="hybridMultilevel"/>
    <w:lvl w:ilvl="0">
      <w:lvlJc w:val="left"/>
      <w:lvlText w:val="(%1)"/>
      <w:numFmt w:val="lowerRoman"/>
      <w:start w:val="1"/>
    </w:lvl>
  </w:abstractNum>
  <w:abstractNum w:abstractNumId="530">
    <w:nsid w:val="441FBAF4"/>
    <w:multiLevelType w:val="hybridMultilevel"/>
    <w:lvl w:ilvl="0">
      <w:lvlJc w:val="left"/>
      <w:lvlText w:val="(%1)"/>
      <w:numFmt w:val="lowerLetter"/>
      <w:start w:val="1"/>
    </w:lvl>
    <w:lvl w:ilvl="1">
      <w:lvlJc w:val="left"/>
      <w:lvlText w:val="(%2)"/>
      <w:numFmt w:val="lowerLetter"/>
      <w:start w:val="9"/>
    </w:lvl>
  </w:abstractNum>
  <w:abstractNum w:abstractNumId="531">
    <w:nsid w:val="7F2BEA8B"/>
    <w:multiLevelType w:val="hybridMultilevel"/>
    <w:lvl w:ilvl="0">
      <w:lvlJc w:val="left"/>
      <w:lvlText w:val="%1"/>
      <w:numFmt w:val="lowerLetter"/>
      <w:start w:val="1"/>
    </w:lvl>
    <w:lvl w:ilvl="1">
      <w:lvlJc w:val="left"/>
      <w:lvlText w:val="(%2)"/>
      <w:numFmt w:val="lowerLetter"/>
      <w:start w:val="35"/>
    </w:lvl>
  </w:abstractNum>
  <w:abstractNum w:abstractNumId="532">
    <w:nsid w:val="792A9DB"/>
    <w:multiLevelType w:val="hybridMultilevel"/>
    <w:lvl w:ilvl="0">
      <w:lvlJc w:val="left"/>
      <w:lvlText w:val="(%1)"/>
      <w:numFmt w:val="lowerLetter"/>
      <w:start w:val="2"/>
    </w:lvl>
    <w:lvl w:ilvl="1">
      <w:lvlJc w:val="left"/>
      <w:lvlText w:val="%2"/>
      <w:numFmt w:val="lowerLetter"/>
      <w:start w:val="1"/>
    </w:lvl>
  </w:abstractNum>
  <w:abstractNum w:abstractNumId="533">
    <w:nsid w:val="3D92C7D"/>
    <w:multiLevelType w:val="hybridMultilevel"/>
    <w:lvl w:ilvl="0">
      <w:lvlJc w:val="left"/>
      <w:lvlText w:val="(%1)"/>
      <w:numFmt w:val="lowerLetter"/>
      <w:start w:val="1"/>
    </w:lvl>
  </w:abstractNum>
  <w:abstractNum w:abstractNumId="534">
    <w:nsid w:val="375A92FF"/>
    <w:multiLevelType w:val="hybridMultilevel"/>
    <w:lvl w:ilvl="0">
      <w:lvlJc w:val="left"/>
      <w:lvlText w:val="(%1)"/>
      <w:numFmt w:val="lowerLetter"/>
      <w:start w:val="3"/>
    </w:lvl>
  </w:abstractNum>
  <w:abstractNum w:abstractNumId="535">
    <w:nsid w:val="29180EE2"/>
    <w:multiLevelType w:val="hybridMultilevel"/>
    <w:lvl w:ilvl="0">
      <w:lvlJc w:val="left"/>
      <w:lvlText w:val="%1)"/>
      <w:numFmt w:val="lowerLetter"/>
      <w:start w:val="1"/>
    </w:lvl>
  </w:abstractNum>
  <w:abstractNum w:abstractNumId="536">
    <w:nsid w:val="7C901113"/>
    <w:multiLevelType w:val="hybridMultilevel"/>
    <w:lvl w:ilvl="0">
      <w:lvlJc w:val="left"/>
      <w:lvlText w:val="%1."/>
      <w:numFmt w:val="upperLetter"/>
      <w:start w:val="1"/>
    </w:lvl>
  </w:abstractNum>
  <w:abstractNum w:abstractNumId="537">
    <w:nsid w:val="427028B0"/>
    <w:multiLevelType w:val="hybridMultilevel"/>
    <w:lvl w:ilvl="0">
      <w:lvlJc w:val="left"/>
      <w:lvlText w:val="(%1)"/>
      <w:numFmt w:val="lowerRoman"/>
      <w:start w:val="10"/>
    </w:lvl>
  </w:abstractNum>
  <w:abstractNum w:abstractNumId="538">
    <w:nsid w:val="4E7F1C4D"/>
    <w:multiLevelType w:val="hybridMultilevel"/>
    <w:lvl w:ilvl="0">
      <w:lvlJc w:val="left"/>
      <w:lvlText w:val="%1."/>
      <w:numFmt w:val="decimal"/>
      <w:start w:val="1"/>
    </w:lvl>
  </w:abstractNum>
  <w:abstractNum w:abstractNumId="539">
    <w:nsid w:val="5C76D652"/>
    <w:multiLevelType w:val="hybridMultilevel"/>
    <w:lvl w:ilvl="0">
      <w:lvlJc w:val="left"/>
      <w:lvlText w:val="(%1)"/>
      <w:numFmt w:val="lowerRoman"/>
      <w:start w:val="1"/>
    </w:lvl>
  </w:abstractNum>
  <w:abstractNum w:abstractNumId="540">
    <w:nsid w:val="7F1E3DAE"/>
    <w:multiLevelType w:val="hybridMultilevel"/>
    <w:lvl w:ilvl="0">
      <w:lvlJc w:val="left"/>
      <w:lvlText w:val="%1."/>
      <w:numFmt w:val="decimal"/>
      <w:start w:val="4"/>
    </w:lvl>
  </w:abstractNum>
  <w:abstractNum w:abstractNumId="541">
    <w:nsid w:val="3CA6D1B9"/>
    <w:multiLevelType w:val="hybridMultilevel"/>
    <w:lvl w:ilvl="0">
      <w:lvlJc w:val="left"/>
      <w:lvlText w:val="%1."/>
      <w:numFmt w:val="decimal"/>
      <w:start w:val="1"/>
    </w:lvl>
  </w:abstractNum>
  <w:abstractNum w:abstractNumId="542">
    <w:nsid w:val="43754DB7"/>
    <w:multiLevelType w:val="hybridMultilevel"/>
    <w:lvl w:ilvl="0">
      <w:lvlJc w:val="left"/>
      <w:lvlText w:val="(%1)"/>
      <w:numFmt w:val="upperLetter"/>
      <w:start w:val="1"/>
    </w:lvl>
  </w:abstractNum>
  <w:abstractNum w:abstractNumId="543">
    <w:nsid w:val="40307D27"/>
    <w:multiLevelType w:val="hybridMultilevel"/>
    <w:lvl w:ilvl="0">
      <w:lvlJc w:val="left"/>
      <w:lvlText w:val="%1."/>
      <w:numFmt w:val="decimal"/>
      <w:start w:val="1"/>
    </w:lvl>
    <w:lvl w:ilvl="1">
      <w:lvlJc w:val="left"/>
      <w:lvlText w:val="\ldblquote"/>
      <w:numFmt w:val="bullet"/>
      <w:start w:val="1"/>
    </w:lvl>
    <w:lvl w:ilvl="2">
      <w:lvlJc w:val="left"/>
      <w:lvlText w:val="\endash "/>
      <w:numFmt w:val="bullet"/>
      <w:start w:val="1"/>
    </w:lvl>
  </w:abstractNum>
  <w:abstractNum w:abstractNumId="544">
    <w:nsid w:val="DF69013"/>
    <w:multiLevelType w:val="hybridMultilevel"/>
    <w:lvl w:ilvl="0">
      <w:lvlJc w:val="left"/>
      <w:lvlText w:val="(%1)"/>
      <w:numFmt w:val="lowerLetter"/>
      <w:start w:val="1"/>
    </w:lvl>
    <w:lvl w:ilvl="1">
      <w:lvlJc w:val="left"/>
      <w:lvlText w:val="\ldblquote"/>
      <w:numFmt w:val="bullet"/>
      <w:start w:val="1"/>
    </w:lvl>
    <w:lvl w:ilvl="2">
      <w:lvlJc w:val="left"/>
      <w:lvlText w:val="\endash "/>
      <w:numFmt w:val="bullet"/>
      <w:start w:val="1"/>
    </w:lvl>
  </w:abstractNum>
  <w:abstractNum w:abstractNumId="545">
    <w:nsid w:val="FDE3B47"/>
    <w:multiLevelType w:val="hybridMultilevel"/>
    <w:lvl w:ilvl="0">
      <w:lvlJc w:val="left"/>
      <w:lvlText w:val="\ldblquote"/>
      <w:numFmt w:val="bullet"/>
      <w:start w:val="1"/>
    </w:lvl>
    <w:lvl w:ilvl="1">
      <w:lvlJc w:val="left"/>
      <w:lvlText w:val="\endash "/>
      <w:numFmt w:val="bullet"/>
      <w:start w:val="1"/>
    </w:lvl>
  </w:abstractNum>
  <w:abstractNum w:abstractNumId="546">
    <w:nsid w:val="5EF4B64"/>
    <w:multiLevelType w:val="hybridMultilevel"/>
    <w:lvl w:ilvl="0">
      <w:lvlJc w:val="left"/>
      <w:lvlText w:val="\ldblquote"/>
      <w:numFmt w:val="bullet"/>
      <w:start w:val="1"/>
    </w:lvl>
  </w:abstractNum>
  <w:abstractNum w:abstractNumId="547">
    <w:nsid w:val="2457647B"/>
    <w:multiLevelType w:val="hybridMultilevel"/>
    <w:lvl w:ilvl="0">
      <w:lvlJc w:val="left"/>
      <w:lvlText w:val="(%1)"/>
      <w:numFmt w:val="lowerLetter"/>
      <w:start w:val="1"/>
    </w:lvl>
  </w:abstractNum>
  <w:abstractNum w:abstractNumId="548">
    <w:nsid w:val="66F06E9"/>
    <w:multiLevelType w:val="hybridMultilevel"/>
    <w:lvl w:ilvl="0">
      <w:lvlJc w:val="left"/>
      <w:lvlText w:val="(%1)"/>
      <w:numFmt w:val="lowerLetter"/>
      <w:start w:val="1"/>
    </w:lvl>
    <w:lvl w:ilvl="1">
      <w:lvlJc w:val="left"/>
      <w:lvlText w:val="\endash "/>
      <w:numFmt w:val="bullet"/>
      <w:start w:val="1"/>
    </w:lvl>
  </w:abstractNum>
  <w:abstractNum w:abstractNumId="549">
    <w:nsid w:val="2ABAB37"/>
    <w:multiLevelType w:val="hybridMultilevel"/>
    <w:lvl w:ilvl="0">
      <w:lvlJc w:val="left"/>
      <w:lvlText w:val="(%1)"/>
      <w:numFmt w:val="lowerLetter"/>
      <w:start w:val="1"/>
    </w:lvl>
  </w:abstractNum>
  <w:abstractNum w:abstractNumId="550">
    <w:nsid w:val="3D5EC8AB"/>
    <w:multiLevelType w:val="hybridMultilevel"/>
    <w:lvl w:ilvl="0">
      <w:lvlJc w:val="left"/>
      <w:lvlText w:val="%1."/>
      <w:numFmt w:val="decimal"/>
      <w:start w:val="2"/>
    </w:lvl>
  </w:abstractNum>
  <w:abstractNum w:abstractNumId="551">
    <w:nsid w:val="31F4FCAD"/>
    <w:multiLevelType w:val="hybridMultilevel"/>
    <w:lvl w:ilvl="0">
      <w:lvlJc w:val="left"/>
      <w:lvlText w:val="%1."/>
      <w:numFmt w:val="decimal"/>
      <w:start w:val="3"/>
    </w:lvl>
  </w:abstractNum>
  <w:abstractNum w:abstractNumId="552">
    <w:nsid w:val="477DB470"/>
    <w:multiLevelType w:val="hybridMultilevel"/>
    <w:lvl w:ilvl="0">
      <w:lvlJc w:val="left"/>
      <w:lvlText w:val="%1."/>
      <w:numFmt w:val="decimal"/>
      <w:start w:val="4"/>
    </w:lvl>
  </w:abstractNum>
  <w:abstractNum w:abstractNumId="553">
    <w:nsid w:val="4FD5720B"/>
    <w:multiLevelType w:val="hybridMultilevel"/>
    <w:lvl w:ilvl="0">
      <w:lvlJc w:val="left"/>
      <w:lvlText w:val="%1."/>
      <w:numFmt w:val="decimal"/>
      <w:start w:val="6"/>
    </w:lvl>
    <w:lvl w:ilvl="1">
      <w:lvlJc w:val="left"/>
      <w:lvlText w:val="(%2)"/>
      <w:numFmt w:val="lowerLetter"/>
      <w:start w:val="1"/>
    </w:lvl>
  </w:abstractNum>
  <w:abstractNum w:abstractNumId="554">
    <w:nsid w:val="4D3C9346"/>
    <w:multiLevelType w:val="hybridMultilevel"/>
    <w:lvl w:ilvl="0">
      <w:lvlJc w:val="left"/>
      <w:lvlText w:val="(%1)"/>
      <w:numFmt w:val="lowerLetter"/>
      <w:start w:val="1"/>
    </w:lvl>
    <w:lvl w:ilvl="1">
      <w:lvlJc w:val="left"/>
      <w:lvlText w:val="(%2)"/>
      <w:numFmt w:val="lowerRoman"/>
      <w:start w:val="1"/>
    </w:lvl>
    <w:lvl w:ilvl="2">
      <w:lvlJc w:val="left"/>
      <w:lvlText w:val="\endash "/>
      <w:numFmt w:val="bullet"/>
      <w:start w:val="1"/>
    </w:lvl>
  </w:abstractNum>
  <w:abstractNum w:abstractNumId="555">
    <w:nsid w:val="2CF0838B"/>
    <w:multiLevelType w:val="hybridMultilevel"/>
    <w:lvl w:ilvl="0">
      <w:lvlJc w:val="left"/>
      <w:lvlText w:val="(%1)"/>
      <w:numFmt w:val="lowerLetter"/>
      <w:start w:val="4"/>
    </w:lvl>
  </w:abstractNum>
  <w:abstractNum w:abstractNumId="556">
    <w:nsid w:val="3E238E27"/>
    <w:multiLevelType w:val="hybridMultilevel"/>
    <w:lvl w:ilvl="0">
      <w:lvlJc w:val="left"/>
      <w:lvlText w:val="(%1)"/>
      <w:numFmt w:val="lowerLetter"/>
      <w:start w:val="1"/>
    </w:lvl>
  </w:abstractNum>
  <w:abstractNum w:abstractNumId="557">
    <w:nsid w:val="1BB4DBCD"/>
    <w:multiLevelType w:val="hybridMultilevel"/>
    <w:lvl w:ilvl="0">
      <w:lvlJc w:val="left"/>
      <w:lvlText w:val="(%1)"/>
      <w:numFmt w:val="lowerLetter"/>
      <w:start w:val="1"/>
    </w:lvl>
  </w:abstractNum>
  <w:abstractNum w:abstractNumId="558">
    <w:nsid w:val="659DCFA3"/>
    <w:multiLevelType w:val="hybridMultilevel"/>
    <w:lvl w:ilvl="0">
      <w:lvlJc w:val="left"/>
      <w:lvlText w:val="(%1)"/>
      <w:numFmt w:val="lowerLetter"/>
      <w:start w:val="1"/>
    </w:lvl>
    <w:lvl w:ilvl="1">
      <w:lvlJc w:val="left"/>
      <w:lvlText w:val="(%2)"/>
      <w:numFmt w:val="lowerRoman"/>
      <w:start w:val="1"/>
    </w:lvl>
    <w:lvl w:ilvl="2">
      <w:lvlJc w:val="left"/>
      <w:lvlText w:val="\endash "/>
      <w:numFmt w:val="bullet"/>
      <w:start w:val="1"/>
    </w:lvl>
  </w:abstractNum>
  <w:abstractNum w:abstractNumId="559">
    <w:nsid w:val="6F07C58"/>
    <w:multiLevelType w:val="hybridMultilevel"/>
    <w:lvl w:ilvl="0">
      <w:lvlJc w:val="left"/>
      <w:lvlText w:val="%1"/>
      <w:numFmt w:val="lowerLetter"/>
      <w:start w:val="1"/>
    </w:lvl>
    <w:lvl w:ilvl="1">
      <w:lvlJc w:val="left"/>
      <w:lvlText w:val="(%2)"/>
      <w:numFmt w:val="lowerLetter"/>
      <w:start w:val="61"/>
    </w:lvl>
  </w:abstractNum>
  <w:abstractNum w:abstractNumId="560">
    <w:nsid w:val="619F753B"/>
    <w:multiLevelType w:val="hybridMultilevel"/>
    <w:lvl w:ilvl="0">
      <w:lvlJc w:val="left"/>
      <w:lvlText w:val="(%1)"/>
      <w:numFmt w:val="lowerLetter"/>
      <w:start w:val="2"/>
    </w:lvl>
    <w:lvl w:ilvl="1">
      <w:lvlJc w:val="left"/>
      <w:lvlText w:val="%2"/>
      <w:numFmt w:val="lowerLetter"/>
      <w:start w:val="1"/>
    </w:lvl>
  </w:abstractNum>
  <w:abstractNum w:abstractNumId="561">
    <w:nsid w:val="29BD8A97"/>
    <w:multiLevelType w:val="hybridMultilevel"/>
    <w:lvl w:ilvl="0">
      <w:lvlJc w:val="left"/>
      <w:lvlText w:val="(%1)"/>
      <w:numFmt w:val="lowerLetter"/>
      <w:start w:val="1"/>
    </w:lvl>
  </w:abstractNum>
  <w:abstractNum w:abstractNumId="562">
    <w:nsid w:val="61C66E3"/>
    <w:multiLevelType w:val="hybridMultilevel"/>
    <w:lvl w:ilvl="0">
      <w:lvlJc w:val="left"/>
      <w:lvlText w:val="%1."/>
      <w:numFmt w:val="decimal"/>
      <w:start w:val="7"/>
    </w:lvl>
  </w:abstractNum>
  <w:abstractNum w:abstractNumId="563">
    <w:nsid w:val="69321F1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564">
    <w:nsid w:val="2D96B714"/>
    <w:multiLevelType w:val="hybridMultilevel"/>
    <w:lvl w:ilvl="0">
      <w:lvlJc w:val="left"/>
      <w:lvlText w:val="(%1)"/>
      <w:numFmt w:val="lowerLetter"/>
      <w:start w:val="1"/>
    </w:lvl>
  </w:abstractNum>
  <w:abstractNum w:abstractNumId="565">
    <w:nsid w:val="3D76F9E2"/>
    <w:multiLevelType w:val="hybridMultilevel"/>
    <w:lvl w:ilvl="0">
      <w:lvlJc w:val="left"/>
      <w:lvlText w:val="%1."/>
      <w:numFmt w:val="decimal"/>
      <w:start w:val="9"/>
    </w:lvl>
  </w:abstractNum>
  <w:abstractNum w:abstractNumId="566">
    <w:nsid w:val="124A2DF8"/>
    <w:multiLevelType w:val="hybridMultilevel"/>
    <w:lvl w:ilvl="0">
      <w:lvlJc w:val="left"/>
      <w:lvlText w:val="%1."/>
      <w:numFmt w:val="decimal"/>
      <w:start w:val="12"/>
    </w:lvl>
  </w:abstractNum>
  <w:abstractNum w:abstractNumId="567">
    <w:nsid w:val="2A26C828"/>
    <w:multiLevelType w:val="hybridMultilevel"/>
    <w:lvl w:ilvl="0">
      <w:lvlJc w:val="left"/>
      <w:lvlText w:val="(%1)"/>
      <w:numFmt w:val="lowerLetter"/>
      <w:start w:val="1"/>
    </w:lvl>
  </w:abstractNum>
  <w:abstractNum w:abstractNumId="568">
    <w:nsid w:val="7FE72292"/>
    <w:multiLevelType w:val="hybridMultilevel"/>
    <w:lvl w:ilvl="0">
      <w:lvlJc w:val="left"/>
      <w:lvlText w:val="(%1)"/>
      <w:numFmt w:val="lowerLetter"/>
      <w:start w:val="1"/>
    </w:lvl>
  </w:abstractNum>
  <w:abstractNum w:abstractNumId="569">
    <w:nsid w:val="60C94A46"/>
    <w:multiLevelType w:val="hybridMultilevel"/>
    <w:lvl w:ilvl="0">
      <w:lvlJc w:val="left"/>
      <w:lvlText w:val="(%1)"/>
      <w:numFmt w:val="lowerLetter"/>
      <w:start w:val="1"/>
    </w:lvl>
    <w:lvl w:ilvl="1">
      <w:lvlJc w:val="left"/>
      <w:lvlText w:val="\endash "/>
      <w:numFmt w:val="bullet"/>
      <w:start w:val="1"/>
    </w:lvl>
  </w:abstractNum>
  <w:abstractNum w:abstractNumId="570">
    <w:nsid w:val="69D9E7A"/>
    <w:multiLevelType w:val="hybridMultilevel"/>
    <w:lvl w:ilvl="0">
      <w:lvlJc w:val="left"/>
      <w:lvlText w:val="(%1)"/>
      <w:numFmt w:val="lowerLetter"/>
      <w:start w:val="2"/>
    </w:lvl>
  </w:abstractNum>
  <w:abstractNum w:abstractNumId="571">
    <w:nsid w:val="7F056040"/>
    <w:multiLevelType w:val="hybridMultilevel"/>
    <w:lvl w:ilvl="0">
      <w:lvlJc w:val="left"/>
      <w:lvlText w:val="(%1)"/>
      <w:numFmt w:val="lowerRoman"/>
      <w:start w:val="1"/>
    </w:lvl>
  </w:abstractNum>
  <w:abstractNum w:abstractNumId="572">
    <w:nsid w:val="1D701BFF"/>
    <w:multiLevelType w:val="hybridMultilevel"/>
    <w:lvl w:ilvl="0">
      <w:lvlJc w:val="left"/>
      <w:lvlText w:val="(%1)"/>
      <w:numFmt w:val="lowerLetter"/>
      <w:start w:val="1"/>
    </w:lvl>
  </w:abstractNum>
  <w:abstractNum w:abstractNumId="573">
    <w:nsid w:val="4A12EC32"/>
    <w:multiLevelType w:val="hybridMultilevel"/>
    <w:lvl w:ilvl="0">
      <w:lvlJc w:val="left"/>
      <w:lvlText w:val="%1."/>
      <w:numFmt w:val="decimal"/>
      <w:start w:val="13"/>
    </w:lvl>
  </w:abstractNum>
  <w:abstractNum w:abstractNumId="574">
    <w:nsid w:val="3F35DD67"/>
    <w:multiLevelType w:val="hybridMultilevel"/>
    <w:lvl w:ilvl="0">
      <w:lvlJc w:val="left"/>
      <w:lvlText w:val="(%1)"/>
      <w:numFmt w:val="lowerRoman"/>
      <w:start w:val="1"/>
    </w:lvl>
  </w:abstractNum>
  <w:abstractNum w:abstractNumId="575">
    <w:nsid w:val="2B66AC12"/>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576">
    <w:nsid w:val="59F12779"/>
    <w:multiLevelType w:val="hybridMultilevel"/>
    <w:lvl w:ilvl="0">
      <w:lvlJc w:val="left"/>
      <w:lvlText w:val="%1."/>
      <w:numFmt w:val="decimal"/>
      <w:start w:val="15"/>
    </w:lvl>
  </w:abstractNum>
  <w:abstractNum w:abstractNumId="577">
    <w:nsid w:val="452528CB"/>
    <w:multiLevelType w:val="hybridMultilevel"/>
    <w:lvl w:ilvl="0">
      <w:lvlJc w:val="left"/>
      <w:lvlText w:val="%1."/>
      <w:numFmt w:val="decimal"/>
      <w:start w:val="17"/>
    </w:lvl>
  </w:abstractNum>
  <w:abstractNum w:abstractNumId="578">
    <w:nsid w:val="4FBE108E"/>
    <w:multiLevelType w:val="hybridMultilevel"/>
    <w:lvl w:ilvl="0">
      <w:lvlJc w:val="left"/>
      <w:lvlText w:val="%1."/>
      <w:numFmt w:val="decimal"/>
      <w:start w:val="19"/>
    </w:lvl>
    <w:lvl w:ilvl="1">
      <w:lvlJc w:val="left"/>
      <w:lvlText w:val="\endash "/>
      <w:numFmt w:val="bullet"/>
      <w:start w:val="1"/>
    </w:lvl>
  </w:abstractNum>
  <w:abstractNum w:abstractNumId="579">
    <w:nsid w:val="60602E62"/>
    <w:multiLevelType w:val="hybridMultilevel"/>
    <w:lvl w:ilvl="0">
      <w:lvlJc w:val="left"/>
      <w:lvlText w:val="%1."/>
      <w:numFmt w:val="decimal"/>
      <w:start w:val="21"/>
    </w:lvl>
  </w:abstractNum>
  <w:abstractNum w:abstractNumId="580">
    <w:nsid w:val="47D0D402"/>
    <w:multiLevelType w:val="hybridMultilevel"/>
    <w:lvl w:ilvl="0">
      <w:lvlJc w:val="left"/>
      <w:lvlText w:val="(%1)"/>
      <w:numFmt w:val="lowerLetter"/>
      <w:start w:val="1"/>
    </w:lvl>
  </w:abstractNum>
  <w:abstractNum w:abstractNumId="581">
    <w:nsid w:val="D1CD939"/>
    <w:multiLevelType w:val="hybridMultilevel"/>
    <w:lvl w:ilvl="0">
      <w:lvlJc w:val="left"/>
      <w:lvlText w:val="(%1)"/>
      <w:numFmt w:val="lowerLetter"/>
      <w:start w:val="1"/>
    </w:lvl>
  </w:abstractNum>
  <w:abstractNum w:abstractNumId="582">
    <w:nsid w:val="12552B10"/>
    <w:multiLevelType w:val="hybridMultilevel"/>
    <w:lvl w:ilvl="0">
      <w:lvlJc w:val="left"/>
      <w:lvlText w:val="(%1)"/>
      <w:numFmt w:val="lowerRoman"/>
      <w:start w:val="1"/>
    </w:lvl>
  </w:abstractNum>
  <w:abstractNum w:abstractNumId="583">
    <w:nsid w:val="F4E8872"/>
    <w:multiLevelType w:val="hybridMultilevel"/>
    <w:lvl w:ilvl="0">
      <w:lvlJc w:val="left"/>
      <w:lvlText w:val="(%1)"/>
      <w:numFmt w:val="lowerLetter"/>
      <w:start w:val="2"/>
    </w:lvl>
  </w:abstractNum>
  <w:abstractNum w:abstractNumId="584">
    <w:nsid w:val="5CF24B45"/>
    <w:multiLevelType w:val="hybridMultilevel"/>
    <w:lvl w:ilvl="0">
      <w:lvlJc w:val="left"/>
      <w:lvlText w:val="%1."/>
      <w:numFmt w:val="decimal"/>
      <w:start w:val="1"/>
    </w:lvl>
  </w:abstractNum>
  <w:abstractNum w:abstractNumId="585">
    <w:nsid w:val="5F91BE56"/>
    <w:multiLevelType w:val="hybridMultilevel"/>
    <w:lvl w:ilvl="0">
      <w:lvlJc w:val="left"/>
      <w:lvlText w:val="%1."/>
      <w:numFmt w:val="decimal"/>
      <w:start w:val="8"/>
    </w:lvl>
    <w:lvl w:ilvl="1">
      <w:lvlJc w:val="left"/>
      <w:lvlText w:val="\endash "/>
      <w:numFmt w:val="bullet"/>
      <w:start w:val="1"/>
    </w:lvl>
  </w:abstractNum>
  <w:abstractNum w:abstractNumId="586">
    <w:nsid w:val="3C3F0BFD"/>
    <w:multiLevelType w:val="hybridMultilevel"/>
    <w:lvl w:ilvl="0">
      <w:lvlJc w:val="left"/>
      <w:lvlText w:val="%1."/>
      <w:numFmt w:val="decimal"/>
      <w:start w:val="9"/>
    </w:lvl>
    <w:lvl w:ilvl="1">
      <w:lvlJc w:val="left"/>
      <w:lvlText w:val="\endash "/>
      <w:numFmt w:val="bullet"/>
      <w:start w:val="1"/>
    </w:lvl>
  </w:abstractNum>
  <w:abstractNum w:abstractNumId="587">
    <w:nsid w:val="1B15D96C"/>
    <w:multiLevelType w:val="hybridMultilevel"/>
    <w:lvl w:ilvl="0">
      <w:lvlJc w:val="left"/>
      <w:lvlText w:val="%1."/>
      <w:numFmt w:val="decimal"/>
      <w:start w:val="1"/>
    </w:lvl>
  </w:abstractNum>
  <w:abstractNum w:abstractNumId="588">
    <w:nsid w:val="7B469A23"/>
    <w:multiLevelType w:val="hybridMultilevel"/>
    <w:lvl w:ilvl="0">
      <w:lvlJc w:val="left"/>
      <w:lvlText w:val="%1."/>
      <w:numFmt w:val="decimal"/>
      <w:start w:val="1"/>
    </w:lvl>
  </w:abstractNum>
  <w:abstractNum w:abstractNumId="589">
    <w:nsid w:val="21DCDBA0"/>
    <w:multiLevelType w:val="hybridMultilevel"/>
    <w:lvl w:ilvl="0">
      <w:lvlJc w:val="left"/>
      <w:lvlText w:val="%1."/>
      <w:numFmt w:val="decimal"/>
      <w:start w:val="2"/>
    </w:lvl>
  </w:abstractNum>
  <w:abstractNum w:abstractNumId="590">
    <w:nsid w:val="220655C4"/>
    <w:multiLevelType w:val="hybridMultilevel"/>
    <w:lvl w:ilvl="0">
      <w:lvlJc w:val="left"/>
      <w:lvlText w:val="%1."/>
      <w:numFmt w:val="decimal"/>
      <w:start w:val="9"/>
    </w:lvl>
  </w:abstractNum>
  <w:abstractNum w:abstractNumId="591">
    <w:nsid w:val="5CE60F5E"/>
    <w:multiLevelType w:val="hybridMultilevel"/>
    <w:lvl w:ilvl="0">
      <w:lvlJc w:val="left"/>
      <w:lvlText w:val="%1."/>
      <w:numFmt w:val="decimal"/>
      <w:start w:val="10"/>
    </w:lvl>
  </w:abstractNum>
  <w:abstractNum w:abstractNumId="592">
    <w:nsid w:val="4B9A6638"/>
    <w:multiLevelType w:val="hybridMultilevel"/>
    <w:lvl w:ilvl="0">
      <w:lvlJc w:val="left"/>
      <w:lvlText w:val="%1."/>
      <w:numFmt w:val="decimal"/>
      <w:start w:val="1"/>
    </w:lvl>
  </w:abstractNum>
  <w:abstractNum w:abstractNumId="593">
    <w:nsid w:val="2822BCA7"/>
    <w:multiLevelType w:val="hybridMultilevel"/>
    <w:lvl w:ilvl="0">
      <w:lvlJc w:val="left"/>
      <w:lvlText w:val="(%1)"/>
      <w:numFmt w:val="lowerRoman"/>
      <w:start w:val="3"/>
    </w:lvl>
  </w:abstractNum>
  <w:abstractNum w:abstractNumId="594">
    <w:nsid w:val="46182E75"/>
    <w:multiLevelType w:val="hybridMultilevel"/>
    <w:lvl w:ilvl="0">
      <w:lvlJc w:val="left"/>
      <w:lvlText w:val="%1."/>
      <w:numFmt w:val="decimal"/>
      <w:start w:val="2"/>
    </w:lvl>
  </w:abstractNum>
  <w:abstractNum w:abstractNumId="595">
    <w:nsid w:val="79311D4C"/>
    <w:multiLevelType w:val="hybridMultilevel"/>
    <w:lvl w:ilvl="0">
      <w:lvlJc w:val="left"/>
      <w:lvlText w:val="%1."/>
      <w:numFmt w:val="decimal"/>
      <w:start w:val="12"/>
    </w:lvl>
  </w:abstractNum>
  <w:abstractNum w:abstractNumId="596">
    <w:nsid w:val="6599B689"/>
    <w:multiLevelType w:val="hybridMultilevel"/>
    <w:lvl w:ilvl="0">
      <w:lvlJc w:val="left"/>
      <w:lvlText w:val="%1."/>
      <w:numFmt w:val="decimal"/>
      <w:start w:val="1"/>
    </w:lvl>
  </w:abstractNum>
  <w:abstractNum w:abstractNumId="597">
    <w:nsid w:val="58625C6D"/>
    <w:multiLevelType w:val="hybridMultilevel"/>
    <w:lvl w:ilvl="0">
      <w:lvlJc w:val="left"/>
      <w:lvlText w:val="o"/>
      <w:numFmt w:val="bullet"/>
      <w:start w:val="1"/>
    </w:lvl>
  </w:abstractNum>
  <w:abstractNum w:abstractNumId="598">
    <w:nsid w:val="2357E574"/>
    <w:multiLevelType w:val="hybridMultilevel"/>
    <w:lvl w:ilvl="0">
      <w:lvlJc w:val="left"/>
      <w:lvlText w:val="%1"/>
      <w:numFmt w:val="decimal"/>
      <w:start w:val="1"/>
    </w:lvl>
    <w:lvl w:ilvl="1">
      <w:lvlJc w:val="left"/>
      <w:lvlText w:val="(%2)"/>
      <w:numFmt w:val="lowerRoman"/>
      <w:start w:val="1"/>
    </w:lvl>
  </w:abstractNum>
  <w:abstractNum w:abstractNumId="599">
    <w:nsid w:val="6580D91B"/>
    <w:multiLevelType w:val="hybridMultilevel"/>
    <w:lvl w:ilvl="0">
      <w:lvlJc w:val="left"/>
      <w:lvlText w:val="%1."/>
      <w:numFmt w:val="decimal"/>
      <w:start w:val="1"/>
    </w:lvl>
    <w:lvl w:ilvl="1">
      <w:lvlJc w:val="left"/>
      <w:lvlText w:val="%2"/>
      <w:numFmt w:val="lowerRoman"/>
      <w:start w:val="1"/>
    </w:lvl>
  </w:abstractNum>
  <w:abstractNum w:abstractNumId="600">
    <w:nsid w:val="392BA6B3"/>
    <w:multiLevelType w:val="hybridMultilevel"/>
    <w:lvl w:ilvl="0">
      <w:lvlJc w:val="left"/>
      <w:lvlText w:val="%1"/>
      <w:numFmt w:val="lowerLetter"/>
      <w:start w:val="1"/>
    </w:lvl>
    <w:lvl w:ilvl="1">
      <w:lvlJc w:val="left"/>
      <w:lvlText w:val="(%2)"/>
      <w:numFmt w:val="lowerLetter"/>
      <w:start w:val="61"/>
    </w:lvl>
  </w:abstractNum>
  <w:abstractNum w:abstractNumId="601">
    <w:nsid w:val="29F583EF"/>
    <w:multiLevelType w:val="hybridMultilevel"/>
    <w:lvl w:ilvl="0">
      <w:lvlJc w:val="left"/>
      <w:lvlText w:val="(%1)"/>
      <w:numFmt w:val="lowerLetter"/>
      <w:start w:val="7"/>
    </w:lvl>
    <w:lvl w:ilvl="1">
      <w:lvlJc w:val="left"/>
      <w:lvlText w:val="%2"/>
      <w:numFmt w:val="lowerLetter"/>
      <w:start w:val="1"/>
    </w:lvl>
  </w:abstractNum>
  <w:abstractNum w:abstractNumId="602">
    <w:nsid w:val="6486395B"/>
    <w:multiLevelType w:val="hybridMultilevel"/>
    <w:lvl w:ilvl="0">
      <w:lvlJc w:val="left"/>
      <w:lvlText w:val="(%1)"/>
      <w:numFmt w:val="lowerRoman"/>
      <w:start w:val="4"/>
    </w:lvl>
  </w:abstractNum>
  <w:abstractNum w:abstractNumId="603">
    <w:nsid w:val="569BC2B2"/>
    <w:multiLevelType w:val="hybridMultilevel"/>
    <w:lvl w:ilvl="0">
      <w:lvlJc w:val="left"/>
      <w:lvlText w:val="["/>
      <w:numFmt w:val="bullet"/>
      <w:start w:val="1"/>
    </w:lvl>
  </w:abstractNum>
  <w:abstractNum w:abstractNumId="604">
    <w:nsid w:val="74087021"/>
    <w:multiLevelType w:val="hybridMultilevel"/>
    <w:lvl w:ilvl="0">
      <w:lvlJc w:val="left"/>
      <w:lvlText w:val="%1."/>
      <w:numFmt w:val="decimal"/>
      <w:start w:val="1"/>
    </w:lvl>
  </w:abstractNum>
  <w:abstractNum w:abstractNumId="605">
    <w:nsid w:val="23BC16C2"/>
    <w:multiLevelType w:val="hybridMultilevel"/>
    <w:lvl w:ilvl="0">
      <w:lvlJc w:val="left"/>
      <w:lvlText w:val="(%1)"/>
      <w:numFmt w:val="lowerLetter"/>
      <w:start w:val="1"/>
    </w:lvl>
  </w:abstractNum>
  <w:abstractNum w:abstractNumId="606">
    <w:nsid w:val="2026EC5"/>
    <w:multiLevelType w:val="hybridMultilevel"/>
    <w:lvl w:ilvl="0">
      <w:lvlJc w:val="left"/>
      <w:lvlText w:val="(%1)"/>
      <w:numFmt w:val="lowerLetter"/>
      <w:start w:val="5"/>
    </w:lvl>
  </w:abstractNum>
  <w:abstractNum w:abstractNumId="607">
    <w:nsid w:val="4DF9979A"/>
    <w:multiLevelType w:val="hybridMultilevel"/>
    <w:lvl w:ilvl="0">
      <w:lvlJc w:val="left"/>
      <w:lvlText w:val="%1."/>
      <w:numFmt w:val="decimal"/>
      <w:start w:val="2"/>
    </w:lvl>
  </w:abstractNum>
  <w:abstractNum w:abstractNumId="608">
    <w:nsid w:val="68E13F8E"/>
    <w:multiLevelType w:val="hybridMultilevel"/>
    <w:lvl w:ilvl="0">
      <w:lvlJc w:val="left"/>
      <w:lvlText w:val="\ldblquote"/>
      <w:numFmt w:val="bullet"/>
      <w:start w:val="1"/>
    </w:lvl>
    <w:lvl w:ilvl="1">
      <w:lvlJc w:val="left"/>
      <w:lvlText w:val="(%2)"/>
      <w:numFmt w:val="upperLetter"/>
      <w:start w:val="24"/>
    </w:lvl>
  </w:abstractNum>
  <w:abstractNum w:abstractNumId="609">
    <w:nsid w:val="51C07F53"/>
    <w:multiLevelType w:val="hybridMultilevel"/>
    <w:lvl w:ilvl="0">
      <w:lvlJc w:val="left"/>
      <w:lvlText w:val="("/>
      <w:numFmt w:val="bullet"/>
      <w:start w:val="1"/>
    </w:lvl>
  </w:abstractNum>
  <w:abstractNum w:abstractNumId="610">
    <w:nsid w:val="2E59C5FD"/>
    <w:multiLevelType w:val="hybridMultilevel"/>
    <w:lvl w:ilvl="0">
      <w:lvlJc w:val="left"/>
      <w:lvlText w:val="%1."/>
      <w:numFmt w:val="decimal"/>
      <w:start w:val="3"/>
    </w:lvl>
  </w:abstractNum>
  <w:abstractNum w:abstractNumId="611">
    <w:nsid w:val="30B21390"/>
    <w:multiLevelType w:val="hybridMultilevel"/>
    <w:lvl w:ilvl="0">
      <w:lvlJc w:val="left"/>
      <w:lvlText w:val="%1."/>
      <w:numFmt w:val="decimal"/>
      <w:start w:val="25"/>
    </w:lvl>
  </w:abstractNum>
  <w:abstractNum w:abstractNumId="612">
    <w:nsid w:val="5EDD588C"/>
    <w:multiLevelType w:val="hybridMultilevel"/>
    <w:lvl w:ilvl="0">
      <w:lvlJc w:val="left"/>
      <w:lvlText w:val="%1."/>
      <w:numFmt w:val="decimal"/>
      <w:start w:val="4"/>
    </w:lvl>
  </w:abstractNum>
  <w:abstractNum w:abstractNumId="613">
    <w:nsid w:val="40AEF10D"/>
    <w:multiLevelType w:val="hybridMultilevel"/>
    <w:lvl w:ilvl="0">
      <w:lvlJc w:val="left"/>
      <w:lvlText w:val="%1"/>
      <w:numFmt w:val="decimal"/>
      <w:start w:val="1"/>
    </w:lvl>
    <w:lvl w:ilvl="1">
      <w:lvlJc w:val="left"/>
      <w:lvlText w:val="(%2)"/>
      <w:numFmt w:val="lowerLetter"/>
      <w:start w:val="1"/>
    </w:lvl>
  </w:abstractNum>
  <w:abstractNum w:abstractNumId="614">
    <w:nsid w:val="40009C03"/>
    <w:multiLevelType w:val="hybridMultilevel"/>
    <w:lvl w:ilvl="0">
      <w:lvlJc w:val="left"/>
      <w:lvlText w:val="%1."/>
      <w:numFmt w:val="decimal"/>
      <w:start w:val="26"/>
    </w:lvl>
    <w:lvl w:ilvl="1">
      <w:lvlJc w:val="left"/>
      <w:lvlText w:val="%2"/>
      <w:numFmt w:val="lowerLetter"/>
      <w:start w:val="1"/>
    </w:lvl>
  </w:abstractNum>
  <w:abstractNum w:abstractNumId="615">
    <w:nsid w:val="3BCFA3D1"/>
    <w:multiLevelType w:val="hybridMultilevel"/>
    <w:lvl w:ilvl="0">
      <w:lvlJc w:val="left"/>
      <w:lvlText w:val="(%1)"/>
      <w:numFmt w:val="lowerLetter"/>
      <w:start w:val="6"/>
    </w:lvl>
  </w:abstractNum>
  <w:abstractNum w:abstractNumId="616">
    <w:nsid w:val="2040AF63"/>
    <w:multiLevelType w:val="hybridMultilevel"/>
    <w:lvl w:ilvl="0">
      <w:lvlJc w:val="left"/>
      <w:lvlText w:val="%1."/>
      <w:numFmt w:val="decimal"/>
      <w:start w:val="5"/>
    </w:lvl>
    <w:lvl w:ilvl="1">
      <w:lvlJc w:val="left"/>
      <w:lvlText w:val="(%2)"/>
      <w:numFmt w:val="lowerLetter"/>
      <w:start w:val="1"/>
    </w:lvl>
  </w:abstractNum>
  <w:abstractNum w:abstractNumId="617">
    <w:nsid w:val="7C3FA800"/>
    <w:multiLevelType w:val="hybridMultilevel"/>
    <w:lvl w:ilvl="0">
      <w:lvlJc w:val="left"/>
      <w:lvlText w:val="%1"/>
      <w:numFmt w:val="lowerLetter"/>
      <w:start w:val="1"/>
    </w:lvl>
    <w:lvl w:ilvl="1">
      <w:lvlJc w:val="left"/>
      <w:lvlText w:val="(%2)"/>
      <w:numFmt w:val="lowerLetter"/>
      <w:start w:val="4"/>
    </w:lvl>
  </w:abstractNum>
  <w:abstractNum w:abstractNumId="618">
    <w:nsid w:val="56E57D3D"/>
    <w:multiLevelType w:val="hybridMultilevel"/>
    <w:lvl w:ilvl="0">
      <w:lvlJc w:val="left"/>
      <w:lvlText w:val="(%1)"/>
      <w:numFmt w:val="lowerLetter"/>
      <w:start w:val="6"/>
    </w:lvl>
    <w:lvl w:ilvl="1">
      <w:lvlJc w:val="left"/>
      <w:lvlText w:val="%2"/>
      <w:numFmt w:val="lowerLetter"/>
      <w:start w:val="1"/>
    </w:lvl>
  </w:abstractNum>
  <w:abstractNum w:abstractNumId="619">
    <w:nsid w:val="1B874986"/>
    <w:multiLevelType w:val="hybridMultilevel"/>
    <w:lvl w:ilvl="0">
      <w:lvlJc w:val="left"/>
      <w:lvlText w:val="%1."/>
      <w:numFmt w:val="decimal"/>
      <w:start w:val="6"/>
    </w:lvl>
  </w:abstractNum>
  <w:abstractNum w:abstractNumId="620">
    <w:nsid w:val="1E1C83A1"/>
    <w:multiLevelType w:val="hybridMultilevel"/>
    <w:lvl w:ilvl="0">
      <w:lvlJc w:val="left"/>
      <w:lvlText w:val="%1."/>
      <w:numFmt w:val="decimal"/>
      <w:start w:val="7"/>
    </w:lvl>
  </w:abstractNum>
  <w:abstractNum w:abstractNumId="621">
    <w:nsid w:val="78EBD301"/>
    <w:multiLevelType w:val="hybridMultilevel"/>
    <w:lvl w:ilvl="0">
      <w:lvlJc w:val="left"/>
      <w:lvlText w:val="%1."/>
      <w:numFmt w:val="decimal"/>
      <w:start w:val="8"/>
    </w:lvl>
  </w:abstractNum>
  <w:abstractNum w:abstractNumId="622">
    <w:nsid w:val="786D58E4"/>
    <w:multiLevelType w:val="hybridMultilevel"/>
    <w:lvl w:ilvl="0">
      <w:lvlJc w:val="left"/>
      <w:lvlText w:val="%1."/>
      <w:numFmt w:val="decimal"/>
      <w:start w:val="9"/>
    </w:lvl>
  </w:abstractNum>
  <w:abstractNum w:abstractNumId="623">
    <w:nsid w:val="69B6E9D9"/>
    <w:multiLevelType w:val="hybridMultilevel"/>
    <w:lvl w:ilvl="0">
      <w:lvlJc w:val="left"/>
      <w:lvlText w:val="(%1)"/>
      <w:numFmt w:val="lowerLetter"/>
      <w:start w:val="1"/>
    </w:lvl>
  </w:abstractNum>
  <w:abstractNum w:abstractNumId="624">
    <w:nsid w:val="210E8FA8"/>
    <w:multiLevelType w:val="hybridMultilevel"/>
    <w:lvl w:ilvl="0">
      <w:lvlJc w:val="left"/>
      <w:lvlText w:val="%1"/>
      <w:numFmt w:val="decimal"/>
      <w:start w:val="1"/>
    </w:lvl>
    <w:lvl w:ilvl="1">
      <w:lvlJc w:val="left"/>
      <w:lvlText w:val="(%2)"/>
      <w:numFmt w:val="lowerLetter"/>
      <w:start w:val="2"/>
    </w:lvl>
  </w:abstractNum>
  <w:abstractNum w:abstractNumId="625">
    <w:nsid w:val="3E858759"/>
    <w:multiLevelType w:val="hybridMultilevel"/>
    <w:lvl w:ilvl="0">
      <w:lvlJc w:val="left"/>
      <w:lvlText w:val="%1."/>
      <w:numFmt w:val="decimal"/>
      <w:start w:val="10"/>
    </w:lvl>
    <w:lvl w:ilvl="1">
      <w:lvlJc w:val="left"/>
      <w:lvlText w:val="%2"/>
      <w:numFmt w:val="lowerLetter"/>
      <w:start w:val="1"/>
    </w:lvl>
  </w:abstractNum>
  <w:abstractNum w:abstractNumId="626">
    <w:nsid w:val="62E80725"/>
    <w:multiLevelType w:val="hybridMultilevel"/>
    <w:lvl w:ilvl="0">
      <w:lvlJc w:val="left"/>
      <w:lvlText w:val="(%1)"/>
      <w:numFmt w:val="lowerLetter"/>
      <w:start w:val="1"/>
    </w:lvl>
  </w:abstractNum>
  <w:abstractNum w:abstractNumId="627">
    <w:nsid w:val="6A84631"/>
    <w:multiLevelType w:val="hybridMultilevel"/>
    <w:lvl w:ilvl="0">
      <w:lvlJc w:val="left"/>
      <w:lvlText w:val="%1."/>
      <w:numFmt w:val="decimal"/>
      <w:start w:val="11"/>
    </w:lvl>
  </w:abstractNum>
  <w:abstractNum w:abstractNumId="628">
    <w:nsid w:val="16E7E3C7"/>
    <w:multiLevelType w:val="hybridMultilevel"/>
    <w:lvl w:ilvl="0">
      <w:lvlJc w:val="left"/>
      <w:lvlText w:val="%1."/>
      <w:numFmt w:val="decimal"/>
      <w:start w:val="12"/>
    </w:lvl>
  </w:abstractNum>
  <w:abstractNum w:abstractNumId="629">
    <w:nsid w:val="63FEC9A"/>
    <w:multiLevelType w:val="hybridMultilevel"/>
    <w:lvl w:ilvl="0">
      <w:lvlJc w:val="left"/>
      <w:lvlText w:val="%1."/>
      <w:numFmt w:val="decimal"/>
      <w:start w:val="13"/>
    </w:lvl>
  </w:abstractNum>
  <w:abstractNum w:abstractNumId="630">
    <w:nsid w:val="6C291F4C"/>
    <w:multiLevelType w:val="hybridMultilevel"/>
    <w:lvl w:ilvl="0">
      <w:lvlJc w:val="left"/>
      <w:lvlText w:val="%1."/>
      <w:numFmt w:val="decimal"/>
      <w:start w:val="14"/>
    </w:lvl>
  </w:abstractNum>
  <w:abstractNum w:abstractNumId="631">
    <w:nsid w:val="50138A7A"/>
    <w:multiLevelType w:val="hybridMultilevel"/>
    <w:lvl w:ilvl="0">
      <w:lvlJc w:val="left"/>
      <w:lvlText w:val="%1."/>
      <w:numFmt w:val="decimal"/>
      <w:start w:val="15"/>
    </w:lvl>
  </w:abstractNum>
  <w:abstractNum w:abstractNumId="632">
    <w:nsid w:val="30357089"/>
    <w:multiLevelType w:val="hybridMultilevel"/>
    <w:lvl w:ilvl="0">
      <w:lvlJc w:val="left"/>
      <w:lvlText w:val="(%1)"/>
      <w:numFmt w:val="lowerLetter"/>
      <w:start w:val="1"/>
    </w:lvl>
  </w:abstractNum>
  <w:abstractNum w:abstractNumId="633">
    <w:nsid w:val="50AF58A7"/>
    <w:multiLevelType w:val="hybridMultilevel"/>
    <w:lvl w:ilvl="0">
      <w:lvlJc w:val="left"/>
      <w:lvlText w:val="(%1)"/>
      <w:numFmt w:val="lowerLetter"/>
      <w:start w:val="2"/>
    </w:lvl>
  </w:abstractNum>
  <w:abstractNum w:abstractNumId="634">
    <w:nsid w:val="26AF4D2D"/>
    <w:multiLevelType w:val="hybridMultilevel"/>
    <w:lvl w:ilvl="0">
      <w:lvlJc w:val="left"/>
      <w:lvlText w:val="%1."/>
      <w:numFmt w:val="decimal"/>
      <w:start w:val="16"/>
    </w:lvl>
  </w:abstractNum>
  <w:abstractNum w:abstractNumId="635">
    <w:nsid w:val="243DE0AA"/>
    <w:multiLevelType w:val="hybridMultilevel"/>
    <w:lvl w:ilvl="0">
      <w:lvlJc w:val="left"/>
      <w:lvlText w:val="%1."/>
      <w:numFmt w:val="decimal"/>
      <w:start w:val="17"/>
    </w:lvl>
  </w:abstractNum>
  <w:abstractNum w:abstractNumId="636">
    <w:nsid w:val="746B6F6A"/>
    <w:multiLevelType w:val="hybridMultilevel"/>
    <w:lvl w:ilvl="0">
      <w:lvlJc w:val="left"/>
      <w:lvlText w:val="%1."/>
      <w:numFmt w:val="decimal"/>
      <w:start w:val="18"/>
    </w:lvl>
  </w:abstractNum>
  <w:abstractNum w:abstractNumId="637">
    <w:nsid w:val="28B1BBF2"/>
    <w:multiLevelType w:val="hybridMultilevel"/>
    <w:lvl w:ilvl="0">
      <w:lvlJc w:val="left"/>
      <w:lvlText w:val="(%1)"/>
      <w:numFmt w:val="lowerRoman"/>
      <w:start w:val="2"/>
    </w:lvl>
  </w:abstractNum>
  <w:abstractNum w:abstractNumId="638">
    <w:nsid w:val="72377844"/>
    <w:multiLevelType w:val="hybridMultilevel"/>
    <w:lvl w:ilvl="0">
      <w:lvlJc w:val="left"/>
      <w:lvlText w:val="•"/>
      <w:numFmt w:val="bullet"/>
      <w:start w:val="1"/>
    </w:lvl>
  </w:abstractNum>
  <w:abstractNum w:abstractNumId="639">
    <w:nsid w:val="5D4CAEF8"/>
    <w:multiLevelType w:val="hybridMultilevel"/>
    <w:lvl w:ilvl="0">
      <w:lvlJc w:val="left"/>
      <w:lvlText w:val="•"/>
      <w:numFmt w:val="bullet"/>
      <w:start w:val="1"/>
    </w:lvl>
  </w:abstractNum>
  <w:abstractNum w:abstractNumId="640">
    <w:nsid w:val="7A723B45"/>
    <w:multiLevelType w:val="hybridMultilevel"/>
    <w:lvl w:ilvl="0">
      <w:lvlJc w:val="left"/>
      <w:lvlText w:val="•"/>
      <w:numFmt w:val="bullet"/>
      <w:start w:val="1"/>
    </w:lvl>
  </w:abstractNum>
  <w:abstractNum w:abstractNumId="641">
    <w:nsid w:val="20913E41"/>
    <w:multiLevelType w:val="hybridMultilevel"/>
    <w:lvl w:ilvl="0">
      <w:lvlJc w:val="left"/>
      <w:lvlText w:val="%1"/>
      <w:numFmt w:val="decimal"/>
      <w:start w:val="1"/>
    </w:lvl>
    <w:lvl w:ilvl="1">
      <w:lvlJc w:val="left"/>
      <w:lvlText w:val="%2."/>
      <w:numFmt w:val="decimal"/>
      <w:start w:val="1"/>
    </w:lvl>
  </w:abstractNum>
  <w:abstractNum w:abstractNumId="642">
    <w:nsid w:val="DFEC288"/>
    <w:multiLevelType w:val="hybridMultilevel"/>
    <w:lvl w:ilvl="0">
      <w:lvlJc w:val="left"/>
      <w:lvlText w:val="%1."/>
      <w:numFmt w:val="decimal"/>
      <w:start w:val="1"/>
    </w:lvl>
    <w:lvl w:ilvl="1">
      <w:lvlJc w:val="left"/>
      <w:lvlText w:val="%2"/>
      <w:numFmt w:val="decimal"/>
      <w:start w:val="1"/>
    </w:lvl>
  </w:abstractNum>
  <w:abstractNum w:abstractNumId="643">
    <w:nsid w:val="594F93D1"/>
    <w:multiLevelType w:val="hybridMultilevel"/>
    <w:lvl w:ilvl="0">
      <w:lvlJc w:val="left"/>
      <w:lvlText w:val="%1."/>
      <w:numFmt w:val="decimal"/>
      <w:start w:val="2"/>
    </w:lvl>
  </w:abstractNum>
  <w:abstractNum w:abstractNumId="644">
    <w:nsid w:val="61402F4E"/>
    <w:multiLevelType w:val="hybridMultilevel"/>
    <w:lvl w:ilvl="0">
      <w:lvlJc w:val="left"/>
      <w:lvlText w:val="%1."/>
      <w:numFmt w:val="upperLetter"/>
      <w:start w:val="1"/>
    </w:lvl>
  </w:abstractNum>
  <w:abstractNum w:abstractNumId="645">
    <w:nsid w:val="4DFF5E8B"/>
    <w:multiLevelType w:val="hybridMultilevel"/>
    <w:lvl w:ilvl="0">
      <w:lvlJc w:val="left"/>
      <w:lvlText w:val="%1."/>
      <w:numFmt w:val="upperLetter"/>
      <w:start w:val="2"/>
    </w:lvl>
  </w:abstractNum>
  <w:abstractNum w:abstractNumId="646">
    <w:nsid w:val="151F37A3"/>
    <w:multiLevelType w:val="hybridMultilevel"/>
    <w:lvl w:ilvl="0">
      <w:lvlJc w:val="left"/>
      <w:lvlText w:val="%1."/>
      <w:numFmt w:val="decimal"/>
      <w:start w:val="1"/>
    </w:lvl>
  </w:abstractNum>
  <w:abstractNum w:abstractNumId="647">
    <w:nsid w:val="180DEB1"/>
    <w:multiLevelType w:val="hybridMultilevel"/>
    <w:lvl w:ilvl="0">
      <w:lvlJc w:val="left"/>
      <w:lvlText w:val="%1."/>
      <w:numFmt w:val="upperLetter"/>
      <w:start w:val="1"/>
    </w:lvl>
  </w:abstractNum>
  <w:abstractNum w:abstractNumId="648">
    <w:nsid w:val="4A3F068C"/>
    <w:multiLevelType w:val="hybridMultilevel"/>
    <w:lvl w:ilvl="0">
      <w:lvlJc w:val="left"/>
      <w:lvlText w:val="%1"/>
      <w:numFmt w:val="decimal"/>
      <w:start w:val="1"/>
    </w:lvl>
    <w:lvl w:ilvl="1">
      <w:lvlJc w:val="left"/>
      <w:lvlText w:val="%2."/>
      <w:numFmt w:val="decimal"/>
      <w:start w:val="1"/>
    </w:lvl>
  </w:abstractNum>
  <w:abstractNum w:abstractNumId="649">
    <w:nsid w:val="6C04B4E0"/>
    <w:multiLevelType w:val="hybridMultilevel"/>
    <w:lvl w:ilvl="0">
      <w:lvlJc w:val="left"/>
      <w:lvlText w:val="%1."/>
      <w:numFmt w:val="decimal"/>
      <w:start w:val="4"/>
    </w:lvl>
    <w:lvl w:ilvl="1">
      <w:lvlJc w:val="left"/>
      <w:lvlText w:val="%2"/>
      <w:numFmt w:val="decimal"/>
      <w:start w:val="1"/>
    </w:lvl>
  </w:abstractNum>
  <w:abstractNum w:abstractNumId="650">
    <w:nsid w:val="1D082837"/>
    <w:multiLevelType w:val="hybridMultilevel"/>
    <w:lvl w:ilvl="0">
      <w:lvlJc w:val="left"/>
      <w:lvlText w:val="%1"/>
      <w:numFmt w:val="lowerRoman"/>
      <w:start w:val="1"/>
    </w:lvl>
    <w:lvl w:ilvl="1">
      <w:lvlJc w:val="left"/>
      <w:lvlText w:val="%2."/>
      <w:numFmt w:val="decimal"/>
      <w:start w:val="2"/>
    </w:lvl>
  </w:abstractNum>
  <w:abstractNum w:abstractNumId="651">
    <w:nsid w:val="685B8A2D"/>
    <w:multiLevelType w:val="hybridMultilevel"/>
    <w:lvl w:ilvl="0">
      <w:lvlJc w:val="left"/>
      <w:lvlText w:val="(%1)"/>
      <w:numFmt w:val="lowerRoman"/>
      <w:start w:val="1"/>
    </w:lvl>
    <w:lvl w:ilvl="1">
      <w:lvlJc w:val="left"/>
      <w:lvlText w:val="%2."/>
      <w:numFmt w:val="decimal"/>
      <w:start w:val="4"/>
    </w:lvl>
  </w:abstractNum>
  <w:abstractNum w:abstractNumId="652">
    <w:nsid w:val="64F087E2"/>
    <w:multiLevelType w:val="hybridMultilevel"/>
    <w:lvl w:ilvl="0">
      <w:lvlJc w:val="left"/>
      <w:lvlText w:val="%1."/>
      <w:numFmt w:val="decimal"/>
      <w:start w:val="6"/>
    </w:lvl>
  </w:abstractNum>
  <w:abstractNum w:abstractNumId="653">
    <w:nsid w:val="1575811C"/>
    <w:multiLevelType w:val="hybridMultilevel"/>
    <w:lvl w:ilvl="0">
      <w:lvlJc w:val="left"/>
      <w:lvlText w:val="%1."/>
      <w:numFmt w:val="upperLetter"/>
      <w:start w:val="1"/>
    </w:lvl>
  </w:abstractNum>
  <w:abstractNum w:abstractNumId="654">
    <w:nsid w:val="52127406"/>
    <w:multiLevelType w:val="hybridMultilevel"/>
    <w:lvl w:ilvl="0">
      <w:lvlJc w:val="left"/>
      <w:lvlText w:val="%1."/>
      <w:numFmt w:val="decimal"/>
      <w:start w:val="1"/>
    </w:lvl>
  </w:abstractNum>
  <w:abstractNum w:abstractNumId="655">
    <w:nsid w:val="5FF178A"/>
    <w:multiLevelType w:val="hybridMultilevel"/>
    <w:lvl w:ilvl="0">
      <w:lvlJc w:val="left"/>
      <w:lvlText w:val="%1."/>
      <w:numFmt w:val="upperLetter"/>
      <w:start w:val="1"/>
    </w:lvl>
  </w:abstractNum>
  <w:abstractNum w:abstractNumId="656">
    <w:nsid w:val="53FB0875"/>
    <w:multiLevelType w:val="hybridMultilevel"/>
    <w:lvl w:ilvl="0">
      <w:lvlJc w:val="left"/>
      <w:lvlText w:val="%1."/>
      <w:numFmt w:val="decimal"/>
      <w:start w:val="1"/>
    </w:lvl>
    <w:lvl w:ilvl="1">
      <w:lvlJc w:val="left"/>
      <w:lvlText w:val="%2."/>
      <w:numFmt w:val="lowerLetter"/>
      <w:start w:val="1"/>
    </w:lvl>
  </w:abstractNum>
  <w:abstractNum w:abstractNumId="657">
    <w:nsid w:val="34FA7B2B"/>
    <w:multiLevelType w:val="hybridMultilevel"/>
    <w:lvl w:ilvl="0">
      <w:lvlJc w:val="left"/>
      <w:lvlText w:val="%1."/>
      <w:numFmt w:val="lowerLetter"/>
      <w:start w:val="3"/>
    </w:lvl>
  </w:abstractNum>
  <w:abstractNum w:abstractNumId="658">
    <w:nsid w:val="CA75DBC"/>
    <w:multiLevelType w:val="hybridMultilevel"/>
    <w:lvl w:ilvl="0">
      <w:lvlJc w:val="left"/>
      <w:lvlText w:val="%1."/>
      <w:numFmt w:val="decimal"/>
      <w:start w:val="2"/>
    </w:lvl>
  </w:abstractNum>
  <w:abstractNum w:abstractNumId="659">
    <w:nsid w:val="6AE2EC3C"/>
    <w:multiLevelType w:val="hybridMultilevel"/>
    <w:lvl w:ilvl="0">
      <w:lvlJc w:val="left"/>
      <w:lvlText w:val="%1."/>
      <w:numFmt w:val="upperLetter"/>
      <w:start w:val="2"/>
    </w:lvl>
  </w:abstractNum>
  <w:abstractNum w:abstractNumId="660">
    <w:nsid w:val="3B3A67C5"/>
    <w:multiLevelType w:val="hybridMultilevel"/>
    <w:lvl w:ilvl="0">
      <w:lvlJc w:val="left"/>
      <w:lvlText w:val="%1."/>
      <w:numFmt w:val="upperLetter"/>
      <w:start w:val="3"/>
    </w:lvl>
  </w:abstractNum>
  <w:abstractNum w:abstractNumId="661">
    <w:nsid w:val="78D07D08"/>
    <w:multiLevelType w:val="hybridMultilevel"/>
    <w:lvl w:ilvl="0">
      <w:lvlJc w:val="left"/>
      <w:lvlText w:val="%1."/>
      <w:numFmt w:val="upperLetter"/>
      <w:start w:val="1"/>
    </w:lvl>
  </w:abstractNum>
  <w:abstractNum w:abstractNumId="662">
    <w:nsid w:val="3AF676B7"/>
    <w:multiLevelType w:val="hybridMultilevel"/>
    <w:lvl w:ilvl="0">
      <w:lvlJc w:val="left"/>
      <w:lvlText w:val="%1"/>
      <w:numFmt w:val="decimal"/>
      <w:start w:val="1"/>
    </w:lvl>
    <w:lvl w:ilvl="1">
      <w:lvlJc w:val="left"/>
      <w:lvlText w:val="%2."/>
      <w:numFmt w:val="upperLetter"/>
      <w:start w:val="1"/>
    </w:lvl>
  </w:abstractNum>
  <w:abstractNum w:abstractNumId="663">
    <w:nsid w:val="6B6FD84E"/>
    <w:multiLevelType w:val="hybridMultilevel"/>
    <w:lvl w:ilvl="0">
      <w:lvlJc w:val="left"/>
      <w:lvlText w:val="%1."/>
      <w:numFmt w:val="decimal"/>
      <w:start w:val="1"/>
    </w:lvl>
    <w:lvl w:ilvl="1">
      <w:lvlJc w:val="left"/>
      <w:lvlText w:val="%2"/>
      <w:numFmt w:val="upperLetter"/>
      <w:start w:val="1"/>
    </w:lvl>
  </w:abstractNum>
  <w:abstractNum w:abstractNumId="664">
    <w:nsid w:val="497FD5B0"/>
    <w:multiLevelType w:val="hybridMultilevel"/>
    <w:lvl w:ilvl="0">
      <w:lvlJc w:val="left"/>
      <w:lvlText w:val="%1."/>
      <w:numFmt w:val="lowerLetter"/>
      <w:start w:val="1"/>
    </w:lvl>
  </w:abstractNum>
  <w:abstractNum w:abstractNumId="665">
    <w:nsid w:val="61A5C3E4"/>
    <w:multiLevelType w:val="hybridMultilevel"/>
    <w:lvl w:ilvl="0">
      <w:lvlJc w:val="left"/>
      <w:lvlText w:val="%1"/>
      <w:numFmt w:val="upperLetter"/>
      <w:start w:val="1"/>
    </w:lvl>
    <w:lvl w:ilvl="1">
      <w:lvlJc w:val="left"/>
      <w:lvlText w:val="%2."/>
      <w:numFmt w:val="lowerLetter"/>
      <w:start w:val="6"/>
    </w:lvl>
  </w:abstractNum>
  <w:abstractNum w:abstractNumId="666">
    <w:nsid w:val="FADB8F8"/>
    <w:multiLevelType w:val="hybridMultilevel"/>
    <w:lvl w:ilvl="0">
      <w:lvlJc w:val="left"/>
      <w:lvlText w:val="(%1)"/>
      <w:numFmt w:val="upperLetter"/>
      <w:start w:val="2"/>
    </w:lvl>
    <w:lvl w:ilvl="1">
      <w:lvlJc w:val="left"/>
      <w:lvlText w:val="%2."/>
      <w:numFmt w:val="lowerLetter"/>
      <w:start w:val="7"/>
    </w:lvl>
  </w:abstractNum>
  <w:abstractNum w:abstractNumId="667">
    <w:nsid w:val="3DEB451A"/>
    <w:multiLevelType w:val="hybridMultilevel"/>
    <w:lvl w:ilvl="0">
      <w:lvlJc w:val="left"/>
      <w:lvlText w:val="%1"/>
      <w:numFmt w:val="decimal"/>
      <w:start w:val="1"/>
    </w:lvl>
    <w:lvl w:ilvl="1">
      <w:lvlJc w:val="left"/>
      <w:lvlText w:val="%2."/>
      <w:numFmt w:val="decimal"/>
      <w:start w:val="2"/>
    </w:lvl>
  </w:abstractNum>
  <w:abstractNum w:abstractNumId="668">
    <w:nsid w:val="A577FD6"/>
    <w:multiLevelType w:val="hybridMultilevel"/>
    <w:lvl w:ilvl="0">
      <w:lvlJc w:val="left"/>
      <w:lvlText w:val="%1."/>
      <w:numFmt w:val="decimal"/>
      <w:start w:val="3"/>
    </w:lvl>
    <w:lvl w:ilvl="1">
      <w:lvlJc w:val="left"/>
      <w:lvlText w:val="%2"/>
      <w:numFmt w:val="decimal"/>
      <w:start w:val="1"/>
    </w:lvl>
  </w:abstractNum>
  <w:abstractNum w:abstractNumId="669">
    <w:nsid w:val="1E5313D"/>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abstractNum>
  <w:abstractNum w:abstractNumId="670">
    <w:nsid w:val="1B37F412"/>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abstractNum>
  <w:abstractNum w:abstractNumId="671">
    <w:nsid w:val="4C9BB1B"/>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672">
    <w:nsid w:val="22766F7E"/>
    <w:multiLevelType w:val="hybridMultilevel"/>
    <w:lvl w:ilvl="0">
      <w:lvlJc w:val="left"/>
      <w:lvlText w:val="%1."/>
      <w:numFmt w:val="lowerLetter"/>
      <w:start w:val="1"/>
    </w:lvl>
  </w:abstractNum>
  <w:abstractNum w:abstractNumId="673">
    <w:nsid w:val="2936B69A"/>
    <w:multiLevelType w:val="hybridMultilevel"/>
    <w:lvl w:ilvl="0">
      <w:lvlJc w:val="left"/>
      <w:lvlText w:val="%1"/>
      <w:numFmt w:val="upperLetter"/>
      <w:start w:val="1"/>
    </w:lvl>
    <w:lvl w:ilvl="1">
      <w:lvlJc w:val="left"/>
      <w:lvlText w:val="%2."/>
      <w:numFmt w:val="upperLetter"/>
      <w:start w:val="2"/>
    </w:lvl>
  </w:abstractNum>
  <w:abstractNum w:abstractNumId="674">
    <w:nsid w:val="5E194EEC"/>
    <w:multiLevelType w:val="hybridMultilevel"/>
    <w:lvl w:ilvl="0">
      <w:lvlJc w:val="left"/>
      <w:lvlText w:val="%1."/>
      <w:numFmt w:val="upperLetter"/>
      <w:start w:val="3"/>
    </w:lvl>
    <w:lvl w:ilvl="1">
      <w:lvlJc w:val="left"/>
      <w:lvlText w:val="%2"/>
      <w:numFmt w:val="upperLetter"/>
      <w:start w:val="1"/>
    </w:lvl>
  </w:abstractNum>
  <w:abstractNum w:abstractNumId="675">
    <w:nsid w:val="3B69ECD"/>
    <w:multiLevelType w:val="hybridMultilevel"/>
    <w:lvl w:ilvl="0">
      <w:lvlJc w:val="left"/>
      <w:lvlText w:val="%1."/>
      <w:numFmt w:val="decimal"/>
      <w:start w:val="1"/>
    </w:lvl>
  </w:abstractNum>
  <w:abstractNum w:abstractNumId="676">
    <w:nsid w:val="77361526"/>
    <w:multiLevelType w:val="hybridMultilevel"/>
    <w:lvl w:ilvl="0">
      <w:lvlJc w:val="left"/>
      <w:lvlText w:val="%1."/>
      <w:numFmt w:val="decimal"/>
      <w:start w:val="2"/>
    </w:lvl>
  </w:abstractNum>
  <w:abstractNum w:abstractNumId="677">
    <w:nsid w:val="7338868F"/>
    <w:multiLevelType w:val="hybridMultilevel"/>
    <w:lvl w:ilvl="0">
      <w:lvlJc w:val="left"/>
      <w:lvlText w:val="%1"/>
      <w:numFmt w:val="upperLetter"/>
      <w:start w:val="1"/>
    </w:lvl>
    <w:lvl w:ilvl="1">
      <w:lvlJc w:val="left"/>
      <w:lvlText w:val="%2."/>
      <w:numFmt w:val="decimal"/>
      <w:start w:val="4"/>
    </w:lvl>
  </w:abstractNum>
  <w:abstractNum w:abstractNumId="678">
    <w:nsid w:val="5377D7E"/>
    <w:multiLevelType w:val="hybridMultilevel"/>
    <w:lvl w:ilvl="0">
      <w:lvlJc w:val="left"/>
      <w:lvlText w:val="%1."/>
      <w:numFmt w:val="upperLetter"/>
      <w:start w:val="4"/>
    </w:lvl>
    <w:lvl w:ilvl="1">
      <w:lvlJc w:val="left"/>
      <w:lvlText w:val="%2"/>
      <w:numFmt w:val="decimal"/>
      <w:start w:val="1"/>
    </w:lvl>
  </w:abstractNum>
  <w:abstractNum w:abstractNumId="679">
    <w:nsid w:val="41751BB2"/>
    <w:multiLevelType w:val="hybridMultilevel"/>
    <w:lvl w:ilvl="0">
      <w:lvlJc w:val="left"/>
      <w:lvlText w:val="%1."/>
      <w:numFmt w:val="decimal"/>
      <w:start w:val="1"/>
    </w:lvl>
  </w:abstractNum>
  <w:abstractNum w:abstractNumId="680">
    <w:nsid w:val="5F3D3B70"/>
    <w:multiLevelType w:val="hybridMultilevel"/>
    <w:lvl w:ilvl="0">
      <w:lvlJc w:val="left"/>
      <w:lvlText w:val="(%1)"/>
      <w:numFmt w:val="upperLetter"/>
      <w:start w:val="5"/>
    </w:lvl>
  </w:abstractNum>
  <w:abstractNum w:abstractNumId="681">
    <w:nsid w:val="223FA5B6"/>
    <w:multiLevelType w:val="hybridMultilevel"/>
    <w:lvl w:ilvl="0">
      <w:lvlJc w:val="left"/>
      <w:lvlText w:val="(%1)"/>
      <w:numFmt w:val="upperLetter"/>
      <w:start w:val="1"/>
    </w:lvl>
    <w:lvl w:ilvl="1">
      <w:lvlJc w:val="left"/>
      <w:lvlText w:val="%2."/>
      <w:numFmt w:val="decimal"/>
      <w:start w:val="2"/>
    </w:lvl>
  </w:abstractNum>
  <w:abstractNum w:abstractNumId="682">
    <w:nsid w:val="29D0A5DF"/>
    <w:multiLevelType w:val="hybridMultilevel"/>
    <w:lvl w:ilvl="0">
      <w:lvlJc w:val="left"/>
      <w:lvlText w:val="%1."/>
      <w:numFmt w:val="decimal"/>
      <w:start w:val="3"/>
    </w:lvl>
  </w:abstractNum>
  <w:abstractNum w:abstractNumId="683">
    <w:nsid w:val="442DC352"/>
    <w:multiLevelType w:val="hybridMultilevel"/>
    <w:lvl w:ilvl="0">
      <w:lvlJc w:val="left"/>
      <w:lvlText w:val="%1."/>
      <w:numFmt w:val="upperLetter"/>
      <w:start w:val="5"/>
    </w:lvl>
  </w:abstractNum>
  <w:abstractNum w:abstractNumId="684">
    <w:nsid w:val="37B526D2"/>
    <w:multiLevelType w:val="hybridMultilevel"/>
    <w:lvl w:ilvl="0">
      <w:lvlJc w:val="left"/>
      <w:lvlText w:val="%1."/>
      <w:numFmt w:val="decimal"/>
      <w:start w:val="1"/>
    </w:lvl>
  </w:abstractNum>
  <w:abstractNum w:abstractNumId="685">
    <w:nsid w:val="7BE319E5"/>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686">
    <w:nsid w:val="4A2CDADC"/>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abstractNum>
  <w:abstractNum w:abstractNumId="687">
    <w:nsid w:val="BB02F47"/>
    <w:multiLevelType w:val="hybridMultilevel"/>
    <w:lvl w:ilvl="0">
      <w:lvlJc w:val="left"/>
      <w:lvlText w:val="%1."/>
      <w:numFmt w:val="decimal"/>
      <w:start w:val="5"/>
    </w:lvl>
    <w:lvl w:ilvl="1">
      <w:lvlJc w:val="left"/>
      <w:lvlText w:val="%2"/>
      <w:numFmt w:val="decimal"/>
      <w:start w:val="1"/>
    </w:lvl>
    <w:lvl w:ilvl="2">
      <w:lvlJc w:val="left"/>
      <w:lvlText w:val="%3"/>
      <w:numFmt w:val="upperLetter"/>
      <w:start w:val="1"/>
    </w:lvl>
  </w:abstractNum>
  <w:abstractNum w:abstractNumId="688">
    <w:nsid w:val="30DD9510"/>
    <w:multiLevelType w:val="hybridMultilevel"/>
    <w:lvl w:ilvl="0">
      <w:lvlJc w:val="left"/>
      <w:lvlText w:val="%1."/>
      <w:numFmt w:val="upperLetter"/>
      <w:start w:val="2"/>
    </w:lvl>
  </w:abstractNum>
  <w:abstractNum w:abstractNumId="689">
    <w:nsid w:val="56D43898"/>
    <w:multiLevelType w:val="hybridMultilevel"/>
    <w:lvl w:ilvl="0">
      <w:lvlJc w:val="left"/>
      <w:lvlText w:val="%1."/>
      <w:numFmt w:val="decimal"/>
      <w:start w:val="1"/>
    </w:lvl>
    <w:lvl w:ilvl="1">
      <w:lvlJc w:val="left"/>
      <w:lvlText w:val="%2."/>
      <w:numFmt w:val="decimal"/>
      <w:start w:val="3"/>
    </w:lvl>
  </w:abstractNum>
  <w:abstractNum w:abstractNumId="690">
    <w:nsid w:val="76931B84"/>
    <w:multiLevelType w:val="hybridMultilevel"/>
    <w:lvl w:ilvl="0">
      <w:lvlJc w:val="left"/>
      <w:lvlText w:val="%1."/>
      <w:numFmt w:val="upperLetter"/>
      <w:start w:val="3"/>
    </w:lvl>
  </w:abstractNum>
  <w:abstractNum w:abstractNumId="691">
    <w:nsid w:val="6C17FCD6"/>
    <w:multiLevelType w:val="hybridMultilevel"/>
    <w:lvl w:ilvl="0">
      <w:lvlJc w:val="left"/>
      <w:lvlText w:val="(%1)"/>
      <w:numFmt w:val="upperLetter"/>
      <w:start w:val="2"/>
    </w:lvl>
  </w:abstractNum>
  <w:abstractNum w:abstractNumId="692">
    <w:nsid w:val="4FA4B5A1"/>
    <w:multiLevelType w:val="hybridMultilevel"/>
    <w:lvl w:ilvl="0">
      <w:lvlJc w:val="left"/>
      <w:lvlText w:val="%1."/>
      <w:numFmt w:val="upperLetter"/>
      <w:start w:val="4"/>
    </w:lvl>
  </w:abstractNum>
  <w:abstractNum w:abstractNumId="693">
    <w:nsid w:val="3189923B"/>
    <w:multiLevelType w:val="hybridMultilevel"/>
    <w:lvl w:ilvl="0">
      <w:lvlJc w:val="left"/>
      <w:lvlText w:val="%1."/>
      <w:numFmt w:val="upperLetter"/>
      <w:start w:val="5"/>
    </w:lvl>
  </w:abstractNum>
  <w:abstractNum w:abstractNumId="694">
    <w:nsid w:val="5787D524"/>
    <w:multiLevelType w:val="hybridMultilevel"/>
    <w:lvl w:ilvl="0">
      <w:lvlJc w:val="left"/>
      <w:lvlText w:val="%1."/>
      <w:numFmt w:val="decimal"/>
      <w:start w:val="1"/>
    </w:lvl>
    <w:lvl w:ilvl="1">
      <w:lvlJc w:val="left"/>
      <w:lvlText w:val="%2."/>
      <w:numFmt w:val="lowerLetter"/>
      <w:start w:val="1"/>
    </w:lvl>
  </w:abstractNum>
  <w:abstractNum w:abstractNumId="695">
    <w:nsid w:val="19248B51"/>
    <w:multiLevelType w:val="hybridMultilevel"/>
    <w:lvl w:ilvl="0">
      <w:lvlJc w:val="left"/>
      <w:lvlText w:val="%1"/>
      <w:numFmt w:val="decimal"/>
      <w:start w:val="1"/>
    </w:lvl>
    <w:lvl w:ilvl="1">
      <w:lvlJc w:val="left"/>
      <w:lvlText w:val="%2."/>
      <w:numFmt w:val="lowerLetter"/>
      <w:start w:val="3"/>
    </w:lvl>
  </w:abstractNum>
  <w:abstractNum w:abstractNumId="696">
    <w:nsid w:val="132F561F"/>
    <w:multiLevelType w:val="hybridMultilevel"/>
    <w:lvl w:ilvl="0">
      <w:lvlJc w:val="left"/>
      <w:lvlText w:val="%1."/>
      <w:numFmt w:val="decimal"/>
      <w:start w:val="2"/>
    </w:lvl>
    <w:lvl w:ilvl="1">
      <w:lvlJc w:val="left"/>
      <w:lvlText w:val="%2"/>
      <w:numFmt w:val="lowerLetter"/>
      <w:start w:val="1"/>
    </w:lvl>
  </w:abstractNum>
  <w:abstractNum w:abstractNumId="697">
    <w:nsid w:val="67358E1D"/>
    <w:multiLevelType w:val="hybridMultilevel"/>
    <w:lvl w:ilvl="0">
      <w:lvlJc w:val="left"/>
      <w:lvlText w:val="%1"/>
      <w:numFmt w:val="decimal"/>
      <w:start w:val="1"/>
    </w:lvl>
    <w:lvl w:ilvl="1">
      <w:lvlJc w:val="left"/>
      <w:lvlText w:val="%2."/>
      <w:numFmt w:val="upperLetter"/>
      <w:start w:val="1"/>
    </w:lvl>
  </w:abstractNum>
  <w:abstractNum w:abstractNumId="698">
    <w:nsid w:val="570FD06B"/>
    <w:multiLevelType w:val="hybridMultilevel"/>
    <w:lvl w:ilvl="0">
      <w:lvlJc w:val="left"/>
      <w:lvlText w:val="%1."/>
      <w:numFmt w:val="decimal"/>
      <w:start w:val="1"/>
    </w:lvl>
    <w:lvl w:ilvl="1">
      <w:lvlJc w:val="left"/>
      <w:lvlText w:val="%2"/>
      <w:numFmt w:val="upperLetter"/>
      <w:start w:val="1"/>
    </w:lvl>
  </w:abstractNum>
  <w:abstractNum w:abstractNumId="699">
    <w:nsid w:val="1D86D5F5"/>
    <w:multiLevelType w:val="hybridMultilevel"/>
    <w:lvl w:ilvl="0">
      <w:lvlJc w:val="left"/>
      <w:lvlText w:val="%1."/>
      <w:numFmt w:val="upperLetter"/>
      <w:start w:val="2"/>
    </w:lvl>
  </w:abstractNum>
  <w:abstractNum w:abstractNumId="700">
    <w:nsid w:val="691ABF5A"/>
    <w:multiLevelType w:val="hybridMultilevel"/>
    <w:lvl w:ilvl="0">
      <w:lvlJc w:val="left"/>
      <w:lvlText w:val="%1."/>
      <w:numFmt w:val="upperLetter"/>
      <w:start w:val="3"/>
    </w:lvl>
  </w:abstractNum>
  <w:abstractNum w:abstractNumId="701">
    <w:nsid w:val="7247C47D"/>
    <w:multiLevelType w:val="hybridMultilevel"/>
    <w:lvl w:ilvl="0">
      <w:lvlJc w:val="left"/>
      <w:lvlText w:val="%1."/>
      <w:numFmt w:val="decimal"/>
      <w:start w:val="1"/>
    </w:lvl>
    <w:lvl w:ilvl="1">
      <w:lvlJc w:val="left"/>
      <w:lvlText w:val="%2."/>
      <w:numFmt w:val="lowerLetter"/>
      <w:start w:val="1"/>
    </w:lvl>
  </w:abstractNum>
  <w:abstractNum w:abstractNumId="702">
    <w:nsid w:val="22509110"/>
    <w:multiLevelType w:val="hybridMultilevel"/>
    <w:lvl w:ilvl="0">
      <w:lvlJc w:val="left"/>
      <w:lvlText w:val="%1."/>
      <w:numFmt w:val="upperLetter"/>
      <w:start w:val="6"/>
    </w:lvl>
  </w:abstractNum>
  <w:abstractNum w:abstractNumId="703">
    <w:nsid w:val="B912ED8"/>
    <w:multiLevelType w:val="hybridMultilevel"/>
    <w:lvl w:ilvl="0">
      <w:lvlJc w:val="left"/>
      <w:lvlText w:val="%1."/>
      <w:numFmt w:val="upperLetter"/>
      <w:start w:val="7"/>
    </w:lvl>
  </w:abstractNum>
  <w:abstractNum w:abstractNumId="704">
    <w:nsid w:val="1B7E7B17"/>
    <w:multiLevelType w:val="hybridMultilevel"/>
    <w:lvl w:ilvl="0">
      <w:lvlJc w:val="left"/>
      <w:lvlText w:val="%1."/>
      <w:numFmt w:val="upperLetter"/>
      <w:start w:val="12"/>
    </w:lvl>
  </w:abstractNum>
  <w:abstractNum w:abstractNumId="705">
    <w:nsid w:val="69DFFC"/>
    <w:multiLevelType w:val="hybridMultilevel"/>
    <w:lvl w:ilvl="0">
      <w:lvlJc w:val="left"/>
      <w:lvlText w:val="%1."/>
      <w:numFmt w:val="decimal"/>
      <w:start w:val="1"/>
    </w:lvl>
  </w:abstractNum>
  <w:abstractNum w:abstractNumId="706">
    <w:nsid w:val="F47CDA5"/>
    <w:multiLevelType w:val="hybridMultilevel"/>
    <w:lvl w:ilvl="0">
      <w:lvlJc w:val="left"/>
      <w:lvlText w:val="%1."/>
      <w:numFmt w:val="upperLetter"/>
      <w:start w:val="16"/>
    </w:lvl>
  </w:abstractNum>
  <w:abstractNum w:abstractNumId="707">
    <w:nsid w:val="12B4903D"/>
    <w:multiLevelType w:val="hybridMultilevel"/>
    <w:lvl w:ilvl="0">
      <w:lvlJc w:val="left"/>
      <w:lvlText w:val="["/>
      <w:numFmt w:val="bullet"/>
      <w:start w:val="1"/>
    </w:lvl>
  </w:abstractNum>
  <w:abstractNum w:abstractNumId="708">
    <w:nsid w:val="73A2668C"/>
    <w:multiLevelType w:val="hybridMultilevel"/>
    <w:lvl w:ilvl="0">
      <w:lvlJc w:val="left"/>
      <w:lvlText w:val="["/>
      <w:numFmt w:val="bullet"/>
      <w:start w:val="1"/>
    </w:lvl>
  </w:abstractNum>
  <w:abstractNum w:abstractNumId="709">
    <w:nsid w:val="147F4B24"/>
    <w:multiLevelType w:val="hybridMultilevel"/>
    <w:lvl w:ilvl="0">
      <w:lvlJc w:val="left"/>
      <w:lvlText w:val="\ldblquote"/>
      <w:numFmt w:val="bullet"/>
      <w:start w:val="1"/>
    </w:lvl>
  </w:abstractNum>
  <w:abstractNum w:abstractNumId="710">
    <w:nsid w:val="5429ABEF"/>
    <w:multiLevelType w:val="hybridMultilevel"/>
    <w:lvl w:ilvl="0">
      <w:lvlJc w:val="left"/>
      <w:lvlText w:val="(%1)"/>
      <w:numFmt w:val="lowerLetter"/>
      <w:start w:val="2"/>
    </w:lvl>
    <w:lvl w:ilvl="1">
      <w:lvlJc w:val="left"/>
      <w:lvlText w:val="\ldblquote"/>
      <w:numFmt w:val="bullet"/>
      <w:start w:val="1"/>
    </w:lvl>
  </w:abstractNum>
  <w:abstractNum w:abstractNumId="711">
    <w:nsid w:val="52DFA1FC"/>
    <w:multiLevelType w:val="hybridMultilevel"/>
    <w:lvl w:ilvl="0">
      <w:lvlJc w:val="left"/>
      <w:lvlText w:val="(%1)"/>
      <w:numFmt w:val="lowerLetter"/>
      <w:start w:val="3"/>
    </w:lvl>
    <w:lvl w:ilvl="1">
      <w:lvlJc w:val="left"/>
      <w:lvlText w:val="\ldblquote"/>
      <w:numFmt w:val="bullet"/>
      <w:start w:val="1"/>
    </w:lvl>
  </w:abstractNum>
  <w:abstractNum w:abstractNumId="712">
    <w:nsid w:val="36BEF0DA"/>
    <w:multiLevelType w:val="hybridMultilevel"/>
    <w:lvl w:ilvl="0">
      <w:lvlJc w:val="left"/>
      <w:lvlText w:val="\ldblquote"/>
      <w:numFmt w:val="bullet"/>
      <w:start w:val="1"/>
    </w:lvl>
  </w:abstractNum>
  <w:abstractNum w:abstractNumId="713">
    <w:nsid w:val="7DFA51CE"/>
    <w:multiLevelType w:val="hybridMultilevel"/>
    <w:lvl w:ilvl="0">
      <w:lvlJc w:val="left"/>
      <w:lvlText w:val="(%1)"/>
      <w:numFmt w:val="decimal"/>
      <w:start w:val="1"/>
    </w:lvl>
    <w:lvl w:ilvl="1">
      <w:lvlJc w:val="left"/>
      <w:lvlText w:val="\ldblquote"/>
      <w:numFmt w:val="bullet"/>
      <w:start w:val="1"/>
    </w:lvl>
  </w:abstractNum>
  <w:abstractNum w:abstractNumId="714">
    <w:nsid w:val="170D654E"/>
    <w:multiLevelType w:val="hybridMultilevel"/>
    <w:lvl w:ilvl="0">
      <w:lvlJc w:val="left"/>
      <w:lvlText w:val="\ldblquote"/>
      <w:numFmt w:val="bullet"/>
      <w:start w:val="1"/>
    </w:lvl>
  </w:abstractNum>
  <w:abstractNum w:abstractNumId="715">
    <w:nsid w:val="6E7417AC"/>
    <w:multiLevelType w:val="hybridMultilevel"/>
    <w:lvl w:ilvl="0">
      <w:lvlJc w:val="left"/>
      <w:lvlText w:val="\ldblquote"/>
      <w:numFmt w:val="bullet"/>
      <w:start w:val="1"/>
    </w:lvl>
  </w:abstractNum>
  <w:abstractNum w:abstractNumId="716">
    <w:nsid w:val="79DD6BB3"/>
    <w:multiLevelType w:val="hybridMultilevel"/>
    <w:lvl w:ilvl="0">
      <w:lvlJc w:val="left"/>
      <w:lvlText w:val="\ldblquote"/>
      <w:numFmt w:val="bullet"/>
      <w:start w:val="1"/>
    </w:lvl>
  </w:abstractNum>
  <w:abstractNum w:abstractNumId="717">
    <w:nsid w:val="613A402A"/>
    <w:multiLevelType w:val="hybridMultilevel"/>
    <w:lvl w:ilvl="0">
      <w:lvlJc w:val="left"/>
      <w:lvlText w:val="\ldblquote"/>
      <w:numFmt w:val="bullet"/>
      <w:start w:val="1"/>
    </w:lvl>
  </w:abstractNum>
  <w:abstractNum w:abstractNumId="718">
    <w:nsid w:val="7A2446F3"/>
    <w:multiLevelType w:val="hybridMultilevel"/>
    <w:lvl w:ilvl="0">
      <w:lvlJc w:val="left"/>
      <w:lvlText w:val="•"/>
      <w:numFmt w:val="bullet"/>
      <w:start w:val="1"/>
    </w:lvl>
  </w:abstractNum>
  <w:abstractNum w:abstractNumId="719">
    <w:nsid w:val="2ABB00C4"/>
    <w:multiLevelType w:val="hybridMultilevel"/>
    <w:lvl w:ilvl="0">
      <w:lvlJc w:val="left"/>
      <w:lvlText w:val="(%1)"/>
      <w:numFmt w:val="upperLetter"/>
      <w:start w:val="2"/>
    </w:lvl>
  </w:abstractNum>
  <w:abstractNum w:abstractNumId="720">
    <w:nsid w:val="380E78C3"/>
    <w:multiLevelType w:val="hybridMultilevel"/>
    <w:lvl w:ilvl="0">
      <w:lvlJc w:val="left"/>
      <w:lvlText w:val="["/>
      <w:numFmt w:val="bullet"/>
      <w:start w:val="1"/>
    </w:lvl>
  </w:abstractNum>
  <w:abstractNum w:abstractNumId="721">
    <w:nsid w:val="70B76277"/>
    <w:multiLevelType w:val="hybridMultilevel"/>
    <w:lvl w:ilvl="0">
      <w:lvlJc w:val="left"/>
      <w:lvlText w:val="["/>
      <w:numFmt w:val="bullet"/>
      <w:start w:val="1"/>
    </w:lvl>
  </w:abstractNum>
  <w:abstractNum w:abstractNumId="722">
    <w:nsid w:val="16D2FD9A"/>
    <w:multiLevelType w:val="hybridMultilevel"/>
    <w:lvl w:ilvl="0">
      <w:lvlJc w:val="left"/>
      <w:lvlText w:val="\ldblquote"/>
      <w:numFmt w:val="bullet"/>
      <w:start w:val="1"/>
    </w:lvl>
  </w:abstractNum>
  <w:abstractNum w:abstractNumId="723">
    <w:nsid w:val="7B32E64"/>
    <w:multiLevelType w:val="hybridMultilevel"/>
    <w:lvl w:ilvl="0">
      <w:lvlJc w:val="left"/>
      <w:lvlText w:val="\ldblquote"/>
      <w:numFmt w:val="bullet"/>
      <w:start w:val="1"/>
    </w:lvl>
  </w:abstractNum>
  <w:abstractNum w:abstractNumId="724">
    <w:nsid w:val="2240F4B2"/>
    <w:multiLevelType w:val="hybridMultilevel"/>
    <w:lvl w:ilvl="0">
      <w:lvlJc w:val="left"/>
      <w:lvlText w:val="(%1)"/>
      <w:numFmt w:val="lowerLetter"/>
      <w:start w:val="1"/>
    </w:lvl>
    <w:lvl w:ilvl="1">
      <w:lvlJc w:val="left"/>
      <w:lvlText w:val="(%2)"/>
      <w:numFmt w:val="lowerLetter"/>
      <w:start w:val="9"/>
    </w:lvl>
  </w:abstractNum>
  <w:abstractNum w:abstractNumId="725">
    <w:nsid w:val="6E5AD2BE"/>
    <w:multiLevelType w:val="hybridMultilevel"/>
    <w:lvl w:ilvl="0">
      <w:lvlJc w:val="left"/>
      <w:lvlText w:val="%1"/>
      <w:numFmt w:val="lowerLetter"/>
      <w:start w:val="1"/>
    </w:lvl>
    <w:lvl w:ilvl="1">
      <w:lvlJc w:val="left"/>
      <w:lvlText w:val="(%2)"/>
      <w:numFmt w:val="lowerLetter"/>
      <w:start w:val="61"/>
    </w:lvl>
  </w:abstractNum>
  <w:abstractNum w:abstractNumId="726">
    <w:nsid w:val="20D7B9B5"/>
    <w:multiLevelType w:val="hybridMultilevel"/>
    <w:lvl w:ilvl="0">
      <w:lvlJc w:val="left"/>
      <w:lvlText w:val="(%1)"/>
      <w:numFmt w:val="lowerLetter"/>
      <w:start w:val="2"/>
    </w:lvl>
    <w:lvl w:ilvl="1">
      <w:lvlJc w:val="left"/>
      <w:lvlText w:val="%2"/>
      <w:numFmt w:val="lowerLetter"/>
      <w:start w:val="1"/>
    </w:lvl>
  </w:abstractNum>
  <w:abstractNum w:abstractNumId="727">
    <w:nsid w:val="35704AD1"/>
    <w:multiLevelType w:val="hybridMultilevel"/>
    <w:lvl w:ilvl="0">
      <w:lvlJc w:val="left"/>
      <w:lvlText w:val="\ldblquote"/>
      <w:numFmt w:val="bullet"/>
      <w:start w:val="1"/>
    </w:lvl>
  </w:abstractNum>
  <w:abstractNum w:abstractNumId="728">
    <w:nsid w:val="559060DB"/>
    <w:multiLevelType w:val="hybridMultilevel"/>
    <w:lvl w:ilvl="0">
      <w:lvlJc w:val="left"/>
      <w:lvlText w:val="\ldblquote"/>
      <w:numFmt w:val="bullet"/>
      <w:start w:val="1"/>
    </w:lvl>
    <w:lvl w:ilvl="1">
      <w:lvlJc w:val="left"/>
      <w:lvlText w:val="(%2)"/>
      <w:numFmt w:val="lowerRoman"/>
      <w:start w:val="1"/>
    </w:lvl>
  </w:abstractNum>
  <w:abstractNum w:abstractNumId="729">
    <w:nsid w:val="77E78A20"/>
    <w:multiLevelType w:val="hybridMultilevel"/>
    <w:lvl w:ilvl="0">
      <w:lvlJc w:val="left"/>
      <w:lvlText w:val="(%1)"/>
      <w:numFmt w:val="lowerRoman"/>
      <w:start w:val="2"/>
    </w:lvl>
  </w:abstractNum>
  <w:abstractNum w:abstractNumId="730">
    <w:nsid w:val="52F720C6"/>
    <w:multiLevelType w:val="hybridMultilevel"/>
    <w:lvl w:ilvl="0">
      <w:lvlJc w:val="left"/>
      <w:lvlText w:val="]"/>
      <w:numFmt w:val="bullet"/>
      <w:start w:val="1"/>
    </w:lvl>
  </w:abstractNum>
  <w:abstractNum w:abstractNumId="731">
    <w:nsid w:val="3EAB2035"/>
    <w:multiLevelType w:val="hybridMultilevel"/>
    <w:lvl w:ilvl="0">
      <w:lvlJc w:val="left"/>
      <w:lvlText w:val="\ldblquote"/>
      <w:numFmt w:val="bullet"/>
      <w:start w:val="1"/>
    </w:lvl>
  </w:abstractNum>
  <w:abstractNum w:abstractNumId="732">
    <w:nsid w:val="6A2F4E9D"/>
    <w:multiLevelType w:val="hybridMultilevel"/>
    <w:lvl w:ilvl="0">
      <w:lvlJc w:val="left"/>
      <w:lvlText w:val="\ldblquote"/>
      <w:numFmt w:val="bullet"/>
      <w:start w:val="1"/>
    </w:lvl>
  </w:abstractNum>
  <w:abstractNum w:abstractNumId="733">
    <w:nsid w:val="7547B1D6"/>
    <w:multiLevelType w:val="hybridMultilevel"/>
    <w:lvl w:ilvl="0">
      <w:lvlJc w:val="left"/>
      <w:lvlText w:val="\ldblquote"/>
      <w:numFmt w:val="bullet"/>
      <w:start w:val="1"/>
    </w:lvl>
  </w:abstractNum>
  <w:abstractNum w:abstractNumId="734">
    <w:nsid w:val="4A3C4F0E"/>
    <w:multiLevelType w:val="hybridMultilevel"/>
    <w:lvl w:ilvl="0">
      <w:lvlJc w:val="left"/>
      <w:lvlText w:val="\ldblquote"/>
      <w:numFmt w:val="bullet"/>
      <w:start w:val="1"/>
    </w:lvl>
  </w:abstractNum>
  <w:abstractNum w:abstractNumId="735">
    <w:nsid w:val="5ADC9B4"/>
    <w:multiLevelType w:val="hybridMultilevel"/>
    <w:lvl w:ilvl="0">
      <w:lvlJc w:val="left"/>
      <w:lvlText w:val="(%1)"/>
      <w:numFmt w:val="decimal"/>
      <w:start w:val="1"/>
    </w:lvl>
  </w:abstractNum>
  <w:abstractNum w:abstractNumId="736">
    <w:nsid w:val="75B191D3"/>
    <w:multiLevelType w:val="hybridMultilevel"/>
    <w:lvl w:ilvl="0">
      <w:lvlJc w:val="left"/>
      <w:lvlText w:val="\ldblquote"/>
      <w:numFmt w:val="bullet"/>
      <w:start w:val="1"/>
    </w:lvl>
  </w:abstractNum>
  <w:abstractNum w:abstractNumId="737">
    <w:nsid w:val="59841CB3"/>
    <w:multiLevelType w:val="hybridMultilevel"/>
    <w:lvl w:ilvl="0">
      <w:lvlJc w:val="left"/>
      <w:lvlText w:val="(%1)"/>
      <w:numFmt w:val="upperLetter"/>
      <w:start w:val="1"/>
    </w:lvl>
  </w:abstractNum>
  <w:abstractNum w:abstractNumId="738">
    <w:nsid w:val="186259F2"/>
    <w:multiLevelType w:val="hybridMultilevel"/>
    <w:lvl w:ilvl="0">
      <w:lvlJc w:val="left"/>
      <w:lvlText w:val="(%1)"/>
      <w:numFmt w:val="upperLetter"/>
      <w:start w:val="2"/>
    </w:lvl>
  </w:abstractNum>
  <w:abstractNum w:abstractNumId="739">
    <w:nsid w:val="6953F85F"/>
    <w:multiLevelType w:val="hybridMultilevel"/>
    <w:lvl w:ilvl="0">
      <w:lvlJc w:val="left"/>
      <w:lvlText w:val="(%1)"/>
      <w:numFmt w:val="upperLetter"/>
      <w:start w:val="13"/>
    </w:lvl>
  </w:abstractNum>
  <w:abstractNum w:abstractNumId="740">
    <w:nsid w:val="6E0367D7"/>
    <w:multiLevelType w:val="hybridMultilevel"/>
    <w:lvl w:ilvl="0">
      <w:lvlJc w:val="left"/>
      <w:lvlText w:val="\ldblquote"/>
      <w:numFmt w:val="bullet"/>
      <w:start w:val="1"/>
    </w:lvl>
  </w:abstractNum>
  <w:abstractNum w:abstractNumId="741">
    <w:nsid w:val="6C8C05E1"/>
    <w:multiLevelType w:val="hybridMultilevel"/>
    <w:lvl w:ilvl="0">
      <w:lvlJc w:val="left"/>
      <w:lvlText w:val="\ldblquote"/>
      <w:numFmt w:val="bullet"/>
      <w:start w:val="1"/>
    </w:lvl>
  </w:abstractNum>
  <w:abstractNum w:abstractNumId="742">
    <w:nsid w:val="3C339A5B"/>
    <w:multiLevelType w:val="hybridMultilevel"/>
    <w:lvl w:ilvl="0">
      <w:lvlJc w:val="left"/>
      <w:lvlText w:val="\ldblquote"/>
      <w:numFmt w:val="bullet"/>
      <w:start w:val="1"/>
    </w:lvl>
  </w:abstractNum>
  <w:abstractNum w:abstractNumId="743">
    <w:nsid w:val="24C258B1"/>
    <w:multiLevelType w:val="hybridMultilevel"/>
    <w:lvl w:ilvl="0">
      <w:lvlJc w:val="left"/>
      <w:lvlText w:val="["/>
      <w:numFmt w:val="bullet"/>
      <w:start w:val="1"/>
    </w:lvl>
  </w:abstractNum>
  <w:abstractNum w:abstractNumId="744">
    <w:nsid w:val="6A8657B0"/>
    <w:multiLevelType w:val="hybridMultilevel"/>
    <w:lvl w:ilvl="0">
      <w:lvlJc w:val="left"/>
      <w:lvlText w:val="\ldblquote"/>
      <w:numFmt w:val="bullet"/>
      <w:start w:val="1"/>
    </w:lvl>
  </w:abstractNum>
  <w:abstractNum w:abstractNumId="745">
    <w:nsid w:val="5340FFA9"/>
    <w:multiLevelType w:val="hybridMultilevel"/>
    <w:lvl w:ilvl="0">
      <w:lvlJc w:val="left"/>
      <w:lvlText w:val="\ldblquote"/>
      <w:numFmt w:val="bullet"/>
      <w:start w:val="1"/>
    </w:lvl>
  </w:abstractNum>
  <w:abstractNum w:abstractNumId="746">
    <w:nsid w:val="1336705D"/>
    <w:multiLevelType w:val="hybridMultilevel"/>
    <w:lvl w:ilvl="0">
      <w:lvlJc w:val="left"/>
      <w:lvlText w:val="\ldblquote"/>
      <w:numFmt w:val="bullet"/>
      <w:start w:val="1"/>
    </w:lvl>
  </w:abstractNum>
  <w:abstractNum w:abstractNumId="747">
    <w:nsid w:val="6463C363"/>
    <w:multiLevelType w:val="hybridMultilevel"/>
    <w:lvl w:ilvl="0">
      <w:lvlJc w:val="left"/>
      <w:lvlText w:val="\ldblquote"/>
      <w:numFmt w:val="bullet"/>
      <w:start w:val="1"/>
    </w:lvl>
    <w:lvl w:ilvl="1">
      <w:lvlJc w:val="left"/>
      <w:lvlText w:val="(%2)"/>
      <w:numFmt w:val="lowerRoman"/>
      <w:start w:val="1"/>
    </w:lvl>
  </w:abstractNum>
  <w:abstractNum w:abstractNumId="748">
    <w:nsid w:val="347B3FD3"/>
    <w:multiLevelType w:val="hybridMultilevel"/>
    <w:lvl w:ilvl="0">
      <w:lvlJc w:val="left"/>
      <w:lvlText w:val="(%1)"/>
      <w:numFmt w:val="lowerRoman"/>
      <w:start w:val="6"/>
    </w:lvl>
  </w:abstractNum>
  <w:abstractNum w:abstractNumId="749">
    <w:nsid w:val="D5AB751"/>
    <w:multiLevelType w:val="hybridMultilevel"/>
    <w:lvl w:ilvl="0">
      <w:lvlJc w:val="left"/>
      <w:lvlText w:val="(%1)"/>
      <w:numFmt w:val="lowerRoman"/>
      <w:start w:val="7"/>
    </w:lvl>
  </w:abstractNum>
  <w:abstractNum w:abstractNumId="750">
    <w:nsid w:val="F1EC427"/>
    <w:multiLevelType w:val="hybridMultilevel"/>
    <w:lvl w:ilvl="0">
      <w:lvlJc w:val="left"/>
      <w:lvlText w:val="\ldblquote"/>
      <w:numFmt w:val="bullet"/>
      <w:start w:val="1"/>
    </w:lvl>
  </w:abstractNum>
  <w:abstractNum w:abstractNumId="751">
    <w:nsid w:val="6C89B896"/>
    <w:multiLevelType w:val="hybridMultilevel"/>
    <w:lvl w:ilvl="0">
      <w:lvlJc w:val="left"/>
      <w:lvlText w:val="\ldblquote"/>
      <w:numFmt w:val="bullet"/>
      <w:start w:val="1"/>
    </w:lvl>
  </w:abstractNum>
  <w:abstractNum w:abstractNumId="752">
    <w:nsid w:val="7E1219C8"/>
    <w:multiLevelType w:val="hybridMultilevel"/>
    <w:lvl w:ilvl="0">
      <w:lvlJc w:val="left"/>
      <w:lvlText w:val="%1"/>
      <w:numFmt w:val="lowerRoman"/>
      <w:start w:val="2"/>
    </w:lvl>
  </w:abstractNum>
  <w:abstractNum w:abstractNumId="753">
    <w:nsid w:val="25F1C1C1"/>
    <w:multiLevelType w:val="hybridMultilevel"/>
    <w:lvl w:ilvl="0">
      <w:lvlJc w:val="left"/>
      <w:lvlText w:val="\ldblquote"/>
      <w:numFmt w:val="bullet"/>
      <w:start w:val="1"/>
    </w:lvl>
  </w:abstractNum>
  <w:abstractNum w:abstractNumId="754">
    <w:nsid w:val="743CE6FA"/>
    <w:multiLevelType w:val="hybridMultilevel"/>
    <w:lvl w:ilvl="0">
      <w:lvlJc w:val="left"/>
      <w:lvlText w:val="(%1)"/>
      <w:numFmt w:val="upperLetter"/>
      <w:start w:val="1"/>
    </w:lvl>
  </w:abstractNum>
  <w:abstractNum w:abstractNumId="755">
    <w:nsid w:val="20530E7B"/>
    <w:multiLevelType w:val="hybridMultilevel"/>
    <w:lvl w:ilvl="0">
      <w:lvlJc w:val="left"/>
      <w:lvlText w:val="(%1)"/>
      <w:numFmt w:val="lowerLetter"/>
      <w:start w:val="2"/>
    </w:lvl>
    <w:lvl w:ilvl="1">
      <w:lvlJc w:val="left"/>
      <w:lvlText w:val="\ldblquote"/>
      <w:numFmt w:val="bullet"/>
      <w:start w:val="1"/>
    </w:lvl>
  </w:abstractNum>
  <w:abstractNum w:abstractNumId="756">
    <w:nsid w:val="144C9480"/>
    <w:multiLevelType w:val="hybridMultilevel"/>
    <w:lvl w:ilvl="0">
      <w:lvlJc w:val="left"/>
      <w:lvlText w:val="(%1)"/>
      <w:numFmt w:val="upperLetter"/>
      <w:start w:val="2"/>
    </w:lvl>
  </w:abstractNum>
  <w:abstractNum w:abstractNumId="757">
    <w:nsid w:val="1514A0AF"/>
    <w:multiLevelType w:val="hybridMultilevel"/>
    <w:lvl w:ilvl="0">
      <w:lvlJc w:val="left"/>
      <w:lvlText w:val="\ldblquote"/>
      <w:numFmt w:val="bullet"/>
      <w:start w:val="1"/>
    </w:lvl>
  </w:abstractNum>
  <w:abstractNum w:abstractNumId="758">
    <w:nsid w:val="55C3594C"/>
    <w:multiLevelType w:val="hybridMultilevel"/>
    <w:lvl w:ilvl="0">
      <w:lvlJc w:val="left"/>
      <w:lvlText w:val="\ldblquote"/>
      <w:numFmt w:val="bullet"/>
      <w:start w:val="1"/>
    </w:lvl>
  </w:abstractNum>
  <w:abstractNum w:abstractNumId="759">
    <w:nsid w:val="69DCF55B"/>
    <w:multiLevelType w:val="hybridMultilevel"/>
    <w:lvl w:ilvl="0">
      <w:lvlJc w:val="left"/>
      <w:lvlText w:val="(%1)"/>
      <w:numFmt w:val="lowerRoman"/>
      <w:start w:val="1"/>
    </w:lvl>
  </w:abstractNum>
  <w:abstractNum w:abstractNumId="760">
    <w:nsid w:val="CFC2ACF"/>
    <w:multiLevelType w:val="hybridMultilevel"/>
    <w:lvl w:ilvl="0">
      <w:lvlJc w:val="left"/>
      <w:lvlText w:val="\ldblquote"/>
      <w:numFmt w:val="bullet"/>
      <w:start w:val="1"/>
    </w:lvl>
  </w:abstractNum>
  <w:abstractNum w:abstractNumId="761">
    <w:nsid w:val="28BA7A13"/>
    <w:multiLevelType w:val="hybridMultilevel"/>
    <w:lvl w:ilvl="0">
      <w:lvlJc w:val="left"/>
      <w:lvlText w:val="\ldblquote"/>
      <w:numFmt w:val="bullet"/>
      <w:start w:val="1"/>
    </w:lvl>
  </w:abstractNum>
  <w:abstractNum w:abstractNumId="762">
    <w:nsid w:val="28881591"/>
    <w:multiLevelType w:val="hybridMultilevel"/>
    <w:lvl w:ilvl="0">
      <w:lvlJc w:val="left"/>
      <w:lvlText w:val="\ldblquote"/>
      <w:numFmt w:val="bullet"/>
      <w:start w:val="1"/>
    </w:lvl>
  </w:abstractNum>
  <w:abstractNum w:abstractNumId="763">
    <w:nsid w:val="772B796C"/>
    <w:multiLevelType w:val="hybridMultilevel"/>
    <w:lvl w:ilvl="0">
      <w:lvlJc w:val="left"/>
      <w:lvlText w:val="\ldblquote"/>
      <w:numFmt w:val="bullet"/>
      <w:start w:val="1"/>
    </w:lvl>
  </w:abstractNum>
  <w:abstractNum w:abstractNumId="764">
    <w:nsid w:val="1E022BE9"/>
    <w:multiLevelType w:val="hybridMultilevel"/>
    <w:lvl w:ilvl="0">
      <w:lvlJc w:val="left"/>
      <w:lvlText w:val="\ldblquote"/>
      <w:numFmt w:val="bullet"/>
      <w:start w:val="1"/>
    </w:lvl>
  </w:abstractNum>
  <w:abstractNum w:abstractNumId="765">
    <w:nsid w:val="72C4649F"/>
    <w:multiLevelType w:val="hybridMultilevel"/>
    <w:lvl w:ilvl="0">
      <w:lvlJc w:val="left"/>
      <w:lvlText w:val="\ldblquote"/>
      <w:numFmt w:val="bullet"/>
      <w:start w:val="1"/>
    </w:lvl>
  </w:abstractNum>
  <w:abstractNum w:abstractNumId="766">
    <w:nsid w:val="7CD94321"/>
    <w:multiLevelType w:val="hybridMultilevel"/>
    <w:lvl w:ilvl="0">
      <w:lvlJc w:val="left"/>
      <w:lvlText w:val="\ldblquote"/>
      <w:numFmt w:val="bullet"/>
      <w:start w:val="1"/>
    </w:lvl>
  </w:abstractNum>
  <w:abstractNum w:abstractNumId="767">
    <w:nsid w:val="13B3BDBC"/>
    <w:multiLevelType w:val="hybridMultilevel"/>
    <w:lvl w:ilvl="0">
      <w:lvlJc w:val="left"/>
      <w:lvlText w:val="\ldblquote"/>
      <w:numFmt w:val="bullet"/>
      <w:start w:val="1"/>
    </w:lvl>
  </w:abstractNum>
  <w:abstractNum w:abstractNumId="768">
    <w:nsid w:val="4C488152"/>
    <w:multiLevelType w:val="hybridMultilevel"/>
    <w:lvl w:ilvl="0">
      <w:lvlJc w:val="left"/>
      <w:lvlText w:val="\ldblquote"/>
      <w:numFmt w:val="bullet"/>
      <w:start w:val="1"/>
    </w:lvl>
  </w:abstractNum>
  <w:abstractNum w:abstractNumId="769">
    <w:nsid w:val="153B9D13"/>
    <w:multiLevelType w:val="hybridMultilevel"/>
    <w:lvl w:ilvl="0">
      <w:lvlJc w:val="left"/>
      <w:lvlText w:val="\ldblquote"/>
      <w:numFmt w:val="bullet"/>
      <w:start w:val="1"/>
    </w:lvl>
  </w:abstractNum>
  <w:abstractNum w:abstractNumId="770">
    <w:nsid w:val="7D07B61B"/>
    <w:multiLevelType w:val="hybridMultilevel"/>
    <w:lvl w:ilvl="0">
      <w:lvlJc w:val="left"/>
      <w:lvlText w:val="\ldblquote"/>
      <w:numFmt w:val="bullet"/>
      <w:start w:val="1"/>
    </w:lvl>
  </w:abstractNum>
  <w:abstractNum w:abstractNumId="771">
    <w:nsid w:val="3A4BE92A"/>
    <w:multiLevelType w:val="hybridMultilevel"/>
    <w:lvl w:ilvl="0">
      <w:lvlJc w:val="left"/>
      <w:lvlText w:val="%1"/>
      <w:numFmt w:val="lowerRoman"/>
      <w:start w:val="2"/>
    </w:lvl>
    <w:lvl w:ilvl="1">
      <w:lvlJc w:val="left"/>
      <w:lvlText w:val="\ldblquote"/>
      <w:numFmt w:val="bullet"/>
      <w:start w:val="1"/>
    </w:lvl>
  </w:abstractNum>
  <w:abstractNum w:abstractNumId="772">
    <w:nsid w:val="1C7A2F4"/>
    <w:multiLevelType w:val="hybridMultilevel"/>
    <w:lvl w:ilvl="0">
      <w:lvlJc w:val="left"/>
      <w:lvlText w:val="["/>
      <w:numFmt w:val="bullet"/>
      <w:start w:val="1"/>
    </w:lvl>
  </w:abstractNum>
  <w:abstractNum w:abstractNumId="773">
    <w:nsid w:val="393B5076"/>
    <w:multiLevelType w:val="hybridMultilevel"/>
    <w:lvl w:ilvl="0">
      <w:lvlJc w:val="left"/>
      <w:lvlText w:val="\ldblquote"/>
      <w:numFmt w:val="bullet"/>
      <w:start w:val="1"/>
    </w:lvl>
  </w:abstractNum>
  <w:abstractNum w:abstractNumId="774">
    <w:nsid w:val="5F0E41DB"/>
    <w:multiLevelType w:val="hybridMultilevel"/>
    <w:lvl w:ilvl="0">
      <w:lvlJc w:val="left"/>
      <w:lvlText w:val="["/>
      <w:numFmt w:val="bullet"/>
      <w:start w:val="1"/>
    </w:lvl>
  </w:abstractNum>
  <w:abstractNum w:abstractNumId="775">
    <w:nsid w:val="6C4DFAA4"/>
    <w:multiLevelType w:val="hybridMultilevel"/>
    <w:lvl w:ilvl="0">
      <w:lvlJc w:val="left"/>
      <w:lvlText w:val="["/>
      <w:numFmt w:val="bullet"/>
      <w:start w:val="1"/>
    </w:lvl>
    <w:lvl w:ilvl="1">
      <w:lvlJc w:val="left"/>
      <w:lvlText w:val="\ldblquote"/>
      <w:numFmt w:val="bullet"/>
      <w:start w:val="1"/>
    </w:lvl>
  </w:abstractNum>
  <w:abstractNum w:abstractNumId="776">
    <w:nsid w:val="C7C501F"/>
    <w:multiLevelType w:val="hybridMultilevel"/>
    <w:lvl w:ilvl="0">
      <w:lvlJc w:val="left"/>
      <w:lvlText w:val="\ldblquote"/>
      <w:numFmt w:val="bullet"/>
      <w:start w:val="1"/>
    </w:lvl>
  </w:abstractNum>
  <w:abstractNum w:abstractNumId="777">
    <w:nsid w:val="7244B239"/>
    <w:multiLevelType w:val="hybridMultilevel"/>
    <w:lvl w:ilvl="0">
      <w:lvlJc w:val="left"/>
      <w:lvlText w:val="(%1)"/>
      <w:numFmt w:val="lowerLetter"/>
      <w:start w:val="1"/>
    </w:lvl>
  </w:abstractNum>
  <w:abstractNum w:abstractNumId="778">
    <w:nsid w:val="50B1BE08"/>
    <w:multiLevelType w:val="hybridMultilevel"/>
    <w:lvl w:ilvl="0">
      <w:lvlJc w:val="left"/>
      <w:lvlText w:val="(%1)"/>
      <w:numFmt w:val="lowerRoman"/>
      <w:start w:val="1"/>
    </w:lvl>
  </w:abstractNum>
  <w:abstractNum w:abstractNumId="779">
    <w:nsid w:val="40F78FF3"/>
    <w:multiLevelType w:val="hybridMultilevel"/>
    <w:lvl w:ilvl="0">
      <w:lvlJc w:val="left"/>
      <w:lvlText w:val="(%1)"/>
      <w:numFmt w:val="lowerLetter"/>
      <w:start w:val="2"/>
    </w:lvl>
  </w:abstractNum>
  <w:abstractNum w:abstractNumId="780">
    <w:nsid w:val="7F9F698A"/>
    <w:multiLevelType w:val="hybridMultilevel"/>
    <w:lvl w:ilvl="0">
      <w:lvlJc w:val="left"/>
      <w:lvlText w:val="%1"/>
      <w:numFmt w:val="lowerRoman"/>
      <w:start w:val="2"/>
    </w:lvl>
  </w:abstractNum>
  <w:abstractNum w:abstractNumId="781">
    <w:nsid w:val="5FD0822F"/>
    <w:multiLevelType w:val="hybridMultilevel"/>
    <w:lvl w:ilvl="0">
      <w:lvlJc w:val="left"/>
      <w:lvlText w:val="(%1)"/>
      <w:numFmt w:val="lowerLetter"/>
      <w:start w:val="7"/>
    </w:lvl>
  </w:abstractNum>
  <w:abstractNum w:abstractNumId="782">
    <w:nsid w:val="2D814889"/>
    <w:multiLevelType w:val="hybridMultilevel"/>
    <w:lvl w:ilvl="0">
      <w:lvlJc w:val="left"/>
      <w:lvlText w:val="(%1)"/>
      <w:numFmt w:val="lowerLetter"/>
      <w:start w:val="9"/>
    </w:lvl>
  </w:abstractNum>
  <w:abstractNum w:abstractNumId="783">
    <w:nsid w:val="7DB18352"/>
    <w:multiLevelType w:val="hybridMultilevel"/>
    <w:lvl w:ilvl="0">
      <w:lvlJc w:val="left"/>
      <w:lvlText w:val="(%1)"/>
      <w:numFmt w:val="lowerLetter"/>
      <w:start w:val="26"/>
    </w:lvl>
    <w:lvl w:ilvl="1">
      <w:lvlJc w:val="left"/>
      <w:lvlText w:val="(%2)"/>
      <w:numFmt w:val="lowerLetter"/>
      <w:start w:val="11"/>
    </w:lvl>
  </w:abstractNum>
  <w:abstractNum w:abstractNumId="784">
    <w:nsid w:val="5C243F1"/>
    <w:multiLevelType w:val="hybridMultilevel"/>
    <w:lvl w:ilvl="0">
      <w:lvlJc w:val="left"/>
      <w:lvlText w:val="(%1)"/>
      <w:numFmt w:val="lowerLetter"/>
      <w:start w:val="1"/>
    </w:lvl>
  </w:abstractNum>
  <w:abstractNum w:abstractNumId="785">
    <w:nsid w:val="21BE2F84"/>
    <w:multiLevelType w:val="hybridMultilevel"/>
    <w:lvl w:ilvl="0">
      <w:lvlJc w:val="left"/>
      <w:lvlText w:val="(%1)"/>
      <w:numFmt w:val="lowerLetter"/>
      <w:start w:val="2"/>
    </w:lvl>
  </w:abstractNum>
  <w:abstractNum w:abstractNumId="786">
    <w:nsid w:val="1E0491CD"/>
    <w:multiLevelType w:val="hybridMultilevel"/>
    <w:lvl w:ilvl="0">
      <w:lvlJc w:val="left"/>
      <w:lvlText w:val="(%1)"/>
      <w:numFmt w:val="lowerLetter"/>
      <w:start w:val="4"/>
    </w:lvl>
  </w:abstractNum>
  <w:abstractNum w:abstractNumId="787">
    <w:nsid w:val="1A0ED871"/>
    <w:multiLevelType w:val="hybridMultilevel"/>
    <w:lvl w:ilvl="0">
      <w:lvlJc w:val="left"/>
      <w:lvlText w:val="(%1)"/>
      <w:numFmt w:val="lowerLetter"/>
      <w:start w:val="1"/>
    </w:lvl>
    <w:lvl w:ilvl="1">
      <w:lvlJc w:val="left"/>
      <w:lvlText w:val="(%2)"/>
      <w:numFmt w:val="lowerLetter"/>
      <w:start w:val="9"/>
    </w:lvl>
  </w:abstractNum>
  <w:abstractNum w:abstractNumId="788">
    <w:nsid w:val="36D2D033"/>
    <w:multiLevelType w:val="hybridMultilevel"/>
    <w:lvl w:ilvl="0">
      <w:lvlJc w:val="left"/>
      <w:lvlText w:val="%1"/>
      <w:numFmt w:val="lowerLetter"/>
      <w:start w:val="1"/>
    </w:lvl>
    <w:lvl w:ilvl="1">
      <w:lvlJc w:val="left"/>
      <w:lvlText w:val="(%2)"/>
      <w:numFmt w:val="lowerRoman"/>
      <w:start w:val="2"/>
    </w:lvl>
  </w:abstractNum>
  <w:abstractNum w:abstractNumId="789">
    <w:nsid w:val="73C7EB1A"/>
    <w:multiLevelType w:val="hybridMultilevel"/>
    <w:lvl w:ilvl="0">
      <w:lvlJc w:val="left"/>
      <w:lvlText w:val="(%1)"/>
      <w:numFmt w:val="lowerLetter"/>
      <w:start w:val="2"/>
    </w:lvl>
    <w:lvl w:ilvl="1">
      <w:lvlJc w:val="left"/>
      <w:lvlText w:val="(%2)"/>
      <w:numFmt w:val="lowerRoman"/>
      <w:start w:val="1"/>
    </w:lvl>
  </w:abstractNum>
  <w:abstractNum w:abstractNumId="790">
    <w:nsid w:val="3EBCDCC"/>
    <w:multiLevelType w:val="hybridMultilevel"/>
    <w:lvl w:ilvl="0">
      <w:lvlJc w:val="left"/>
      <w:lvlText w:val="%1"/>
      <w:numFmt w:val="lowerLetter"/>
      <w:start w:val="1"/>
    </w:lvl>
    <w:lvl w:ilvl="1">
      <w:lvlJc w:val="left"/>
      <w:lvlText w:val="(%2)"/>
      <w:numFmt w:val="lowerRoman"/>
      <w:start w:val="5"/>
    </w:lvl>
  </w:abstractNum>
  <w:abstractNum w:abstractNumId="791">
    <w:nsid w:val="43CEFB03"/>
    <w:multiLevelType w:val="hybridMultilevel"/>
    <w:lvl w:ilvl="0">
      <w:lvlJc w:val="left"/>
      <w:lvlText w:val="(%1)"/>
      <w:numFmt w:val="lowerLetter"/>
      <w:start w:val="4"/>
    </w:lvl>
    <w:lvl w:ilvl="1">
      <w:lvlJc w:val="left"/>
      <w:lvlText w:val="(%2)"/>
      <w:numFmt w:val="lowerRoman"/>
      <w:start w:val="1"/>
    </w:lvl>
  </w:abstractNum>
  <w:abstractNum w:abstractNumId="792">
    <w:nsid w:val="1C82652D"/>
    <w:multiLevelType w:val="hybridMultilevel"/>
    <w:lvl w:ilvl="0">
      <w:lvlJc w:val="left"/>
      <w:lvlText w:val="(%1)"/>
      <w:numFmt w:val="lowerRoman"/>
      <w:start w:val="6"/>
    </w:lvl>
  </w:abstractNum>
  <w:abstractNum w:abstractNumId="793">
    <w:nsid w:val="2C73E35D"/>
    <w:multiLevelType w:val="hybridMultilevel"/>
    <w:lvl w:ilvl="0">
      <w:lvlJc w:val="left"/>
      <w:lvlText w:val="(%1)"/>
      <w:numFmt w:val="lowerLetter"/>
      <w:start w:val="1"/>
    </w:lvl>
  </w:abstractNum>
  <w:abstractNum w:abstractNumId="794">
    <w:nsid w:val="3AFA746F"/>
    <w:multiLevelType w:val="hybridMultilevel"/>
    <w:lvl w:ilvl="0">
      <w:lvlJc w:val="left"/>
      <w:lvlText w:val="%1"/>
      <w:numFmt w:val="lowerLetter"/>
      <w:start w:val="1"/>
    </w:lvl>
    <w:lvl w:ilvl="1">
      <w:lvlJc w:val="left"/>
      <w:lvlText w:val="(%2)"/>
      <w:numFmt w:val="lowerLetter"/>
      <w:start w:val="2"/>
    </w:lvl>
  </w:abstractNum>
  <w:abstractNum w:abstractNumId="795">
    <w:nsid w:val="3A849116"/>
    <w:multiLevelType w:val="hybridMultilevel"/>
    <w:lvl w:ilvl="0">
      <w:lvlJc w:val="left"/>
      <w:lvlText w:val="(%1)"/>
      <w:numFmt w:val="lowerLetter"/>
      <w:start w:val="24"/>
    </w:lvl>
    <w:lvl w:ilvl="1">
      <w:lvlJc w:val="left"/>
      <w:lvlText w:val="%2"/>
      <w:numFmt w:val="lowerLetter"/>
      <w:start w:val="1"/>
    </w:lvl>
  </w:abstractNum>
  <w:abstractNum w:abstractNumId="796">
    <w:nsid w:val="1F3847FC"/>
    <w:multiLevelType w:val="hybridMultilevel"/>
    <w:lvl w:ilvl="0">
      <w:lvlJc w:val="left"/>
      <w:lvlText w:val="(%1)"/>
      <w:numFmt w:val="lowerLetter"/>
      <w:start w:val="1"/>
    </w:lvl>
    <w:lvl w:ilvl="1">
      <w:lvlJc w:val="left"/>
      <w:lvlText w:val="(%2)"/>
      <w:numFmt w:val="lowerRoman"/>
      <w:start w:val="1"/>
    </w:lvl>
  </w:abstractNum>
  <w:abstractNum w:abstractNumId="797">
    <w:nsid w:val="37D3B790"/>
    <w:multiLevelType w:val="hybridMultilevel"/>
    <w:lvl w:ilvl="0">
      <w:lvlJc w:val="left"/>
      <w:lvlText w:val="%1."/>
      <w:numFmt w:val="decimal"/>
      <w:start w:val="34"/>
    </w:lvl>
  </w:abstractNum>
  <w:abstractNum w:abstractNumId="798">
    <w:nsid w:val="4E384ED3"/>
    <w:multiLevelType w:val="hybridMultilevel"/>
    <w:lvl w:ilvl="0">
      <w:lvlJc w:val="left"/>
      <w:lvlText w:val="%1"/>
      <w:numFmt w:val="lowerLetter"/>
      <w:start w:val="1"/>
    </w:lvl>
    <w:lvl w:ilvl="1">
      <w:lvlJc w:val="left"/>
      <w:lvlText w:val="(%2)"/>
      <w:numFmt w:val="lowerRoman"/>
      <w:start w:val="1"/>
    </w:lvl>
  </w:abstractNum>
  <w:abstractNum w:abstractNumId="799">
    <w:nsid w:val="6B80C94F"/>
    <w:multiLevelType w:val="hybridMultilevel"/>
    <w:lvl w:ilvl="0">
      <w:lvlJc w:val="left"/>
      <w:lvlText w:val="(%1)"/>
      <w:numFmt w:val="lowerLetter"/>
      <w:start w:val="3"/>
    </w:lvl>
    <w:lvl w:ilvl="1">
      <w:lvlJc w:val="left"/>
      <w:lvlText w:val="(%2)"/>
      <w:numFmt w:val="lowerRoman"/>
      <w:start w:val="1"/>
    </w:lvl>
  </w:abstractNum>
  <w:abstractNum w:abstractNumId="800">
    <w:nsid w:val="4D0F54A3"/>
    <w:multiLevelType w:val="hybridMultilevel"/>
    <w:lvl w:ilvl="0">
      <w:lvlJc w:val="left"/>
      <w:lvlText w:val="(%1)"/>
      <w:numFmt w:val="lowerLetter"/>
      <w:start w:val="4"/>
    </w:lvl>
  </w:abstractNum>
  <w:abstractNum w:abstractNumId="801">
    <w:nsid w:val="4B4004EE"/>
    <w:multiLevelType w:val="hybridMultilevel"/>
    <w:lvl w:ilvl="0">
      <w:lvlJc w:val="left"/>
      <w:lvlText w:val="(%1)"/>
      <w:numFmt w:val="lowerLetter"/>
      <w:start w:val="1"/>
    </w:lvl>
  </w:abstractNum>
  <w:abstractNum w:abstractNumId="802">
    <w:nsid w:val="25CCB279"/>
    <w:multiLevelType w:val="hybridMultilevel"/>
    <w:lvl w:ilvl="0">
      <w:lvlJc w:val="left"/>
      <w:lvlText w:val="(%1)"/>
      <w:numFmt w:val="lowerLetter"/>
      <w:start w:val="4"/>
    </w:lvl>
  </w:abstractNum>
  <w:abstractNum w:abstractNumId="803">
    <w:nsid w:val="4ED6F798"/>
    <w:multiLevelType w:val="hybridMultilevel"/>
    <w:lvl w:ilvl="0">
      <w:lvlJc w:val="left"/>
      <w:lvlText w:val="(%1)"/>
      <w:numFmt w:val="lowerLetter"/>
      <w:start w:val="1"/>
    </w:lvl>
  </w:abstractNum>
  <w:abstractNum w:abstractNumId="804">
    <w:nsid w:val="47B5565"/>
    <w:multiLevelType w:val="hybridMultilevel"/>
    <w:lvl w:ilvl="0">
      <w:lvlJc w:val="left"/>
      <w:lvlText w:val="["/>
      <w:numFmt w:val="bullet"/>
      <w:start w:val="1"/>
    </w:lvl>
    <w:lvl w:ilvl="1">
      <w:lvlJc w:val="left"/>
      <w:lvlText w:val="(%2)"/>
      <w:numFmt w:val="lowerLetter"/>
      <w:start w:val="2"/>
    </w:lvl>
  </w:abstractNum>
  <w:abstractNum w:abstractNumId="805">
    <w:nsid w:val="4DAF454"/>
    <w:multiLevelType w:val="hybridMultilevel"/>
    <w:lvl w:ilvl="0">
      <w:lvlJc w:val="left"/>
      <w:lvlText w:val="(%1)"/>
      <w:numFmt w:val="lowerLetter"/>
      <w:start w:val="3"/>
    </w:lvl>
  </w:abstractNum>
  <w:abstractNum w:abstractNumId="806">
    <w:nsid w:val="3B24F23C"/>
    <w:multiLevelType w:val="hybridMultilevel"/>
    <w:lvl w:ilvl="0">
      <w:lvlJc w:val="left"/>
      <w:lvlText w:val="(%1)"/>
      <w:numFmt w:val="lowerLetter"/>
      <w:start w:val="4"/>
    </w:lvl>
  </w:abstractNum>
  <w:abstractNum w:abstractNumId="807">
    <w:nsid w:val="10F7A584"/>
    <w:multiLevelType w:val="hybridMultilevel"/>
    <w:lvl w:ilvl="0">
      <w:lvlJc w:val="left"/>
      <w:lvlText w:val="(%1)"/>
      <w:numFmt w:val="lowerLetter"/>
      <w:start w:val="5"/>
    </w:lvl>
  </w:abstractNum>
  <w:abstractNum w:abstractNumId="808">
    <w:nsid w:val="771FA68D"/>
    <w:multiLevelType w:val="hybridMultilevel"/>
    <w:lvl w:ilvl="0">
      <w:lvlJc w:val="left"/>
      <w:lvlText w:val="(%1)"/>
      <w:numFmt w:val="lowerLetter"/>
      <w:start w:val="1"/>
    </w:lvl>
  </w:abstractNum>
  <w:abstractNum w:abstractNumId="809">
    <w:nsid w:val="BD6B044"/>
    <w:multiLevelType w:val="hybridMultilevel"/>
    <w:lvl w:ilvl="0">
      <w:lvlJc w:val="left"/>
      <w:lvlText w:val="(%1)"/>
      <w:numFmt w:val="lowerLetter"/>
      <w:start w:val="1"/>
    </w:lvl>
    <w:lvl w:ilvl="1">
      <w:lvlJc w:val="left"/>
      <w:lvlText w:val="(%2)"/>
      <w:numFmt w:val="lowerRoman"/>
      <w:start w:val="1"/>
    </w:lvl>
  </w:abstractNum>
  <w:abstractNum w:abstractNumId="810">
    <w:nsid w:val="51EF3577"/>
    <w:multiLevelType w:val="hybridMultilevel"/>
    <w:lvl w:ilvl="0">
      <w:lvlJc w:val="left"/>
      <w:lvlText w:val="%1"/>
      <w:numFmt w:val="lowerLetter"/>
      <w:start w:val="1"/>
    </w:lvl>
    <w:lvl w:ilvl="1">
      <w:lvlJc w:val="left"/>
      <w:lvlText w:val="(%2)"/>
      <w:numFmt w:val="lowerRoman"/>
      <w:start w:val="7"/>
    </w:lvl>
  </w:abstractNum>
  <w:abstractNum w:abstractNumId="811">
    <w:nsid w:val="76BF1017"/>
    <w:multiLevelType w:val="hybridMultilevel"/>
    <w:lvl w:ilvl="0">
      <w:lvlJc w:val="left"/>
      <w:lvlText w:val="(%1)"/>
      <w:numFmt w:val="lowerLetter"/>
      <w:start w:val="2"/>
    </w:lvl>
    <w:lvl w:ilvl="1">
      <w:lvlJc w:val="left"/>
      <w:lvlText w:val="(%2)"/>
      <w:numFmt w:val="lowerRoman"/>
      <w:start w:val="1"/>
    </w:lvl>
  </w:abstractNum>
  <w:abstractNum w:abstractNumId="812">
    <w:nsid w:val="6BA73274"/>
    <w:multiLevelType w:val="hybridMultilevel"/>
    <w:lvl w:ilvl="0">
      <w:lvlJc w:val="left"/>
      <w:lvlText w:val="["/>
      <w:numFmt w:val="bullet"/>
      <w:start w:val="1"/>
    </w:lvl>
  </w:abstractNum>
  <w:abstractNum w:abstractNumId="813">
    <w:nsid w:val="7F707E01"/>
    <w:multiLevelType w:val="hybridMultilevel"/>
    <w:lvl w:ilvl="0">
      <w:lvlJc w:val="left"/>
      <w:lvlText w:val="(%1)"/>
      <w:numFmt w:val="lowerLetter"/>
      <w:start w:val="4"/>
    </w:lvl>
    <w:lvl w:ilvl="1">
      <w:lvlJc w:val="left"/>
      <w:lvlText w:val="(%2)"/>
      <w:numFmt w:val="lowerRoman"/>
      <w:start w:val="1"/>
    </w:lvl>
  </w:abstractNum>
  <w:abstractNum w:abstractNumId="814">
    <w:nsid w:val="7470936A"/>
    <w:multiLevelType w:val="hybridMultilevel"/>
    <w:lvl w:ilvl="0">
      <w:lvlJc w:val="left"/>
      <w:lvlText w:val="%1"/>
      <w:numFmt w:val="lowerLetter"/>
      <w:start w:val="1"/>
    </w:lvl>
    <w:lvl w:ilvl="1">
      <w:lvlJc w:val="left"/>
      <w:lvlText w:val="(%2)"/>
      <w:numFmt w:val="lowerRoman"/>
      <w:start w:val="5"/>
    </w:lvl>
  </w:abstractNum>
  <w:abstractNum w:abstractNumId="815">
    <w:nsid w:val="71697665"/>
    <w:multiLevelType w:val="hybridMultilevel"/>
    <w:lvl w:ilvl="0">
      <w:lvlJc w:val="left"/>
      <w:lvlText w:val="(%1)"/>
      <w:numFmt w:val="lowerLetter"/>
      <w:start w:val="5"/>
    </w:lvl>
    <w:lvl w:ilvl="1">
      <w:lvlJc w:val="left"/>
      <w:lvlText w:val="(%2)"/>
      <w:numFmt w:val="lowerRoman"/>
      <w:start w:val="1"/>
    </w:lvl>
  </w:abstractNum>
  <w:abstractNum w:abstractNumId="816">
    <w:nsid w:val="212EAD85"/>
    <w:multiLevelType w:val="hybridMultilevel"/>
    <w:lvl w:ilvl="0">
      <w:lvlJc w:val="left"/>
      <w:lvlText w:val="(%1)"/>
      <w:numFmt w:val="lowerLetter"/>
      <w:start w:val="6"/>
    </w:lvl>
  </w:abstractNum>
  <w:abstractNum w:abstractNumId="817">
    <w:nsid w:val="12752537"/>
    <w:multiLevelType w:val="hybridMultilevel"/>
    <w:lvl w:ilvl="0">
      <w:lvlJc w:val="left"/>
      <w:lvlText w:val="(%1)"/>
      <w:numFmt w:val="lowerLetter"/>
      <w:start w:val="1"/>
    </w:lvl>
  </w:abstractNum>
  <w:abstractNum w:abstractNumId="818">
    <w:nsid w:val="B784ED6"/>
    <w:multiLevelType w:val="hybridMultilevel"/>
    <w:lvl w:ilvl="0">
      <w:lvlJc w:val="left"/>
      <w:lvlText w:val="(%1)"/>
      <w:numFmt w:val="lowerLetter"/>
      <w:start w:val="1"/>
    </w:lvl>
  </w:abstractNum>
  <w:abstractNum w:abstractNumId="819">
    <w:nsid w:val="58017DB8"/>
    <w:multiLevelType w:val="hybridMultilevel"/>
    <w:lvl w:ilvl="0">
      <w:lvlJc w:val="left"/>
      <w:lvlText w:val="(%1)"/>
      <w:numFmt w:val="lowerLetter"/>
      <w:start w:val="2"/>
    </w:lvl>
  </w:abstractNum>
  <w:abstractNum w:abstractNumId="820">
    <w:nsid w:val="63D1051"/>
    <w:multiLevelType w:val="hybridMultilevel"/>
    <w:lvl w:ilvl="0">
      <w:lvlJc w:val="left"/>
      <w:lvlText w:val="(%1)"/>
      <w:numFmt w:val="lowerRoman"/>
      <w:start w:val="1"/>
    </w:lvl>
  </w:abstractNum>
  <w:abstractNum w:abstractNumId="821">
    <w:nsid w:val="F641CA2"/>
    <w:multiLevelType w:val="hybridMultilevel"/>
    <w:lvl w:ilvl="0">
      <w:lvlJc w:val="left"/>
      <w:lvlText w:val="(%1)"/>
      <w:numFmt w:val="lowerRoman"/>
      <w:start w:val="1"/>
    </w:lvl>
  </w:abstractNum>
  <w:abstractNum w:abstractNumId="822">
    <w:nsid w:val="1BD078BB"/>
    <w:multiLevelType w:val="hybridMultilevel"/>
    <w:lvl w:ilvl="0">
      <w:lvlJc w:val="left"/>
      <w:lvlText w:val="(%1)"/>
      <w:numFmt w:val="lowerRoman"/>
      <w:start w:val="4"/>
    </w:lvl>
  </w:abstractNum>
  <w:abstractNum w:abstractNumId="823">
    <w:nsid w:val="22BF757E"/>
    <w:multiLevelType w:val="hybridMultilevel"/>
    <w:lvl w:ilvl="0">
      <w:lvlJc w:val="left"/>
      <w:lvlText w:val="(%1)"/>
      <w:numFmt w:val="lowerLetter"/>
      <w:start w:val="1"/>
    </w:lvl>
  </w:abstractNum>
  <w:abstractNum w:abstractNumId="824">
    <w:nsid w:val="3BD80000"/>
    <w:multiLevelType w:val="hybridMultilevel"/>
    <w:lvl w:ilvl="0">
      <w:lvlJc w:val="left"/>
      <w:lvlText w:val="(%1)"/>
      <w:numFmt w:val="lowerLetter"/>
      <w:start w:val="2"/>
    </w:lvl>
  </w:abstractNum>
  <w:abstractNum w:abstractNumId="825">
    <w:nsid w:val="56CAED2B"/>
    <w:multiLevelType w:val="hybridMultilevel"/>
    <w:lvl w:ilvl="0">
      <w:lvlJc w:val="left"/>
      <w:lvlText w:val="%1"/>
      <w:numFmt w:val="lowerLetter"/>
      <w:start w:val="1"/>
    </w:lvl>
    <w:lvl w:ilvl="1">
      <w:lvlJc w:val="left"/>
      <w:lvlText w:val="(%2)"/>
      <w:numFmt w:val="lowerLetter"/>
      <w:start w:val="1"/>
    </w:lvl>
  </w:abstractNum>
  <w:abstractNum w:abstractNumId="826">
    <w:nsid w:val="5D440695"/>
    <w:multiLevelType w:val="hybridMultilevel"/>
    <w:lvl w:ilvl="0">
      <w:lvlJc w:val="left"/>
      <w:lvlText w:val="(%1)"/>
      <w:numFmt w:val="lowerLetter"/>
      <w:start w:val="35"/>
    </w:lvl>
    <w:lvl w:ilvl="1">
      <w:lvlJc w:val="left"/>
      <w:lvlText w:val="(%2)"/>
      <w:numFmt w:val="lowerLetter"/>
      <w:start w:val="3"/>
    </w:lvl>
  </w:abstractNum>
  <w:abstractNum w:abstractNumId="827">
    <w:nsid w:val="5B1047FC"/>
    <w:multiLevelType w:val="hybridMultilevel"/>
    <w:lvl w:ilvl="0">
      <w:lvlJc w:val="left"/>
      <w:lvlText w:val="(%1)"/>
      <w:numFmt w:val="lowerLetter"/>
      <w:start w:val="1"/>
    </w:lvl>
  </w:abstractNum>
  <w:abstractNum w:abstractNumId="828">
    <w:nsid w:val="E9EA4BB"/>
    <w:multiLevelType w:val="hybridMultilevel"/>
    <w:lvl w:ilvl="0">
      <w:lvlJc w:val="left"/>
      <w:lvlText w:val="(%1)"/>
      <w:numFmt w:val="lowerLetter"/>
      <w:start w:val="2"/>
    </w:lvl>
  </w:abstractNum>
  <w:abstractNum w:abstractNumId="829">
    <w:nsid w:val="2B7C5568"/>
    <w:multiLevelType w:val="hybridMultilevel"/>
    <w:lvl w:ilvl="0">
      <w:lvlJc w:val="left"/>
      <w:lvlText w:val="["/>
      <w:numFmt w:val="bullet"/>
      <w:start w:val="1"/>
    </w:lvl>
  </w:abstractNum>
  <w:abstractNum w:abstractNumId="830">
    <w:nsid w:val="4691114B"/>
    <w:multiLevelType w:val="hybridMultilevel"/>
    <w:lvl w:ilvl="0">
      <w:lvlJc w:val="left"/>
      <w:lvlText w:val="["/>
      <w:numFmt w:val="bullet"/>
      <w:start w:val="1"/>
    </w:lvl>
  </w:abstractNum>
  <w:abstractNum w:abstractNumId="831">
    <w:nsid w:val="5BADF95F"/>
    <w:multiLevelType w:val="hybridMultilevel"/>
    <w:lvl w:ilvl="0">
      <w:lvlJc w:val="left"/>
      <w:lvlText w:val="["/>
      <w:numFmt w:val="bullet"/>
      <w:start w:val="1"/>
    </w:lvl>
  </w:abstractNum>
  <w:abstractNum w:abstractNumId="832">
    <w:nsid w:val="76BC5A56"/>
    <w:multiLevelType w:val="hybridMultilevel"/>
    <w:lvl w:ilvl="0">
      <w:lvlJc w:val="left"/>
      <w:lvlText w:val="(%1)"/>
      <w:numFmt w:val="lowerLetter"/>
      <w:start w:val="1"/>
    </w:lvl>
    <w:lvl w:ilvl="1">
      <w:lvlJc w:val="left"/>
      <w:lvlText w:val="(%2)"/>
      <w:numFmt w:val="lowerLetter"/>
      <w:start w:val="9"/>
    </w:lvl>
  </w:abstractNum>
  <w:abstractNum w:abstractNumId="833">
    <w:nsid w:val="6C5DC3C4"/>
    <w:multiLevelType w:val="hybridMultilevel"/>
    <w:lvl w:ilvl="0">
      <w:lvlJc w:val="left"/>
      <w:lvlText w:val="(%1)"/>
      <w:numFmt w:val="lowerRoman"/>
      <w:start w:val="2"/>
    </w:lvl>
  </w:abstractNum>
  <w:abstractNum w:abstractNumId="834">
    <w:nsid w:val="2A84F0F7"/>
    <w:multiLevelType w:val="hybridMultilevel"/>
    <w:lvl w:ilvl="0">
      <w:lvlJc w:val="left"/>
      <w:lvlText w:val="(%1)"/>
      <w:numFmt w:val="lowerRoman"/>
      <w:start w:val="4"/>
    </w:lvl>
  </w:abstractNum>
  <w:abstractNum w:abstractNumId="835">
    <w:nsid w:val="7B37AFBB"/>
    <w:multiLevelType w:val="hybridMultilevel"/>
    <w:lvl w:ilvl="0">
      <w:lvlJc w:val="left"/>
      <w:lvlText w:val="(%1)"/>
      <w:numFmt w:val="lowerRoman"/>
      <w:start w:val="5"/>
    </w:lvl>
  </w:abstractNum>
  <w:abstractNum w:abstractNumId="836">
    <w:nsid w:val="7138B819"/>
    <w:multiLevelType w:val="hybridMultilevel"/>
    <w:lvl w:ilvl="0">
      <w:lvlJc w:val="left"/>
      <w:lvlText w:val="(%1)"/>
      <w:numFmt w:val="lowerLetter"/>
      <w:start w:val="2"/>
    </w:lvl>
  </w:abstractNum>
  <w:abstractNum w:abstractNumId="837">
    <w:nsid w:val="65A9E333"/>
    <w:multiLevelType w:val="hybridMultilevel"/>
    <w:lvl w:ilvl="0">
      <w:lvlJc w:val="left"/>
      <w:lvlText w:val="(%1)"/>
      <w:numFmt w:val="lowerLetter"/>
      <w:start w:val="3"/>
    </w:lvl>
  </w:abstractNum>
  <w:abstractNum w:abstractNumId="838">
    <w:nsid w:val="C2F5540"/>
    <w:multiLevelType w:val="hybridMultilevel"/>
    <w:lvl w:ilvl="0">
      <w:lvlJc w:val="left"/>
      <w:lvlText w:val="(%1)"/>
      <w:numFmt w:val="lowerLetter"/>
      <w:start w:val="1"/>
    </w:lvl>
  </w:abstractNum>
  <w:abstractNum w:abstractNumId="839">
    <w:nsid w:val="68585EA6"/>
    <w:multiLevelType w:val="hybridMultilevel"/>
    <w:lvl w:ilvl="0">
      <w:lvlJc w:val="left"/>
      <w:lvlText w:val="%1."/>
      <w:numFmt w:val="upperLetter"/>
      <w:start w:val="9"/>
    </w:lvl>
  </w:abstractNum>
  <w:abstractNum w:abstractNumId="840">
    <w:nsid w:val="71809378"/>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841">
    <w:nsid w:val="5E1E8AB7"/>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842">
    <w:nsid w:val="5F176EBE"/>
    <w:multiLevelType w:val="hybridMultilevel"/>
    <w:lvl w:ilvl="0">
      <w:lvlJc w:val="left"/>
      <w:lvlText w:val="%1"/>
      <w:numFmt w:val="upperLetter"/>
      <w:start w:val="1"/>
    </w:lvl>
    <w:lvl w:ilvl="1">
      <w:lvlJc w:val="left"/>
      <w:lvlText w:val="%2."/>
      <w:numFmt w:val="decimal"/>
      <w:start w:val="3"/>
    </w:lvl>
  </w:abstractNum>
  <w:abstractNum w:abstractNumId="843">
    <w:nsid w:val="5D27C5EC"/>
    <w:multiLevelType w:val="hybridMultilevel"/>
    <w:lvl w:ilvl="0">
      <w:lvlJc w:val="left"/>
      <w:lvlText w:val="%1."/>
      <w:numFmt w:val="upperLetter"/>
      <w:start w:val="2"/>
    </w:lvl>
    <w:lvl w:ilvl="1">
      <w:lvlJc w:val="left"/>
      <w:lvlText w:val="%2"/>
      <w:numFmt w:val="decimal"/>
      <w:start w:val="1"/>
    </w:lvl>
  </w:abstractNum>
  <w:abstractNum w:abstractNumId="844">
    <w:nsid w:val="5D8F08B8"/>
    <w:multiLevelType w:val="hybridMultilevel"/>
    <w:lvl w:ilvl="0">
      <w:lvlJc w:val="left"/>
      <w:lvlText w:val="%1."/>
      <w:numFmt w:val="upperLetter"/>
      <w:start w:val="35"/>
    </w:lvl>
  </w:abstractNum>
  <w:abstractNum w:abstractNumId="845">
    <w:nsid w:val="53880228"/>
    <w:multiLevelType w:val="hybridMultilevel"/>
    <w:lvl w:ilvl="0">
      <w:lvlJc w:val="left"/>
      <w:lvlText w:val="["/>
      <w:numFmt w:val="bullet"/>
      <w:start w:val="1"/>
    </w:lvl>
  </w:abstractNum>
  <w:abstractNum w:abstractNumId="846">
    <w:nsid w:val="4E913C51"/>
    <w:multiLevelType w:val="hybridMultilevel"/>
    <w:lvl w:ilvl="0">
      <w:lvlJc w:val="left"/>
      <w:lvlText w:val="%1."/>
      <w:numFmt w:val="upperLetter"/>
      <w:start w:val="1"/>
    </w:lvl>
  </w:abstractNum>
  <w:abstractNum w:abstractNumId="847">
    <w:nsid w:val="7EBDB63D"/>
    <w:multiLevelType w:val="hybridMultilevel"/>
    <w:lvl w:ilvl="0">
      <w:lvlJc w:val="left"/>
      <w:lvlText w:val="%1."/>
      <w:numFmt w:val="upperLetter"/>
      <w:start w:val="2"/>
    </w:lvl>
  </w:abstractNum>
  <w:abstractNum w:abstractNumId="848">
    <w:nsid w:val="65FD275F"/>
    <w:multiLevelType w:val="hybridMultilevel"/>
    <w:lvl w:ilvl="0">
      <w:lvlJc w:val="left"/>
      <w:lvlText w:val="%1"/>
      <w:numFmt w:val="decimal"/>
      <w:start w:val="1"/>
    </w:lvl>
    <w:lvl w:ilvl="1">
      <w:lvlJc w:val="left"/>
      <w:lvlText w:val="%2."/>
      <w:numFmt w:val="upperLetter"/>
      <w:start w:val="3"/>
    </w:lvl>
  </w:abstractNum>
  <w:abstractNum w:abstractNumId="849">
    <w:nsid w:val="5A098B27"/>
    <w:multiLevelType w:val="hybridMultilevel"/>
    <w:lvl w:ilvl="0">
      <w:lvlJc w:val="left"/>
      <w:lvlText w:val="%1."/>
      <w:numFmt w:val="decimal"/>
      <w:start w:val="9"/>
    </w:lvl>
    <w:lvl w:ilvl="1">
      <w:lvlJc w:val="left"/>
      <w:lvlText w:val="%2"/>
      <w:numFmt w:val="upperLetter"/>
      <w:start w:val="1"/>
    </w:lvl>
  </w:abstractNum>
  <w:abstractNum w:abstractNumId="850">
    <w:nsid w:val="56BF33F6"/>
    <w:multiLevelType w:val="hybridMultilevel"/>
    <w:lvl w:ilvl="0">
      <w:lvlJc w:val="left"/>
      <w:lvlText w:val="["/>
      <w:numFmt w:val="bullet"/>
      <w:start w:val="1"/>
    </w:lvl>
  </w:abstractNum>
  <w:abstractNum w:abstractNumId="851">
    <w:nsid w:val="6C3A37B1"/>
    <w:multiLevelType w:val="hybridMultilevel"/>
    <w:lvl w:ilvl="0">
      <w:lvlJc w:val="left"/>
      <w:lvlText w:val="%1"/>
      <w:numFmt w:val="lowerRoman"/>
      <w:start w:val="17"/>
    </w:lvl>
    <w:lvl w:ilvl="1">
      <w:lvlJc w:val="left"/>
      <w:lvlText w:val="%2."/>
      <w:numFmt w:val="upperLetter"/>
      <w:start w:val="1"/>
    </w:lvl>
  </w:abstractNum>
  <w:abstractNum w:abstractNumId="852">
    <w:nsid w:val="696DA7C9"/>
    <w:multiLevelType w:val="hybridMultilevel"/>
    <w:lvl w:ilvl="0">
      <w:lvlJc w:val="left"/>
      <w:lvlText w:val="%1."/>
      <w:numFmt w:val="upperLetter"/>
      <w:start w:val="2"/>
    </w:lvl>
  </w:abstractNum>
  <w:abstractNum w:abstractNumId="853">
    <w:nsid w:val="728FACB1"/>
    <w:multiLevelType w:val="hybridMultilevel"/>
    <w:lvl w:ilvl="0">
      <w:lvlJc w:val="left"/>
      <w:lvlText w:val="%1."/>
      <w:numFmt w:val="upperLetter"/>
      <w:start w:val="3"/>
    </w:lvl>
  </w:abstractNum>
  <w:abstractNum w:abstractNumId="854">
    <w:nsid w:val="EF9AD2F"/>
    <w:multiLevelType w:val="hybridMultilevel"/>
    <w:lvl w:ilvl="0">
      <w:lvlJc w:val="left"/>
      <w:lvlText w:val="%1"/>
      <w:numFmt w:val="lowerRoman"/>
      <w:start w:val="13"/>
    </w:lvl>
  </w:abstractNum>
  <w:abstractNum w:abstractNumId="855">
    <w:nsid w:val="2545A7C9"/>
    <w:multiLevelType w:val="hybridMultilevel"/>
    <w:lvl w:ilvl="0">
      <w:lvlJc w:val="left"/>
      <w:lvlText w:val="%1."/>
      <w:numFmt w:val="upperLetter"/>
      <w:start w:val="1"/>
    </w:lvl>
  </w:abstractNum>
  <w:abstractNum w:abstractNumId="856">
    <w:nsid w:val="495A99DC"/>
    <w:multiLevelType w:val="hybridMultilevel"/>
    <w:lvl w:ilvl="0">
      <w:lvlJc w:val="left"/>
      <w:lvlText w:val="%1."/>
      <w:numFmt w:val="upperLetter"/>
      <w:start w:val="2"/>
    </w:lvl>
  </w:abstractNum>
  <w:abstractNum w:abstractNumId="857">
    <w:nsid w:val="6C3DB3C4"/>
    <w:multiLevelType w:val="hybridMultilevel"/>
    <w:lvl w:ilvl="0">
      <w:lvlJc w:val="left"/>
      <w:lvlText w:val="%1"/>
      <w:numFmt w:val="lowerRoman"/>
      <w:start w:val="3"/>
    </w:lvl>
  </w:abstractNum>
  <w:abstractNum w:abstractNumId="858">
    <w:nsid w:val="55EFC6"/>
    <w:multiLevelType w:val="hybridMultilevel"/>
    <w:lvl w:ilvl="0">
      <w:lvlJc w:val="left"/>
      <w:lvlText w:val="v"/>
      <w:numFmt w:val="bullet"/>
      <w:start w:val="1"/>
    </w:lvl>
  </w:abstractNum>
  <w:abstractNum w:abstractNumId="859">
    <w:nsid w:val="57F93E98"/>
    <w:multiLevelType w:val="hybridMultilevel"/>
    <w:lvl w:ilvl="0">
      <w:lvlJc w:val="left"/>
      <w:lvlText w:val="%1."/>
      <w:numFmt w:val="decimal"/>
      <w:start w:val="1"/>
    </w:lvl>
  </w:abstractNum>
  <w:abstractNum w:abstractNumId="860">
    <w:nsid w:val="17BA092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61">
    <w:nsid w:val="46E70111"/>
    <w:multiLevelType w:val="hybridMultilevel"/>
    <w:lvl w:ilvl="0">
      <w:lvlJc w:val="left"/>
      <w:lvlText w:val="%1."/>
      <w:numFmt w:val="lowerRoman"/>
      <w:start w:val="2"/>
    </w:lvl>
  </w:abstractNum>
  <w:abstractNum w:abstractNumId="862">
    <w:nsid w:val="33A737F7"/>
    <w:multiLevelType w:val="hybridMultilevel"/>
    <w:lvl w:ilvl="0">
      <w:lvlJc w:val="left"/>
      <w:lvlText w:val="%1."/>
      <w:numFmt w:val="decimal"/>
      <w:start w:val="5"/>
    </w:lvl>
  </w:abstractNum>
  <w:abstractNum w:abstractNumId="863">
    <w:nsid w:val="E766383"/>
    <w:multiLevelType w:val="hybridMultilevel"/>
    <w:lvl w:ilvl="0">
      <w:lvlJc w:val="left"/>
      <w:lvlText w:val="%1."/>
      <w:numFmt w:val="decimal"/>
      <w:start w:val="7"/>
    </w:lvl>
    <w:lvl w:ilvl="1">
      <w:lvlJc w:val="left"/>
      <w:lvlText w:val="%2."/>
      <w:numFmt w:val="lowerLetter"/>
      <w:start w:val="1"/>
    </w:lvl>
  </w:abstractNum>
  <w:abstractNum w:abstractNumId="864">
    <w:nsid w:val="3344C4D6"/>
    <w:multiLevelType w:val="hybridMultilevel"/>
    <w:lvl w:ilvl="0">
      <w:lvlJc w:val="left"/>
      <w:lvlText w:val="%1."/>
      <w:numFmt w:val="decimal"/>
      <w:start w:val="10"/>
    </w:lvl>
  </w:abstractNum>
  <w:abstractNum w:abstractNumId="865">
    <w:nsid w:val="5E2C28EE"/>
    <w:multiLevelType w:val="hybridMultilevel"/>
    <w:lvl w:ilvl="0">
      <w:lvlJc w:val="left"/>
      <w:lvlText w:val="%1."/>
      <w:numFmt w:val="decimal"/>
      <w:start w:val="12"/>
    </w:lvl>
    <w:lvl w:ilvl="1">
      <w:lvlJc w:val="left"/>
      <w:lvlText w:val="%2."/>
      <w:numFmt w:val="lowerLetter"/>
      <w:start w:val="1"/>
    </w:lvl>
  </w:abstractNum>
  <w:abstractNum w:abstractNumId="866">
    <w:nsid w:val="9AE133E"/>
    <w:multiLevelType w:val="hybridMultilevel"/>
    <w:lvl w:ilvl="0">
      <w:lvlJc w:val="left"/>
      <w:lvlText w:val="%1"/>
      <w:numFmt w:val="decimal"/>
      <w:start w:val="1"/>
    </w:lvl>
    <w:lvl w:ilvl="1">
      <w:lvlJc w:val="left"/>
      <w:lvlText w:val="%2."/>
      <w:numFmt w:val="lowerLetter"/>
      <w:start w:val="2"/>
    </w:lvl>
  </w:abstractNum>
  <w:abstractNum w:abstractNumId="867">
    <w:nsid w:val="247D7CEF"/>
    <w:multiLevelType w:val="hybridMultilevel"/>
    <w:lvl w:ilvl="0">
      <w:lvlJc w:val="left"/>
      <w:lvlText w:val="%1."/>
      <w:numFmt w:val="decimal"/>
      <w:start w:val="16"/>
    </w:lvl>
    <w:lvl w:ilvl="1">
      <w:lvlJc w:val="left"/>
      <w:lvlText w:val="%2"/>
      <w:numFmt w:val="lowerLetter"/>
      <w:start w:val="1"/>
    </w:lvl>
  </w:abstractNum>
  <w:abstractNum w:abstractNumId="868">
    <w:nsid w:val="43D60C21"/>
    <w:multiLevelType w:val="hybridMultilevel"/>
    <w:lvl w:ilvl="0">
      <w:lvlJc w:val="left"/>
      <w:lvlText w:val="%1."/>
      <w:numFmt w:val="decimal"/>
      <w:start w:val="17"/>
    </w:lvl>
    <w:lvl w:ilvl="1">
      <w:lvlJc w:val="left"/>
      <w:lvlText w:val="%2."/>
      <w:numFmt w:val="lowerLetter"/>
      <w:start w:val="1"/>
    </w:lvl>
  </w:abstractNum>
  <w:abstractNum w:abstractNumId="869">
    <w:nsid w:val="15DD687E"/>
    <w:multiLevelType w:val="hybridMultilevel"/>
    <w:lvl w:ilvl="0">
      <w:lvlJc w:val="left"/>
      <w:lvlText w:val="%1."/>
      <w:numFmt w:val="decimal"/>
      <w:start w:val="21"/>
    </w:lvl>
  </w:abstractNum>
  <w:abstractNum w:abstractNumId="870">
    <w:nsid w:val="CD5DB95"/>
    <w:multiLevelType w:val="hybridMultilevel"/>
    <w:lvl w:ilvl="0">
      <w:lvlJc w:val="left"/>
      <w:lvlText w:val="%1."/>
      <w:numFmt w:val="decimal"/>
      <w:start w:val="22"/>
    </w:lvl>
  </w:abstractNum>
  <w:abstractNum w:abstractNumId="871">
    <w:nsid w:val="35569F99"/>
    <w:multiLevelType w:val="hybridMultilevel"/>
    <w:lvl w:ilvl="0">
      <w:lvlJc w:val="left"/>
      <w:lvlText w:val="%1."/>
      <w:numFmt w:val="decimal"/>
      <w:start w:val="28"/>
    </w:lvl>
  </w:abstractNum>
  <w:abstractNum w:abstractNumId="872">
    <w:nsid w:val="73FBF336"/>
    <w:multiLevelType w:val="hybridMultilevel"/>
    <w:lvl w:ilvl="0">
      <w:lvlJc w:val="left"/>
      <w:lvlText w:val="%1."/>
      <w:numFmt w:val="decimal"/>
      <w:start w:val="29"/>
    </w:lvl>
  </w:abstractNum>
  <w:abstractNum w:abstractNumId="873">
    <w:nsid w:val="6BED4A53"/>
    <w:multiLevelType w:val="hybridMultilevel"/>
    <w:lvl w:ilvl="0">
      <w:lvlJc w:val="left"/>
      <w:lvlText w:val="%1."/>
      <w:numFmt w:val="decimal"/>
      <w:start w:val="34"/>
    </w:lvl>
    <w:lvl w:ilvl="1">
      <w:lvlJc w:val="left"/>
      <w:lvlText w:val="%2."/>
      <w:numFmt w:val="lowerLetter"/>
      <w:start w:val="1"/>
    </w:lvl>
  </w:abstractNum>
  <w:abstractNum w:abstractNumId="874">
    <w:nsid w:val="127E6585"/>
    <w:multiLevelType w:val="hybridMultilevel"/>
    <w:lvl w:ilvl="0">
      <w:lvlJc w:val="left"/>
      <w:lvlText w:val="%1."/>
      <w:numFmt w:val="lowerLetter"/>
      <w:start w:val="5"/>
    </w:lvl>
  </w:abstractNum>
  <w:abstractNum w:abstractNumId="875">
    <w:nsid w:val="518AFBEE"/>
    <w:multiLevelType w:val="hybridMultilevel"/>
    <w:lvl w:ilvl="0">
      <w:lvlJc w:val="left"/>
      <w:lvlText w:val="%1."/>
      <w:numFmt w:val="decimal"/>
      <w:start w:val="36"/>
    </w:lvl>
    <w:lvl w:ilvl="1">
      <w:lvlJc w:val="left"/>
      <w:lvlText w:val="%2."/>
      <w:numFmt w:val="lowerLetter"/>
      <w:start w:val="1"/>
    </w:lvl>
  </w:abstractNum>
  <w:abstractNum w:abstractNumId="876">
    <w:nsid w:val="3F754C7B"/>
    <w:multiLevelType w:val="hybridMultilevel"/>
    <w:lvl w:ilvl="0">
      <w:lvlJc w:val="left"/>
      <w:lvlText w:val="%1."/>
      <w:numFmt w:val="decimal"/>
      <w:start w:val="37"/>
    </w:lvl>
  </w:abstractNum>
  <w:abstractNum w:abstractNumId="877">
    <w:nsid w:val="610FA1D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78">
    <w:nsid w:val="5048B22C"/>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abstractNum>
  <w:abstractNum w:abstractNumId="879">
    <w:nsid w:val="257273DB"/>
    <w:multiLevelType w:val="hybridMultilevel"/>
    <w:lvl w:ilvl="0">
      <w:lvlJc w:val="left"/>
      <w:lvlText w:val="%1."/>
      <w:numFmt w:val="decimal"/>
      <w:start w:val="42"/>
    </w:lvl>
  </w:abstractNum>
  <w:abstractNum w:abstractNumId="880">
    <w:nsid w:val="3B192CFD"/>
    <w:multiLevelType w:val="hybridMultilevel"/>
    <w:lvl w:ilvl="0">
      <w:lvlJc w:val="left"/>
      <w:lvlText w:val="%1."/>
      <w:numFmt w:val="decimal"/>
      <w:start w:val="43"/>
    </w:lvl>
  </w:abstractNum>
  <w:abstractNum w:abstractNumId="881">
    <w:nsid w:val="2707E622"/>
    <w:multiLevelType w:val="hybridMultilevel"/>
    <w:lvl w:ilvl="0">
      <w:lvlJc w:val="left"/>
      <w:lvlText w:val="%1."/>
      <w:numFmt w:val="decimal"/>
      <w:start w:val="52"/>
    </w:lvl>
  </w:abstractNum>
  <w:abstractNum w:abstractNumId="882">
    <w:nsid w:val="11ACAB8C"/>
    <w:multiLevelType w:val="hybridMultilevel"/>
    <w:lvl w:ilvl="0">
      <w:lvlJc w:val="left"/>
      <w:lvlText w:val="(%1)"/>
      <w:numFmt w:val="decimal"/>
      <w:start w:val="1"/>
    </w:lvl>
  </w:abstractNum>
  <w:abstractNum w:abstractNumId="883">
    <w:nsid w:val="2486D4C7"/>
    <w:multiLevelType w:val="hybridMultilevel"/>
    <w:lvl w:ilvl="0">
      <w:lvlJc w:val="left"/>
      <w:lvlText w:val="1"/>
      <w:numFmt w:val="bullet"/>
      <w:start w:val="1"/>
    </w:lvl>
  </w:abstractNum>
  <w:abstractNum w:abstractNumId="884">
    <w:nsid w:val="199792D3"/>
    <w:multiLevelType w:val="hybridMultilevel"/>
    <w:lvl w:ilvl="0">
      <w:lvlJc w:val="left"/>
      <w:lvlText w:val="2"/>
      <w:numFmt w:val="bullet"/>
      <w:start w:val="1"/>
    </w:lvl>
  </w:abstractNum>
  <w:abstractNum w:abstractNumId="885">
    <w:nsid w:val="20A658BB"/>
    <w:multiLevelType w:val="hybridMultilevel"/>
    <w:lvl w:ilvl="0">
      <w:lvlJc w:val="left"/>
      <w:lvlText w:val="(%1)"/>
      <w:numFmt w:val="lowerLetter"/>
      <w:start w:val="1"/>
    </w:lvl>
  </w:abstractNum>
  <w:abstractNum w:abstractNumId="886">
    <w:nsid w:val="49CC7C90"/>
    <w:multiLevelType w:val="hybridMultilevel"/>
    <w:lvl w:ilvl="0">
      <w:lvlJc w:val="left"/>
      <w:lvlText w:val="(%1)"/>
      <w:numFmt w:val="lowerLetter"/>
      <w:start w:val="1"/>
    </w:lvl>
  </w:abstractNum>
  <w:abstractNum w:abstractNumId="887">
    <w:nsid w:val="62F22CB0"/>
    <w:multiLevelType w:val="hybridMultilevel"/>
    <w:lvl w:ilvl="0">
      <w:lvlJc w:val="left"/>
      <w:lvlText w:val="(%1)"/>
      <w:numFmt w:val="lowerLetter"/>
      <w:start w:val="1"/>
    </w:lvl>
  </w:abstractNum>
  <w:abstractNum w:abstractNumId="888">
    <w:nsid w:val="CE40C80"/>
    <w:multiLevelType w:val="hybridMultilevel"/>
    <w:lvl w:ilvl="0">
      <w:lvlJc w:val="left"/>
      <w:lvlText w:val="(%1)"/>
      <w:numFmt w:val="lowerLetter"/>
      <w:start w:val="2"/>
    </w:lvl>
  </w:abstractNum>
  <w:abstractNum w:abstractNumId="889">
    <w:nsid w:val="4A226C56"/>
    <w:multiLevelType w:val="hybridMultilevel"/>
    <w:lvl w:ilvl="0">
      <w:lvlJc w:val="left"/>
      <w:lvlText w:val="(%1)"/>
      <w:numFmt w:val="lowerLetter"/>
      <w:start w:val="35"/>
    </w:lvl>
  </w:abstractNum>
  <w:abstractNum w:abstractNumId="890">
    <w:nsid w:val="3AEB6B48"/>
    <w:multiLevelType w:val="hybridMultilevel"/>
    <w:lvl w:ilvl="0">
      <w:lvlJc w:val="left"/>
      <w:lvlText w:val="4"/>
      <w:numFmt w:val="bullet"/>
      <w:start w:val="1"/>
    </w:lvl>
  </w:abstractNum>
  <w:abstractNum w:abstractNumId="891">
    <w:nsid w:val="249E15AC"/>
    <w:multiLevelType w:val="hybridMultilevel"/>
    <w:lvl w:ilvl="0">
      <w:lvlJc w:val="left"/>
      <w:lvlText w:val="(%1)"/>
      <w:numFmt w:val="lowerLetter"/>
      <w:start w:val="1"/>
    </w:lvl>
  </w:abstractNum>
  <w:abstractNum w:abstractNumId="892">
    <w:nsid w:val="11096D68"/>
    <w:multiLevelType w:val="hybridMultilevel"/>
    <w:lvl w:ilvl="0">
      <w:lvlJc w:val="left"/>
      <w:lvlText w:val="(%1)"/>
      <w:numFmt w:val="lowerLetter"/>
      <w:start w:val="35"/>
    </w:lvl>
  </w:abstractNum>
  <w:abstractNum w:abstractNumId="893">
    <w:nsid w:val="6E92A33F"/>
    <w:multiLevelType w:val="hybridMultilevel"/>
    <w:lvl w:ilvl="0">
      <w:lvlJc w:val="left"/>
      <w:lvlText w:val="(%1)"/>
      <w:numFmt w:val="lowerLetter"/>
      <w:start w:val="8"/>
    </w:lvl>
  </w:abstractNum>
  <w:abstractNum w:abstractNumId="894">
    <w:nsid w:val="3314792F"/>
    <w:multiLevelType w:val="hybridMultilevel"/>
    <w:lvl w:ilvl="0">
      <w:lvlJc w:val="left"/>
      <w:lvlText w:val="(%1)"/>
      <w:numFmt w:val="lowerRoman"/>
      <w:start w:val="1"/>
    </w:lvl>
  </w:abstractNum>
  <w:abstractNum w:abstractNumId="895">
    <w:nsid w:val="444E323E"/>
    <w:multiLevelType w:val="hybridMultilevel"/>
    <w:lvl w:ilvl="0">
      <w:lvlJc w:val="left"/>
      <w:lvlText w:val="6"/>
      <w:numFmt w:val="bullet"/>
      <w:start w:val="1"/>
    </w:lvl>
  </w:abstractNum>
  <w:abstractNum w:abstractNumId="896">
    <w:nsid w:val="4CBECC2D"/>
    <w:multiLevelType w:val="hybridMultilevel"/>
    <w:lvl w:ilvl="0">
      <w:lvlJc w:val="left"/>
      <w:lvlText w:val="(%1)"/>
      <w:numFmt w:val="lowerLetter"/>
      <w:start w:val="1"/>
    </w:lvl>
  </w:abstractNum>
  <w:abstractNum w:abstractNumId="897">
    <w:nsid w:val="3CC28C6E"/>
    <w:multiLevelType w:val="hybridMultilevel"/>
    <w:lvl w:ilvl="0">
      <w:lvlJc w:val="left"/>
      <w:lvlText w:val="(%1)"/>
      <w:numFmt w:val="lowerRoman"/>
      <w:start w:val="1"/>
    </w:lvl>
  </w:abstractNum>
  <w:abstractNum w:abstractNumId="898">
    <w:nsid w:val="68CBAF2D"/>
    <w:multiLevelType w:val="hybridMultilevel"/>
    <w:lvl w:ilvl="0">
      <w:lvlJc w:val="left"/>
      <w:lvlText w:val="(%1)"/>
      <w:numFmt w:val="lowerLetter"/>
      <w:start w:val="2"/>
    </w:lvl>
  </w:abstractNum>
  <w:abstractNum w:abstractNumId="899">
    <w:nsid w:val="1094D84E"/>
    <w:multiLevelType w:val="hybridMultilevel"/>
    <w:lvl w:ilvl="0">
      <w:lvlJc w:val="left"/>
      <w:lvlText w:val="(%1)"/>
      <w:numFmt w:val="lowerLetter"/>
      <w:start w:val="1"/>
    </w:lvl>
  </w:abstractNum>
  <w:abstractNum w:abstractNumId="900">
    <w:nsid w:val="529FF4EC"/>
    <w:multiLevelType w:val="hybridMultilevel"/>
    <w:lvl w:ilvl="0">
      <w:lvlJc w:val="left"/>
      <w:lvlText w:val="(%1)"/>
      <w:numFmt w:val="lowerLetter"/>
      <w:start w:val="1"/>
    </w:lvl>
  </w:abstractNum>
  <w:abstractNum w:abstractNumId="901">
    <w:nsid w:val="75A18AC2"/>
    <w:multiLevelType w:val="hybridMultilevel"/>
    <w:lvl w:ilvl="0">
      <w:lvlJc w:val="left"/>
      <w:lvlText w:val="(%1)"/>
      <w:numFmt w:val="lowerLetter"/>
      <w:start w:val="4"/>
    </w:lvl>
  </w:abstractNum>
  <w:abstractNum w:abstractNumId="902">
    <w:nsid w:val="45EB77E8"/>
    <w:multiLevelType w:val="hybridMultilevel"/>
    <w:lvl w:ilvl="0">
      <w:lvlJc w:val="left"/>
      <w:lvlText w:val="\ldblquote"/>
      <w:numFmt w:val="bullet"/>
      <w:start w:val="1"/>
    </w:lvl>
  </w:abstractNum>
  <w:abstractNum w:abstractNumId="903">
    <w:nsid w:val="469BE822"/>
    <w:multiLevelType w:val="hybridMultilevel"/>
    <w:lvl w:ilvl="0">
      <w:lvlJc w:val="left"/>
      <w:lvlText w:val="\ldblquote"/>
      <w:numFmt w:val="bullet"/>
      <w:start w:val="1"/>
    </w:lvl>
  </w:abstractNum>
  <w:abstractNum w:abstractNumId="904">
    <w:nsid w:val="618ED516"/>
    <w:multiLevelType w:val="hybridMultilevel"/>
    <w:lvl w:ilvl="0">
      <w:lvlJc w:val="left"/>
      <w:lvlText w:val="\ldblquote"/>
      <w:numFmt w:val="bullet"/>
      <w:start w:val="1"/>
    </w:lvl>
  </w:abstractNum>
  <w:abstractNum w:abstractNumId="905">
    <w:nsid w:val="5869DD6D"/>
    <w:multiLevelType w:val="hybridMultilevel"/>
    <w:lvl w:ilvl="0">
      <w:lvlJc w:val="left"/>
      <w:lvlText w:val="\ldblquote"/>
      <w:numFmt w:val="bullet"/>
      <w:start w:val="1"/>
    </w:lvl>
  </w:abstractNum>
  <w:abstractNum w:abstractNumId="906">
    <w:nsid w:val="1826E411"/>
    <w:multiLevelType w:val="hybridMultilevel"/>
    <w:lvl w:ilvl="0">
      <w:lvlJc w:val="left"/>
      <w:lvlText w:val="\ldblquote"/>
      <w:numFmt w:val="bullet"/>
      <w:start w:val="1"/>
    </w:lvl>
  </w:abstractNum>
  <w:abstractNum w:abstractNumId="907">
    <w:nsid w:val="21042191"/>
    <w:multiLevelType w:val="hybridMultilevel"/>
    <w:lvl w:ilvl="0">
      <w:lvlJc w:val="left"/>
      <w:lvlText w:val="%1."/>
      <w:numFmt w:val="decimal"/>
      <w:start w:val="1"/>
    </w:lvl>
  </w:abstractNum>
  <w:abstractNum w:abstractNumId="908">
    <w:nsid w:val="39797F44"/>
    <w:multiLevelType w:val="hybridMultilevel"/>
    <w:lvl w:ilvl="0">
      <w:lvlJc w:val="left"/>
      <w:lvlText w:val="(%1)"/>
      <w:numFmt w:val="lowerLetter"/>
      <w:start w:val="1"/>
    </w:lvl>
  </w:abstractNum>
  <w:abstractNum w:abstractNumId="909">
    <w:nsid w:val="686F963D"/>
    <w:multiLevelType w:val="hybridMultilevel"/>
    <w:lvl w:ilvl="0">
      <w:lvlJc w:val="left"/>
      <w:lvlText w:val="%1."/>
      <w:numFmt w:val="decimal"/>
      <w:start w:val="4"/>
    </w:lvl>
  </w:abstractNum>
  <w:abstractNum w:abstractNumId="910">
    <w:nsid w:val="4676956C"/>
    <w:multiLevelType w:val="hybridMultilevel"/>
    <w:lvl w:ilvl="0">
      <w:lvlJc w:val="left"/>
      <w:lvlText w:val="%1."/>
      <w:numFmt w:val="decimal"/>
      <w:start w:val="1"/>
    </w:lvl>
    <w:lvl w:ilvl="1">
      <w:lvlJc w:val="left"/>
      <w:lvlText w:val="(%2)"/>
      <w:numFmt w:val="lowerLetter"/>
      <w:start w:val="1"/>
    </w:lvl>
  </w:abstractNum>
  <w:abstractNum w:abstractNumId="911">
    <w:nsid w:val="7492AC41"/>
    <w:multiLevelType w:val="hybridMultilevel"/>
    <w:lvl w:ilvl="0">
      <w:lvlJc w:val="left"/>
      <w:lvlText w:val="%1."/>
      <w:numFmt w:val="decimal"/>
      <w:start w:val="1"/>
    </w:lvl>
    <w:lvl w:ilvl="1">
      <w:lvlJc w:val="left"/>
      <w:lvlText w:val="(%2)"/>
      <w:numFmt w:val="lowerLetter"/>
      <w:start w:val="1"/>
    </w:lvl>
  </w:abstractNum>
  <w:abstractNum w:abstractNumId="912">
    <w:nsid w:val="F777C5F"/>
    <w:multiLevelType w:val="hybridMultilevel"/>
    <w:lvl w:ilvl="0">
      <w:lvlJc w:val="left"/>
      <w:lvlText w:val="%1."/>
      <w:numFmt w:val="decimal"/>
      <w:start w:val="1"/>
    </w:lvl>
    <w:lvl w:ilvl="1">
      <w:lvlJc w:val="left"/>
      <w:lvlText w:val="(%2)"/>
      <w:numFmt w:val="lowerLetter"/>
      <w:start w:val="1"/>
    </w:lvl>
  </w:abstractNum>
  <w:abstractNum w:abstractNumId="913">
    <w:nsid w:val="582340F8"/>
    <w:multiLevelType w:val="hybridMultilevel"/>
    <w:lvl w:ilvl="0">
      <w:lvlJc w:val="left"/>
      <w:lvlText w:val="%1."/>
      <w:numFmt w:val="decimal"/>
      <w:start w:val="1"/>
    </w:lvl>
    <w:lvl w:ilvl="1">
      <w:lvlJc w:val="left"/>
      <w:lvlText w:val="(%2)"/>
      <w:numFmt w:val="lowerLetter"/>
      <w:start w:val="1"/>
    </w:lvl>
  </w:abstractNum>
  <w:abstractNum w:abstractNumId="914">
    <w:nsid w:val="19198108"/>
    <w:multiLevelType w:val="hybridMultilevel"/>
    <w:lvl w:ilvl="0">
      <w:lvlJc w:val="left"/>
      <w:lvlText w:val="(%1)"/>
      <w:numFmt w:val="decimal"/>
      <w:start w:val="1"/>
    </w:lvl>
  </w:abstractNum>
  <w:abstractNum w:abstractNumId="915">
    <w:nsid w:val="290F0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jpe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jpe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192" Type="http://schemas.openxmlformats.org/officeDocument/2006/relationships/hyperlink" Target="https://www.sec.gov/Archives/edgar/data/4515/000119312520050082/d89498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2020-04-30T06:39:33Z</dcterms:created>
  <dcterms:modified xsi:type="dcterms:W3CDTF">2020-04-30T06:39:33Z</dcterms:modified>
</cp:coreProperties>
</file>