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6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7" w:lineRule="exact"/>
        <w:rPr>
          <w:sz w:val="24"/>
          <w:szCs w:val="24"/>
          <w:color w:val="auto"/>
        </w:rPr>
      </w:pPr>
    </w:p>
    <w:p>
      <w:pPr>
        <w:ind w:left="3500"/>
        <w:spacing w:after="0"/>
        <w:tabs>
          <w:tab w:leader="none" w:pos="6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3767455</wp:posOffset>
            </wp:positionH>
            <wp:positionV relativeFrom="paragraph">
              <wp:posOffset>-7620</wp:posOffset>
            </wp:positionV>
            <wp:extent cx="1266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1-8400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Airlines Group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116205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3"/>
              </w:rPr>
              <w:t>Delaware</w:t>
            </w:r>
          </w:p>
        </w:tc>
        <w:tc>
          <w:tcPr>
            <w:tcW w:w="4340" w:type="dxa"/>
            <w:vAlign w:val="bottom"/>
          </w:tcPr>
          <w:p>
            <w:pPr>
              <w:jc w:val="right"/>
              <w:ind w:right="1119"/>
              <w:spacing w:after="0"/>
              <w:rPr>
                <w:sz w:val="20"/>
                <w:szCs w:val="20"/>
                <w:color w:val="auto"/>
              </w:rPr>
            </w:pPr>
            <w:r>
              <w:rPr>
                <w:rFonts w:ascii="Arial" w:cs="Arial" w:eastAsia="Arial" w:hAnsi="Arial"/>
                <w:sz w:val="18"/>
                <w:szCs w:val="18"/>
                <w:b w:val="1"/>
                <w:bCs w:val="1"/>
                <w:color w:val="auto"/>
              </w:rPr>
              <w:t>75-1825172</w:t>
            </w:r>
          </w:p>
        </w:tc>
      </w:tr>
      <w:tr>
        <w:trPr>
          <w:trHeight w:val="186"/>
        </w:trPr>
        <w:tc>
          <w:tcPr>
            <w:tcW w:w="5000" w:type="dxa"/>
            <w:vAlign w:val="bottom"/>
          </w:tcPr>
          <w:p>
            <w:pPr>
              <w:jc w:val="center"/>
              <w:ind w:right="10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340" w:type="dxa"/>
            <w:vAlign w:val="bottom"/>
          </w:tcPr>
          <w:p>
            <w:pPr>
              <w:jc w:val="center"/>
              <w:ind w:left="10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4"/>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4340" w:type="dxa"/>
            <w:vAlign w:val="bottom"/>
          </w:tcPr>
          <w:p>
            <w:pPr>
              <w:jc w:val="right"/>
              <w:ind w:right="979"/>
              <w:spacing w:after="0"/>
              <w:rPr>
                <w:sz w:val="20"/>
                <w:szCs w:val="20"/>
                <w:color w:val="auto"/>
              </w:rPr>
            </w:pPr>
            <w:r>
              <w:rPr>
                <w:rFonts w:ascii="Arial" w:cs="Arial" w:eastAsia="Arial" w:hAnsi="Arial"/>
                <w:sz w:val="18"/>
                <w:szCs w:val="18"/>
                <w:b w:val="1"/>
                <w:bCs w:val="1"/>
                <w:color w:val="auto"/>
              </w:rPr>
              <w:t>(817) 963-1234</w:t>
            </w:r>
          </w:p>
        </w:tc>
      </w:tr>
      <w:tr>
        <w:trPr>
          <w:trHeight w:val="186"/>
        </w:trPr>
        <w:tc>
          <w:tcPr>
            <w:tcW w:w="5000" w:type="dxa"/>
            <w:vAlign w:val="bottom"/>
          </w:tcPr>
          <w:p>
            <w:pPr>
              <w:jc w:val="center"/>
              <w:ind w:right="99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4340" w:type="dxa"/>
            <w:vAlign w:val="bottom"/>
          </w:tcPr>
          <w:p>
            <w:pPr>
              <w:jc w:val="center"/>
              <w:ind w:left="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1-2691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128905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Airlines,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940" w:type="dxa"/>
        <w:tblCellMar>
          <w:top w:w="0" w:type="dxa"/>
          <w:left w:w="0" w:type="dxa"/>
          <w:bottom w:w="0" w:type="dxa"/>
          <w:right w:w="0" w:type="dxa"/>
        </w:tblCellMar>
      </w:tblPr>
      <w:tr>
        <w:trPr>
          <w:trHeight w:val="212"/>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3"/>
              </w:rPr>
              <w:t>Delaware</w:t>
            </w:r>
          </w:p>
        </w:tc>
        <w:tc>
          <w:tcPr>
            <w:tcW w:w="4340" w:type="dxa"/>
            <w:vAlign w:val="bottom"/>
          </w:tcPr>
          <w:p>
            <w:pPr>
              <w:jc w:val="right"/>
              <w:ind w:right="1119"/>
              <w:spacing w:after="0"/>
              <w:rPr>
                <w:sz w:val="20"/>
                <w:szCs w:val="20"/>
                <w:color w:val="auto"/>
              </w:rPr>
            </w:pPr>
            <w:r>
              <w:rPr>
                <w:rFonts w:ascii="Arial" w:cs="Arial" w:eastAsia="Arial" w:hAnsi="Arial"/>
                <w:sz w:val="18"/>
                <w:szCs w:val="18"/>
                <w:b w:val="1"/>
                <w:bCs w:val="1"/>
                <w:color w:val="auto"/>
              </w:rPr>
              <w:t>13-1502798</w:t>
            </w:r>
          </w:p>
        </w:tc>
      </w:tr>
      <w:tr>
        <w:trPr>
          <w:trHeight w:val="186"/>
        </w:trPr>
        <w:tc>
          <w:tcPr>
            <w:tcW w:w="5000" w:type="dxa"/>
            <w:vAlign w:val="bottom"/>
          </w:tcPr>
          <w:p>
            <w:pPr>
              <w:jc w:val="center"/>
              <w:ind w:right="101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4340" w:type="dxa"/>
            <w:vAlign w:val="bottom"/>
          </w:tcPr>
          <w:p>
            <w:pPr>
              <w:jc w:val="center"/>
              <w:ind w:left="10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4"/>
        </w:trPr>
        <w:tc>
          <w:tcPr>
            <w:tcW w:w="5000" w:type="dxa"/>
            <w:vAlign w:val="bottom"/>
          </w:tcPr>
          <w:p>
            <w:pPr>
              <w:jc w:val="center"/>
              <w:ind w:right="1019"/>
              <w:spacing w:after="0"/>
              <w:rPr>
                <w:sz w:val="20"/>
                <w:szCs w:val="20"/>
                <w:color w:val="auto"/>
              </w:rPr>
            </w:pPr>
            <w:r>
              <w:rPr>
                <w:rFonts w:ascii="Arial" w:cs="Arial" w:eastAsia="Arial" w:hAnsi="Arial"/>
                <w:sz w:val="18"/>
                <w:szCs w:val="18"/>
                <w:b w:val="1"/>
                <w:bCs w:val="1"/>
                <w:color w:val="auto"/>
                <w:w w:val="92"/>
              </w:rPr>
              <w:t>4333 Amon Carter Blvd., Fort Worth, Texas 76155</w:t>
            </w:r>
          </w:p>
        </w:tc>
        <w:tc>
          <w:tcPr>
            <w:tcW w:w="4340" w:type="dxa"/>
            <w:vAlign w:val="bottom"/>
          </w:tcPr>
          <w:p>
            <w:pPr>
              <w:jc w:val="right"/>
              <w:ind w:right="979"/>
              <w:spacing w:after="0"/>
              <w:rPr>
                <w:sz w:val="20"/>
                <w:szCs w:val="20"/>
                <w:color w:val="auto"/>
              </w:rPr>
            </w:pPr>
            <w:r>
              <w:rPr>
                <w:rFonts w:ascii="Arial" w:cs="Arial" w:eastAsia="Arial" w:hAnsi="Arial"/>
                <w:sz w:val="18"/>
                <w:szCs w:val="18"/>
                <w:b w:val="1"/>
                <w:bCs w:val="1"/>
                <w:color w:val="auto"/>
              </w:rPr>
              <w:t>(817) 963-1234</w:t>
            </w:r>
          </w:p>
        </w:tc>
      </w:tr>
      <w:tr>
        <w:trPr>
          <w:trHeight w:val="186"/>
        </w:trPr>
        <w:tc>
          <w:tcPr>
            <w:tcW w:w="5000" w:type="dxa"/>
            <w:vAlign w:val="bottom"/>
          </w:tcPr>
          <w:p>
            <w:pPr>
              <w:jc w:val="center"/>
              <w:ind w:right="99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4340" w:type="dxa"/>
            <w:vAlign w:val="bottom"/>
          </w:tcPr>
          <w:p>
            <w:pPr>
              <w:jc w:val="center"/>
              <w:ind w:left="9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9" w:lineRule="exact"/>
        <w:rPr>
          <w:sz w:val="24"/>
          <w:szCs w:val="24"/>
          <w:color w:val="auto"/>
        </w:rPr>
      </w:pPr>
    </w:p>
    <w:p>
      <w:pPr>
        <w:spacing w:after="0" w:line="307"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1420"/>
          </w:cols>
          <w:pgMar w:left="240" w:top="230" w:right="239" w:bottom="1440" w:gutter="0" w:footer="0" w:header="0"/>
        </w:sectPr>
      </w:pP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74"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jc w:val="both"/>
        <w:ind w:right="20"/>
        <w:spacing w:after="0" w:line="21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2" w:lineRule="exact"/>
        <w:rPr>
          <w:sz w:val="24"/>
          <w:szCs w:val="24"/>
          <w:color w:val="auto"/>
        </w:rPr>
      </w:pPr>
    </w:p>
    <w:p>
      <w:pPr>
        <w:sectPr>
          <w:pgSz w:w="11900" w:h="16838" w:orient="portrait"/>
          <w:cols w:equalWidth="0" w:num="3">
            <w:col w:w="9580" w:space="720"/>
            <w:col w:w="460" w:space="220"/>
            <w:col w:w="440"/>
          </w:cols>
          <w:pgMar w:left="240" w:top="230" w:right="239" w:bottom="1440" w:gutter="0" w:footer="0" w:header="0"/>
          <w:type w:val="continuous"/>
        </w:sectPr>
      </w:pPr>
    </w:p>
    <w:p>
      <w:pPr>
        <w:jc w:val="both"/>
        <w:spacing w:after="0" w:line="278"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ectPr>
          <w:pgSz w:w="11900" w:h="16838" w:orient="portrait"/>
          <w:cols w:equalWidth="0" w:num="1">
            <w:col w:w="11420"/>
          </w:cols>
          <w:pgMar w:left="240" w:top="230" w:right="239" w:bottom="1440" w:gutter="0" w:footer="0" w:header="0"/>
          <w:type w:val="continuous"/>
        </w:sectPr>
      </w:pP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59"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74"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jc w:val="both"/>
        <w:ind w:right="80"/>
        <w:spacing w:after="0" w:line="215"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2" w:lineRule="exact"/>
        <w:rPr>
          <w:sz w:val="24"/>
          <w:szCs w:val="24"/>
          <w:color w:val="auto"/>
        </w:rPr>
      </w:pPr>
    </w:p>
    <w:p>
      <w:pPr>
        <w:sectPr>
          <w:pgSz w:w="11900" w:h="16838" w:orient="portrait"/>
          <w:cols w:equalWidth="0" w:num="3">
            <w:col w:w="9560" w:space="720"/>
            <w:col w:w="460" w:space="180"/>
            <w:col w:w="500"/>
          </w:cols>
          <w:pgMar w:left="240" w:top="230" w:right="239" w:bottom="1440" w:gutter="0" w:footer="0" w:header="0"/>
          <w:type w:val="continuous"/>
        </w:sectPr>
      </w:pPr>
    </w:p>
    <w:p>
      <w:pPr>
        <w:spacing w:after="0" w:line="28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“accelerated filer,” “large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jc w:val="both"/>
        <w:spacing w:after="0" w:line="209"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Large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Large Accelerated Filer</w:t>
      </w:r>
    </w:p>
    <w:p>
      <w:pPr>
        <w:spacing w:after="0" w:line="20" w:lineRule="exact"/>
        <w:rPr>
          <w:sz w:val="24"/>
          <w:szCs w:val="24"/>
          <w:color w:val="auto"/>
        </w:rPr>
      </w:pPr>
      <w:r>
        <w:rPr>
          <w:sz w:val="24"/>
          <w:szCs w:val="24"/>
          <w:color w:val="auto"/>
        </w:rPr>
        <w:br w:type="column"/>
      </w:r>
    </w:p>
    <w:p>
      <w:pPr>
        <w:jc w:val="both"/>
        <w:spacing w:after="0" w:line="209"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Accelerated Filer</w:t>
      </w:r>
    </w:p>
    <w:p>
      <w:pPr>
        <w:spacing w:after="0" w:line="20" w:lineRule="exact"/>
        <w:rPr>
          <w:sz w:val="24"/>
          <w:szCs w:val="24"/>
          <w:color w:val="auto"/>
        </w:rPr>
      </w:pPr>
      <w:r>
        <w:rPr>
          <w:sz w:val="24"/>
          <w:szCs w:val="24"/>
          <w:color w:val="auto"/>
        </w:rPr>
        <w:br w:type="column"/>
      </w:r>
    </w:p>
    <w:p>
      <w:pPr>
        <w:jc w:val="both"/>
        <w:spacing w:after="0" w:line="210"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p>
      <w:pPr>
        <w:spacing w:after="0" w:line="20" w:lineRule="exact"/>
        <w:rPr>
          <w:sz w:val="24"/>
          <w:szCs w:val="24"/>
          <w:color w:val="auto"/>
        </w:rPr>
      </w:pPr>
      <w:r>
        <w:rPr>
          <w:sz w:val="24"/>
          <w:szCs w:val="24"/>
          <w:color w:val="auto"/>
        </w:rPr>
        <w:br w:type="column"/>
      </w:r>
    </w:p>
    <w:p>
      <w:pPr>
        <w:jc w:val="both"/>
        <w:ind w:right="340"/>
        <w:spacing w:after="0" w:line="209"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Smaller Reporting Company</w:t>
      </w:r>
    </w:p>
    <w:p>
      <w:pPr>
        <w:spacing w:after="0" w:line="33" w:lineRule="exact"/>
        <w:rPr>
          <w:sz w:val="24"/>
          <w:szCs w:val="24"/>
          <w:color w:val="auto"/>
        </w:rPr>
      </w:pPr>
    </w:p>
    <w:p>
      <w:pPr>
        <w:sectPr>
          <w:pgSz w:w="11900" w:h="16838" w:orient="portrait"/>
          <w:cols w:equalWidth="0" w:num="5">
            <w:col w:w="2480" w:space="720"/>
            <w:col w:w="1760" w:space="360"/>
            <w:col w:w="1360" w:space="320"/>
            <w:col w:w="1620" w:space="360"/>
            <w:col w:w="2440"/>
          </w:cols>
          <w:pgMar w:left="240" w:top="230" w:right="239" w:bottom="1440" w:gutter="0" w:footer="0" w:header="0"/>
          <w:type w:val="continuous"/>
        </w:sect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74"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both"/>
        <w:ind w:right="80"/>
        <w:spacing w:after="0" w:line="319" w:lineRule="auto"/>
        <w:rPr>
          <w:sz w:val="20"/>
          <w:szCs w:val="20"/>
          <w:color w:val="auto"/>
        </w:rPr>
      </w:pPr>
      <w:r>
        <w:rPr>
          <w:rFonts w:ascii="Arial" w:cs="Arial" w:eastAsia="Arial" w:hAnsi="Arial"/>
          <w:sz w:val="15"/>
          <w:szCs w:val="15"/>
          <w:color w:val="auto"/>
        </w:rPr>
        <w:t>No No</w:t>
      </w:r>
    </w:p>
    <w:p>
      <w:pPr>
        <w:spacing w:after="0" w:line="1" w:lineRule="exact"/>
        <w:rPr>
          <w:sz w:val="24"/>
          <w:szCs w:val="24"/>
          <w:color w:val="auto"/>
        </w:rPr>
      </w:pPr>
    </w:p>
    <w:p>
      <w:pPr>
        <w:sectPr>
          <w:pgSz w:w="11900" w:h="16838" w:orient="portrait"/>
          <w:cols w:equalWidth="0" w:num="4">
            <w:col w:w="9560" w:space="720"/>
            <w:col w:w="460" w:space="180"/>
            <w:col w:w="140" w:space="80"/>
            <w:col w:w="280"/>
          </w:cols>
          <w:pgMar w:left="240" w:top="230" w:right="239" w:bottom="1440" w:gutter="0" w:footer="0" w:header="0"/>
          <w:type w:val="continuous"/>
        </w:sectPr>
      </w:pPr>
    </w:p>
    <w:p>
      <w:pPr>
        <w:spacing w:after="0" w:line="288" w:lineRule="auto"/>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 Act of 1934 subsequent to the distribution of securities under a plan confirmed by a court.</w:t>
      </w:r>
    </w:p>
    <w:p>
      <w:pPr>
        <w:sectPr>
          <w:pgSz w:w="11900" w:h="16838" w:orient="portrait"/>
          <w:cols w:equalWidth="0" w:num="1">
            <w:col w:w="11420"/>
          </w:cols>
          <w:pgMar w:left="240" w:top="230" w:right="239" w:bottom="1440" w:gutter="0" w:footer="0" w:header="0"/>
          <w:type w:val="continuous"/>
        </w:sectPr>
      </w:pPr>
    </w:p>
    <w:p>
      <w:pPr>
        <w:spacing w:after="0" w:line="31" w:lineRule="exact"/>
        <w:rPr>
          <w:sz w:val="24"/>
          <w:szCs w:val="24"/>
          <w:color w:val="auto"/>
        </w:rPr>
      </w:pPr>
    </w:p>
    <w:p>
      <w:pPr>
        <w:spacing w:after="0"/>
        <w:rPr>
          <w:sz w:val="20"/>
          <w:szCs w:val="20"/>
          <w:color w:val="auto"/>
        </w:rPr>
      </w:pPr>
      <w:r>
        <w:rPr>
          <w:rFonts w:ascii="Arial" w:cs="Arial" w:eastAsia="Arial" w:hAnsi="Arial"/>
          <w:sz w:val="15"/>
          <w:szCs w:val="15"/>
          <w:color w:val="auto"/>
        </w:rPr>
        <w:t>American Airlines Group Inc.</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American Airlines, Inc.</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74" w:lineRule="exact"/>
        <w:rPr>
          <w:sz w:val="24"/>
          <w:szCs w:val="24"/>
          <w:color w:val="auto"/>
        </w:rPr>
      </w:pPr>
    </w:p>
    <w:p>
      <w:pPr>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Yes</w:t>
      </w:r>
    </w:p>
    <w:p>
      <w:pPr>
        <w:spacing w:after="0" w:line="20" w:lineRule="exact"/>
        <w:rPr>
          <w:sz w:val="24"/>
          <w:szCs w:val="24"/>
          <w:color w:val="auto"/>
        </w:rPr>
      </w:pPr>
      <w:r>
        <w:rPr>
          <w:sz w:val="24"/>
          <w:szCs w:val="24"/>
          <w:color w:val="auto"/>
        </w:rPr>
        <w:br w:type="column"/>
      </w:r>
    </w:p>
    <w:p>
      <w:pPr>
        <w:jc w:val="both"/>
        <w:ind w:right="80"/>
        <w:spacing w:after="0" w:line="21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2" w:lineRule="exact"/>
        <w:rPr>
          <w:sz w:val="24"/>
          <w:szCs w:val="24"/>
          <w:color w:val="auto"/>
        </w:rPr>
      </w:pPr>
    </w:p>
    <w:p>
      <w:pPr>
        <w:sectPr>
          <w:pgSz w:w="11900" w:h="16838" w:orient="portrait"/>
          <w:cols w:equalWidth="0" w:num="3">
            <w:col w:w="9560" w:space="720"/>
            <w:col w:w="460" w:space="180"/>
            <w:col w:w="500"/>
          </w:cols>
          <w:pgMar w:left="240" w:top="230" w:right="239" w:bottom="1440" w:gutter="0" w:footer="0" w:header="0"/>
          <w:type w:val="continuous"/>
        </w:sectPr>
      </w:pPr>
    </w:p>
    <w:p>
      <w:pPr>
        <w:spacing w:after="0"/>
        <w:rPr>
          <w:sz w:val="20"/>
          <w:szCs w:val="20"/>
          <w:color w:val="auto"/>
        </w:rPr>
      </w:pPr>
      <w:r>
        <w:rPr>
          <w:rFonts w:ascii="Arial" w:cs="Arial" w:eastAsia="Arial" w:hAnsi="Arial"/>
          <w:sz w:val="14"/>
          <w:szCs w:val="14"/>
          <w:color w:val="auto"/>
        </w:rPr>
        <w:t>As of October 14, 2016, there were 518,125,156 shares of American Airlines Group Inc. common stock outstanding.</w:t>
      </w:r>
    </w:p>
    <w:p>
      <w:pPr>
        <w:sectPr>
          <w:pgSz w:w="11900" w:h="16838" w:orient="portrait"/>
          <w:cols w:equalWidth="0" w:num="1">
            <w:col w:w="11420"/>
          </w:cols>
          <w:pgMar w:left="240" w:top="230" w:right="239" w:bottom="1440" w:gutter="0" w:footer="0" w:header="0"/>
          <w:type w:val="continuous"/>
        </w:sectPr>
      </w:pP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As of October 14, 2016, there were 1,000 shares of American Airlines, Inc. common stock outstanding, all of which were held by American Airlines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American Airlines,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Quarterly Period Ended September 30, 2016</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60" w:type="dxa"/>
            <w:vAlign w:val="bottom"/>
            <w:gridSpan w:val="13"/>
            <w:vMerge w:val="restart"/>
          </w:tcPr>
          <w:p>
            <w:pPr>
              <w:jc w:val="center"/>
              <w:ind w:right="378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60" w:type="dxa"/>
            <w:vAlign w:val="bottom"/>
            <w:gridSpan w:val="13"/>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57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Financial Statements of American Airlines Group Inc.</w:t>
              </w:r>
            </w:hyperlink>
          </w:p>
        </w:tc>
        <w:tc>
          <w:tcPr>
            <w:tcW w:w="418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40" w:type="dxa"/>
            <w:vAlign w:val="bottom"/>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Comprehensive Income</w:t>
              </w:r>
            </w:hyperlink>
          </w:p>
        </w:tc>
        <w:tc>
          <w:tcPr>
            <w:tcW w:w="534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40" w:type="dxa"/>
            <w:vAlign w:val="bottom"/>
            <w:gridSpan w:val="2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Balance Sheets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4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40" w:type="dxa"/>
            <w:vAlign w:val="bottom"/>
            <w:gridSpan w:val="2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530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Condensed Consolidated Financial Statements of American Airlines, Inc.</w:t>
              </w:r>
            </w:hyperlink>
          </w:p>
        </w:tc>
        <w:tc>
          <w:tcPr>
            <w:tcW w:w="464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40" w:type="dxa"/>
            <w:vAlign w:val="bottom"/>
            <w:gridSpan w:val="2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Condensed Consolidated Statements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6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Condensed Consolidated Statements of Comprehensive Income</w:t>
              </w:r>
            </w:hyperlink>
          </w:p>
        </w:tc>
        <w:tc>
          <w:tcPr>
            <w:tcW w:w="534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994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Condensed Consolidated Balance Sheets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40" w:type="dxa"/>
            <w:vAlign w:val="bottom"/>
            <w:gridSpan w:val="2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Condensed Consolidated Statements of Cash Flows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940" w:type="dxa"/>
            <w:vAlign w:val="bottom"/>
            <w:gridSpan w:val="20"/>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Notes to the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940" w:type="dxa"/>
            <w:vAlign w:val="bottom"/>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6"/>
          </w:tcPr>
          <w:p>
            <w:pPr>
              <w:spacing w:after="0"/>
              <w:rPr>
                <w:sz w:val="17"/>
                <w:szCs w:val="17"/>
                <w:color w:val="auto"/>
              </w:rPr>
            </w:pPr>
          </w:p>
        </w:tc>
        <w:tc>
          <w:tcPr>
            <w:tcW w:w="34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94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0" w:type="dxa"/>
            <w:vAlign w:val="bottom"/>
            <w:tcBorders>
              <w:bottom w:val="single" w:sz="8" w:color="0000EE"/>
            </w:tcBorders>
            <w:gridSpan w:val="9"/>
          </w:tcPr>
          <w:p>
            <w:pPr>
              <w:jc w:val="cente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II: OTHER INFORMATION</w:t>
              </w:r>
            </w:hyperlink>
          </w:p>
        </w:tc>
        <w:tc>
          <w:tcPr>
            <w:tcW w:w="392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9940" w:type="dxa"/>
            <w:vAlign w:val="bottom"/>
            <w:gridSpan w:val="2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Legal Proceedings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17"/>
                <w:szCs w:val="17"/>
                <w:color w:val="auto"/>
              </w:rPr>
            </w:pPr>
          </w:p>
        </w:tc>
        <w:tc>
          <w:tcPr>
            <w:tcW w:w="860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Unregistered Sales of Equity Securities and Use of Proceeds</w:t>
              </w:r>
            </w:hyperlink>
          </w:p>
        </w:tc>
        <w:tc>
          <w:tcPr>
            <w:tcW w:w="558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940" w:type="dxa"/>
            <w:vAlign w:val="bottom"/>
            <w:gridSpan w:val="20"/>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340" w:type="dxa"/>
            <w:vAlign w:val="bottom"/>
            <w:gridSpan w:val="1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SIGNATURES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85"/>
        </w:trPr>
        <w:tc>
          <w:tcPr>
            <w:tcW w:w="10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0" w:type="dxa"/>
            <w:vAlign w:val="bottom"/>
            <w:gridSpan w:val="14"/>
          </w:tcPr>
          <w:p>
            <w:pPr>
              <w:jc w:val="right"/>
              <w:ind w:right="54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This combined Quarterly Report on Form 10-Q is filed by American Airlines Group Inc. (formerly named AMR Corporation) (AAG) and its wholly-owned subsidiary American Airlines, Inc. (American). References in this Quarterly Report on Form 10-Q to “we,” “us,” “our” and similar terms refer to AAG and its consolidated subsidiaries. On December 9, 2013, a subsidiary of AMR Corporation merged with and into US Airways Group, Inc. (US Airways Group), which survived as a wholly-owned subsidiary of AAG (the Merger). On December 30, 2015, in order to simplify AAG’s internal corporate structure and as part of the integration efforts following the business combination of AAG and US Airways Group, AAG caused US Airways Group to be merged with and into AAG, with AAG as the surviving corporation, and, immediately thereafter, US Airways, Inc. (US Airways), a subsidiary of US Airways Group, merged with and into American, with American as the surviving corporation. For financial reporting purposes, this transaction constituted a transfer of assets between entities under common control and is reflected in this Quarterly Report on Form 10-Q as though the transaction had occurred on December 9, 2013, the effective date of the Merger, which represents the earliest date that American and US Airways were under common control. Thus, information in this Quarterly Report on Form 10-Q regarding American’s condensed consolidated results of operations is comprised of the results of US Airways and American for all periods presented. “AMR” or “AMR Corporation” refers to AAG during the period of time prior to its acquisition of US Airways Group. References to “US Airways Group” and “US Airways” represent the entities during the period of time prior to December 30, 2015. References in this Quarterly Report on Form 10-Q to “mainline” refer to the operations of American, as applicable, and exclude regional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Concerning Forward-Looking Statements</w:t>
      </w:r>
    </w:p>
    <w:p>
      <w:pPr>
        <w:spacing w:after="0" w:line="121" w:lineRule="exact"/>
        <w:rPr>
          <w:sz w:val="20"/>
          <w:szCs w:val="20"/>
          <w:color w:val="auto"/>
        </w:rPr>
      </w:pPr>
    </w:p>
    <w:p>
      <w:pPr>
        <w:jc w:val="both"/>
        <w:ind w:firstLine="456"/>
        <w:spacing w:after="0" w:line="283" w:lineRule="auto"/>
        <w:rPr>
          <w:sz w:val="20"/>
          <w:szCs w:val="20"/>
          <w:color w:val="auto"/>
        </w:rPr>
      </w:pPr>
      <w:r>
        <w:rPr>
          <w:rFonts w:ascii="Arial" w:cs="Arial" w:eastAsia="Arial" w:hAnsi="Arial"/>
          <w:sz w:val="16"/>
          <w:szCs w:val="16"/>
          <w:color w:val="auto"/>
        </w:rPr>
        <w:t>Certain of the statements contained in this report should be considered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benefits of the Merger, including future financial and operating results, our plans, objectives, expectations and intentions, and other statements that are not historical facts, such as, without limitation, statements that discuss the possible future effects of current known trends or uncertainties, or which indicate that the future effects of known trends or uncertainties cannot be predicted, guaranteed or assured. These forward-looking statements are based on our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described below under Part II, Item 1A. Risk Factors and the following: significant operating losses in the future; downturns in economic conditions that adversely affect our business; the impact of continued periods of high volatility in fuel costs, increased fuel prices and significant disruptions in the supply of aircraft fuel; competitive practices in the industry, including the impact of low-cost carriers, airline alliances and industry consolidation; the challenges and costs of integrating operations and realizing anticipated synergies and other benefits of the Merger; costs of ongoing data security compliance requirements and the impact of any significant data security breach; our substantial indebtedness and other obligations and the effect they could have on our business and liquidity; an inability to obtain sufficient financing or other capital to operate successfully and in accordance with our current business plan; increased costs of financing, a reduction in the availability of financing and fluctuations in interest rates; the effect our high level of fixed obligations may have on our ability to fund general corporate requirements, obtain additional financing and respond to competitive developments and adverse economic and industry conditions; our significant pension and other postretirement benefit funding obligations; the impact of any failure to comply with the covenants contained in financing arrangements; provisions in credit card processing and other commercial agreements that may materially reduce our liquidity; the impact of union disputes, employee strikes and other labor-related disruptions; any inability to maintain labor costs at competitive levels; interruptions or disruptions in service at one or more of our hub airports; any inability to obtain and maintain adequate facilities, infrastructure and slots to operate our flight schedule and expand or change our route network; our reliance on third-party regional operators or third-party service providers that have the ability to affect our revenue and the public’s perception about our services; any inability to effectively manage the costs, rights and functionality of third-party distribution channels on which we rely; extensive government regulation, which may result in increases in our costs, disruptions to our operations, limits on our operating flexibility, reductions in the demand for air travel, and competitive disadvantages; the impact of the heavy taxation on the airline industry; changes to our business model that may not successfully increase revenues and may cause operational difficulties or decreased demand; the loss of key personnel or inability to attract and retain additional qualified personnel; the impact of conflicts overseas, terrorist attacks and ongoing security concerns; the global scope of our business and any associated economic and political instability or adverse effects of events, circumstances or government actions beyond our control, including the impact of foreign currency exchange rate fluctuations and limitations on the repatriation of cash held in foreign countries; the impact of environmental and noise regulation; the impact associated with climate change, including increased regulation to reduce emissions of greenhouse gases; our reliance on technology and automated systems and the impact of any failure of these technologies or systems; challenges in integrating our computer, communications and other technology systems; losses and adverse publicity stemming from any accident involving any of our aircraft or the aircraft of our regional or codeshare operators; delays in scheduled aircraft deliveries, or other loss of anticipated fleet capacity, and failure of new aircraft to perform as expected; our dependence on a limited number of suppliers for aircraft, aircraft engines and parts; the impact of changing economic and other conditions beyond our control, including global events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that affect travel behavior such as an outbreak of a contagious disease, and volatility and fluctuations in our results of operations due to seasonality; the effect of a higher than normal number of pilot retirements, more stringent duty time regulations, increased flight hour requirements for commercial airline pilots and other factors that have caused a shortage of pilots; the impact of possible future increases in insurance costs or reductions in available insurance coverage; the effect on our financial position and liquidity of being party to or involved in litigation; an inability to use net operating losses (NOLs) carried over from prior taxable years (NOL Carryforwards); any impairment in the amount of our goodwill and an inability to realize the full value of our intangible or long-lived assets and any material impairment charges that would be recorded as a result; price volatility of our common stock; the effects of our capital deployment program and the limitation, suspension or discontinuation of our share repurchase programs or dividend payments thereunder; delay or prevention of stockholders’ ability to change the composition of our Board of Directors and the effect this may have on takeover attempts that some of our stockholders might consider beneficial; the effect of provisions of our Restated Certificate of Incorporation (the Certificate of Incorporation) and Amended and Restated Bylaws (the Bylaws) that limit ownership and voting of our equity interests, including our common stock; the effect of limitations in our Certificate of Incorporation on acquisitions and dispositions of our common stock designed to protect our NOL Carryforwards and certain other tax attributes, which may limit the liquidity of our common stock; and other economic, business, competitive, and/or regulatory factors affecting our business, including those set forth in this Quarterly Report on Form 10-Q (especially in Part II, Item 1A. Risk Factors and Part I, Item 2. Management’s Discussion and Analysis of Financial Condition and Results of Operations) and in our other filings with the Securities and Exchange Commission (the SEC), and other risks and uncertainties listed from time to time in our filings with the SEC.</w:t>
      </w:r>
    </w:p>
    <w:p>
      <w:pPr>
        <w:spacing w:after="0" w:line="183"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All of the forward-looking statements are qualified in their entirety by reference to the factors discussed in Part II, Item 1A. Risk Factors and elsewhere in this report. There may be other factors of which we are not currently aware that may affect matters discussed in the forward-looking statements and may also cause actual results to differ materially from those discussed. We do not assume any obligation to publicly update or supplement any forward-looking statement to reflect actual results, changes in assumptions or changes in other factors affecting such statements other than as required by law. Forward-looking statements speak only as of the date of this Quarterly Report on Form 10-Q or as of the dates indicated in the statements.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combined Quarterly Report on Form 10-Q is filed by both AAG and American and includes the condensed consolidated financial statements of each company in Item 1A and Item 1B,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tab/>
        <w:t>CONDENSED CONSOLIDATED FINANCIAL STATEMENTS OF AMERICAN AIRLINES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14"/>
                <w:szCs w:val="14"/>
                <w:color w:val="auto"/>
              </w:rPr>
            </w:pPr>
          </w:p>
        </w:tc>
        <w:tc>
          <w:tcPr>
            <w:tcW w:w="23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Mainline passenger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7,419</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7,654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21,192</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Cargo</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506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1,273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3,653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10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10,706</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Aircraft fuel and related taxes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1,593</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3,736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2,404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8,094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Regional expenses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1,538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4,488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Other rent and landing fees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1,342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347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Special items, net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1,131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0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9,163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8,707</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25,874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4,517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Interest expense, net of capitalized interest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(219)</w:t>
            </w:r>
          </w:p>
        </w:tc>
        <w:tc>
          <w:tcPr>
            <w:tcW w:w="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tcPr>
          <w:p>
            <w:pPr>
              <w:ind w:left="700"/>
              <w:spacing w:after="0"/>
              <w:rPr>
                <w:sz w:val="20"/>
                <w:szCs w:val="20"/>
                <w:color w:val="auto"/>
              </w:rPr>
            </w:pPr>
            <w:r>
              <w:rPr>
                <w:rFonts w:ascii="Arial" w:cs="Arial" w:eastAsia="Arial" w:hAnsi="Arial"/>
                <w:sz w:val="18"/>
                <w:szCs w:val="18"/>
                <w:color w:val="auto"/>
              </w:rPr>
              <w:t>Total nonoperating expense, net</w:t>
            </w:r>
          </w:p>
        </w:tc>
        <w:tc>
          <w:tcPr>
            <w:tcW w:w="10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1,412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2,387</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4,329</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Diluted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4.20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(in thousands):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340"/>
              <w:spacing w:after="0"/>
              <w:rPr>
                <w:sz w:val="20"/>
                <w:szCs w:val="20"/>
                <w:color w:val="auto"/>
              </w:rPr>
            </w:pPr>
            <w:r>
              <w:rPr>
                <w:rFonts w:ascii="Arial" w:cs="Arial" w:eastAsia="Arial" w:hAnsi="Arial"/>
                <w:sz w:val="18"/>
                <w:szCs w:val="18"/>
                <w:color w:val="auto"/>
              </w:rPr>
              <w:t>Basic</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525,415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661,869</w:t>
            </w: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564,886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682,337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528,510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680,739</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568,679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701,760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b w:val="1"/>
                <w:bCs w:val="1"/>
                <w:color w:val="auto"/>
              </w:rPr>
              <w:t>Cash dividends declared per common share</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0.10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0.30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360" w:type="dxa"/>
            <w:vAlign w:val="bottom"/>
            <w:gridSpan w:val="7"/>
          </w:tcPr>
          <w:p>
            <w:pPr>
              <w:spacing w:after="0"/>
              <w:rPr>
                <w:sz w:val="20"/>
                <w:szCs w:val="20"/>
                <w:color w:val="auto"/>
              </w:rPr>
            </w:pPr>
            <w:r>
              <w:rPr>
                <w:rFonts w:ascii="Arial" w:cs="Arial" w:eastAsia="Arial" w:hAnsi="Arial"/>
                <w:sz w:val="14"/>
                <w:szCs w:val="14"/>
                <w:b w:val="1"/>
                <w:bCs w:val="1"/>
                <w:color w:val="auto"/>
                <w:w w:val="98"/>
              </w:rPr>
              <w:t>Three Months Ended September 30,</w:t>
            </w:r>
          </w:p>
        </w:tc>
        <w:tc>
          <w:tcPr>
            <w:tcW w:w="80" w:type="dxa"/>
            <w:vAlign w:val="bottom"/>
          </w:tcPr>
          <w:p>
            <w:pPr>
              <w:spacing w:after="0"/>
              <w:rPr>
                <w:sz w:val="14"/>
                <w:szCs w:val="14"/>
                <w:color w:val="auto"/>
              </w:rPr>
            </w:pPr>
          </w:p>
        </w:tc>
        <w:tc>
          <w:tcPr>
            <w:tcW w:w="22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retiree medical and other postretirement benefits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Reclassification into earnings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Unrealized gain (loss) on investments: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value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20"/>
                <w:szCs w:val="20"/>
                <w:color w:val="auto"/>
              </w:rPr>
            </w:pPr>
          </w:p>
        </w:tc>
        <w:tc>
          <w:tcPr>
            <w:tcW w:w="6700" w:type="dxa"/>
            <w:vAlign w:val="bottom"/>
          </w:tcPr>
          <w:p>
            <w:pPr>
              <w:ind w:left="1060"/>
              <w:spacing w:after="0"/>
              <w:rPr>
                <w:sz w:val="20"/>
                <w:szCs w:val="20"/>
                <w:color w:val="auto"/>
              </w:rPr>
            </w:pPr>
            <w:r>
              <w:rPr>
                <w:rFonts w:ascii="Arial" w:cs="Arial" w:eastAsia="Arial" w:hAnsi="Arial"/>
                <w:sz w:val="18"/>
                <w:szCs w:val="18"/>
                <w:b w:val="1"/>
                <w:bCs w:val="1"/>
                <w:color w:val="auto"/>
              </w:rPr>
              <w:t>Total other comprehensive loss, net of tax</w:t>
            </w: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722</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1,663</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2,341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4,237</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September 30, 2016</w:t>
            </w:r>
          </w:p>
        </w:tc>
        <w:tc>
          <w:tcPr>
            <w:tcW w:w="42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c>
          <w:tcPr>
            <w:tcW w:w="0" w:type="dxa"/>
            <w:vAlign w:val="bottom"/>
          </w:tcPr>
          <w:p>
            <w:pPr>
              <w:spacing w:after="0"/>
              <w:rPr>
                <w:sz w:val="1"/>
                <w:szCs w:val="1"/>
                <w:color w:val="auto"/>
              </w:rPr>
            </w:pPr>
          </w:p>
        </w:tc>
      </w:tr>
      <w:tr>
        <w:trPr>
          <w:trHeight w:val="142"/>
        </w:trPr>
        <w:tc>
          <w:tcPr>
            <w:tcW w:w="8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(Unaudited)</w:t>
            </w:r>
          </w:p>
        </w:tc>
        <w:tc>
          <w:tcPr>
            <w:tcW w:w="46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381</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6,374</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5,864</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and short-term investments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1,703</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spare parts and supplies, net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23"/>
        </w:trPr>
        <w:tc>
          <w:tcPr>
            <w:tcW w:w="8080" w:type="dxa"/>
            <w:vAlign w:val="bottom"/>
          </w:tcPr>
          <w:p>
            <w:pPr>
              <w:ind w:left="360"/>
              <w:spacing w:after="0"/>
              <w:rPr>
                <w:sz w:val="20"/>
                <w:szCs w:val="20"/>
                <w:color w:val="auto"/>
              </w:rPr>
            </w:pPr>
            <w:r>
              <w:rPr>
                <w:rFonts w:ascii="Arial" w:cs="Arial" w:eastAsia="Arial" w:hAnsi="Arial"/>
                <w:sz w:val="18"/>
                <w:szCs w:val="18"/>
                <w:color w:val="auto"/>
              </w:rPr>
              <w:t>Prepaid expenses and other</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11,048</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9,985</w:t>
            </w: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Flight equipment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36,259</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33,185</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Ground property and equipment</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6,915</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6,402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purchase deposits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3"/>
        </w:trPr>
        <w:tc>
          <w:tcPr>
            <w:tcW w:w="8080" w:type="dxa"/>
            <w:vAlign w:val="bottom"/>
          </w:tcPr>
          <w:p>
            <w:pPr>
              <w:ind w:left="720"/>
              <w:spacing w:after="0"/>
              <w:rPr>
                <w:sz w:val="20"/>
                <w:szCs w:val="20"/>
                <w:color w:val="auto"/>
              </w:rPr>
            </w:pPr>
            <w:r>
              <w:rPr>
                <w:rFonts w:ascii="Arial" w:cs="Arial" w:eastAsia="Arial" w:hAnsi="Arial"/>
                <w:sz w:val="18"/>
                <w:szCs w:val="18"/>
                <w:color w:val="auto"/>
              </w:rPr>
              <w:t>Total property and equipment, at cost</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44,323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(14,019)</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(13,144)</w:t>
            </w:r>
          </w:p>
        </w:tc>
        <w:tc>
          <w:tcPr>
            <w:tcW w:w="0" w:type="dxa"/>
            <w:vAlign w:val="bottom"/>
          </w:tcPr>
          <w:p>
            <w:pPr>
              <w:spacing w:after="0"/>
              <w:rPr>
                <w:sz w:val="1"/>
                <w:szCs w:val="1"/>
                <w:color w:val="auto"/>
              </w:rPr>
            </w:pPr>
          </w:p>
        </w:tc>
      </w:tr>
      <w:tr>
        <w:trPr>
          <w:trHeight w:val="223"/>
        </w:trPr>
        <w:tc>
          <w:tcPr>
            <w:tcW w:w="8080" w:type="dxa"/>
            <w:vAlign w:val="bottom"/>
          </w:tcPr>
          <w:p>
            <w:pPr>
              <w:ind w:left="72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30,304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4,091</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 net of accumulated amortization of $562 and $502, respectively</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2,189</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1,524</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1,952</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30"/>
        </w:trPr>
        <w:tc>
          <w:tcPr>
            <w:tcW w:w="8080" w:type="dxa"/>
            <w:vAlign w:val="bottom"/>
          </w:tcPr>
          <w:p>
            <w:pPr>
              <w:ind w:left="720"/>
              <w:spacing w:after="0"/>
              <w:rPr>
                <w:sz w:val="20"/>
                <w:szCs w:val="20"/>
                <w:color w:val="auto"/>
              </w:rPr>
            </w:pPr>
            <w:r>
              <w:rPr>
                <w:rFonts w:ascii="Arial" w:cs="Arial" w:eastAsia="Arial" w:hAnsi="Arial"/>
                <w:sz w:val="18"/>
                <w:szCs w:val="18"/>
                <w:color w:val="auto"/>
              </w:rPr>
              <w:t>Total other assets</w:t>
            </w: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9,756</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51,108</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48,415</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Current maturities of long-term debt and capital leases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1,798</w:t>
            </w:r>
          </w:p>
        </w:tc>
        <w:tc>
          <w:tcPr>
            <w:tcW w:w="440" w:type="dxa"/>
            <w:vAlign w:val="bottom"/>
          </w:tcPr>
          <w:p>
            <w:pPr>
              <w:spacing w:after="0"/>
              <w:rPr>
                <w:sz w:val="18"/>
                <w:szCs w:val="18"/>
                <w:color w:val="auto"/>
              </w:rPr>
            </w:pPr>
          </w:p>
        </w:tc>
        <w:tc>
          <w:tcPr>
            <w:tcW w:w="76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1,673</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Accrued salaries and wages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1,365</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 traffic liability</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4,513</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Loyalty program liability</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2,950</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accrued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2,234</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23"/>
        </w:trPr>
        <w:tc>
          <w:tcPr>
            <w:tcW w:w="80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Long-term debt and capital leases, net of current maturities</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21,545</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18,330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7,387</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7,450</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Deferred gains and credits, net</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554</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2,698</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23"/>
        </w:trPr>
        <w:tc>
          <w:tcPr>
            <w:tcW w:w="8080" w:type="dxa"/>
            <w:vAlign w:val="bottom"/>
          </w:tcPr>
          <w:p>
            <w:pPr>
              <w:ind w:left="72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32,184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$0.01 par value; 1,750,000,000 shares authorized, 519,161,253 shares issued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outstanding at September 30, 2016; 624,622,381 shares issued and outstanding at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2015</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7,761</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11,591</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(4,778)</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(4,732)</w:t>
            </w:r>
          </w:p>
        </w:tc>
        <w:tc>
          <w:tcPr>
            <w:tcW w:w="0" w:type="dxa"/>
            <w:vAlign w:val="bottom"/>
          </w:tcPr>
          <w:p>
            <w:pPr>
              <w:spacing w:after="0"/>
              <w:rPr>
                <w:sz w:val="1"/>
                <w:szCs w:val="1"/>
                <w:color w:val="auto"/>
              </w:rPr>
            </w:pPr>
          </w:p>
        </w:tc>
      </w:tr>
      <w:tr>
        <w:trPr>
          <w:trHeight w:val="223"/>
        </w:trPr>
        <w:tc>
          <w:tcPr>
            <w:tcW w:w="8080" w:type="dxa"/>
            <w:vAlign w:val="bottom"/>
          </w:tcPr>
          <w:p>
            <w:pPr>
              <w:ind w:left="360"/>
              <w:spacing w:after="0"/>
              <w:rPr>
                <w:sz w:val="20"/>
                <w:szCs w:val="20"/>
                <w:color w:val="auto"/>
              </w:rPr>
            </w:pPr>
            <w:r>
              <w:rPr>
                <w:rFonts w:ascii="Arial" w:cs="Arial" w:eastAsia="Arial" w:hAnsi="Arial"/>
                <w:sz w:val="18"/>
                <w:szCs w:val="18"/>
                <w:color w:val="auto"/>
              </w:rPr>
              <w:t>Retained earnings (deficit)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80" w:type="dxa"/>
            <w:vAlign w:val="bottom"/>
          </w:tcPr>
          <w:p>
            <w:pPr>
              <w:ind w:left="108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51,108</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660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expenditures and aircraft purchase deposits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Purchases of short-term investments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of short-term investments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Decrease in restricted cash and short-term investments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an investment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investing activities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2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Payments on long-term debt and capital leases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(2,534)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5,392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4,463</w:t>
            </w: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Deferred financing costs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Sale-leaseback transactions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Treasury stock repurchases</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(3,931)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payments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Arial" w:cs="Arial" w:eastAsia="Arial" w:hAnsi="Arial"/>
                <w:sz w:val="18"/>
                <w:szCs w:val="18"/>
                <w:color w:val="auto"/>
              </w:rPr>
              <w:t>Other financing activities</w:t>
            </w:r>
          </w:p>
        </w:tc>
        <w:tc>
          <w:tcPr>
            <w:tcW w:w="2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(used in) financing activities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color w:val="auto"/>
              </w:rPr>
              <w:t>Net increase (decrease) in cash</w:t>
            </w:r>
          </w:p>
        </w:tc>
        <w:tc>
          <w:tcPr>
            <w:tcW w:w="2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color w:val="auto"/>
              </w:rPr>
              <w:t>Cash at end of period</w:t>
            </w:r>
          </w:p>
        </w:tc>
        <w:tc>
          <w:tcPr>
            <w:tcW w:w="2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360"/>
              <w:spacing w:after="0"/>
              <w:rPr>
                <w:sz w:val="20"/>
                <w:szCs w:val="20"/>
                <w:color w:val="auto"/>
              </w:rPr>
            </w:pPr>
            <w:r>
              <w:rPr>
                <w:rFonts w:ascii="Arial" w:cs="Arial" w:eastAsia="Arial" w:hAnsi="Arial"/>
                <w:sz w:val="18"/>
                <w:szCs w:val="18"/>
                <w:color w:val="auto"/>
              </w:rPr>
              <w:t>Settlement of bankruptcy obligations</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4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lease obligations</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net of amounts capitalized</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American Airlines Group Inc. (we, us, our and similar terms, or AAG) should be read in conjunction with the consolidated financial statements contained in our Annual Report on Form 10-K for the year ended December 31, 2015. The accompanying unaudited condensed consolidated financial statements include the accounts of AAG and its wholly-owned subsidiaries. AAG’s principal subsidiary is American Airlines, Inc. (American). All significant intercompany transactions have been eliminated.</w:t>
      </w:r>
    </w:p>
    <w:p>
      <w:pPr>
        <w:spacing w:after="0" w:line="17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December 9, 2013 (the Effective Date), AMR Merger Sub, Inc. merged with and into US Airways Group, Inc. (US Airways Group) (the Merger), with US Airways Group surviving as a wholly-owned subsidiary of AAG, a Delaware corporation (formerly known as AMR Corporation or AMR) following the Merger.</w:t>
      </w:r>
    </w:p>
    <w:p>
      <w:pPr>
        <w:spacing w:after="0" w:line="18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December 30, 2015, in order to simplify our internal corporate structure and as part of the integration efforts following the business combination of AAG and US Airways Group, AAG caused US Airways Group to be merged with and into AAG, with AAG as the surviving corporation, and, immediately thereafter, US Airways, Inc. (US Airways), a Delaware corporation and wholly-owned subsidiary of US Airways Group, merged with and into American, with American as the surviving corporation. As a result of the merger of US Airways and American, US Airways transferred all of its assets, liabilities and off-balance sheet commitments to American. For financial reporting purposes, this transaction constituted a transfer of assets between entities under common control and was accounted for at historical cost.</w:t>
      </w:r>
    </w:p>
    <w:p>
      <w:pPr>
        <w:spacing w:after="0" w:line="193"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pensions, retiree medical and other postretirement benefits.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Subsequently, the FASB has issued several additional ASUs to clarify the implementation guidance on principal versus agent considerations, identifying performance obligations, assessing collectability, presentation of sales taxes and other similar taxes collected from customers, non-cash consideration, contract modifications and completed contracts at transition. These ASUs apply to all companies that enter into contracts with customers to transfer goods or services. These ASUs are effective for public entities for interim and annual reporting periods beginning after December 15, 2017. Early adoption is permitted, but not before interim and annual reporting periods beginning after December 15, 2016. Entities have the choice to apply these ASUs either retrospectively to each reporting period presented or by recognizing the cumulative effect of applying these standards at the date of initial application and not adjusting comparative information. We are currently evaluating the requirements of these standards and have not yet determined the impact on our condensed consolidated financial statements.</w:t>
      </w:r>
    </w:p>
    <w:p>
      <w:pPr>
        <w:spacing w:after="0" w:line="169"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a lease liability and a right-of-use asset on the balance sheet and aligns many of the underlying principles of the new lessor model with those in Accounting Standards Codification Topic 606, Revenue from Contracts with Customers. ASU 2016-02 is effective for fiscal years beginning after December 15, 2018, including interim periods within those fiscal years. Early adoption is permitted. We are currently evaluating the requirements of ASU 2016-02 and have not yet determined its impact on our condensed consolidated financial statements.</w:t>
      </w:r>
    </w:p>
    <w:p>
      <w:pPr>
        <w:spacing w:after="0" w:line="18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March 2016, the FASB issued ASU 2016-09, “Compensation – Stock Compensation (Topic 718): Improvements to Employee Share-Based Payment Accounting.” ASU 2016-09 simplifies the accounting for share-based payment award transactions including the financial statement presentation of excess tax benefits and deficiencies, classification of awards as either equity or liabilities, accounting for forfeitures and classification on the statement of cash flows. ASU 2016-09 is effective for fiscal years beginning after December 15, 2016, including interim periods within those fiscal years. Early adoption is permitted. We early adopted this standard during the second quarter of 2016. The adoption of this standard resulted in the recognition of $418 million of previously unrecognized excess tax benefits in deferred tax assets and an increase to retained earnings on the condensed consolidated balance sheet as of the beginning of the current year, and the recognition of $9 million of excess tax benefits to the income tax provision for the nine months ended September 30, 2016.</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items, net on the condensed consolidated statements of operations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Three Months Ended September 30,</w:t>
            </w:r>
          </w:p>
        </w:tc>
        <w:tc>
          <w:tcPr>
            <w:tcW w:w="2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282"/>
              <w:spacing w:after="0" w:line="142" w:lineRule="exact"/>
              <w:rPr>
                <w:sz w:val="20"/>
                <w:szCs w:val="20"/>
                <w:color w:val="auto"/>
              </w:rPr>
            </w:pPr>
            <w:r>
              <w:rPr>
                <w:rFonts w:ascii="Arial" w:cs="Arial" w:eastAsia="Arial" w:hAnsi="Arial"/>
                <w:sz w:val="14"/>
                <w:szCs w:val="14"/>
                <w:b w:val="1"/>
                <w:bCs w:val="1"/>
                <w:color w:val="auto"/>
              </w:rPr>
              <w:t>2016</w:t>
            </w:r>
          </w:p>
        </w:tc>
        <w:tc>
          <w:tcPr>
            <w:tcW w:w="1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62"/>
              <w:spacing w:after="0" w:line="142" w:lineRule="exact"/>
              <w:rPr>
                <w:sz w:val="20"/>
                <w:szCs w:val="20"/>
                <w:color w:val="auto"/>
              </w:rPr>
            </w:pPr>
            <w:r>
              <w:rPr>
                <w:rFonts w:ascii="Arial" w:cs="Arial" w:eastAsia="Arial" w:hAnsi="Arial"/>
                <w:sz w:val="14"/>
                <w:szCs w:val="14"/>
                <w:b w:val="1"/>
                <w:bCs w:val="1"/>
                <w:color w:val="auto"/>
              </w:rPr>
              <w:t>2016</w:t>
            </w:r>
          </w:p>
        </w:tc>
        <w:tc>
          <w:tcPr>
            <w:tcW w:w="1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15"/>
                <w:szCs w:val="15"/>
                <w:color w:val="auto"/>
              </w:rPr>
              <w:t>(1)</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7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163</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7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610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55"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2016 third quarter mainline operating special items totaled a net charge of $289 million, which principally included $225 million of merger integration expenses and a $39 million net charge for bankruptcy related items principally consisting of fair value adjustments for bankruptcy settlement obligations. The 2016 nine month period mainline operating special items totaled a net charge of $450 million, which principally included $467 million of merger integration expenses, offset in part by a $22 million net credit for bankruptcy related items principally consisting of fair value adjustments for bankruptcy settlement obligations. For the 2016 third quarter and nine month periods, merger integration expenses included costs related to re-branding of aircraft, airport facilities and uniforms, information technology, alignment of labor union contracts, fleet restructuring, professional fees, relocation and training, as well as severance.</w:t>
      </w:r>
    </w:p>
    <w:p>
      <w:pPr>
        <w:spacing w:after="0" w:line="81" w:lineRule="exact"/>
        <w:rPr>
          <w:rFonts w:ascii="Arial" w:cs="Arial" w:eastAsia="Arial" w:hAnsi="Arial"/>
          <w:sz w:val="15"/>
          <w:szCs w:val="15"/>
          <w:color w:val="auto"/>
        </w:rPr>
      </w:pPr>
    </w:p>
    <w:p>
      <w:pPr>
        <w:jc w:val="both"/>
        <w:ind w:left="460"/>
        <w:spacing w:after="0" w:line="290" w:lineRule="auto"/>
        <w:rPr>
          <w:rFonts w:ascii="Arial" w:cs="Arial" w:eastAsia="Arial" w:hAnsi="Arial"/>
          <w:sz w:val="15"/>
          <w:szCs w:val="15"/>
          <w:color w:val="auto"/>
        </w:rPr>
      </w:pPr>
      <w:r>
        <w:rPr>
          <w:rFonts w:ascii="Arial" w:cs="Arial" w:eastAsia="Arial" w:hAnsi="Arial"/>
          <w:sz w:val="16"/>
          <w:szCs w:val="16"/>
          <w:color w:val="auto"/>
        </w:rPr>
        <w:t>The 2015 third quarter mainline operating special items totaled a net charge of $163 million, which principally included $198 million of merger integration expenses and a $38 million charge in connection with the dissolution of a joint venture. These charges were offset in part by a $66 million credit related to proceeds received from a legal settlement. The 2015 nine month period mainline operating special items totaled a net charge of $610 million, which principally included $741 million of merger integration expenses and a $38 million charge in connection with the dissolution of a joint venture. These charges were offset in part by a $75 million net credit for bankruptcy related items principally consisting of fair value adjustments for bankruptcy settlement obligations and a $66 million credit related to proceeds received from a legal settlement. For the 2015 third quarter and nine month periods, merger integration expenses included costs related to information technology, fleet restructuring, alignment of labor union contracts, professional fees, severance, relocation and training, re-branding of aircraft, airport facilities and uniforms, as well as share-based compensation.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additional amounts are also included in the condensed consolidated statements of operations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Regional operating special items, net</w:t>
            </w:r>
          </w:p>
        </w:tc>
        <w:tc>
          <w:tcPr>
            <w:tcW w:w="1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8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(1)</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tax special items, net</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 connection with a bond refinancing, we recorded a $36 million nonoperating special charge in the 2016 nine month period related to non-cash write offs of unamortized bond discounts and issuance costs as well as payments of redemption premiums and fees.</w:t>
      </w:r>
    </w:p>
    <w:p>
      <w:pPr>
        <w:spacing w:after="0" w:line="62" w:lineRule="exact"/>
        <w:rPr>
          <w:rFonts w:ascii="Arial" w:cs="Arial" w:eastAsia="Arial" w:hAnsi="Arial"/>
          <w:sz w:val="15"/>
          <w:szCs w:val="15"/>
          <w:color w:val="auto"/>
        </w:rPr>
      </w:pPr>
    </w:p>
    <w:p>
      <w:pPr>
        <w:jc w:val="both"/>
        <w:ind w:left="460"/>
        <w:spacing w:after="0" w:line="272" w:lineRule="auto"/>
        <w:rPr>
          <w:rFonts w:ascii="Arial" w:cs="Arial" w:eastAsia="Arial" w:hAnsi="Arial"/>
          <w:sz w:val="15"/>
          <w:szCs w:val="15"/>
          <w:color w:val="auto"/>
        </w:rPr>
      </w:pPr>
      <w:r>
        <w:rPr>
          <w:rFonts w:ascii="Arial" w:cs="Arial" w:eastAsia="Arial" w:hAnsi="Arial"/>
          <w:sz w:val="17"/>
          <w:szCs w:val="17"/>
          <w:color w:val="auto"/>
        </w:rPr>
        <w:t>The 2015 third quarter nonoperating special items totaled a net charge of $21 million, which was primarily due to non-cash write offs of unamortized debt discount and debt issuance costs associated with the purchase and subsequent remarketing of certain special facility revenue bonds. The 2015 nine month period nonoperating special items totaled a net charge of $2 million, which principally included $40 million in charges primarily related to non-cash write offs of unamortized debt discount and debt issuance costs associated with refinancing American’s secured term loan facilities, prepayments of certain aircraft financings and the purchase and subsequent remarketing of certain special facility revenue bonds. These charges were offset in part by a $22 million gain associated with the sale of an investment and a $17 million early debt extinguishment gain associated with the repayment of American’s AAdvantage loan with Citibank.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Common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the computation of basic and diluted earnings per common share (EPS) (in millions, except share and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EPS: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737</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2,387</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(in thousands)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525,415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661,869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564,886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Basic EPS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EPS: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Net income for purposes of computing diluted EPS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737</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1,693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2,387</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Share computation for diluted EPS (in thousands):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525,415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661,869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564,886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682,337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awards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3,095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19,423</w:t>
            </w:r>
          </w:p>
        </w:tc>
        <w:tc>
          <w:tcPr>
            <w:tcW w:w="0" w:type="dxa"/>
            <w:vAlign w:val="bottom"/>
          </w:tcPr>
          <w:p>
            <w:pPr>
              <w:spacing w:after="0"/>
              <w:rPr>
                <w:sz w:val="1"/>
                <w:szCs w:val="1"/>
                <w:color w:val="auto"/>
              </w:rPr>
            </w:pPr>
          </w:p>
        </w:tc>
      </w:tr>
      <w:tr>
        <w:trPr>
          <w:trHeight w:val="230"/>
        </w:trPr>
        <w:tc>
          <w:tcPr>
            <w:tcW w:w="6080" w:type="dxa"/>
            <w:vAlign w:val="bottom"/>
          </w:tcPr>
          <w:p>
            <w:pPr>
              <w:ind w:left="720"/>
              <w:spacing w:after="0"/>
              <w:rPr>
                <w:sz w:val="20"/>
                <w:szCs w:val="20"/>
                <w:color w:val="auto"/>
              </w:rPr>
            </w:pPr>
            <w:r>
              <w:rPr>
                <w:rFonts w:ascii="Arial" w:cs="Arial" w:eastAsia="Arial" w:hAnsi="Arial"/>
                <w:sz w:val="18"/>
                <w:szCs w:val="18"/>
                <w:color w:val="auto"/>
              </w:rPr>
              <w:t>Diluted weighted average common shares outstanding</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528,510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680,739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568,679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Diluted EPS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w:t>
            </w:r>
          </w:p>
        </w:tc>
        <w:tc>
          <w:tcPr>
            <w:tcW w:w="4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4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The following were excluded from the calculation of diluted EPS (in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thousands):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Stock options, stock appreciation rights and restricted stock unit awards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because inclusion would be antidilutive</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1,623</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Share Repurchase Programs and Dividends</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Since July 2014, our Board of Directors has approved several share repurchase programs aggregating $9.0 billion of authority of which, as of September 30, 2016, $555 million remained unused under repurchase programs that expire on December 31, 2017. Share repurchases under our share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Our share repurchase programs do not obligate us to repurchase any specific number of shares and may be suspended at any time at our discretion.</w:t>
      </w:r>
    </w:p>
    <w:p>
      <w:pPr>
        <w:spacing w:after="0" w:line="1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three months ended September 30, 2016, we repurchased 18.2 million shares of AAG common stock for $616 million at a weighted average cost per share of $33.87. During the nine months ended September 30, 2016, we repurchased 107.7 million shares of AAG common stock for $3.9 billion at a weighted average cost per share of $35.87. Since the inception of the share repurchase programs in July 2014, we have repurchased 216.2 million shares of AAG common stock for $8.4 billion at a weighted average cost per share of $39.06.</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declared the following cash dividends during the first nine months of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500" w:type="dxa"/>
            <w:vAlign w:val="bottom"/>
          </w:tcPr>
          <w:p>
            <w:pPr>
              <w:spacing w:after="0"/>
              <w:rPr>
                <w:sz w:val="14"/>
                <w:szCs w:val="14"/>
                <w:color w:val="auto"/>
              </w:rPr>
            </w:pPr>
          </w:p>
        </w:tc>
        <w:tc>
          <w:tcPr>
            <w:tcW w:w="10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7"/>
              </w:rPr>
              <w:t>Per share</w:t>
            </w:r>
          </w:p>
        </w:tc>
        <w:tc>
          <w:tcPr>
            <w:tcW w:w="17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For stockholders</w:t>
            </w:r>
          </w:p>
        </w:tc>
        <w:tc>
          <w:tcPr>
            <w:tcW w:w="18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Payable on</w:t>
            </w: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Cash paid</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of record as of</w:t>
            </w:r>
          </w:p>
        </w:tc>
        <w:tc>
          <w:tcPr>
            <w:tcW w:w="1800" w:type="dxa"/>
            <w:vAlign w:val="bottom"/>
            <w:gridSpan w:val="2"/>
            <w:vMerge w:val="continue"/>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w:t>
            </w:r>
          </w:p>
        </w:tc>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w:t>
            </w:r>
          </w:p>
        </w:tc>
        <w:tc>
          <w:tcPr>
            <w:tcW w:w="2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February 10, 2016</w:t>
            </w:r>
          </w:p>
        </w:tc>
        <w:tc>
          <w:tcPr>
            <w:tcW w:w="4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February 24, 2016</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6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0.10</w:t>
            </w: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rPr>
              <w:t>May 4, 2016</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May 18, 2016</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6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0.10</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5, 2016</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19, 2016</w:t>
            </w: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September 30, 2016</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2013 Credit Facilities, variable interest rate of 3.25%, installments through 2020</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1,843</w:t>
            </w:r>
          </w:p>
        </w:tc>
        <w:tc>
          <w:tcPr>
            <w:tcW w:w="8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 Credit Facilities, variable interest rate of 3.25%, installments through 2021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2016 Credit Facilities, variable interest rate of 3.50%, installments through 2023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2013 Citicorp Credit Facility tranche B-1, variable interest rate of 3.50%, installments through</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w:t>
            </w: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2013 Citicorp Credit Facility tranche B-2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Aircraft enhanced equipment trust certificates (EETCs), fixed interest rates ranging from 3.20%</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 9.75%, maturing from 2017 to 2028</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10,358</w:t>
            </w: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340"/>
              <w:spacing w:after="0" w:line="201" w:lineRule="exact"/>
              <w:rPr>
                <w:sz w:val="20"/>
                <w:szCs w:val="20"/>
                <w:color w:val="auto"/>
              </w:rPr>
            </w:pPr>
            <w:r>
              <w:rPr>
                <w:rFonts w:ascii="Arial" w:cs="Arial" w:eastAsia="Arial" w:hAnsi="Arial"/>
                <w:sz w:val="18"/>
                <w:szCs w:val="18"/>
                <w:color w:val="auto"/>
              </w:rPr>
              <w:t>Equipment loans and other notes payable, fixed and variable interest rates ranging from 1.92%</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to 8.48%, maturing from 2016 to 2028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5,136</w:t>
            </w: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Special facility revenue bonds, fixed interest rates ranging from 5.00% to 8.00%, maturing from</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 to 2035</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891</w:t>
            </w: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340"/>
              <w:spacing w:after="0" w:line="201" w:lineRule="exact"/>
              <w:rPr>
                <w:sz w:val="20"/>
                <w:szCs w:val="20"/>
                <w:color w:val="auto"/>
              </w:rPr>
            </w:pPr>
            <w:r>
              <w:rPr>
                <w:rFonts w:ascii="Arial" w:cs="Arial" w:eastAsia="Arial" w:hAnsi="Arial"/>
                <w:sz w:val="18"/>
                <w:szCs w:val="18"/>
                <w:color w:val="auto"/>
              </w:rPr>
              <w:t>Other secured obligations, fixed interest rates ranging from 3.60% to 12.24%, maturing from</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2016 to 2028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21,806</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19,057</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i w:val="1"/>
                <w:iCs w:val="1"/>
                <w:color w:val="auto"/>
              </w:rPr>
              <w:t>Unsecured</w:t>
            </w: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5.50% senior notes, interest only payments until due in 2019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6.125% senior notes, interest only payments until due in 2018</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4.625% senior notes, interest only payments until due in 2020</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capital lease obligations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23,556</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Less: Total unamortized debt discount and debt issuance costs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1,798</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21,545</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800" w:type="dxa"/>
            <w:vAlign w:val="bottom"/>
            <w:gridSpan w:val="7"/>
          </w:tcPr>
          <w:p>
            <w:pPr>
              <w:ind w:left="440"/>
              <w:spacing w:after="0"/>
              <w:rPr>
                <w:sz w:val="20"/>
                <w:szCs w:val="20"/>
                <w:color w:val="auto"/>
              </w:rPr>
            </w:pPr>
            <w:r>
              <w:rPr>
                <w:rFonts w:ascii="Arial" w:cs="Arial" w:eastAsia="Arial" w:hAnsi="Arial"/>
                <w:sz w:val="18"/>
                <w:szCs w:val="18"/>
                <w:color w:val="auto"/>
                <w:w w:val="98"/>
              </w:rPr>
              <w:t>The table below shows availability under revolving credit facilities, all of which were undrawn, as of September 30, 2016 (in millions):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2013 Revolving Facility</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2014 Revolving Facility</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2016 Aircraft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2016-1 EETCs</w:t>
      </w:r>
    </w:p>
    <w:p>
      <w:pPr>
        <w:spacing w:after="0" w:line="11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In January 2016, American created three pass-through trusts which issued approximately $1.1 billion aggregate face amount of Series 2016-1 Class AA, Class A and Class B EETCs (the 2016-1 EETCs) in connection with the financing of 22 aircraft owned by American (the 2016-1 EETC Aircraft).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the proceeds received from the sale of the 2016-1 EETCs have been used to purchase equipment notes issued by American in three series: Series</w:t>
      </w:r>
    </w:p>
    <w:p>
      <w:pPr>
        <w:spacing w:after="0" w:line="46" w:lineRule="exact"/>
        <w:rPr>
          <w:sz w:val="20"/>
          <w:szCs w:val="20"/>
          <w:color w:val="auto"/>
        </w:rPr>
      </w:pPr>
    </w:p>
    <w:p>
      <w:pPr>
        <w:jc w:val="both"/>
        <w:ind w:firstLine="8"/>
        <w:spacing w:after="0" w:line="253" w:lineRule="auto"/>
        <w:tabs>
          <w:tab w:leader="none" w:pos="306" w:val="left"/>
        </w:tabs>
        <w:numPr>
          <w:ilvl w:val="0"/>
          <w:numId w:val="5"/>
        </w:numPr>
        <w:rPr>
          <w:rFonts w:ascii="Arial" w:cs="Arial" w:eastAsia="Arial" w:hAnsi="Arial"/>
          <w:sz w:val="18"/>
          <w:szCs w:val="18"/>
          <w:color w:val="auto"/>
        </w:rPr>
      </w:pPr>
      <w:r>
        <w:rPr>
          <w:rFonts w:ascii="Arial" w:cs="Arial" w:eastAsia="Arial" w:hAnsi="Arial"/>
          <w:sz w:val="18"/>
          <w:szCs w:val="18"/>
          <w:color w:val="auto"/>
        </w:rPr>
        <w:t>equipment notes in the principal amount of $584 million bearing interest at 3.575% per annum, Series A equipment notes in the principal amount of $262 million bearing interest at 4.10% per annum and Series B equipment notes in the principal amount of $228 million bearing interest at 5.25% per annum. Interest and principal payments on the equipment notes are payable semi-annually in January and July of each year, beginning in July 2016. The final payments on the Series AA and Series A equipment notes are due in January 2028 and the final payment on the Series B equipment notes is due in January 2024. These equipment notes are secured by liens on the 2016-1 EETC Aircraft.</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2016-2 EETCs</w:t>
      </w:r>
    </w:p>
    <w:p>
      <w:pPr>
        <w:spacing w:after="0" w:line="11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In May and July 2016, American created three pass-through trusts which issued approximately $1.1 billion aggregate face amount of Series 2016-2 Class AA, Class A and Class B EETCs (the 2016-2 EETCs) in connection with the financing of 22 aircraft owned by American (the 2016-2 EETC Aircraft).</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All of the proceeds received from the sale of the 2016-2 EETCs have been used to purchase equipment notes issued by American in three series: Series AA equipment notes in the principal amount of $567 million bearing interest at 3.20% per annum, Series A</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equipment notes in the principal amount of $261 million bearing interest at 3.65% per annum and Series B equipment notes in the principal amount of $227 million bearing interest at 4.375% per annum. Interest and principal payments on the equipment notes are payable semi-annually in June and December of each year, with interest payments beginning in December 2016 and principal payments beginning in June 2017. The final payments on the Series AA and Series A equipment notes are due in June 2028 and the final payments on the Series B equipment notes are due in June 2024. These equipment notes are secured by liens on the 2016-2 EETC Aircraft.</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Aircraft Financing Transactions</w:t>
      </w:r>
    </w:p>
    <w:p>
      <w:pPr>
        <w:spacing w:after="0" w:line="117"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In the first nine months of 2016, American entered into loan agreements to borrow $1.4 billion in connection with the financing of certain aircraft. Debt incurred under these loan agreements matures in 2026 through 2028 and bears interest at a rate of LIBOR plus an applicable margin.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2016 Other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 Credit Facilities</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On April 29, 2016, American and AAG entered into a Credit and Guaranty Agreement (the 2016 Credit Agreement), among American, as the borrower, AAG as parent and guarantor, Barclays Bank PLC, as administrative agent and collateral agent and certain lenders. The 2016 Credit Agreement provides for a $1.0 billion term loan facility (the 2016 Term Loan Facility) with a maturity date of April 28, 2023 and a revolving credit facility that may be established in the future (the 2016 Revolving Credit Facility, and together with the 2016 Term Loan Facility, the 2016 Credit Facilities). As of September 30, 2016, the aggregate outstanding principal amount under the 2016 Term Loan Facility was $1.0 billion.</w:t>
      </w:r>
    </w:p>
    <w:p>
      <w:pPr>
        <w:spacing w:after="0" w:line="17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proceeds from the 2016 Term Loan Facility were used to repay approximately $588 million in remaining principal plus accrued and unpaid interest of the 2013 Citicorp Credit Facility Tranche B-2 with the remainder of the proceeds to be used for general corporate purposes.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2016 Term Loan Facility is repayable in annual installments in an amount equal to 1.00% of the original principal balance with any unpaid balance due on the maturity date of the 2016 Term Loan Facility. Voluntary prepayments may be made by American at any time, with a premium of 1.0% applicable to certain prepayments made prior to the date that is six months following April 29, 2016.</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Loans under the 2016 Term Loan Facility bear interest at a base rate plus an applicable base rate margin or, at American’s option, LIBOR (subject to a floor of 0.75%) plus an applicable LIBOR margin. The applicable base rate margin is 1.75% and the applicable LIBOR margin is 2.75% for loans under the 2016 Term Loan Facility.</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obligations of American under the 2016 Credit Agreement are secured by liens on substantially all aircraft spare parts owned by American. American has the ability to add or release certain types of collateral, subject to certain conditions, at its discretion. The obligations of American under the 2016 Credit Facilities are guaranteed by AAG. American is required to maintain a certain minimum ratio of appraised value of the collateral to the outstanding loans under the 2016 Credit Facilities.</w:t>
      </w:r>
    </w:p>
    <w:p>
      <w:pPr>
        <w:spacing w:after="0" w:line="18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2016 Credit Facilities contain events of default customary for similar financings, including cross default to other material indebtedness. Upon the occurrence of an event of default, the outstanding obligations under the 2016 Credit Facilities may be accelerated and become due and payable immediately. In addition, if a “change of control” (as defined in the 2016 Credit Agreement) occurs with respect to AAG, American will (absent an amendment or waiver) be required to repay at par the loans outstanding under the 2016 Credit Facilities and terminate the 2016 Revolving Facility. The 2016 Credit Facilities also include covenants that, among other things, require AAG to maintain a minimum aggregate liquidity (as defined in the 2016 Credit Facilities) of not less than $2.0 billion, and limit the ability of AAG and its restricted subsidiaries to pay dividends and make certain other payments, make certain investments, incur liens on the collateral, dispose of the collateral, enter into certain affiliate transactions and engage in certain business activities, in each case subject to certain exceptions.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Obligations Associated with Special Facility Revenue Bonds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June 2016, the New York Transportation Development Corporation (NYTDC) issued approximately $844 million of special facility revenue refunding bonds (the 2016 JFK Bonds) on behalf of American. The net proceeds from the 2016 JFK Bonds generally were used to provide a portion of the funds to refinance $1.0 billion of special facility revenue bonds (Prior JFK Bonds), the net proceeds of which partially financed the construction of a terminal used by American at John F. Kennedy International Airport (JFK) (the Terminal).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American is required to pay debt service on the 2016 JFK Bonds through payments under a loan agreement with NYTDC, and American and AAG guarantee the 2016 JFK Bonds. American’s and AAG’s obligations under these guarantees are secured by a mortgage on American’s lease of the Terminal and related property from the Port Authority of New York and New Jersey.</w:t>
      </w:r>
    </w:p>
    <w:p>
      <w:pPr>
        <w:spacing w:after="0" w:line="181"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The 2016 JFK Bonds, in aggregate, were priced at approximately 107% of par value. The gross proceeds from the issuance of the 2016 JFK Bonds were approximately $907 million. Of this amount, approximately $895 million was used to partially fund the redemption of the Prior JFK Bonds. The 2016 JFK Bonds bear interest at 5.0% per annum and are comprised of $212 million of serial bonds, portions of which mature annually from August 1, 2017 to August 1, 2021, and $632 million of term bonds, $278 million of which matures on August 1, 2026 and $354 million of which matures on August 1, 2031. In connection with the refinancing of the Prior JFK Bonds, American recorded a special nonoperating charge of $36 million consisting of non-cash write offs of unamortized bond discounts and issuance costs as well as payments of redemption premiums and fees.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2014 Credit Facilities</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On September 22, 2016, American and AAG amended the Amended and Restated Credit and Guaranty Agreement dated April 20, 2015 (which amended and restated the Credit and Guaranty Agreement dated October 10, 2014), pursuant to which it refinanced the $750 million term loan facility due October 2021 established thereunder (the 2014 Term Loan Facility and, together with the $1.025 billion revolving credit facility established under such agreement, the 2014 Credit Facilities) to reduce the LIBOR margin from 2.75% to 2.50% and the base rate margin from 1.75% to 1.50%. The $1.025 billion revolving credit facility under the 2014 Credit Facilities (the 2014 Revolving Facility) remains unchanged. As of September 30, 2016, $743 million of principal was outstanding under the 2014 Term Loan Facility and there were no borrowings or letters of credit outstanding under the 2014 Revolving Facility.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At December 31, 2015, we had approximately $8.0 billion of gross net operating losses (NOLs) carried over from prior taxable years (NOL Carryforwards) to reduce future federal taxable income, substantially all of which are expected to be available for use in 2016. The federal NOL Carryforwards will expire beginning in 2022 if unused. We also had approximately $4.0 billion of NOL Carryforwards to reduce future state taxable income at December 31, 2015, which will expire in years 2016 through 2034 if unused.</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At December 31, 2015, we had an Alternative Minimum Tax credit carryforward of approximately $341 million available for federal income tax purposes, which is available for an indefinite period.</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preparation of our financial statements for the fourth quarter of 2015, we determined that it was more likely than not that substantially all of our deferred tax assets, which include our NOLs, would be realized. Accordingly, we reversed $3.0 billion of the valuation allowance as of December 31, 2015.</w:t>
      </w:r>
    </w:p>
    <w:p>
      <w:pPr>
        <w:spacing w:after="0" w:line="181"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In the first nine months of 2016, we recorded income tax expense with an effective rate of approximately 38%, which is substantially non-cash as we utilized the NOLs described above. For purposes of taxation, substantially all of our income before income taxes is attributable to the United States.</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Following the filing of our 2015 annual tax return in the third quarter of 2016, federal NOLs, substantially all of which are expected to be available to reduce future federal taxable income in 2016 and future years, increased by $2.5 billion. The increase in the federal NOLs is attributable to the election to take bonus depreciation on eligible assets (primarily aircraft) in the 2015 federal income tax return.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Assets Measured at Fair Value on a Recurring Basis</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We utilize the market approach to measure fair value for our financial assets. The market approach uses prices and other relevant information generated by market transactions involving identical or comparable assets. Our short-term investments classified as Level 2 primarily utilize broker quotes in a non-active market for valuation of these securities. No changes in valuation techniques or inputs occurred during the nine months ended September 30, 2016.</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6"/>
              </w:rPr>
              <w:t>Fair Value Measurements as of September 30, 2016</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r>
      <w:tr>
        <w:trPr>
          <w:trHeight w:val="196"/>
        </w:trPr>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5"/>
                <w:szCs w:val="15"/>
                <w:color w:val="auto"/>
              </w:rPr>
              <w:t>(1), (2)</w:t>
            </w: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378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378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obligations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Bank notes/certificates of deposit/time deposits</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3,052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agreements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23"/>
        </w:trPr>
        <w:tc>
          <w:tcPr>
            <w:tcW w:w="7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79"/>
              </w:rPr>
              <w:t>378</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7,009</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4"/>
              </w:rPr>
              <w:t>1,013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All short-term investments are classified as available-for-sale and stated at fair value. Our short-term investments mature in one year or less except for $100 million of bank notes/certificates of deposit/time deposits and $230 million of corporate obligations.</w:t>
      </w:r>
    </w:p>
    <w:p>
      <w:pPr>
        <w:spacing w:after="0" w:line="18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There were no Level 1 to Level 2 transfers during the nine months ended September 30, 2016.</w:t>
      </w:r>
    </w:p>
    <w:p>
      <w:pPr>
        <w:spacing w:after="0" w:line="33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Fair Value of Debt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fair value of our long-term debt was estimated using quoted market prices or discounted cash flow analyses, based on our current estimated incremental borrowing rates for similar types of borrowing arrangements. If our long-term debt was measured at fair value, it would have been classified as Level 2 in the fair value hierarchy.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and estimated fair value of our long-term debt, including current maturities,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164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2016</w:t>
            </w:r>
          </w:p>
        </w:tc>
        <w:tc>
          <w:tcPr>
            <w:tcW w:w="160" w:type="dxa"/>
            <w:vAlign w:val="bottom"/>
          </w:tcPr>
          <w:p>
            <w:pPr>
              <w:spacing w:after="0"/>
              <w:rPr>
                <w:sz w:val="14"/>
                <w:szCs w:val="14"/>
                <w:color w:val="auto"/>
              </w:rPr>
            </w:pPr>
          </w:p>
        </w:tc>
        <w:tc>
          <w:tcPr>
            <w:tcW w:w="158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 2015</w:t>
            </w:r>
          </w:p>
        </w:tc>
      </w:tr>
      <w:tr>
        <w:trPr>
          <w:trHeight w:val="119"/>
        </w:trPr>
        <w:tc>
          <w:tcPr>
            <w:tcW w:w="804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Carrying</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Carrying</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804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8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23,343</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24,486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20,561</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21,111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Short-term Investments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cash and short-term investments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operate a 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for additional discussion of this and other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risks.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Benefits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the components of net periodic benefit cost (income)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14"/>
                <w:szCs w:val="14"/>
                <w:color w:val="auto"/>
              </w:rPr>
            </w:pPr>
          </w:p>
        </w:tc>
        <w:tc>
          <w:tcPr>
            <w:tcW w:w="19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Retiree Medical and Other</w:t>
            </w:r>
          </w:p>
        </w:tc>
        <w:tc>
          <w:tcPr>
            <w:tcW w:w="0" w:type="dxa"/>
            <w:vAlign w:val="bottom"/>
          </w:tcPr>
          <w:p>
            <w:pPr>
              <w:spacing w:after="0"/>
              <w:rPr>
                <w:sz w:val="1"/>
                <w:szCs w:val="1"/>
                <w:color w:val="auto"/>
              </w:rPr>
            </w:pPr>
          </w:p>
        </w:tc>
      </w:tr>
      <w:tr>
        <w:trPr>
          <w:trHeight w:val="171"/>
        </w:trPr>
        <w:tc>
          <w:tcPr>
            <w:tcW w:w="2240" w:type="dxa"/>
            <w:vAlign w:val="bottom"/>
            <w:vMerge w:val="restart"/>
          </w:tcPr>
          <w:p>
            <w:pPr>
              <w:spacing w:after="0"/>
              <w:rPr>
                <w:sz w:val="20"/>
                <w:szCs w:val="20"/>
                <w:color w:val="auto"/>
              </w:rPr>
            </w:pPr>
            <w:r>
              <w:rPr>
                <w:rFonts w:ascii="Arial" w:cs="Arial" w:eastAsia="Arial" w:hAnsi="Arial"/>
                <w:sz w:val="14"/>
                <w:szCs w:val="14"/>
                <w:b w:val="1"/>
                <w:bCs w:val="1"/>
                <w:color w:val="auto"/>
                <w:w w:val="93"/>
              </w:rPr>
              <w:t>Three Months Ended September 30,</w:t>
            </w:r>
          </w:p>
        </w:tc>
        <w:tc>
          <w:tcPr>
            <w:tcW w:w="53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Postretirement Benefits</w:t>
            </w:r>
          </w:p>
        </w:tc>
        <w:tc>
          <w:tcPr>
            <w:tcW w:w="0" w:type="dxa"/>
            <w:vAlign w:val="bottom"/>
          </w:tcPr>
          <w:p>
            <w:pPr>
              <w:spacing w:after="0"/>
              <w:rPr>
                <w:sz w:val="1"/>
                <w:szCs w:val="1"/>
                <w:color w:val="auto"/>
              </w:rPr>
            </w:pPr>
          </w:p>
        </w:tc>
      </w:tr>
      <w:tr>
        <w:trPr>
          <w:trHeight w:val="149"/>
        </w:trPr>
        <w:tc>
          <w:tcPr>
            <w:tcW w:w="2240" w:type="dxa"/>
            <w:vAlign w:val="bottom"/>
            <w:tcBorders>
              <w:bottom w:val="single" w:sz="8" w:color="auto"/>
            </w:tcBorders>
            <w:vMerge w:val="continue"/>
          </w:tcPr>
          <w:p>
            <w:pPr>
              <w:spacing w:after="0"/>
              <w:rPr>
                <w:sz w:val="12"/>
                <w:szCs w:val="12"/>
                <w:color w:val="auto"/>
              </w:rPr>
            </w:pPr>
          </w:p>
        </w:tc>
        <w:tc>
          <w:tcPr>
            <w:tcW w:w="53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5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187</w:t>
            </w:r>
          </w:p>
        </w:tc>
        <w:tc>
          <w:tcPr>
            <w:tcW w:w="10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5"/>
              </w:rPr>
              <w:t>(188)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(213)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360"/>
              <w:spacing w:after="0"/>
              <w:rPr>
                <w:sz w:val="20"/>
                <w:szCs w:val="20"/>
                <w:color w:val="auto"/>
              </w:rPr>
            </w:pPr>
            <w:r>
              <w:rPr>
                <w:rFonts w:ascii="Arial" w:cs="Arial" w:eastAsia="Arial" w:hAnsi="Arial"/>
                <w:sz w:val="18"/>
                <w:szCs w:val="18"/>
                <w:color w:val="auto"/>
              </w:rPr>
              <w:t xml:space="preserve">Prior service cost (benefit)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Unrecognized net loss (gain)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Net periodic benefit cost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4"/>
          <w:szCs w:val="14"/>
          <w:color w:val="auto"/>
        </w:rPr>
      </w:pPr>
      <w:r>
        <w:rPr>
          <w:rFonts w:ascii="Arial" w:cs="Arial" w:eastAsia="Arial" w:hAnsi="Arial"/>
          <w:sz w:val="17"/>
          <w:szCs w:val="17"/>
          <w:color w:val="auto"/>
        </w:rPr>
        <w:t>Each of the 2016 and 2015 third quarters’ prior service cost does not include amortization of $1 million related to other postretirement benefits.</w:t>
      </w:r>
    </w:p>
    <w:p>
      <w:pPr>
        <w:sectPr>
          <w:pgSz w:w="11900" w:h="16838" w:orient="portrait"/>
          <w:cols w:equalWidth="0" w:num="1">
            <w:col w:w="11420"/>
          </w:cols>
          <w:pgMar w:left="240" w:top="459" w:right="2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7"/>
            <w:vMerge w:val="restart"/>
          </w:tcPr>
          <w:p>
            <w:pPr>
              <w:jc w:val="right"/>
              <w:ind w:right="340"/>
              <w:spacing w:after="0"/>
              <w:rPr>
                <w:sz w:val="20"/>
                <w:szCs w:val="20"/>
                <w:color w:val="auto"/>
              </w:rPr>
            </w:pPr>
            <w:r>
              <w:rPr>
                <w:rFonts w:ascii="Arial" w:cs="Arial" w:eastAsia="Arial" w:hAnsi="Arial"/>
                <w:sz w:val="14"/>
                <w:szCs w:val="14"/>
                <w:b w:val="1"/>
                <w:bCs w:val="1"/>
                <w:color w:val="auto"/>
                <w:w w:val="89"/>
              </w:rPr>
              <w:t>Pension Benefits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4"/>
              </w:rPr>
              <w:t>Retiree Medical and Other</w:t>
            </w:r>
          </w:p>
        </w:tc>
        <w:tc>
          <w:tcPr>
            <w:tcW w:w="0" w:type="dxa"/>
            <w:vAlign w:val="bottom"/>
          </w:tcPr>
          <w:p>
            <w:pPr>
              <w:spacing w:after="0"/>
              <w:rPr>
                <w:sz w:val="1"/>
                <w:szCs w:val="1"/>
                <w:color w:val="auto"/>
              </w:rPr>
            </w:pPr>
          </w:p>
        </w:tc>
      </w:tr>
      <w:tr>
        <w:trPr>
          <w:trHeight w:val="171"/>
        </w:trPr>
        <w:tc>
          <w:tcPr>
            <w:tcW w:w="7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7"/>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7"/>
              </w:rPr>
              <w:t>Postretirement Benefits</w:t>
            </w:r>
          </w:p>
        </w:tc>
        <w:tc>
          <w:tcPr>
            <w:tcW w:w="0" w:type="dxa"/>
            <w:vAlign w:val="bottom"/>
          </w:tcPr>
          <w:p>
            <w:pPr>
              <w:spacing w:after="0"/>
              <w:rPr>
                <w:sz w:val="1"/>
                <w:szCs w:val="1"/>
                <w:color w:val="auto"/>
              </w:rPr>
            </w:pPr>
          </w:p>
        </w:tc>
      </w:tr>
      <w:tr>
        <w:trPr>
          <w:trHeight w:val="142"/>
        </w:trPr>
        <w:tc>
          <w:tcPr>
            <w:tcW w:w="77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5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(562)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(639)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 xml:space="preserve">Prior service cost (benefit)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Unrecognized net loss (gain)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Net periodic benefit cost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77"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The 2016 and 2015 nine months’ prior service cost does not include amortization of $1 million and $2 million, respectively, related to other postretirement benefits.</w:t>
      </w:r>
    </w:p>
    <w:p>
      <w:pPr>
        <w:spacing w:after="0" w:line="170"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Effective November 1, 2012, substantially all of our defined benefit pension plans were frozen.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comprehensive income (loss) before reclassifications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Amounts reclassified from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9"/>
              </w:rPr>
              <w:t>Pension, Retiree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Medical and</w:t>
            </w:r>
          </w:p>
        </w:tc>
        <w:tc>
          <w:tcPr>
            <w:tcW w:w="100" w:type="dxa"/>
            <w:vAlign w:val="bottom"/>
          </w:tcPr>
          <w:p>
            <w:pPr>
              <w:spacing w:after="0"/>
              <w:rPr>
                <w:sz w:val="12"/>
                <w:szCs w:val="12"/>
                <w:color w:val="auto"/>
              </w:rPr>
            </w:pPr>
          </w:p>
        </w:tc>
        <w:tc>
          <w:tcPr>
            <w:tcW w:w="13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3"/>
              </w:rPr>
              <w:t>Unrealized</w:t>
            </w: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 Tax</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4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100" w:type="dxa"/>
            <w:vAlign w:val="bottom"/>
          </w:tcPr>
          <w:p>
            <w:pPr>
              <w:spacing w:after="0"/>
              <w:rPr>
                <w:sz w:val="12"/>
                <w:szCs w:val="12"/>
                <w:color w:val="auto"/>
              </w:rPr>
            </w:pPr>
          </w:p>
        </w:tc>
        <w:tc>
          <w:tcPr>
            <w:tcW w:w="1080" w:type="dxa"/>
            <w:vAlign w:val="bottom"/>
            <w:gridSpan w:val="2"/>
          </w:tcPr>
          <w:p>
            <w:pPr>
              <w:jc w:val="right"/>
              <w:ind w:right="523"/>
              <w:spacing w:after="0" w:line="149" w:lineRule="exact"/>
              <w:rPr>
                <w:sz w:val="20"/>
                <w:szCs w:val="20"/>
                <w:color w:val="auto"/>
              </w:rPr>
            </w:pPr>
            <w:r>
              <w:rPr>
                <w:rFonts w:ascii="Arial" w:cs="Arial" w:eastAsia="Arial" w:hAnsi="Arial"/>
                <w:sz w:val="14"/>
                <w:szCs w:val="14"/>
                <w:b w:val="1"/>
                <w:bCs w:val="1"/>
                <w:color w:val="auto"/>
                <w:w w:val="96"/>
              </w:rPr>
              <w:t>Benefit</w:t>
            </w:r>
          </w:p>
        </w:tc>
        <w:tc>
          <w:tcPr>
            <w:tcW w:w="240" w:type="dxa"/>
            <w:vAlign w:val="bottom"/>
          </w:tcPr>
          <w:p>
            <w:pPr>
              <w:spacing w:after="0"/>
              <w:rPr>
                <w:sz w:val="12"/>
                <w:szCs w:val="12"/>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Benefits</w:t>
            </w:r>
          </w:p>
        </w:tc>
        <w:tc>
          <w:tcPr>
            <w:tcW w:w="14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0"/>
              </w:rPr>
              <w:t>Investments</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(Provision)</w:t>
            </w:r>
          </w:p>
        </w:tc>
        <w:tc>
          <w:tcPr>
            <w:tcW w:w="2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(3,842)</w:t>
            </w:r>
          </w:p>
        </w:tc>
        <w:tc>
          <w:tcPr>
            <w:tcW w:w="520" w:type="dxa"/>
            <w:vAlign w:val="bottom"/>
          </w:tcPr>
          <w:p>
            <w:pPr>
              <w:spacing w:after="0"/>
              <w:rPr>
                <w:sz w:val="16"/>
                <w:szCs w:val="16"/>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w:t>
            </w:r>
          </w:p>
        </w:tc>
        <w:tc>
          <w:tcPr>
            <w:tcW w:w="54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(880)</w:t>
            </w:r>
          </w:p>
        </w:tc>
        <w:tc>
          <w:tcPr>
            <w:tcW w:w="480" w:type="dxa"/>
            <w:vAlign w:val="bottom"/>
          </w:tcPr>
          <w:p>
            <w:pPr>
              <w:jc w:val="right"/>
              <w:ind w:right="163"/>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6"/>
                <w:szCs w:val="16"/>
                <w:color w:val="auto"/>
              </w:rPr>
            </w:pP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3"/>
              </w:rPr>
              <w:t>$(4,732)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080" w:type="dxa"/>
            <w:vAlign w:val="bottom"/>
            <w:gridSpan w:val="2"/>
          </w:tcPr>
          <w:p>
            <w:pPr>
              <w:jc w:val="right"/>
              <w:ind w:right="483"/>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223"/>
              <w:spacing w:after="0"/>
              <w:rPr>
                <w:sz w:val="20"/>
                <w:szCs w:val="20"/>
                <w:color w:val="auto"/>
              </w:rPr>
            </w:pPr>
            <w:r>
              <w:rPr>
                <w:rFonts w:ascii="Arial" w:cs="Arial" w:eastAsia="Arial" w:hAnsi="Arial"/>
                <w:sz w:val="18"/>
                <w:szCs w:val="18"/>
                <w:color w:val="auto"/>
              </w:rPr>
              <w:t>27</w:t>
            </w:r>
            <w:r>
              <w:rPr>
                <w:rFonts w:ascii="Arial" w:cs="Arial" w:eastAsia="Arial" w:hAnsi="Arial"/>
                <w:sz w:val="15"/>
                <w:szCs w:val="15"/>
                <w:color w:val="auto"/>
              </w:rPr>
              <w:t>(2)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820" w:space="540"/>
            <w:col w:w="50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80" w:type="dxa"/>
            <w:vAlign w:val="bottom"/>
          </w:tcPr>
          <w:p>
            <w:pPr>
              <w:ind w:left="700"/>
              <w:spacing w:after="0" w:line="203" w:lineRule="exact"/>
              <w:rPr>
                <w:sz w:val="20"/>
                <w:szCs w:val="20"/>
                <w:color w:val="auto"/>
              </w:rPr>
            </w:pPr>
            <w:r>
              <w:rPr>
                <w:rFonts w:ascii="Arial" w:cs="Arial" w:eastAsia="Arial" w:hAnsi="Arial"/>
                <w:sz w:val="18"/>
                <w:szCs w:val="18"/>
                <w:color w:val="auto"/>
              </w:rPr>
              <w:t>Net current-period other comprehensive income (loss)</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(82)</w:t>
            </w:r>
          </w:p>
        </w:tc>
        <w:tc>
          <w:tcPr>
            <w:tcW w:w="420" w:type="dxa"/>
            <w:vAlign w:val="bottom"/>
          </w:tcPr>
          <w:p>
            <w:pPr>
              <w:spacing w:after="0"/>
              <w:rPr>
                <w:sz w:val="17"/>
                <w:szCs w:val="17"/>
                <w:color w:val="auto"/>
              </w:rPr>
            </w:pPr>
          </w:p>
        </w:tc>
        <w:tc>
          <w:tcPr>
            <w:tcW w:w="102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7"/>
                <w:szCs w:val="17"/>
                <w:color w:val="auto"/>
              </w:rPr>
            </w:pPr>
          </w:p>
        </w:tc>
        <w:tc>
          <w:tcPr>
            <w:tcW w:w="860" w:type="dxa"/>
            <w:vAlign w:val="bottom"/>
            <w:gridSpan w:val="2"/>
          </w:tcPr>
          <w:p>
            <w:pPr>
              <w:jc w:val="right"/>
              <w:ind w:right="400"/>
              <w:spacing w:after="0" w:line="203" w:lineRule="exact"/>
              <w:rPr>
                <w:sz w:val="20"/>
                <w:szCs w:val="20"/>
                <w:color w:val="auto"/>
              </w:rPr>
            </w:pPr>
            <w:r>
              <w:rPr>
                <w:rFonts w:ascii="Arial" w:cs="Arial" w:eastAsia="Arial" w:hAnsi="Arial"/>
                <w:sz w:val="18"/>
                <w:szCs w:val="18"/>
                <w:color w:val="auto"/>
              </w:rPr>
              <w:t>27</w:t>
            </w:r>
          </w:p>
        </w:tc>
        <w:tc>
          <w:tcPr>
            <w:tcW w:w="10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(3,924)</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(853)</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Relates to pension, retiree medical and other postretirement obligations that will not be recognized in net income until the obligations are fully extinguished.</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Relates to pension, retiree medical and other postretirement obligations and is recognized within the income tax provision on the condensed consolidated statement of operations.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Reclassifications out of AOCI for the three and nine months ended September 30, 2016 and 2015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4"/>
                <w:szCs w:val="14"/>
                <w:b w:val="1"/>
                <w:bCs w:val="1"/>
                <w:color w:val="auto"/>
              </w:rPr>
              <w:t>Amounts reclassified from AOCI</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4"/>
              </w:rPr>
              <w:t>Affected line items on condensed</w:t>
            </w:r>
          </w:p>
        </w:tc>
        <w:tc>
          <w:tcPr>
            <w:tcW w:w="0" w:type="dxa"/>
            <w:vAlign w:val="bottom"/>
          </w:tcPr>
          <w:p>
            <w:pPr>
              <w:spacing w:after="0"/>
              <w:rPr>
                <w:sz w:val="1"/>
                <w:szCs w:val="1"/>
                <w:color w:val="auto"/>
              </w:rPr>
            </w:pPr>
          </w:p>
        </w:tc>
      </w:tr>
      <w:tr>
        <w:trPr>
          <w:trHeight w:val="142"/>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w w:val="94"/>
              </w:rPr>
              <w:t>AOCI Components</w:t>
            </w:r>
          </w:p>
        </w:tc>
        <w:tc>
          <w:tcPr>
            <w:tcW w:w="3220" w:type="dxa"/>
            <w:vAlign w:val="bottom"/>
            <w:vMerge w:val="restart"/>
          </w:tcPr>
          <w:p>
            <w:pPr>
              <w:spacing w:after="0"/>
              <w:rPr>
                <w:sz w:val="12"/>
                <w:szCs w:val="12"/>
                <w:color w:val="auto"/>
              </w:rPr>
            </w:pPr>
          </w:p>
        </w:tc>
        <w:tc>
          <w:tcPr>
            <w:tcW w:w="2400" w:type="dxa"/>
            <w:vAlign w:val="bottom"/>
            <w:gridSpan w:val="7"/>
          </w:tcPr>
          <w:p>
            <w:pPr>
              <w:spacing w:after="0" w:line="142" w:lineRule="exact"/>
              <w:rPr>
                <w:sz w:val="20"/>
                <w:szCs w:val="20"/>
                <w:color w:val="auto"/>
              </w:rPr>
            </w:pPr>
            <w:r>
              <w:rPr>
                <w:rFonts w:ascii="Arial" w:cs="Arial" w:eastAsia="Arial" w:hAnsi="Arial"/>
                <w:sz w:val="14"/>
                <w:szCs w:val="14"/>
                <w:b w:val="1"/>
                <w:bCs w:val="1"/>
                <w:color w:val="auto"/>
                <w:w w:val="99"/>
              </w:rPr>
              <w:t>Three Months Ended September 30,</w:t>
            </w:r>
          </w:p>
        </w:tc>
        <w:tc>
          <w:tcPr>
            <w:tcW w:w="216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Borders>
              <w:bottom w:val="single" w:sz="8" w:color="auto"/>
            </w:tcBorders>
            <w:vMerge w:val="continue"/>
          </w:tcPr>
          <w:p>
            <w:pPr>
              <w:spacing w:after="0"/>
              <w:rPr>
                <w:sz w:val="12"/>
                <w:szCs w:val="12"/>
                <w:color w:val="auto"/>
              </w:rPr>
            </w:pPr>
          </w:p>
        </w:tc>
        <w:tc>
          <w:tcPr>
            <w:tcW w:w="3220" w:type="dxa"/>
            <w:vAlign w:val="bottom"/>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29"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3"/>
              <w:spacing w:after="0" w:line="129"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2260" w:type="dxa"/>
            <w:vAlign w:val="bottom"/>
          </w:tcPr>
          <w:p>
            <w:pPr>
              <w:ind w:left="20"/>
              <w:spacing w:after="0" w:line="129" w:lineRule="exact"/>
              <w:rPr>
                <w:sz w:val="20"/>
                <w:szCs w:val="20"/>
                <w:color w:val="auto"/>
              </w:rPr>
            </w:pPr>
            <w:r>
              <w:rPr>
                <w:rFonts w:ascii="Arial" w:cs="Arial" w:eastAsia="Arial" w:hAnsi="Arial"/>
                <w:sz w:val="14"/>
                <w:szCs w:val="14"/>
                <w:b w:val="1"/>
                <w:bCs w:val="1"/>
                <w:color w:val="auto"/>
                <w:w w:val="89"/>
              </w:rPr>
              <w:t>consolidated statement of operations</w:t>
            </w:r>
          </w:p>
        </w:tc>
        <w:tc>
          <w:tcPr>
            <w:tcW w:w="0" w:type="dxa"/>
            <w:vAlign w:val="bottom"/>
          </w:tcPr>
          <w:p>
            <w:pPr>
              <w:spacing w:after="0"/>
              <w:rPr>
                <w:sz w:val="1"/>
                <w:szCs w:val="1"/>
                <w:color w:val="auto"/>
              </w:rPr>
            </w:pPr>
          </w:p>
        </w:tc>
      </w:tr>
      <w:tr>
        <w:trPr>
          <w:trHeight w:val="175"/>
        </w:trPr>
        <w:tc>
          <w:tcPr>
            <w:tcW w:w="44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Amortization of pension, retiree medical and other</w:t>
            </w: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ind w:left="360"/>
              <w:spacing w:after="0"/>
              <w:rPr>
                <w:sz w:val="20"/>
                <w:szCs w:val="20"/>
                <w:color w:val="auto"/>
              </w:rPr>
            </w:pPr>
            <w:r>
              <w:rPr>
                <w:rFonts w:ascii="Arial" w:cs="Arial" w:eastAsia="Arial" w:hAnsi="Arial"/>
                <w:sz w:val="18"/>
                <w:szCs w:val="18"/>
                <w:color w:val="auto"/>
              </w:rPr>
              <w:t>Prior service cost (benefit)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(100)</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(159)</w:t>
            </w:r>
          </w:p>
        </w:tc>
        <w:tc>
          <w:tcPr>
            <w:tcW w:w="2260" w:type="dxa"/>
            <w:vAlign w:val="bottom"/>
          </w:tcPr>
          <w:p>
            <w:pPr>
              <w:spacing w:after="0"/>
              <w:rPr>
                <w:sz w:val="20"/>
                <w:szCs w:val="20"/>
                <w:color w:val="auto"/>
              </w:rPr>
            </w:pPr>
            <w:r>
              <w:rPr>
                <w:rFonts w:ascii="Arial" w:cs="Arial" w:eastAsia="Arial" w:hAnsi="Arial"/>
                <w:sz w:val="18"/>
                <w:szCs w:val="18"/>
                <w:color w:val="auto"/>
                <w:w w:val="97"/>
              </w:rPr>
              <w:t>Salaries, wages and benefits</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7"/>
              </w:rPr>
              <w:t>Salaries, wages and benefits</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flow hedges</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w w:val="95"/>
              </w:rPr>
              <w:t>Aircraft fuel and related taxes</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Net unrealized change on investments:</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value</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net</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 of tax</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Regional Expenses</w:t>
      </w:r>
    </w:p>
    <w:p>
      <w:pPr>
        <w:spacing w:after="0" w:line="121"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Expenses associated with our wholly-owned regional airlines and third-party regional carriers operating under the brand name American Eagle are classified as regional expenses on the condensed consolidated statements of operations. Regional expenses consist of the following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3"/>
              </w:rPr>
              <w:t>Three Months Ended September 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48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6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337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990</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881</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Maintenance, materials and repairs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rent and landing fees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413</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Aircraft rent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218</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343</w:t>
            </w: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r>
      <w:tr>
        <w:trPr>
          <w:trHeight w:val="27"/>
        </w:trPr>
        <w:tc>
          <w:tcPr>
            <w:tcW w:w="4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regional expenses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1,538</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00" w:type="dxa"/>
            <w:vAlign w:val="bottom"/>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Proceedings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 xml:space="preserve">Chapter 11 Cases. </w:t>
      </w:r>
      <w:r>
        <w:rPr>
          <w:rFonts w:ascii="Arial" w:cs="Arial" w:eastAsia="Arial" w:hAnsi="Arial"/>
          <w:sz w:val="18"/>
          <w:szCs w:val="18"/>
          <w:color w:val="auto"/>
        </w:rPr>
        <w:t>On November 29, 2011, AMR, American, and certain of AMR’s other direct and indirect domestic subsidiaries (the Debtors) filed</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8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As of September 30, 2016,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as of the Effective Date.</w:t>
      </w:r>
    </w:p>
    <w:p>
      <w:pPr>
        <w:spacing w:after="0" w:line="192"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7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DOJ Antitrust Civil Investigative Demand. </w:t>
      </w:r>
      <w:r>
        <w:rPr>
          <w:rFonts w:ascii="Arial" w:cs="Arial" w:eastAsia="Arial" w:hAnsi="Arial"/>
          <w:sz w:val="16"/>
          <w:szCs w:val="16"/>
          <w:color w:val="auto"/>
        </w:rPr>
        <w:t>In June 2015, we received a Civil Investigative Demand (CID) from the United States Department of Justice</w:t>
      </w:r>
      <w:r>
        <w:rPr>
          <w:rFonts w:ascii="Arial" w:cs="Arial" w:eastAsia="Arial" w:hAnsi="Arial"/>
          <w:sz w:val="16"/>
          <w:szCs w:val="16"/>
          <w:i w:val="1"/>
          <w:iCs w:val="1"/>
          <w:color w:val="auto"/>
        </w:rPr>
        <w:t xml:space="preserve"> </w:t>
      </w:r>
      <w:r>
        <w:rPr>
          <w:rFonts w:ascii="Arial" w:cs="Arial" w:eastAsia="Arial" w:hAnsi="Arial"/>
          <w:sz w:val="16"/>
          <w:szCs w:val="16"/>
          <w:color w:val="auto"/>
        </w:rPr>
        <w:t>(DOJ)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 In addition, 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The airline defendants have moved to dismiss all claims in the class actions. Both the DOJ investigation and these lawsuits are in their very early stages and we intend to defend the lawsuits vigorously.</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Private Party Antitrust Action</w:t>
      </w:r>
      <w:r>
        <w:rPr>
          <w:rFonts w:ascii="Arial" w:cs="Arial" w:eastAsia="Arial" w:hAnsi="Arial"/>
          <w:sz w:val="18"/>
          <w:szCs w:val="18"/>
          <w:color w:val="auto"/>
        </w:rPr>
        <w:t>. On July 2, 2013, a lawsuit captioned Carolyn Fjord, et al., v. US Airways Group, Inc., et al., was filed in the United</w:t>
      </w:r>
      <w:r>
        <w:rPr>
          <w:rFonts w:ascii="Arial" w:cs="Arial" w:eastAsia="Arial" w:hAnsi="Arial"/>
          <w:sz w:val="18"/>
          <w:szCs w:val="18"/>
          <w:i w:val="1"/>
          <w:iCs w:val="1"/>
          <w:color w:val="auto"/>
        </w:rPr>
        <w:t xml:space="preserve"> </w:t>
      </w:r>
      <w:r>
        <w:rPr>
          <w:rFonts w:ascii="Arial" w:cs="Arial" w:eastAsia="Arial" w:hAnsi="Arial"/>
          <w:sz w:val="18"/>
          <w:szCs w:val="18"/>
          <w:color w:val="auto"/>
        </w:rPr>
        <w:t>States District Court for the Northern District of California. The complaint named as defendants US Airways Group and US Airways, and alleged that the effect of the Merger may be to substantially lessen competition or tend to create a monopoly in</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459"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260" w:right="1060"/>
        <w:spacing w:after="0" w:line="282" w:lineRule="auto"/>
        <w:rPr>
          <w:sz w:val="20"/>
          <w:szCs w:val="20"/>
          <w:color w:val="auto"/>
        </w:rPr>
      </w:pPr>
      <w:r>
        <w:rPr>
          <w:rFonts w:ascii="Arial" w:cs="Arial" w:eastAsia="Arial" w:hAnsi="Arial"/>
          <w:sz w:val="18"/>
          <w:szCs w:val="18"/>
          <w:b w:val="1"/>
          <w:bCs w:val="1"/>
          <w:color w:val="auto"/>
        </w:rPr>
        <w:t>NOTES TO CONDENSED CONSOLIDATED FINANCIAL STATEMENTS OF AMERICAN AIRLINES GROUP INC. (Unaudited)</w:t>
      </w:r>
    </w:p>
    <w:p>
      <w:pPr>
        <w:spacing w:after="0" w:line="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and plaintiffs’ request for further relief from the JPML was denied on February 4, 2016. Accordingly, the parties will continue to litigate the matter in Bankruptcy Court; a jointly proposed schedule for the remainder of the case was submitted on September 7, 2016, which has not yet been accepted by the court. We believe this lawsuit is without merit and intend to vigorously defend against the allegations.</w:t>
      </w:r>
    </w:p>
    <w:p>
      <w:pPr>
        <w:spacing w:after="0" w:line="19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 and 2011</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investigation.</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 otherwise, which could affect our financial position and liquidity</w:t>
      </w:r>
      <w:r>
        <w:rPr>
          <w:rFonts w:ascii="Arial" w:cs="Arial" w:eastAsia="Arial" w:hAnsi="Arial"/>
          <w:sz w:val="18"/>
          <w:szCs w:val="18"/>
          <w:color w:val="auto"/>
        </w:rPr>
        <w:t>” for additional discussion.</w:t>
      </w:r>
    </w:p>
    <w:p>
      <w:pPr>
        <w:spacing w:after="0" w:line="297" w:lineRule="exact"/>
        <w:rPr>
          <w:sz w:val="20"/>
          <w:szCs w:val="20"/>
          <w:color w:val="auto"/>
        </w:rPr>
      </w:pPr>
    </w:p>
    <w:p>
      <w:pPr>
        <w:jc w:val="center"/>
        <w:ind w:left="460" w:right="9680" w:hanging="452"/>
        <w:spacing w:after="0" w:line="453" w:lineRule="auto"/>
        <w:tabs>
          <w:tab w:leader="none" w:pos="274" w:val="left"/>
        </w:tabs>
        <w:numPr>
          <w:ilvl w:val="0"/>
          <w:numId w:val="1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Subsequent Events </w:t>
      </w:r>
      <w:r>
        <w:rPr>
          <w:rFonts w:ascii="Arial" w:cs="Arial" w:eastAsia="Arial" w:hAnsi="Arial"/>
          <w:sz w:val="15"/>
          <w:szCs w:val="15"/>
          <w:i w:val="1"/>
          <w:iCs w:val="1"/>
          <w:color w:val="auto"/>
        </w:rPr>
        <w:t>2016-3 EETCs</w:t>
      </w:r>
    </w:p>
    <w:p>
      <w:pPr>
        <w:spacing w:after="0" w:line="1"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In October 2016, American created two pass-through trusts which issued approximately $814 million aggregate face amount of 2016-3 Class AA and Class A EETCs (the 2016-3 EETCs) in connection with the financing of 25 aircraft owned by American or scheduled to be delivered to American between October 2016 and January 2017. A portion of the proceeds received from the sale of the 2016-3 EETCs has been used to acquire Series AA and A equipment notes issued by American to the pass-through trusts and the balance of such proceeds is being held in escrow for the benefit of the holders of the 2016-3 EETCs until such time as American issues additional Series AA and A equipment notes to the pass-through trusts, which will purchase the notes with escrowed funds. These escrowed funds are not guaranteed by American and are not reported as debt on our condensed consolidated balance sheet because the proceeds held by the depository are not American’s assets.</w:t>
      </w:r>
    </w:p>
    <w:p>
      <w:pPr>
        <w:spacing w:after="0" w:line="17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Series AA equipment notes bear interest at 3.00% per annum and Series A equipment notes bear interest at 3.25% per annum. Interest and principal payments on the equipment notes will be payable semi-annually in April and October of each year, with interest payments beginning in April 2017 and principal payments beginning in October 2017. The final payments on the Series AA and Series A equipment notes are due in October 2028.</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Declaration</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October 2016, we announced that our Board of Directors had declared a $0.10 per share dividend for stockholders of record on November 7, 2016, and payable on November 21, 2016. 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tab/>
        <w:t>CONDENSED CONSOLIDATED FINANCIAL STATEMENTS OF 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2"/>
              </w:rPr>
              <w:t>Three Months Ended 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revenues:</w:t>
            </w: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Mainline passenger</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7,419</w:t>
            </w:r>
          </w:p>
        </w:tc>
        <w:tc>
          <w:tcPr>
            <w:tcW w:w="4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7,654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21,192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22,298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Regional passenger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5,040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Cargo</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171</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3,897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700"/>
              <w:spacing w:after="0"/>
              <w:rPr>
                <w:sz w:val="20"/>
                <w:szCs w:val="20"/>
                <w:color w:val="auto"/>
              </w:rPr>
            </w:pPr>
            <w:r>
              <w:rPr>
                <w:rFonts w:ascii="Arial" w:cs="Arial" w:eastAsia="Arial" w:hAnsi="Arial"/>
                <w:sz w:val="18"/>
                <w:szCs w:val="18"/>
                <w:color w:val="auto"/>
              </w:rPr>
              <w:t>Total operating revenues</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10,689</w:t>
            </w: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10,733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30,635</w:t>
            </w:r>
          </w:p>
        </w:tc>
        <w:tc>
          <w:tcPr>
            <w:tcW w:w="4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Aircraft fuel and related taxes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1,393</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3,736</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Salaries, wages and benefits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8,087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Regional expenses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1,632</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4,738</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Maintenance, materials and repairs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Other rent and landing fees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1,342</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Aircraft rent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Selling expenses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1,128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Special items, net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3,391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9,257</w:t>
            </w: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26,122</w:t>
            </w: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4,513</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Nonoperating income (expense):</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Interest expense, net of capitalized interest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(674)</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700"/>
              <w:spacing w:after="0"/>
              <w:rPr>
                <w:sz w:val="20"/>
                <w:szCs w:val="20"/>
                <w:color w:val="auto"/>
              </w:rPr>
            </w:pPr>
            <w:r>
              <w:rPr>
                <w:rFonts w:ascii="Arial" w:cs="Arial" w:eastAsia="Arial" w:hAnsi="Arial"/>
                <w:sz w:val="18"/>
                <w:szCs w:val="18"/>
                <w:color w:val="auto"/>
              </w:rPr>
              <w:t>Total nonoperating expense, net</w:t>
            </w:r>
          </w:p>
        </w:tc>
        <w:tc>
          <w:tcPr>
            <w:tcW w:w="1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3,886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465</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1,445</w:t>
            </w:r>
          </w:p>
        </w:tc>
        <w:tc>
          <w:tcPr>
            <w:tcW w:w="2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2,441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360" w:type="dxa"/>
            <w:vAlign w:val="bottom"/>
            <w:gridSpan w:val="7"/>
          </w:tcPr>
          <w:p>
            <w:pPr>
              <w:spacing w:after="0"/>
              <w:rPr>
                <w:sz w:val="20"/>
                <w:szCs w:val="20"/>
                <w:color w:val="auto"/>
              </w:rPr>
            </w:pPr>
            <w:r>
              <w:rPr>
                <w:rFonts w:ascii="Arial" w:cs="Arial" w:eastAsia="Arial" w:hAnsi="Arial"/>
                <w:sz w:val="14"/>
                <w:szCs w:val="14"/>
                <w:b w:val="1"/>
                <w:bCs w:val="1"/>
                <w:color w:val="auto"/>
                <w:w w:val="98"/>
              </w:rPr>
              <w:t>Three Months Ended September 30,</w:t>
            </w:r>
          </w:p>
        </w:tc>
        <w:tc>
          <w:tcPr>
            <w:tcW w:w="80" w:type="dxa"/>
            <w:vAlign w:val="bottom"/>
          </w:tcPr>
          <w:p>
            <w:pPr>
              <w:spacing w:after="0"/>
              <w:rPr>
                <w:sz w:val="14"/>
                <w:szCs w:val="14"/>
                <w:color w:val="auto"/>
              </w:rPr>
            </w:pPr>
          </w:p>
        </w:tc>
        <w:tc>
          <w:tcPr>
            <w:tcW w:w="22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retiree medical and other postretirement benefits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Derivative financial instruments: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Reclassification into earnings</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Unrealized gain (loss) on investments:</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change in value</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20"/>
                <w:szCs w:val="20"/>
                <w:color w:val="auto"/>
              </w:rPr>
            </w:pPr>
          </w:p>
        </w:tc>
        <w:tc>
          <w:tcPr>
            <w:tcW w:w="6700" w:type="dxa"/>
            <w:vAlign w:val="bottom"/>
          </w:tcPr>
          <w:p>
            <w:pPr>
              <w:ind w:left="1060"/>
              <w:spacing w:after="0"/>
              <w:rPr>
                <w:sz w:val="20"/>
                <w:szCs w:val="20"/>
                <w:color w:val="auto"/>
              </w:rPr>
            </w:pPr>
            <w:r>
              <w:rPr>
                <w:rFonts w:ascii="Arial" w:cs="Arial" w:eastAsia="Arial" w:hAnsi="Arial"/>
                <w:sz w:val="18"/>
                <w:szCs w:val="18"/>
                <w:b w:val="1"/>
                <w:bCs w:val="1"/>
                <w:color w:val="auto"/>
              </w:rPr>
              <w:t>Total other comprehensive loss, net of tax</w:t>
            </w: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w:t>
            </w:r>
          </w:p>
        </w:tc>
        <w:tc>
          <w:tcPr>
            <w:tcW w:w="4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1,693</w:t>
            </w: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shares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42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r>
      <w:tr>
        <w:trPr>
          <w:trHeight w:val="142"/>
        </w:trPr>
        <w:tc>
          <w:tcPr>
            <w:tcW w:w="80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(Unaudited)</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372</w:t>
            </w:r>
          </w:p>
        </w:tc>
        <w:tc>
          <w:tcPr>
            <w:tcW w:w="7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6,371</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5,862</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and short-term investments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1,705</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1,420</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from related parties, net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6,131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Aircraft fuel, spare parts and supplies, net</w:t>
            </w: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1,035</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796</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847</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r>
      <w:tr>
        <w:trPr>
          <w:trHeight w:val="223"/>
        </w:trPr>
        <w:tc>
          <w:tcPr>
            <w:tcW w:w="80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17,096</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11,858</w:t>
            </w:r>
          </w:p>
        </w:tc>
        <w:tc>
          <w:tcPr>
            <w:tcW w:w="100" w:type="dxa"/>
            <w:vAlign w:val="bottom"/>
          </w:tcPr>
          <w:p>
            <w:pPr>
              <w:spacing w:after="0"/>
              <w:rPr>
                <w:sz w:val="19"/>
                <w:szCs w:val="19"/>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property and equipment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Flight equipment</w:t>
            </w: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35,898</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32,838</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Ground property and equipment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6,722</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6,224</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Equipment purchase deposits</w:t>
            </w: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1,149</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1,067</w:t>
            </w:r>
          </w:p>
        </w:tc>
      </w:tr>
      <w:tr>
        <w:trPr>
          <w:trHeight w:val="27"/>
        </w:trPr>
        <w:tc>
          <w:tcPr>
            <w:tcW w:w="8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property and equipment, at cost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43,769</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40,129</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(13,744)</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(12,893)</w:t>
            </w:r>
          </w:p>
        </w:tc>
      </w:tr>
      <w:tr>
        <w:trPr>
          <w:trHeight w:val="27"/>
        </w:trPr>
        <w:tc>
          <w:tcPr>
            <w:tcW w:w="8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property and equipment, net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30,025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27,236</w:t>
            </w: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4,091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Intangibles, net of accumulated amortization of $562 and $502, respectively</w:t>
            </w: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2,189</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2,249</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1,944</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2,932</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1,905</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2,073</w:t>
            </w:r>
          </w:p>
        </w:tc>
      </w:tr>
      <w:tr>
        <w:trPr>
          <w:trHeight w:val="27"/>
        </w:trPr>
        <w:tc>
          <w:tcPr>
            <w:tcW w:w="8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assets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10,129</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11,345</w:t>
            </w:r>
          </w:p>
        </w:tc>
      </w:tr>
      <w:tr>
        <w:trPr>
          <w:trHeight w:val="223"/>
        </w:trPr>
        <w:tc>
          <w:tcPr>
            <w:tcW w:w="8080" w:type="dxa"/>
            <w:vAlign w:val="bottom"/>
          </w:tcPr>
          <w:p>
            <w:pPr>
              <w:ind w:left="10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57,250</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50,439</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 and capital leases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1,801</w:t>
            </w:r>
          </w:p>
        </w:tc>
        <w:tc>
          <w:tcPr>
            <w:tcW w:w="7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2,234</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1,622</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1,517</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salaries and wages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1,321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1,156</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Air traffic liability</w:t>
            </w: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4,513</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3,747</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Loyalty program liability</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2,950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2,525</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2,114</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2,198</w:t>
            </w:r>
          </w:p>
        </w:tc>
      </w:tr>
      <w:tr>
        <w:trPr>
          <w:trHeight w:val="27"/>
        </w:trPr>
        <w:tc>
          <w:tcPr>
            <w:tcW w:w="8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14,321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13,377</w:t>
            </w: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and capital leases, net of current maturities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19,775</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16,592</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7,346</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7,410</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gains and credits, net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554</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color w:val="auto"/>
              </w:rPr>
              <w:t>2,665</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2,695</w:t>
            </w:r>
          </w:p>
        </w:tc>
      </w:tr>
      <w:tr>
        <w:trPr>
          <w:trHeight w:val="27"/>
        </w:trPr>
        <w:tc>
          <w:tcPr>
            <w:tcW w:w="80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liabilities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30,340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27,364</w:t>
            </w:r>
          </w:p>
        </w:tc>
      </w:tr>
      <w:tr>
        <w:trPr>
          <w:trHeight w:val="216"/>
        </w:trPr>
        <w:tc>
          <w:tcPr>
            <w:tcW w:w="80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Common stock, $1.00 par value; 1,000 shares authorized, issued and outstanding</w:t>
            </w:r>
          </w:p>
        </w:tc>
        <w:tc>
          <w:tcPr>
            <w:tcW w:w="16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16,600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16,521</w:t>
            </w:r>
          </w:p>
        </w:tc>
      </w:tr>
      <w:tr>
        <w:trPr>
          <w:trHeight w:val="216"/>
        </w:trPr>
        <w:tc>
          <w:tcPr>
            <w:tcW w:w="808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8"/>
                <w:szCs w:val="18"/>
                <w:color w:val="auto"/>
              </w:rPr>
            </w:pP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(4,878)</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(4,831)</w:t>
            </w:r>
          </w:p>
        </w:tc>
      </w:tr>
      <w:tr>
        <w:trPr>
          <w:trHeight w:val="216"/>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 (deficit)</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867</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(1,992)</w:t>
            </w:r>
          </w:p>
        </w:tc>
      </w:tr>
      <w:tr>
        <w:trPr>
          <w:trHeight w:val="230"/>
        </w:trPr>
        <w:tc>
          <w:tcPr>
            <w:tcW w:w="808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12,589</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9,698</w:t>
            </w:r>
          </w:p>
        </w:tc>
        <w:tc>
          <w:tcPr>
            <w:tcW w:w="100" w:type="dxa"/>
            <w:vAlign w:val="bottom"/>
          </w:tcPr>
          <w:p>
            <w:pPr>
              <w:spacing w:after="0"/>
              <w:rPr>
                <w:sz w:val="20"/>
                <w:szCs w:val="20"/>
                <w:color w:val="auto"/>
              </w:rPr>
            </w:pPr>
          </w:p>
        </w:tc>
      </w:tr>
      <w:tr>
        <w:trPr>
          <w:trHeight w:val="216"/>
        </w:trPr>
        <w:tc>
          <w:tcPr>
            <w:tcW w:w="80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57,250</w:t>
            </w:r>
          </w:p>
        </w:tc>
        <w:tc>
          <w:tcPr>
            <w:tcW w:w="7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50,439</w:t>
            </w:r>
          </w:p>
        </w:tc>
      </w:tr>
      <w:tr>
        <w:trPr>
          <w:trHeight w:val="20"/>
        </w:trPr>
        <w:tc>
          <w:tcPr>
            <w:tcW w:w="8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expenditures and aircraft purchase deposits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Purchases of short-term investments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(5,078)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short-term investments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Decrease in restricted cash and short-term investments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property and equipment</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Other investing activities</w:t>
            </w:r>
          </w:p>
        </w:tc>
        <w:tc>
          <w:tcPr>
            <w:tcW w:w="2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investing activities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long-term debt and capital leases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5,392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financing costs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Sale-leaseback transactions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financing activities</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tcPr>
          <w:p>
            <w:pPr>
              <w:ind w:left="700"/>
              <w:spacing w:after="0"/>
              <w:rPr>
                <w:sz w:val="20"/>
                <w:szCs w:val="20"/>
                <w:color w:val="auto"/>
              </w:rPr>
            </w:pPr>
            <w:r>
              <w:rPr>
                <w:rFonts w:ascii="Arial" w:cs="Arial" w:eastAsia="Arial" w:hAnsi="Arial"/>
                <w:sz w:val="18"/>
                <w:szCs w:val="18"/>
                <w:color w:val="auto"/>
              </w:rPr>
              <w:t>Net cash provided by financing activities</w:t>
            </w:r>
          </w:p>
        </w:tc>
        <w:tc>
          <w:tcPr>
            <w:tcW w:w="2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2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at end of period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372</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2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gridSpan w:val="2"/>
            <w:vMerge w:val="continue"/>
          </w:tcPr>
          <w:p>
            <w:pPr>
              <w:spacing w:after="0"/>
              <w:rPr>
                <w:sz w:val="18"/>
                <w:szCs w:val="18"/>
                <w:color w:val="auto"/>
              </w:rPr>
            </w:pP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 of bankruptcy obligations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Capital lease obligations</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340"/>
              <w:spacing w:after="0"/>
              <w:rPr>
                <w:sz w:val="20"/>
                <w:szCs w:val="20"/>
                <w:color w:val="auto"/>
              </w:rPr>
            </w:pPr>
            <w:r>
              <w:rPr>
                <w:rFonts w:ascii="Arial" w:cs="Arial" w:eastAsia="Arial" w:hAnsi="Arial"/>
                <w:sz w:val="18"/>
                <w:szCs w:val="18"/>
                <w:color w:val="auto"/>
              </w:rPr>
              <w:t>Interest paid, net of amounts capitalized</w:t>
            </w:r>
          </w:p>
        </w:tc>
        <w:tc>
          <w:tcPr>
            <w:tcW w:w="2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653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paid</w:t>
            </w:r>
          </w:p>
        </w:tc>
        <w:tc>
          <w:tcPr>
            <w:tcW w:w="2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accompanying unaudited condensed consolidated financial statements of American Airlines, Inc. (American) should be read in conjunction with the consolidated financial statements contained in American’s Annual Report on Form 10-K for the year ended December 31, 2015. American is the principal wholly-owned subsidiary of American Airlines Group Inc. (AAG). All significant intercompany transactions have been eliminated.</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On December 9, 2013 (the Effective Date), AMR Merger Sub, Inc. merged with and into US Airways Group, Inc. (US Airways Group) (the Merger), with US Airways Group surviving as a wholly-owned subsidiary of AAG, a Delaware corporation (formerly known as AMR Corporation or AMR) following the Merger.</w:t>
      </w:r>
    </w:p>
    <w:p>
      <w:pPr>
        <w:spacing w:after="0" w:line="181"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On December 30, 2015, in order to simplify AAG’s internal corporate structure and as part of the integration efforts following the business combination of AAG and US Airways Group, AAG caused US Airways Group to be merged with and into AAG, with AAG as the surviving corporation, and, immediately thereafter, US Airways, Inc. (US Airways), a Delaware corporation and wholly-owned subsidiary of US Airways Group, merged with and into American, with American as the surviving corporation. As a result of the merger of US Airways and American, US Airways transferred all of its assets, liabilities and off-balance sheet commitments to American. For financial reporting purposes, this transaction constituted a transfer of assets between entities under common control and is reflected in American’s condensed consolidated financial statements as though the transaction had occurred on December 9, 2013, when a subsidiary of AMR merged with and into US Airways Group, which represents the earliest date that American and US Airways were under common control. Thus, all periods presented in Part I, Item 1B of this Quarterly Report on Form 10-Q are comprised of the condensed consolidated financial data of American and US Airways. This transaction was accounted for in a manner similar to the pooling of interests method of accounting. Under this method, the carrying amount of net assets recognized in the balance sheets of each combining entity are carried forward to the balance sheet of the combined entity and no other assets or liabilities are recognized.</w:t>
      </w:r>
    </w:p>
    <w:p>
      <w:pPr>
        <w:spacing w:after="0" w:line="183"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Management believes that all adjustments necessary for the fair presentation of results, consisting of normally recurring items, have been included in the unaudited condensed consolidated financial statements for the interim periods presented. The preparation of financial statements in accordance with accounting principles generally accepted in the United States (GAAP) requires management to make certain estimates and assumptions that affect the reported amounts of assets and liabilities, revenues and expenses, and the disclosure of contingent assets and liabilities at the date of the financial statements. Actual results could differ from those estimates. The most significant areas of judgment relate to passenger revenue recognition, impairment of goodwill, impairment of long-lived and intangible assets, the loyalty program, as well as pensions, retiree medical and other postretirement benefits.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(Topic 606).” ASU 2014-09 completes the joint effort by the FASB and International Accounting Standards Board (IASB) to improve financial reporting by creating common revenue recognition guidance for GAAP and International Financial Reporting Standards (IFRS). Subsequently, the FASB has issued several additional ASUs to clarify the implementation guidance on principal versus agent considerations, identifying performance obligations, assessing collectability, presentation of sales taxes and other similar taxes collected from customers, non-cash consideration, contract modifications and completed contracts at transition. These ASUs apply to all companies that enter into contracts with customers to transfer goods or services. These ASUs are effective for public entities for interim and annual reporting periods beginning after December 15, 2017. Early adoption is permitted, but not before interim and annual reporting periods beginning after December 15, 2016. Entities have the choice to apply these ASUs either retrospectively to each reporting period presented or by recognizing the cumulative effect of applying these standards at the date of initial application and not adjusting comparative information. American is currently evaluating the requirements of these standards and has not yet determined the impact on its condensed consolidated financial statements.</w:t>
      </w:r>
    </w:p>
    <w:p>
      <w:pPr>
        <w:spacing w:after="0" w:line="18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February 2016, the FASB issued ASU 2016-02, “Leases (Topic 842).” ASU 2016-02 requires lessees to recognize a lease liability and a right-of-use asset on the balance sheet and aligns many of the underlying principles of the new lessor model with those in Accounting Standards Codification Topic 606, Revenue from Contracts with Customers. ASU 2016-02 is effective for fiscal years beginning after December 15, 2018, including interim periods within those fiscal years. Early adoption is permitted. American is currently evaluating the requirements of ASU 2016-02 and has not yet determined its impact on its condensed consolidated financial statements.</w:t>
      </w:r>
    </w:p>
    <w:p>
      <w:pPr>
        <w:spacing w:after="0" w:line="18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simplifies the accounting for share-based payment award transactions including the financial statement presentation of excess tax benefits and deficiencies, classification of awards as either equity or liabilities, accounting for forfeitures and classification on the statement of cash flows. ASU 2016-09 is effective for fiscal years beginning after December 15, 2016, including interim periods within those fiscal years. Early adoption is permitted. American early adopted this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standard during the second quarter of 2016. The adoption of this standard resulted in the recognition of $418 million of previously unrecognized excess tax benefits in deferred tax assets and an increase to retained earnings on the condensed consolidated balance sheet as of the beginning of the current year, and the recognition of $9 million of excess tax benefits to the income tax provision for the nine months ended September 30, 2016.</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Special Items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items, net on the condensed consolidated statements of operations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54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2016</w:t>
            </w:r>
          </w:p>
        </w:tc>
        <w:tc>
          <w:tcPr>
            <w:tcW w:w="8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Mainline operating special items, net </w:t>
            </w:r>
            <w:r>
              <w:rPr>
                <w:rFonts w:ascii="Arial" w:cs="Arial" w:eastAsia="Arial" w:hAnsi="Arial"/>
                <w:sz w:val="15"/>
                <w:szCs w:val="15"/>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255"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The 2016 third quarter mainline operating special items totaled a net charge of $289 million, which principally included $225 million of merger integration expenses and a $39 million net charge for bankruptcy related items principally consisting of fair value adjustments for bankruptcy settlement obligations. The 2016 nine month period mainline operating special items totaled a net charge of $450 million, which principally included $467 million of merger integration expenses, offset in part by a $22 million net credit for bankruptcy related items principally consisting of fair value adjustments for bankruptcy settlement obligations. For the 2016 third quarter and nine month periods, merger integration expenses included costs related to re-branding of aircraft, airport facilities and uniforms, information technology, alignment of labor union contracts, fleet restructuring, professional fees, relocation and training, as well as severance.</w:t>
      </w:r>
    </w:p>
    <w:p>
      <w:pPr>
        <w:spacing w:after="0" w:line="189" w:lineRule="exact"/>
        <w:rPr>
          <w:rFonts w:ascii="Arial" w:cs="Arial" w:eastAsia="Arial" w:hAnsi="Arial"/>
          <w:sz w:val="15"/>
          <w:szCs w:val="15"/>
          <w:color w:val="auto"/>
        </w:rPr>
      </w:pPr>
    </w:p>
    <w:p>
      <w:pPr>
        <w:jc w:val="both"/>
        <w:ind w:left="460"/>
        <w:spacing w:after="0" w:line="290" w:lineRule="auto"/>
        <w:rPr>
          <w:rFonts w:ascii="Arial" w:cs="Arial" w:eastAsia="Arial" w:hAnsi="Arial"/>
          <w:sz w:val="15"/>
          <w:szCs w:val="15"/>
          <w:color w:val="auto"/>
        </w:rPr>
      </w:pPr>
      <w:r>
        <w:rPr>
          <w:rFonts w:ascii="Arial" w:cs="Arial" w:eastAsia="Arial" w:hAnsi="Arial"/>
          <w:sz w:val="16"/>
          <w:szCs w:val="16"/>
          <w:color w:val="auto"/>
        </w:rPr>
        <w:t>The 2015 third quarter mainline operating special items totaled a net charge of $163 million, which principally included $198 million of merger integration expenses and a $38 million charge in connection with the dissolution of a joint venture. These charges were offset in part by a $66 million credit related to proceeds received from a legal settlement. The 2015 nine month period mainline operating special items totaled a net charge of $610 million, which principally included $741 million of merger integration expenses and a $38 million charge in connection with the dissolution of a joint venture. These charges were offset in part by a $75 million net credit for bankruptcy related items principally consisting of fair value adjustments for bankruptcy settlement obligations and a $66 million credit related to proceeds received from a legal settlement. For the 2015 third quarter and nine month periods, merger integration expenses included costs related to information technology, fleet restructuring, alignment of labor union contracts, professional fees, severance, relocation and training, re-branding of aircraft, airport facilities and uniforms, as well as share-based compensation.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additional amounts are also included in the condensed consolidated statements of operations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5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Nine Months Ended September 30,</w:t>
            </w: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2"/>
                <w:szCs w:val="12"/>
                <w:color w:val="auto"/>
              </w:rPr>
            </w:pPr>
          </w:p>
        </w:tc>
        <w:tc>
          <w:tcPr>
            <w:tcW w:w="10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Regional operating special items, net</w:t>
            </w:r>
          </w:p>
        </w:tc>
        <w:tc>
          <w:tcPr>
            <w:tcW w:w="1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82"/>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 xml:space="preserve">Nonoperating special items, net </w:t>
            </w:r>
            <w:r>
              <w:rPr>
                <w:rFonts w:ascii="Arial" w:cs="Arial" w:eastAsia="Arial" w:hAnsi="Arial"/>
                <w:sz w:val="15"/>
                <w:szCs w:val="15"/>
                <w:color w:val="auto"/>
              </w:rPr>
              <w:t>(1)</w:t>
            </w:r>
          </w:p>
        </w:tc>
        <w:tc>
          <w:tcPr>
            <w:tcW w:w="1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21</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24</w:t>
            </w:r>
          </w:p>
        </w:tc>
        <w:tc>
          <w:tcPr>
            <w:tcW w:w="10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tax special items, net</w:t>
            </w: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In connection with a bond refinancing, American recorded a $36 million nonoperating special charge in the 2016 nine month period related to non-cash write offs of unamortized bond discounts and issuance costs as well as payments of redemption premiums and fees.</w:t>
      </w:r>
    </w:p>
    <w:p>
      <w:pPr>
        <w:spacing w:after="0" w:line="170" w:lineRule="exact"/>
        <w:rPr>
          <w:rFonts w:ascii="Arial" w:cs="Arial" w:eastAsia="Arial" w:hAnsi="Arial"/>
          <w:sz w:val="15"/>
          <w:szCs w:val="15"/>
          <w:color w:val="auto"/>
        </w:rPr>
      </w:pPr>
    </w:p>
    <w:p>
      <w:pPr>
        <w:jc w:val="both"/>
        <w:ind w:left="460"/>
        <w:spacing w:after="0" w:line="293" w:lineRule="auto"/>
        <w:rPr>
          <w:rFonts w:ascii="Arial" w:cs="Arial" w:eastAsia="Arial" w:hAnsi="Arial"/>
          <w:sz w:val="15"/>
          <w:szCs w:val="15"/>
          <w:color w:val="auto"/>
        </w:rPr>
      </w:pPr>
      <w:r>
        <w:rPr>
          <w:rFonts w:ascii="Arial" w:cs="Arial" w:eastAsia="Arial" w:hAnsi="Arial"/>
          <w:sz w:val="16"/>
          <w:szCs w:val="16"/>
          <w:color w:val="auto"/>
        </w:rPr>
        <w:t>The 2015 third quarter nonoperating special items totaled a net charge of $21 million, which was primarily due to non-cash write offs of unamortized debt discount and debt issuance costs associated with the purchase and subsequent remarketing of certain special facility revenue bonds. The 2015 nine month period nonoperating special items totaled a net charge of $24 million, which principally included $41 million in charges primarily related to non-cash write offs of unamortized debt discount and debt issuance costs associated with refinancing American’s secured term loan facilities, prepayments of certain aircraft financings and the purchase and subsequent remarketing of certain special facility revenue bonds. These charges were offset in part by a $17 million early debt extinguishment gain associated with the repayment of American’s AAdvantage loan with Citibank.</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capital lease obligations included in the condensed consolidated balance sheets consisted of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September 30, 2016</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Secured</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2013 Credit Facilities, variable interest rate of 3.25%, installments through 2020</w:t>
            </w: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1,843</w:t>
            </w:r>
          </w:p>
        </w:tc>
        <w:tc>
          <w:tcPr>
            <w:tcW w:w="8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2014 Credit Facilities, variable interest rate of 3.25%, installments through 2021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2016 Credit Facilities, variable interest rate of 3.50%, installments through 2023</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2013 Citicorp Credit Facility tranche B-1, variable interest rate of 3.50%, installments through</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w:t>
            </w: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2013 Citicorp Credit Facility tranche B-2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Aircraft enhanced equipment trust certificates (EETCs), fixed interest rates ranging from 3.20%</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 9.75%, maturing from 2017 to 2028</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10,358</w:t>
            </w: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340"/>
              <w:spacing w:after="0" w:line="201" w:lineRule="exact"/>
              <w:rPr>
                <w:sz w:val="20"/>
                <w:szCs w:val="20"/>
                <w:color w:val="auto"/>
              </w:rPr>
            </w:pPr>
            <w:r>
              <w:rPr>
                <w:rFonts w:ascii="Arial" w:cs="Arial" w:eastAsia="Arial" w:hAnsi="Arial"/>
                <w:sz w:val="18"/>
                <w:szCs w:val="18"/>
                <w:color w:val="auto"/>
              </w:rPr>
              <w:t>Equipment loans and other notes payable, fixed and variable interest rates ranging from 1.92%</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to 8.48%, maturing from 2016 to 2028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5,136</w:t>
            </w: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Special facility revenue bonds, fixed interest rates ranging from 5.00% to 5.50%, maturing from</w:t>
            </w: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2017 to 2035</w:t>
            </w: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w:t>
            </w:r>
          </w:p>
        </w:tc>
        <w:tc>
          <w:tcPr>
            <w:tcW w:w="8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80" w:type="dxa"/>
            <w:vAlign w:val="bottom"/>
          </w:tcPr>
          <w:p>
            <w:pPr>
              <w:ind w:left="340"/>
              <w:spacing w:after="0" w:line="201" w:lineRule="exact"/>
              <w:rPr>
                <w:sz w:val="20"/>
                <w:szCs w:val="20"/>
                <w:color w:val="auto"/>
              </w:rPr>
            </w:pPr>
            <w:r>
              <w:rPr>
                <w:rFonts w:ascii="Arial" w:cs="Arial" w:eastAsia="Arial" w:hAnsi="Arial"/>
                <w:sz w:val="18"/>
                <w:szCs w:val="18"/>
                <w:color w:val="auto"/>
              </w:rPr>
              <w:t>Other secured obligations, fixed interest rates ranging from 3.60% to 12.24%, maturing from</w:t>
            </w: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520"/>
              <w:spacing w:after="0"/>
              <w:rPr>
                <w:sz w:val="20"/>
                <w:szCs w:val="20"/>
                <w:color w:val="auto"/>
              </w:rPr>
            </w:pPr>
            <w:r>
              <w:rPr>
                <w:rFonts w:ascii="Arial" w:cs="Arial" w:eastAsia="Arial" w:hAnsi="Arial"/>
                <w:sz w:val="18"/>
                <w:szCs w:val="18"/>
                <w:color w:val="auto"/>
              </w:rPr>
              <w:t>2016 to 2028</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864</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21,776</w:t>
            </w: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19,027</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i w:val="1"/>
                <w:iCs w:val="1"/>
                <w:color w:val="auto"/>
              </w:rPr>
              <w:t>Unsecured</w:t>
            </w: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Affiliate unsecured obligations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6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and capital lease obligations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21,776</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Less: Total unamortized debt discount and debt issuance costs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1,801</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Long-term debt and capital lease obligations, net of current maturities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19,775</w:t>
            </w:r>
          </w:p>
        </w:tc>
        <w:tc>
          <w:tcPr>
            <w:tcW w:w="2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0800" w:type="dxa"/>
            <w:vAlign w:val="bottom"/>
            <w:gridSpan w:val="7"/>
          </w:tcPr>
          <w:p>
            <w:pPr>
              <w:ind w:left="440"/>
              <w:spacing w:after="0"/>
              <w:rPr>
                <w:sz w:val="20"/>
                <w:szCs w:val="20"/>
                <w:color w:val="auto"/>
              </w:rPr>
            </w:pPr>
            <w:r>
              <w:rPr>
                <w:rFonts w:ascii="Arial" w:cs="Arial" w:eastAsia="Arial" w:hAnsi="Arial"/>
                <w:sz w:val="18"/>
                <w:szCs w:val="18"/>
                <w:color w:val="auto"/>
                <w:w w:val="98"/>
              </w:rPr>
              <w:t>The table below shows availability under revolving credit facilities, all of which were undrawn, as of September 30, 2016 (in millions):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2013 Revolving Facility</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2014 Revolving Facility</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2016 Aircraft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2016-1 EETCs</w:t>
      </w:r>
    </w:p>
    <w:p>
      <w:pPr>
        <w:spacing w:after="0" w:line="117"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In January 2016, American created three pass-through trusts which issued approximately $1.1 billion aggregate face amount of Series 2016-1 Class AA, Class A and Class B EETCs (the 2016-1 EETCs) in connection with the financing of 22 aircraft owned by American (the 2016-1 EETC Aircraft).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the proceeds received from the sale of the 2016-1 EETCs have been used to purchase equipment notes issued by American in three series: Series</w:t>
      </w:r>
    </w:p>
    <w:p>
      <w:pPr>
        <w:spacing w:after="0" w:line="46" w:lineRule="exact"/>
        <w:rPr>
          <w:sz w:val="20"/>
          <w:szCs w:val="20"/>
          <w:color w:val="auto"/>
        </w:rPr>
      </w:pPr>
    </w:p>
    <w:p>
      <w:pPr>
        <w:jc w:val="both"/>
        <w:ind w:firstLine="8"/>
        <w:spacing w:after="0" w:line="253" w:lineRule="auto"/>
        <w:tabs>
          <w:tab w:leader="none" w:pos="306" w:val="left"/>
        </w:tabs>
        <w:numPr>
          <w:ilvl w:val="0"/>
          <w:numId w:val="13"/>
        </w:numPr>
        <w:rPr>
          <w:rFonts w:ascii="Arial" w:cs="Arial" w:eastAsia="Arial" w:hAnsi="Arial"/>
          <w:sz w:val="18"/>
          <w:szCs w:val="18"/>
          <w:color w:val="auto"/>
        </w:rPr>
      </w:pPr>
      <w:r>
        <w:rPr>
          <w:rFonts w:ascii="Arial" w:cs="Arial" w:eastAsia="Arial" w:hAnsi="Arial"/>
          <w:sz w:val="18"/>
          <w:szCs w:val="18"/>
          <w:color w:val="auto"/>
        </w:rPr>
        <w:t>equipment notes in the principal amount of $584 million bearing interest at 3.575% per annum, Series A equipment notes in the principal amount of $262 million bearing interest at 4.10% per annum and Series B equipment notes in the principal amount of $228 million bearing interest at 5.25% per annum. Interest and principal payments on the equipment notes are payable semi-annually in January and July of each year, beginning in July 2016. The final payments on the Series AA and Series A equipment notes are due in January 2028 and the final payment on the Series B equipment notes is due in January 2024. These equipment notes are secured by liens on the 2016-1 EETC Aircraft.</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2016-2 EETCs</w:t>
      </w:r>
    </w:p>
    <w:p>
      <w:pPr>
        <w:spacing w:after="0" w:line="117"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In May and July 2016, American created three pass-through trusts which issued approximately $1.1 billion aggregate face amount of Series 2016-2 Class AA, Class A and Class B EETCs (the 2016-2 EETCs) in connection with the financing of 22 aircraft owned by American (the 2016-2 EETC Aircraft).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the proceeds received from the sale of the 2016-2 EETCs have been used to purchase equipment notes issued by American in three series: Series</w:t>
      </w:r>
    </w:p>
    <w:p>
      <w:pPr>
        <w:spacing w:after="0" w:line="46" w:lineRule="exact"/>
        <w:rPr>
          <w:sz w:val="20"/>
          <w:szCs w:val="20"/>
          <w:color w:val="auto"/>
        </w:rPr>
      </w:pPr>
    </w:p>
    <w:p>
      <w:pPr>
        <w:ind w:firstLine="8"/>
        <w:spacing w:after="0" w:line="261" w:lineRule="auto"/>
        <w:tabs>
          <w:tab w:leader="none" w:pos="31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equipment notes in the principal amount of $567 million bearing interest at 3.20% per annum, Series A equipment notes in the principal amount of $261 million bearing interest at 3.65% per annum and Series B equipment notes in the</w:t>
      </w:r>
    </w:p>
    <w:p>
      <w:pPr>
        <w:sectPr>
          <w:pgSz w:w="11900" w:h="16838" w:orient="portrait"/>
          <w:cols w:equalWidth="0" w:num="1">
            <w:col w:w="11420"/>
          </w:cols>
          <w:pgMar w:left="240" w:top="459"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principal amount of $227 million bearing interest at 4.375% per annum. Interest and principal payments on the equipment notes are payable semi-annually in June and December of each year, with interest payments beginning in December 2016 and principal payments beginning in June 2017. The final payments on the Series AA and Series A equipment notes are due in June 2028 and the final payments on the Series B equipment notes are due in June 2024. These equipment notes are secured by liens on the 2016-2 EETC Aircraft.</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Aircraft Financing Transactions</w:t>
      </w:r>
    </w:p>
    <w:p>
      <w:pPr>
        <w:spacing w:after="0" w:line="117"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In the first nine months of 2016, American entered into loan agreements to borrow $1.4 billion in connection with the financing of certain aircraft. Debt incurred under these loan agreements matures in 2026 through 2028 and bears interest at a rate of LIBOR plus an applicable margin.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2016 Other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 Credit Facilities</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On April 29, 2016, American and AAG entered into a Credit and Guaranty Agreement (the 2016 Credit Agreement), among American, as the borrower, AAG as parent and guarantor, Barclays Bank PLC, as administrative agent and collateral agent and certain lenders. The 2016 Credit Agreement provides for a $1.0 billion term loan facility (the 2016 Term Loan Facility) with a maturity date of April 28, 2023 and a revolving credit facility that may be established in the future (the 2016 Revolving Credit Facility, and together with the 2016 Term Loan Facility, the 2016 Credit Facilities). As of September 30, 2016, the aggregate outstanding principal amount under the 2016 Term Loan Facility was $1.0 billion.</w:t>
      </w:r>
    </w:p>
    <w:p>
      <w:pPr>
        <w:spacing w:after="0" w:line="17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proceeds from the 2016 Term Loan Facility were used to repay approximately $588 million in remaining principal plus accrued and unpaid interest of the 2013 Citicorp Credit Facility Tranche B-2 with the remainder of the proceeds to be used for general corporate purposes.</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2016 Term Loan Facility is repayable in annual installments in an amount equal to 1.00% of the original principal balance with any unpaid balance due on the maturity date of the 2016 Term Loan Facility. Voluntary prepayments may be made by American at any time, with a premium of 1.0% applicable to certain prepayments made prior to the date that is six months following April 29, 2016.</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Loans under the 2016 Term Loan Facility bear interest at a base rate plus an applicable base rate margin or, at American’s option, LIBOR (subject to a floor of 0.75%) plus an applicable LIBOR margin. The applicable base rate margin is 1.75% and the applicable LIBOR margin is 2.75% for loans under the 2016 Term Loan Facility.</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obligations of American under the 2016 Credit Agreement are secured by liens on substantially all aircraft spare parts owned by American. American has the ability to add or release certain types of collateral, subject to certain conditions, at its discretion. The obligations of American under the 2016 Credit Facilities are guaranteed by AAG. American is required to maintain a certain minimum ratio of appraised value of the collateral to the outstanding loans under the 2016 Credit Facilities.</w:t>
      </w:r>
    </w:p>
    <w:p>
      <w:pPr>
        <w:spacing w:after="0" w:line="18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The 2016 Credit Facilities contain events of default customary for similar financings, including cross default to other material indebtedness. Upon the occurrence of an event of default, the outstanding obligations under the 2016 Credit Facilities may be accelerated and become due and payable immediately. In addition, if a “change of control” (as defined in the 2016 Credit Agreement) occurs with respect to AAG, American will (absent an amendment or waiver) be required to repay at par the loans outstanding under the 2016 Credit Facilities and terminate the 2016 Revolving Facility. The 2016 Credit Facilities also include covenants that, among other things, require AAG to maintain a minimum aggregate liquidity (as defined in the 2016 Credit Facilities) of not less than $2.0 billion, and limit the ability of AAG and its restricted subsidiaries to pay dividends and make certain other payments, make certain investments, incur liens on the collateral, dispose of the collateral, enter into certain affiliate transactions and engage in certain business activities, in each case subject to certain exceptions.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Obligations Associated with Special Facility Revenue Bonds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June 2016, the New York Transportation Development Corporation (NYTDC) issued approximately $844 million of special facility revenue refunding bonds (the 2016 JFK Bonds) on behalf of American. The net proceeds from the 2016 JFK Bonds generally were used to provide a portion of the funds to refinance $1.0 billion of special facility revenue bonds (Prior JFK Bonds), the net proceeds of which partially financed the construction of a terminal used by American at John F. Kennedy International Airport (JFK) (the Terminal).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American is required to pay debt service on the 2016 JFK Bonds through payments under a loan agreement with NYTDC, and American and AAG guarantee the 2016 JFK Bonds. American’s and AAG’s obligations under these guarantees are secured by a mortgage on American’s lease of the Terminal and related property from the Port Authority of New York and New Jersey.</w:t>
      </w:r>
    </w:p>
    <w:p>
      <w:pPr>
        <w:spacing w:after="0" w:line="181"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The 2016 JFK Bonds, in aggregate, were priced at approximately 107% of par value. The gross proceeds from the issuance of the 2016 JFK Bonds were approximately $907 million. Of this amount, approximately $895 million was used to partially fund the redemption of the Prior JFK Bonds. The 2016 JFK Bonds bear interest at 5.0% per annum and are comprised of $212 million of serial bonds, portions of which mature annually from August 1, 2017 to August 1, 2021, and $632 million of term bonds, $278 million of which matures on August 1, 2026 and $354 million of which matures on August 1, 2031. In connection with the refinancing of the Prior JFK Bonds, American recorded a special nonoperating charge of $36 million consisting of non-cash write offs of unamortized bond discounts and issuance costs as well as payments of redemption premiums and fees.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2014 Credit Facilities</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On September 22, 2016, American and AAG amended the Amended and Restated Credit and Guaranty Agreement dated April 20, 2015 (which amended and restated the Credit and Guaranty Agreement dated October 10, 2014), pursuant to which it refinanced the $750 million term loan facility due October 2021 established thereunder (the 2014 Term Loan Facility and, together with the $1.025 billion revolving credit facility established under such agreement, the 2014 Credit Facilities) to reduce the LIBOR margin from 2.75% to 2.50% and the base rate margin from 1.75% to 1.50%. The $1.025 billion revolving credit facility under the 2014 Credit Facilities (the 2014 Revolving Facility) remains unchanged. As of September 30, 2016, $743 million of principal was outstanding under the 2014 Term Loan Facility and there were no borrowings or letters of credit outstanding under the 2014 Revolving Facility.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At December 31, 2015, American had approximately $8.8 billion of gross net operating losses (NOLs) carried over from prior taxable years (NOL Carryforwards) to reduce future federal taxable income, substantially all of which are expected to be available for use in 2016. American is a member of AAG’s consolidated federal and certain state income tax returns. The amount of federal NOL Carryforwards available in those returns is $8.0 billion, substantially all of which is expected to be available for use in 2016. The federal NOL Carryforwards will expire beginning in 2022 if unused. American also had approximately $3.7 billion of NOL Carryforwards to reduce future state taxable income at December 31, 2015, which will expire in years 2016 through 2034 if unused.</w:t>
      </w:r>
    </w:p>
    <w:p>
      <w:pPr>
        <w:spacing w:after="0" w:line="19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At December 31, 2015, American had an Alternative Minimum Tax credit carryforward of approximately $458 million available for federal income tax purposes, which is available for an indefinite period.</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preparation of American’s financial statements for the fourth quarter of 2015, management determined that it was more likely than not that substantially all of its deferred tax assets, which include its NOLs, would be realized. Accordingly, American reversed $3.5 billion of the valuation allowance as of December 31, 2015.</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first nine months of 2016, American recorded income tax expense with an effective rate of approximately 38%, which is substantially non-cash as American utilized the NOLs described above. For purposes of taxation, substantially all of American’s income before income taxes is attributable to the United States.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Following the filing of AAG’s 2015 annual tax return in the third quarter of 2016, federal NOLs, substantially all of which are expected to be available to reduce future federal taxable income in 2016 and future years, increased by $2.4 billion. The increase in the federal NOLs is attributable to the election to take bonus depreciation on eligible assets (primarily aircraft) in the 2015 federal income tax return.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Assets Measured at Fair Value on a Recurring Basis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American utilizes the market approach to measure fair value for its financial assets. The market approach uses prices and other relevant information generated by market transactions involving identical or comparable assets. American’s short-term investments classified as Level 2 primarily utilize broker quotes in a non-active market for valuation of these securities. No changes in valuation techniques or inputs occurred during the nine months ended September 30, 2016.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measured at fair value on a recurring basis are summarized below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w w:val="96"/>
              </w:rPr>
              <w:t>Fair Value Measurements as of September 30, 2016</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74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8"/>
              </w:rPr>
              <w:t>Level 2</w:t>
            </w:r>
          </w:p>
        </w:tc>
        <w:tc>
          <w:tcPr>
            <w:tcW w:w="220" w:type="dxa"/>
            <w:vAlign w:val="bottom"/>
          </w:tcPr>
          <w:p>
            <w:pPr>
              <w:spacing w:after="0"/>
              <w:rPr>
                <w:sz w:val="12"/>
                <w:szCs w:val="12"/>
                <w:color w:val="auto"/>
              </w:rPr>
            </w:pPr>
          </w:p>
        </w:tc>
        <w:tc>
          <w:tcPr>
            <w:tcW w:w="58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r>
      <w:tr>
        <w:trPr>
          <w:trHeight w:val="196"/>
        </w:trPr>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5"/>
                <w:szCs w:val="15"/>
                <w:color w:val="auto"/>
              </w:rPr>
              <w:t>(1), (2)</w:t>
            </w:r>
            <w:r>
              <w:rPr>
                <w:rFonts w:ascii="Arial" w:cs="Arial" w:eastAsia="Arial" w:hAnsi="Arial"/>
                <w:sz w:val="18"/>
                <w:szCs w:val="18"/>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376</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376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obligations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tcPr>
          <w:p>
            <w:pPr>
              <w:ind w:left="360"/>
              <w:spacing w:after="0"/>
              <w:rPr>
                <w:sz w:val="20"/>
                <w:szCs w:val="20"/>
                <w:color w:val="auto"/>
              </w:rPr>
            </w:pPr>
            <w:r>
              <w:rPr>
                <w:rFonts w:ascii="Arial" w:cs="Arial" w:eastAsia="Arial" w:hAnsi="Arial"/>
                <w:sz w:val="18"/>
                <w:szCs w:val="18"/>
                <w:color w:val="auto"/>
              </w:rPr>
              <w:t>Bank notes/certificates of deposit/time deposits</w:t>
            </w: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3,051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3,051</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agreements</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23"/>
        </w:trPr>
        <w:tc>
          <w:tcPr>
            <w:tcW w:w="7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79"/>
              </w:rPr>
              <w:t>376</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Restricted cash and short-term investments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4"/>
              </w:rPr>
              <w:t>1,011</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Unrealized gains or losses on short-term investments and restricted cash and short-term investments are recorded in accumulated other comprehensive loss at each measurement date.</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All short-term investments are classified as available-for-sale and stated at fair value. American’s short-term investments mature in one year or less except for $100 million of bank notes/certificates of deposit/time deposits and $230 million of corporate obligations.</w:t>
      </w:r>
    </w:p>
    <w:p>
      <w:pPr>
        <w:spacing w:after="0" w:line="18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There were no Level 1 to Level 2 transfers during the nine months ended September 30, 2016.</w:t>
      </w:r>
    </w:p>
    <w:p>
      <w:pPr>
        <w:spacing w:after="0" w:line="33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Fair Value of Debt</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fair value of American’s long-term debt was estimated using quoted market prices or discounted cash flow analyses, based on American’s current estimated incremental borrowing rates for similar types of borrowing arrangements. If American’s long-term debt was measured at fair value, it would have been classified as Level 2 in the fair value hierarchy.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value and estimated fair value of American’s long-term debt, including current maturities, were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800" w:type="dxa"/>
            <w:vAlign w:val="bottom"/>
            <w:gridSpan w:val="4"/>
          </w:tcPr>
          <w:p>
            <w:pPr>
              <w:ind w:left="140"/>
              <w:spacing w:after="0"/>
              <w:rPr>
                <w:sz w:val="20"/>
                <w:szCs w:val="20"/>
                <w:color w:val="auto"/>
              </w:rPr>
            </w:pPr>
            <w:r>
              <w:rPr>
                <w:rFonts w:ascii="Arial" w:cs="Arial" w:eastAsia="Arial" w:hAnsi="Arial"/>
                <w:sz w:val="14"/>
                <w:szCs w:val="14"/>
                <w:b w:val="1"/>
                <w:bCs w:val="1"/>
                <w:color w:val="auto"/>
              </w:rPr>
              <w:t>September 30, 2016</w:t>
            </w:r>
          </w:p>
        </w:tc>
        <w:tc>
          <w:tcPr>
            <w:tcW w:w="160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2015</w:t>
            </w:r>
          </w:p>
        </w:tc>
      </w:tr>
      <w:tr>
        <w:trPr>
          <w:trHeight w:val="119"/>
        </w:trPr>
        <w:tc>
          <w:tcPr>
            <w:tcW w:w="802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Carrying</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300" w:type="dxa"/>
            <w:vAlign w:val="bottom"/>
          </w:tcPr>
          <w:p>
            <w:pPr>
              <w:spacing w:after="0"/>
              <w:rPr>
                <w:sz w:val="10"/>
                <w:szCs w:val="10"/>
                <w:color w:val="auto"/>
              </w:rPr>
            </w:pPr>
          </w:p>
        </w:tc>
        <w:tc>
          <w:tcPr>
            <w:tcW w:w="920" w:type="dxa"/>
            <w:vAlign w:val="bottom"/>
            <w:tcBorders>
              <w:top w:val="single" w:sz="8" w:color="auto"/>
            </w:tcBorders>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Carrying</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802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 including current maturities</w:t>
            </w: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21,576</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22,650</w:t>
            </w: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18,826</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19,378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Short-term Investments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American and can significantly affect the value of American’s cash and short-term investments located outside the United States. These conditions, as well as any further delays, devaluations or imposition of more stringent repatriation restrictions, may materially adversely affect American’s business, results of operations and financial condition. See Part II, Item 1A. Risk Factors – </w:t>
      </w:r>
      <w:r>
        <w:rPr>
          <w:rFonts w:ascii="Arial" w:cs="Arial" w:eastAsia="Arial" w:hAnsi="Arial"/>
          <w:sz w:val="18"/>
          <w:szCs w:val="18"/>
          <w:i w:val="1"/>
          <w:iCs w:val="1"/>
          <w:color w:val="auto"/>
        </w:rPr>
        <w:t>“We operate a global business with international operations that are subject to economic and political instability and have been, and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future may continue to be, adversely affected by numerous events, circumstances or government actions beyond our control” </w:t>
      </w:r>
      <w:r>
        <w:rPr>
          <w:rFonts w:ascii="Arial" w:cs="Arial" w:eastAsia="Arial" w:hAnsi="Arial"/>
          <w:sz w:val="18"/>
          <w:szCs w:val="18"/>
          <w:color w:val="auto"/>
        </w:rPr>
        <w:t>for additional discussion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and other currency risks.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Retirement Benefits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provide the components of net periodic benefit cost (income)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w w:val="95"/>
              </w:rPr>
              <w:t>Pension Benefits</w:t>
            </w:r>
          </w:p>
        </w:tc>
        <w:tc>
          <w:tcPr>
            <w:tcW w:w="120" w:type="dxa"/>
            <w:vAlign w:val="bottom"/>
          </w:tcPr>
          <w:p>
            <w:pPr>
              <w:spacing w:after="0"/>
              <w:rPr>
                <w:sz w:val="14"/>
                <w:szCs w:val="14"/>
                <w:color w:val="auto"/>
              </w:rPr>
            </w:pPr>
          </w:p>
        </w:tc>
        <w:tc>
          <w:tcPr>
            <w:tcW w:w="194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6"/>
              </w:rPr>
              <w:t>Retiree Medical and Other</w:t>
            </w:r>
          </w:p>
        </w:tc>
        <w:tc>
          <w:tcPr>
            <w:tcW w:w="0" w:type="dxa"/>
            <w:vAlign w:val="bottom"/>
          </w:tcPr>
          <w:p>
            <w:pPr>
              <w:spacing w:after="0"/>
              <w:rPr>
                <w:sz w:val="1"/>
                <w:szCs w:val="1"/>
                <w:color w:val="auto"/>
              </w:rPr>
            </w:pPr>
          </w:p>
        </w:tc>
      </w:tr>
      <w:tr>
        <w:trPr>
          <w:trHeight w:val="171"/>
        </w:trPr>
        <w:tc>
          <w:tcPr>
            <w:tcW w:w="7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Postretirement Benefits</w:t>
            </w:r>
          </w:p>
        </w:tc>
        <w:tc>
          <w:tcPr>
            <w:tcW w:w="0" w:type="dxa"/>
            <w:vAlign w:val="bottom"/>
          </w:tcPr>
          <w:p>
            <w:pPr>
              <w:spacing w:after="0"/>
              <w:rPr>
                <w:sz w:val="1"/>
                <w:szCs w:val="1"/>
                <w:color w:val="auto"/>
              </w:rPr>
            </w:pPr>
          </w:p>
        </w:tc>
      </w:tr>
      <w:tr>
        <w:trPr>
          <w:trHeight w:val="142"/>
        </w:trPr>
        <w:tc>
          <w:tcPr>
            <w:tcW w:w="75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2016</w:t>
            </w: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5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0"/>
              </w:rPr>
              <w:t>(212)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gridSpan w:val="2"/>
          </w:tcPr>
          <w:p>
            <w:pPr>
              <w:ind w:left="360"/>
              <w:spacing w:after="0"/>
              <w:rPr>
                <w:sz w:val="20"/>
                <w:szCs w:val="20"/>
                <w:color w:val="auto"/>
              </w:rPr>
            </w:pPr>
            <w:r>
              <w:rPr>
                <w:rFonts w:ascii="Arial" w:cs="Arial" w:eastAsia="Arial" w:hAnsi="Arial"/>
                <w:sz w:val="18"/>
                <w:szCs w:val="18"/>
                <w:color w:val="auto"/>
              </w:rPr>
              <w:t xml:space="preserve">Prior service cost (benefit)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Unrecognized net loss (gain)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540" w:type="dxa"/>
            <w:vAlign w:val="bottom"/>
            <w:gridSpan w:val="2"/>
          </w:tcPr>
          <w:p>
            <w:pPr>
              <w:spacing w:after="0"/>
              <w:rPr>
                <w:sz w:val="20"/>
                <w:szCs w:val="20"/>
                <w:color w:val="auto"/>
              </w:rPr>
            </w:pPr>
            <w:r>
              <w:rPr>
                <w:rFonts w:ascii="Arial" w:cs="Arial" w:eastAsia="Arial" w:hAnsi="Arial"/>
                <w:sz w:val="18"/>
                <w:szCs w:val="18"/>
                <w:color w:val="auto"/>
              </w:rPr>
              <w:t>Net periodic benefit cost (income)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7"/>
          <w:szCs w:val="17"/>
          <w:color w:val="auto"/>
        </w:rPr>
        <w:t>Each of the 2016 and 2015 third quarters’ prior service cost does not include amortization of $1 million related to other postretirement benefits.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7"/>
            <w:vMerge w:val="restart"/>
          </w:tcPr>
          <w:p>
            <w:pPr>
              <w:jc w:val="right"/>
              <w:ind w:right="340"/>
              <w:spacing w:after="0"/>
              <w:rPr>
                <w:sz w:val="20"/>
                <w:szCs w:val="20"/>
                <w:color w:val="auto"/>
              </w:rPr>
            </w:pPr>
            <w:r>
              <w:rPr>
                <w:rFonts w:ascii="Arial" w:cs="Arial" w:eastAsia="Arial" w:hAnsi="Arial"/>
                <w:sz w:val="14"/>
                <w:szCs w:val="14"/>
                <w:b w:val="1"/>
                <w:bCs w:val="1"/>
                <w:color w:val="auto"/>
                <w:w w:val="89"/>
              </w:rPr>
              <w:t>Pension Benefits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4"/>
              </w:rPr>
              <w:t>Retiree Medical and Other</w:t>
            </w:r>
          </w:p>
        </w:tc>
        <w:tc>
          <w:tcPr>
            <w:tcW w:w="0" w:type="dxa"/>
            <w:vAlign w:val="bottom"/>
          </w:tcPr>
          <w:p>
            <w:pPr>
              <w:spacing w:after="0"/>
              <w:rPr>
                <w:sz w:val="1"/>
                <w:szCs w:val="1"/>
                <w:color w:val="auto"/>
              </w:rPr>
            </w:pPr>
          </w:p>
        </w:tc>
      </w:tr>
      <w:tr>
        <w:trPr>
          <w:trHeight w:val="171"/>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w w:val="92"/>
              </w:rPr>
              <w:t>Nine Months Ended September 30,</w:t>
            </w:r>
          </w:p>
        </w:tc>
        <w:tc>
          <w:tcPr>
            <w:tcW w:w="56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7"/>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7"/>
              </w:rPr>
              <w:t>Postretirement Benefits</w:t>
            </w:r>
          </w:p>
        </w:tc>
        <w:tc>
          <w:tcPr>
            <w:tcW w:w="0" w:type="dxa"/>
            <w:vAlign w:val="bottom"/>
          </w:tcPr>
          <w:p>
            <w:pPr>
              <w:spacing w:after="0"/>
              <w:rPr>
                <w:sz w:val="1"/>
                <w:szCs w:val="1"/>
                <w:color w:val="auto"/>
              </w:rPr>
            </w:pPr>
          </w:p>
        </w:tc>
      </w:tr>
      <w:tr>
        <w:trPr>
          <w:trHeight w:val="149"/>
        </w:trPr>
        <w:tc>
          <w:tcPr>
            <w:tcW w:w="2160" w:type="dxa"/>
            <w:vAlign w:val="bottom"/>
            <w:tcBorders>
              <w:bottom w:val="single" w:sz="8" w:color="auto"/>
            </w:tcBorders>
            <w:vMerge w:val="continue"/>
          </w:tcPr>
          <w:p>
            <w:pPr>
              <w:spacing w:after="0"/>
              <w:rPr>
                <w:sz w:val="12"/>
                <w:szCs w:val="12"/>
                <w:color w:val="auto"/>
              </w:rPr>
            </w:pPr>
          </w:p>
        </w:tc>
        <w:tc>
          <w:tcPr>
            <w:tcW w:w="5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Service cost</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559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(560)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(636)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Settlements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 xml:space="preserve">Prior service cost (benefit) </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7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Unrecognized net loss (gain)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color w:val="auto"/>
              </w:rPr>
              <w:t>Net periodic benefit cost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7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The 2016 and 2015 nine months’ prior service cost does not include amortization of $1 million and $2 million, respectively, related to other postretirement benefits.</w:t>
      </w:r>
    </w:p>
    <w:p>
      <w:pPr>
        <w:spacing w:after="0" w:line="170"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color w:val="auto"/>
        </w:rPr>
        <w:t>Effective November 1, 2012, substantially all of American’s defined benefit pension plans were frozen.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Income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accumulated other comprehensive income (loss) (AOCI) are as follows (in millions):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comprehensive income (loss) before reclassifications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Amounts reclassified from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Pension, Retiree</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Medical and</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Unrealized</w:t>
            </w:r>
          </w:p>
        </w:tc>
        <w:tc>
          <w:tcPr>
            <w:tcW w:w="1440" w:type="dxa"/>
            <w:vAlign w:val="bottom"/>
            <w:gridSpan w:val="4"/>
            <w:vMerge w:val="restart"/>
          </w:tcPr>
          <w:p>
            <w:pPr>
              <w:jc w:val="center"/>
              <w:ind w:right="163"/>
              <w:spacing w:after="0"/>
              <w:rPr>
                <w:sz w:val="20"/>
                <w:szCs w:val="20"/>
                <w:color w:val="auto"/>
              </w:rPr>
            </w:pPr>
            <w:r>
              <w:rPr>
                <w:rFonts w:ascii="Arial" w:cs="Arial" w:eastAsia="Arial" w:hAnsi="Arial"/>
                <w:sz w:val="14"/>
                <w:szCs w:val="14"/>
                <w:b w:val="1"/>
                <w:bCs w:val="1"/>
                <w:color w:val="auto"/>
                <w:w w:val="93"/>
              </w:rPr>
              <w:t>Income Tax</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4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12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523"/>
              <w:spacing w:after="0" w:line="149" w:lineRule="exact"/>
              <w:rPr>
                <w:sz w:val="20"/>
                <w:szCs w:val="20"/>
                <w:color w:val="auto"/>
              </w:rPr>
            </w:pPr>
            <w:r>
              <w:rPr>
                <w:rFonts w:ascii="Arial" w:cs="Arial" w:eastAsia="Arial" w:hAnsi="Arial"/>
                <w:sz w:val="14"/>
                <w:szCs w:val="14"/>
                <w:b w:val="1"/>
                <w:bCs w:val="1"/>
                <w:color w:val="auto"/>
                <w:w w:val="92"/>
              </w:rPr>
              <w:t>Benefit</w:t>
            </w:r>
          </w:p>
        </w:tc>
        <w:tc>
          <w:tcPr>
            <w:tcW w:w="240" w:type="dxa"/>
            <w:vAlign w:val="bottom"/>
          </w:tcPr>
          <w:p>
            <w:pPr>
              <w:spacing w:after="0"/>
              <w:rPr>
                <w:sz w:val="12"/>
                <w:szCs w:val="12"/>
                <w:color w:val="auto"/>
              </w:rPr>
            </w:pPr>
          </w:p>
        </w:tc>
        <w:tc>
          <w:tcPr>
            <w:tcW w:w="5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0"/>
              </w:rPr>
              <w:t>Benefits</w:t>
            </w:r>
          </w:p>
        </w:tc>
        <w:tc>
          <w:tcPr>
            <w:tcW w:w="54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(Provision)</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5" w:lineRule="exact"/>
              <w:rPr>
                <w:sz w:val="20"/>
                <w:szCs w:val="20"/>
                <w:color w:val="auto"/>
              </w:rPr>
            </w:pPr>
            <w:r>
              <w:rPr>
                <w:rFonts w:ascii="Arial" w:cs="Arial" w:eastAsia="Arial" w:hAnsi="Arial"/>
                <w:sz w:val="18"/>
                <w:szCs w:val="18"/>
                <w:color w:val="auto"/>
              </w:rPr>
              <w:t>(3,831)</w:t>
            </w:r>
          </w:p>
        </w:tc>
        <w:tc>
          <w:tcPr>
            <w:tcW w:w="5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line="195" w:lineRule="exact"/>
              <w:rPr>
                <w:sz w:val="20"/>
                <w:szCs w:val="20"/>
                <w:color w:val="auto"/>
              </w:rPr>
            </w:pPr>
            <w:r>
              <w:rPr>
                <w:rFonts w:ascii="Arial" w:cs="Arial" w:eastAsia="Arial" w:hAnsi="Arial"/>
                <w:sz w:val="18"/>
                <w:szCs w:val="18"/>
                <w:color w:val="auto"/>
              </w:rPr>
              <w:t>(9)</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195" w:lineRule="exact"/>
              <w:rPr>
                <w:sz w:val="20"/>
                <w:szCs w:val="20"/>
                <w:color w:val="auto"/>
              </w:rPr>
            </w:pPr>
            <w:r>
              <w:rPr>
                <w:rFonts w:ascii="Arial" w:cs="Arial" w:eastAsia="Arial" w:hAnsi="Arial"/>
                <w:sz w:val="18"/>
                <w:szCs w:val="18"/>
                <w:color w:val="auto"/>
              </w:rPr>
              <w:t>(991)</w:t>
            </w:r>
          </w:p>
        </w:tc>
        <w:tc>
          <w:tcPr>
            <w:tcW w:w="480" w:type="dxa"/>
            <w:vAlign w:val="bottom"/>
          </w:tcPr>
          <w:p>
            <w:pPr>
              <w:jc w:val="right"/>
              <w:ind w:right="163"/>
              <w:spacing w:after="0"/>
              <w:rPr>
                <w:sz w:val="20"/>
                <w:szCs w:val="20"/>
                <w:color w:val="auto"/>
              </w:rPr>
            </w:pPr>
            <w:r>
              <w:rPr>
                <w:rFonts w:ascii="Arial" w:cs="Arial" w:eastAsia="Arial" w:hAnsi="Arial"/>
                <w:sz w:val="15"/>
                <w:szCs w:val="15"/>
                <w:color w:val="auto"/>
              </w:rPr>
              <w:t>(1)</w:t>
            </w:r>
          </w:p>
        </w:tc>
        <w:tc>
          <w:tcPr>
            <w:tcW w:w="24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w w:val="83"/>
              </w:rPr>
              <w:t>$(4,831)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03"/>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23"/>
              <w:spacing w:after="0"/>
              <w:rPr>
                <w:sz w:val="20"/>
                <w:szCs w:val="20"/>
                <w:color w:val="auto"/>
              </w:rPr>
            </w:pPr>
            <w:r>
              <w:rPr>
                <w:rFonts w:ascii="Arial" w:cs="Arial" w:eastAsia="Arial" w:hAnsi="Arial"/>
                <w:sz w:val="18"/>
                <w:szCs w:val="18"/>
                <w:color w:val="auto"/>
              </w:rPr>
              <w:t>27</w:t>
            </w:r>
            <w:r>
              <w:rPr>
                <w:rFonts w:ascii="Arial" w:cs="Arial" w:eastAsia="Arial" w:hAnsi="Arial"/>
                <w:sz w:val="15"/>
                <w:szCs w:val="15"/>
                <w:color w:val="auto"/>
              </w:rPr>
              <w:t>(2)</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5820" w:space="500"/>
            <w:col w:w="51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tcPr>
          <w:p>
            <w:pPr>
              <w:ind w:left="700"/>
              <w:spacing w:after="0" w:line="203" w:lineRule="exact"/>
              <w:rPr>
                <w:sz w:val="20"/>
                <w:szCs w:val="20"/>
                <w:color w:val="auto"/>
              </w:rPr>
            </w:pPr>
            <w:r>
              <w:rPr>
                <w:rFonts w:ascii="Arial" w:cs="Arial" w:eastAsia="Arial" w:hAnsi="Arial"/>
                <w:sz w:val="18"/>
                <w:szCs w:val="18"/>
                <w:color w:val="auto"/>
              </w:rPr>
              <w:t>Net current-period other comprehensive income (loss)</w:t>
            </w:r>
          </w:p>
        </w:tc>
        <w:tc>
          <w:tcPr>
            <w:tcW w:w="300" w:type="dxa"/>
            <w:vAlign w:val="bottom"/>
          </w:tcPr>
          <w:p>
            <w:pPr>
              <w:spacing w:after="0"/>
              <w:rPr>
                <w:sz w:val="17"/>
                <w:szCs w:val="17"/>
                <w:color w:val="auto"/>
              </w:rPr>
            </w:pPr>
          </w:p>
        </w:tc>
        <w:tc>
          <w:tcPr>
            <w:tcW w:w="1240" w:type="dxa"/>
            <w:vAlign w:val="bottom"/>
            <w:gridSpan w:val="2"/>
          </w:tcPr>
          <w:p>
            <w:pPr>
              <w:jc w:val="right"/>
              <w:ind w:right="480"/>
              <w:spacing w:after="0" w:line="203" w:lineRule="exact"/>
              <w:rPr>
                <w:sz w:val="20"/>
                <w:szCs w:val="20"/>
                <w:color w:val="auto"/>
              </w:rPr>
            </w:pPr>
            <w:r>
              <w:rPr>
                <w:rFonts w:ascii="Arial" w:cs="Arial" w:eastAsia="Arial" w:hAnsi="Arial"/>
                <w:sz w:val="18"/>
                <w:szCs w:val="18"/>
                <w:color w:val="auto"/>
              </w:rPr>
              <w:t>(83)</w:t>
            </w: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gridSpan w:val="2"/>
          </w:tcPr>
          <w:p>
            <w:pPr>
              <w:jc w:val="right"/>
              <w:ind w:right="540"/>
              <w:spacing w:after="0" w:line="203" w:lineRule="exact"/>
              <w:rPr>
                <w:sz w:val="20"/>
                <w:szCs w:val="20"/>
                <w:color w:val="auto"/>
              </w:rPr>
            </w:pPr>
            <w:r>
              <w:rPr>
                <w:rFonts w:ascii="Arial" w:cs="Arial" w:eastAsia="Arial" w:hAnsi="Arial"/>
                <w:sz w:val="18"/>
                <w:szCs w:val="18"/>
                <w:color w:val="auto"/>
                <w:w w:val="79"/>
              </w:rPr>
              <w:t>9</w:t>
            </w:r>
          </w:p>
        </w:tc>
        <w:tc>
          <w:tcPr>
            <w:tcW w:w="24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27</w:t>
            </w:r>
          </w:p>
        </w:tc>
        <w:tc>
          <w:tcPr>
            <w:tcW w:w="400" w:type="dxa"/>
            <w:vAlign w:val="bottom"/>
          </w:tcPr>
          <w:p>
            <w:pPr>
              <w:spacing w:after="0"/>
              <w:rPr>
                <w:sz w:val="17"/>
                <w:szCs w:val="17"/>
                <w:color w:val="auto"/>
              </w:rPr>
            </w:pPr>
          </w:p>
        </w:tc>
        <w:tc>
          <w:tcPr>
            <w:tcW w:w="1000" w:type="dxa"/>
            <w:vAlign w:val="bottom"/>
            <w:gridSpan w:val="3"/>
          </w:tcPr>
          <w:p>
            <w:pPr>
              <w:jc w:val="right"/>
              <w:ind w:right="40"/>
              <w:spacing w:after="0" w:line="203"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(3,914)</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8"/>
              </w:rPr>
              <w:t>—</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(964)</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58"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Relates to pension, retiree medical and other postretirement obligations that will not be recognized in net income until the obligations are fully extinguished.</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Relates to pension, retiree medical and other postretirement obligations and is recognized within the income tax provision on the condensed consolidated statement of operations.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Reclassifications out of AOCI for the three and nine months ended September 30, 2016 and 2015 are as follows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11"/>
          </w:tcPr>
          <w:p>
            <w:pPr>
              <w:jc w:val="right"/>
              <w:ind w:right="10"/>
              <w:spacing w:after="0"/>
              <w:rPr>
                <w:sz w:val="20"/>
                <w:szCs w:val="20"/>
                <w:color w:val="auto"/>
              </w:rPr>
            </w:pPr>
            <w:r>
              <w:rPr>
                <w:rFonts w:ascii="Arial" w:cs="Arial" w:eastAsia="Arial" w:hAnsi="Arial"/>
                <w:sz w:val="14"/>
                <w:szCs w:val="14"/>
                <w:b w:val="1"/>
                <w:bCs w:val="1"/>
                <w:color w:val="auto"/>
              </w:rPr>
              <w:t>Amounts reclassified from AOCI</w:t>
            </w:r>
          </w:p>
        </w:tc>
        <w:tc>
          <w:tcPr>
            <w:tcW w:w="4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00" w:type="dxa"/>
            <w:vAlign w:val="bottom"/>
            <w:gridSpan w:val="7"/>
          </w:tcPr>
          <w:p>
            <w:pPr>
              <w:jc w:val="right"/>
              <w:ind w:right="260"/>
              <w:spacing w:after="0" w:line="119" w:lineRule="exact"/>
              <w:rPr>
                <w:sz w:val="20"/>
                <w:szCs w:val="20"/>
                <w:color w:val="auto"/>
              </w:rPr>
            </w:pPr>
            <w:r>
              <w:rPr>
                <w:rFonts w:ascii="Arial" w:cs="Arial" w:eastAsia="Arial" w:hAnsi="Arial"/>
                <w:sz w:val="13"/>
                <w:szCs w:val="13"/>
                <w:b w:val="1"/>
                <w:bCs w:val="1"/>
                <w:color w:val="auto"/>
              </w:rPr>
              <w:t>Three Months Ended</w:t>
            </w:r>
          </w:p>
        </w:tc>
        <w:tc>
          <w:tcPr>
            <w:tcW w:w="1360" w:type="dxa"/>
            <w:vAlign w:val="bottom"/>
            <w:gridSpan w:val="6"/>
          </w:tcPr>
          <w:p>
            <w:pPr>
              <w:jc w:val="right"/>
              <w:spacing w:after="0" w:line="119" w:lineRule="exact"/>
              <w:rPr>
                <w:sz w:val="20"/>
                <w:szCs w:val="20"/>
                <w:color w:val="auto"/>
              </w:rPr>
            </w:pPr>
            <w:r>
              <w:rPr>
                <w:rFonts w:ascii="Arial" w:cs="Arial" w:eastAsia="Arial" w:hAnsi="Arial"/>
                <w:sz w:val="13"/>
                <w:szCs w:val="13"/>
                <w:b w:val="1"/>
                <w:bCs w:val="1"/>
                <w:color w:val="auto"/>
              </w:rPr>
              <w:t>Nine Months Ended</w:t>
            </w:r>
          </w:p>
        </w:tc>
        <w:tc>
          <w:tcPr>
            <w:tcW w:w="300" w:type="dxa"/>
            <w:vAlign w:val="bottom"/>
          </w:tcPr>
          <w:p>
            <w:pPr>
              <w:spacing w:after="0"/>
              <w:rPr>
                <w:sz w:val="10"/>
                <w:szCs w:val="10"/>
                <w:color w:val="auto"/>
              </w:rPr>
            </w:pPr>
          </w:p>
        </w:tc>
        <w:tc>
          <w:tcPr>
            <w:tcW w:w="39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Affected line items on condensed</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6"/>
          </w:tcPr>
          <w:p>
            <w:pPr>
              <w:jc w:val="right"/>
              <w:ind w:right="480"/>
              <w:spacing w:after="0" w:line="149"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1560" w:type="dxa"/>
            <w:vAlign w:val="bottom"/>
            <w:gridSpan w:val="6"/>
          </w:tcPr>
          <w:p>
            <w:pPr>
              <w:ind w:left="140"/>
              <w:spacing w:after="0" w:line="149" w:lineRule="exact"/>
              <w:rPr>
                <w:sz w:val="20"/>
                <w:szCs w:val="20"/>
                <w:color w:val="auto"/>
              </w:rPr>
            </w:pPr>
            <w:r>
              <w:rPr>
                <w:rFonts w:ascii="Arial" w:cs="Arial" w:eastAsia="Arial" w:hAnsi="Arial"/>
                <w:sz w:val="14"/>
                <w:szCs w:val="14"/>
                <w:b w:val="1"/>
                <w:bCs w:val="1"/>
                <w:color w:val="auto"/>
              </w:rPr>
              <w:t>September 30,</w:t>
            </w:r>
          </w:p>
        </w:tc>
        <w:tc>
          <w:tcPr>
            <w:tcW w:w="3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AOCI Components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consolidated statement of operations</w:t>
            </w:r>
          </w:p>
        </w:tc>
        <w:tc>
          <w:tcPr>
            <w:tcW w:w="0" w:type="dxa"/>
            <w:vAlign w:val="bottom"/>
          </w:tcPr>
          <w:p>
            <w:pPr>
              <w:spacing w:after="0"/>
              <w:rPr>
                <w:sz w:val="1"/>
                <w:szCs w:val="1"/>
                <w:color w:val="auto"/>
              </w:rPr>
            </w:pPr>
          </w:p>
        </w:tc>
      </w:tr>
      <w:tr>
        <w:trPr>
          <w:trHeight w:val="142"/>
        </w:trPr>
        <w:tc>
          <w:tcPr>
            <w:tcW w:w="4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96"/>
              </w:rPr>
              <w:t>2015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2"/>
                <w:szCs w:val="12"/>
                <w:color w:val="auto"/>
              </w:rPr>
            </w:pPr>
          </w:p>
        </w:tc>
        <w:tc>
          <w:tcPr>
            <w:tcW w:w="3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Amortization of</w:t>
            </w:r>
          </w:p>
        </w:tc>
        <w:tc>
          <w:tcPr>
            <w:tcW w:w="2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pension, retiree medical and other</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3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rPr>
                <w:sz w:val="20"/>
                <w:szCs w:val="20"/>
                <w:color w:val="auto"/>
              </w:rPr>
            </w:pPr>
            <w:r>
              <w:rPr>
                <w:rFonts w:ascii="Arial" w:cs="Arial" w:eastAsia="Arial" w:hAnsi="Arial"/>
                <w:sz w:val="18"/>
                <w:szCs w:val="18"/>
                <w:color w:val="auto"/>
              </w:rPr>
              <w:t>Prior service cost (benefit)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280"/>
              <w:spacing w:after="0"/>
              <w:rPr>
                <w:sz w:val="20"/>
                <w:szCs w:val="20"/>
                <w:color w:val="auto"/>
              </w:rPr>
            </w:pPr>
            <w:r>
              <w:rPr>
                <w:rFonts w:ascii="Arial" w:cs="Arial" w:eastAsia="Arial" w:hAnsi="Arial"/>
                <w:sz w:val="18"/>
                <w:szCs w:val="18"/>
                <w:color w:val="auto"/>
              </w:rPr>
              <w:t>(33)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396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Actuarial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Salaries, wages and benefits</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flow hedges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0" w:type="dxa"/>
            <w:vAlign w:val="bottom"/>
          </w:tcPr>
          <w:p>
            <w:pPr>
              <w:spacing w:after="0"/>
              <w:rPr>
                <w:sz w:val="1"/>
                <w:szCs w:val="1"/>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color w:val="auto"/>
              </w:rPr>
              <w:t>Net unrealized change on 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value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net</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 net of tax</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40" w:type="dxa"/>
            <w:vAlign w:val="bottom"/>
            <w:gridSpan w:val="2"/>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3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Regional Expenses</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Expenses associated with regional carriers operating under the brand name American Eagle are classified as regional expenses on the condensed consolidated statements of operations. Regional expenses consist of the following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3"/>
              </w:rPr>
              <w:t>Three Months Ended September 30,</w:t>
            </w:r>
          </w:p>
        </w:tc>
        <w:tc>
          <w:tcPr>
            <w:tcW w:w="360" w:type="dxa"/>
            <w:vAlign w:val="bottom"/>
          </w:tcPr>
          <w:p>
            <w:pPr>
              <w:spacing w:after="0"/>
              <w:rPr>
                <w:sz w:val="14"/>
                <w:szCs w:val="14"/>
                <w:color w:val="auto"/>
              </w:rPr>
            </w:pPr>
          </w:p>
        </w:tc>
        <w:tc>
          <w:tcPr>
            <w:tcW w:w="252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142"/>
        </w:trPr>
        <w:tc>
          <w:tcPr>
            <w:tcW w:w="48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39"/>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249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Capacity purchases from third-party regional carriers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891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823</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Maintenance, materials and repairs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Other rent and landing fees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Aircraft rent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Special items, net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8"/>
                <w:szCs w:val="18"/>
                <w:color w:val="auto"/>
              </w:rPr>
              <w:t>75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regional expenses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1,632</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1,541</w:t>
            </w:r>
          </w:p>
        </w:tc>
        <w:tc>
          <w:tcPr>
            <w:tcW w:w="6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vMerge w:val="restart"/>
          </w:tcPr>
          <w:p>
            <w:pPr>
              <w:spacing w:after="0"/>
              <w:rPr>
                <w:sz w:val="20"/>
                <w:szCs w:val="20"/>
                <w:color w:val="auto"/>
              </w:rPr>
            </w:pPr>
            <w:r>
              <w:rPr>
                <w:rFonts w:ascii="Arial" w:cs="Arial" w:eastAsia="Arial" w:hAnsi="Arial"/>
                <w:sz w:val="18"/>
                <w:szCs w:val="18"/>
                <w:b w:val="1"/>
                <w:bCs w:val="1"/>
                <w:color w:val="auto"/>
              </w:rPr>
              <w:t>9. Transactions with Related Parties</w:t>
            </w: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8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00" w:type="dxa"/>
            <w:vAlign w:val="bottom"/>
            <w:gridSpan w:val="5"/>
          </w:tcPr>
          <w:p>
            <w:pPr>
              <w:ind w:left="460"/>
              <w:spacing w:after="0"/>
              <w:rPr>
                <w:sz w:val="20"/>
                <w:szCs w:val="20"/>
                <w:color w:val="auto"/>
              </w:rPr>
            </w:pPr>
            <w:r>
              <w:rPr>
                <w:rFonts w:ascii="Arial" w:cs="Arial" w:eastAsia="Arial" w:hAnsi="Arial"/>
                <w:sz w:val="18"/>
                <w:szCs w:val="18"/>
                <w:color w:val="auto"/>
                <w:w w:val="97"/>
              </w:rPr>
              <w:t>The following represents the net receivables (payables) to related parties (in millions):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w w:val="90"/>
              </w:rPr>
              <w:t>September 30, 2016</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AAG </w:t>
            </w:r>
            <w:r>
              <w:rPr>
                <w:rFonts w:ascii="Arial" w:cs="Arial" w:eastAsia="Arial" w:hAnsi="Arial"/>
                <w:sz w:val="15"/>
                <w:szCs w:val="15"/>
                <w:color w:val="auto"/>
              </w:rPr>
              <w:t>(1)</w:t>
            </w: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8,195</w:t>
            </w: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 xml:space="preserve">AAG’s wholly-owned subsidiaries </w:t>
            </w:r>
            <w:r>
              <w:rPr>
                <w:rFonts w:ascii="Arial" w:cs="Arial" w:eastAsia="Arial" w:hAnsi="Arial"/>
                <w:sz w:val="15"/>
                <w:szCs w:val="15"/>
                <w:color w:val="auto"/>
              </w:rPr>
              <w:t>(2)</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451"/>
              <w:spacing w:after="0"/>
              <w:rPr>
                <w:sz w:val="20"/>
                <w:szCs w:val="20"/>
                <w:color w:val="auto"/>
              </w:rPr>
            </w:pPr>
            <w:r>
              <w:rPr>
                <w:rFonts w:ascii="Arial" w:cs="Arial" w:eastAsia="Arial" w:hAnsi="Arial"/>
                <w:sz w:val="18"/>
                <w:szCs w:val="18"/>
                <w:color w:val="auto"/>
              </w:rPr>
              <w:t>(2,064)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The increase in American’s net related party receivable from AAG is primarily due to American providing the cash funding for AAG’s share repurchase and dividend programs.</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The net payable to AAG’s wholly-owned subsidiaries consists primarily of amounts due under regional capacity purchase agreements with AAG’s wholly-owned regional airlines operating under the brand name of American Eagle.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Legal Proceedings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 xml:space="preserve">Chapter 11 Cases. </w:t>
      </w:r>
      <w:r>
        <w:rPr>
          <w:rFonts w:ascii="Arial" w:cs="Arial" w:eastAsia="Arial" w:hAnsi="Arial"/>
          <w:sz w:val="18"/>
          <w:szCs w:val="18"/>
          <w:color w:val="auto"/>
        </w:rPr>
        <w:t>On November 29, 2011, AMR, American, and certain of AMR’s other direct and indirect domestic subsidiaries (the Debtors) filed</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As of September 30, 2016, there were approximately 25.2 million shares of AAG common stock remaining in the</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Disputed Claims Reserve. As disputed claims are resolved, the claimants will receive distributions of shares from the Disputed Claims Reserve on the same basis as if such distributions had been made on or about the Effective Date. However, American is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AAG but rather will be distributed to former AMR stockholders as of the Effective Date.</w:t>
      </w:r>
    </w:p>
    <w:p>
      <w:pPr>
        <w:spacing w:after="0" w:line="188"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American’s financial statements presently reflect these retirement programs without giving effect to any modification or termination of benefits that may ultimately be implemented based upon the outcome of this proceeding.</w:t>
      </w:r>
    </w:p>
    <w:p>
      <w:pPr>
        <w:spacing w:after="0" w:line="178"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i w:val="1"/>
          <w:iCs w:val="1"/>
          <w:color w:val="auto"/>
        </w:rPr>
        <w:t xml:space="preserve">DOJ Antitrust Civil Investigative Demand. </w:t>
      </w:r>
      <w:r>
        <w:rPr>
          <w:rFonts w:ascii="Arial" w:cs="Arial" w:eastAsia="Arial" w:hAnsi="Arial"/>
          <w:sz w:val="18"/>
          <w:szCs w:val="18"/>
          <w:color w:val="auto"/>
        </w:rPr>
        <w:t>In June 2015, American received a Civil Investigative Demand (CID) from the United States Department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Justice (DOJ) as part of an investigation into whether there have been illegal agreements or coordination of air passenger capacity. The CID seeks documents and other information from American, and other airlines have announced that they have received similar requests. American is cooperating fully with the DOJ investigation. In addition, subsequent to announcement of the delivery of CIDs by the DOJ, American,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The airline defendants have moved to dismiss all claims in the class actions. Both the DOJ investigation and these lawsuits are in their very early stages and American intends to defend the lawsuits vigorously.</w:t>
      </w:r>
    </w:p>
    <w:p>
      <w:pPr>
        <w:spacing w:after="0" w:line="197"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and plaintiffs’ request for further relief from the JPML was denied on February 4, 2016. Accordingly, the parties will continue to litigate the matter in Bankruptcy Court; a jointly proposed schedule for the remainder of the case was submitted on September 7, 2016, which has not yet been accepted by the court. American believes this lawsuit is without merit and intends to vigorously defend against the allegations.</w:t>
      </w:r>
    </w:p>
    <w:p>
      <w:pPr>
        <w:spacing w:after="0" w:line="18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American of an inquiry regarding American’s 2009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2011 contracts with the United States Postal Service for the international transportation of mail by air. In October 2015, American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American is cooperating fully with the DOJ investigation.</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American and its subsidiaries are also engaged in other legal proceedings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Legal proceedings can be complex and take many months, or even years, to reach resolution, with the final outcome depending on a number of variables, some of which are not within American’s control. Therefore, although American will vigorously defend itself in each of the actions described above and such other legal proceedings, their ultimate resolution and potential financial and other impacts on American are uncertain but could be material. See Part II, Item 1A. Risk Factors – “</w:t>
      </w:r>
      <w:r>
        <w:rPr>
          <w:rFonts w:ascii="Arial" w:cs="Arial" w:eastAsia="Arial" w:hAnsi="Arial"/>
          <w:sz w:val="18"/>
          <w:szCs w:val="18"/>
          <w:i w:val="1"/>
          <w:iCs w:val="1"/>
          <w:color w:val="auto"/>
        </w:rPr>
        <w:t>We may be a party to litigation in the normal course of business or otherwise, which could affect our financial position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liquidity</w:t>
      </w:r>
      <w:r>
        <w:rPr>
          <w:rFonts w:ascii="Arial" w:cs="Arial" w:eastAsia="Arial" w:hAnsi="Arial"/>
          <w:sz w:val="18"/>
          <w:szCs w:val="18"/>
          <w:color w:val="auto"/>
        </w:rPr>
        <w:t>” for additional discussion.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OF AMERICAN AIRLINES,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2016-3 EETCs</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In October 2016, American created two pass-through trusts which issued approximately $814 million aggregate face amount of 2016-3 Class AA and Class A EETCs (the 2016-3 EETCs) in connection with the financing of 25 aircraft owned by American or scheduled to be delivered to American between October 2016 and January 2017. A portion of the proceeds received from the sale of the 2016-3 EETCs has been used to acquire Series AA and A equipment notes issued by American to the pass-through trusts and the balance of such proceeds is being held in escrow for the benefit of the holders of the 2016-3 EETCs until such time as American issues additional Series AA and A equipment notes to the pass-through trusts, which will purchase the notes with escrowed funds. These escrowed funds are not guaranteed by American and are not reported as debt on its condensed consolidated balance sheet because the proceeds held by the depository are not American’s assets.</w:t>
      </w:r>
    </w:p>
    <w:p>
      <w:pPr>
        <w:spacing w:after="0" w:line="17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Series AA equipment notes bear interest at 3.00% per annum and Series A equipment notes bear interest at 3.25% per annum. Interest and principal payments on the equipment notes will be payable semi-annually in April and October of each year, with interest payments beginning in April 2017 and principal payments beginning in October 2017. The final payments on the Series AA and Series A equipment notes are due in October 2028.</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Part I, Item 2 of this report should be read in conjunction with Part II, Item 7 of AAG’s and American’s Annual Report on Form 10-K for the year ended December 31, 2015 (the 2015 Form 10-K). The information contained herein is not a comprehensive discussion and analysis of the financial condition and results of operations of AAG and American, but rather updates disclosures made in the 2015 Form 10-K.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 xml:space="preserve">American Airlines and American Eagle offer an average of nearly 6,700 flights per day to nearly 350 destinations in more than 50 countries. American has hubs in Charlotte, Chicago, Dallas/Fort Worth, Los Angeles, Miami, New York, Philadelphia, Phoenix and Washington, D.C. American is a founding member of the </w:t>
      </w:r>
      <w:r>
        <w:rPr>
          <w:rFonts w:ascii="Arial" w:cs="Arial" w:eastAsia="Arial" w:hAnsi="Arial"/>
          <w:sz w:val="16"/>
          <w:szCs w:val="16"/>
          <w:b w:val="1"/>
          <w:bCs w:val="1"/>
          <w:color w:val="auto"/>
        </w:rPr>
        <w:t>one</w:t>
      </w:r>
      <w:r>
        <w:rPr>
          <w:rFonts w:ascii="Arial" w:cs="Arial" w:eastAsia="Arial" w:hAnsi="Arial"/>
          <w:sz w:val="16"/>
          <w:szCs w:val="16"/>
          <w:color w:val="auto"/>
        </w:rPr>
        <w:t>world alliance, whose members serve more than 1,000 destinations with about 14,250 daily flights to over 150 countries. In the third quarter of 2016, approximately 52 million passengers boarded our mainline and regional flights. As of September 30, 2016, we operated 922 mainline aircraft and were supported by our regional airline subsidiaries and third-party regional carriers, which operated an additional 599 regional aircraft.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Airline Industry</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third quarter of 2016, the U.S. airline industry continued to benefit from lower fuel prices. However, the reductions in fuel costs in the quarter were offset by year-over-year declines in revenue. Domestic markets continued to be impacted by competitive capacity growth. Domestic markets did, however, perform better than international markets, which also have been impacted by competitive capacity growth, continued macroeconomic softness and foreign currency weakness.</w:t>
      </w:r>
    </w:p>
    <w:p>
      <w:pPr>
        <w:spacing w:after="0" w:line="18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Jet fuel prices closely follow the price of Brent crude oil. On average, the price of Brent crude oil per barrel was approximately 8% lower in the third quarter of 2016 as compared to the 2015 period. The average daily spot price for Brent crude oil during the third quarter of 2016 was $46 per barrel as compared to an average daily spot price of $50 per barrel during the third quarter of 2015. From a trend perspective, fuel prices were flat when compared to the second quarter of 2016 when the average daily spot price was also $46 per barrel. On a daily basis, Brent crude oil prices fluctuated during the third quarter of 2016 between a high of $50 per barrel to a low of $40 per barrel, and closed the quarter on September 30, 2016 at $48 per barrel.</w:t>
      </w:r>
    </w:p>
    <w:p>
      <w:pPr>
        <w:spacing w:after="0" w:line="15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While jet fuel prices have declined period-over-period as described above, uncertainty exists regarding the economic conditions driving these declines. See Part II, Item 1A. Risk Factors – </w:t>
      </w:r>
      <w:r>
        <w:rPr>
          <w:rFonts w:ascii="Arial" w:cs="Arial" w:eastAsia="Arial" w:hAnsi="Arial"/>
          <w:sz w:val="18"/>
          <w:szCs w:val="18"/>
          <w:i w:val="1"/>
          <w:iCs w:val="1"/>
          <w:color w:val="auto"/>
        </w:rPr>
        <w:t>“Downturns in economic conditions adversely affect our business”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“Our business is dependent on the price and</w:t>
      </w:r>
      <w:r>
        <w:rPr>
          <w:rFonts w:ascii="Arial" w:cs="Arial" w:eastAsia="Arial" w:hAnsi="Arial"/>
          <w:sz w:val="18"/>
          <w:szCs w:val="18"/>
          <w:color w:val="auto"/>
        </w:rPr>
        <w:t xml:space="preserve"> </w:t>
      </w:r>
      <w:r>
        <w:rPr>
          <w:rFonts w:ascii="Arial" w:cs="Arial" w:eastAsia="Arial" w:hAnsi="Arial"/>
          <w:sz w:val="18"/>
          <w:szCs w:val="18"/>
          <w:i w:val="1"/>
          <w:iCs w:val="1"/>
          <w:color w:val="auto"/>
        </w:rPr>
        <w:t>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Third Quarter 2016 Results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selected financial data presented below is derived from AAG’s unaudited condensed consolidated financial statements included in Part I, Item 1A of this report and should be read in conjunction with those financial statements and the related notes thereto.</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8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4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6"/>
          </w:tcPr>
          <w:p>
            <w:pPr>
              <w:jc w:val="right"/>
              <w:ind w:right="133"/>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Mainline and regional passenger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9,150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9,353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Cargo and other operating revenues</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1,444</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1,353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10,594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10,706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Mainline and regional aircraft fuel and related taxes</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1,696</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1,903</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9,163</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1,431</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1,999</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1,189</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1,709</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(30.4)</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Income tax provision</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737</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(56.4)</w:t>
            </w:r>
          </w:p>
        </w:tc>
      </w:tr>
      <w:tr>
        <w:trPr>
          <w:trHeight w:val="324"/>
        </w:trPr>
        <w:tc>
          <w:tcPr>
            <w:tcW w:w="8440" w:type="dxa"/>
            <w:vAlign w:val="bottom"/>
          </w:tcPr>
          <w:p>
            <w:pPr>
              <w:spacing w:after="0"/>
              <w:rPr>
                <w:sz w:val="20"/>
                <w:szCs w:val="20"/>
                <w:color w:val="auto"/>
              </w:rPr>
            </w:pPr>
            <w:r>
              <w:rPr>
                <w:rFonts w:ascii="Arial" w:cs="Arial" w:eastAsia="Arial" w:hAnsi="Arial"/>
                <w:sz w:val="18"/>
                <w:szCs w:val="18"/>
                <w:color w:val="auto"/>
              </w:rPr>
              <w:t>Pre-tax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1,189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1,709</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Pre-tax special items: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 xml:space="preserve">Operating special charges, net </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Nonoperating special items,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Total pre-tax special items</w:t>
            </w:r>
          </w:p>
        </w:tc>
        <w:tc>
          <w:tcPr>
            <w:tcW w:w="1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57.7</w:t>
            </w: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income excluding special items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r>
      <w:tr>
        <w:trPr>
          <w:trHeight w:val="20"/>
        </w:trPr>
        <w:tc>
          <w:tcPr>
            <w:tcW w:w="8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64"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8"/>
          <w:szCs w:val="18"/>
          <w:color w:val="auto"/>
        </w:rPr>
        <w:t xml:space="preserve">Our 2016 and 2015 third quarter results were impacted by net operating special charges of $294 million and $165 million, respectively, consisting principally of mainline and regional merger integration expenses. See Part I, Item 2. Management’s Discussion and Analysis of Financial Condition and Results of Operations – </w:t>
      </w:r>
      <w:r>
        <w:rPr>
          <w:rFonts w:ascii="Arial" w:cs="Arial" w:eastAsia="Arial" w:hAnsi="Arial"/>
          <w:sz w:val="18"/>
          <w:szCs w:val="18"/>
          <w:i w:val="1"/>
          <w:iCs w:val="1"/>
          <w:color w:val="auto"/>
        </w:rPr>
        <w:t>“AAG’s Results of Operations”</w:t>
      </w:r>
      <w:r>
        <w:rPr>
          <w:rFonts w:ascii="Arial" w:cs="Arial" w:eastAsia="Arial" w:hAnsi="Arial"/>
          <w:sz w:val="18"/>
          <w:szCs w:val="18"/>
          <w:color w:val="auto"/>
        </w:rPr>
        <w:t xml:space="preserve"> of this report for more information on net special items.</w:t>
      </w:r>
    </w:p>
    <w:p>
      <w:pPr>
        <w:spacing w:after="0" w:line="28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Pre-Tax Income and Net Income</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We realized pre-tax income of $1.2 billion and $1.7 billion in the third quarters of 2016 and 2015, respectively. Excluding the effects of net special charges, we recognized pre-tax income of $1.5 billion and $1.9 billion in the third quarters of 2016 and 2015, respectively. Our 2016 third quarter results on both a GAAP basis and excluding net special charges were impacted by a decline in revenues driven by lower yields and travel demand. Operating costs also increased during the third quarter due primarily to higher salaries, wages and benefits associated with new labor contracts and the addition of an employee profit sharing program. These impacts were offset in part by a year-over-year decline in fuel prices.</w:t>
      </w:r>
    </w:p>
    <w:p>
      <w:pPr>
        <w:spacing w:after="0" w:line="173"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As of December 31, 2015, we reversed the valuation allowance on our deferred tax assets, which include our federal and state net operating losses (NOLs). As a result of the reversal of the valuation allowance, we began to record a provision for income taxes in 2016. The provision is substantially non-cash due to the utilization of NOLs. We currently have $10.5 billion of federal NOLs and $4.0 billion of state NOLs available to reduce federal taxable income in 2016 and future years. Accordingly, as illustrated above, amounts reported in the third quarter of 2016 for income tax provision and net income are not comparable to the third quarter of 2015. Therefore, we are discussing pre-tax income and pre-tax income excluding special items in order to provide a more meaningful period-over-period comparison. The exclusion of special items provides investors the ability to measure financial performance in a way that is more indicative of our ongoing performance and is more comparable to financial measures presented by other major airlines. Management uses pre-tax income excluding special items to evaluate our financial performance.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Revenue</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In the third quarter of 2016, we reported operating revenues of $10.6 billion, a decrease of $112 million, or 1.1%, as compared to the 2015 period. Mainline and regional passenger revenues were $9.2 billion, a decrease of $203 million, or 2.2%, as compared to the 2015 period. The decline in mainline and regional passenger revenues was driven by competitive capacity growth, continued macroeconomic softness outside of the United States and foreign currency weakness. The decline in mainline and regional passenger revenues was offset in part by an increase in other operating revenues primarily due to revenue generated from our new co-branded credit card agreements effective in the third quarter of 2016. Our mainline and regional total revenue per available seat mile (TRASM) was 14.73 cents in the third quarter of 2016, a 2.2% decrease as compared to 15.06 cents in the 2015 period.</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Fuel</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Mainline and regional fuel expense totaled $1.7 billion in the third quarter of 2016, which was $207 million, or 10.9%, lower as compared to the third quarter of 2015. This decrease was driven by an 11.6% decrease in the average price per gallon of fuel to $1.48 in the third quarter of 2016 from $1.67 in the 2015 period.</w:t>
      </w:r>
    </w:p>
    <w:p>
      <w:pPr>
        <w:spacing w:after="0" w:line="18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As of September 30, 2016,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Cost per Available Seat Mile (CASM)</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remain committed to actively managing our cost structure, which we believe is necessary in an industry whose economic prospects are heavily dependent upon two variables we cannot control: the health of the economy and the price of fuel. Our 2016 third quarter mainline CASM was 11.96 cents, an increase of 5.6% as compared to the 2015 period. The increase was primarily driven by higher salaries, wages and benefits associated with new labor contracts and the addition of an employee profit sharing program, offset in part by lower fuel costs.</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Our third quarter mainline CASM excluding special items and fuel was 9.32 cents, an increase of 8.9% as compared to the 2015 period. The increase was primarily due to higher salaries, wages and benefits as described above.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our mainline CASM for the three months ended September 30, 2016 and 2015: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8320" w:type="dxa"/>
            <w:vAlign w:val="bottom"/>
          </w:tcPr>
          <w:p>
            <w:pPr>
              <w:spacing w:after="0"/>
              <w:rPr>
                <w:sz w:val="14"/>
                <w:szCs w:val="14"/>
                <w:color w:val="auto"/>
              </w:rPr>
            </w:pPr>
          </w:p>
        </w:tc>
        <w:tc>
          <w:tcPr>
            <w:tcW w:w="20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320" w:type="dxa"/>
            <w:vAlign w:val="bottom"/>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060" w:type="dxa"/>
            <w:vAlign w:val="bottom"/>
            <w:gridSpan w:val="2"/>
          </w:tcPr>
          <w:p>
            <w:pPr>
              <w:jc w:val="center"/>
              <w:ind w:left="18"/>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320" w:type="dxa"/>
            <w:vAlign w:val="bottom"/>
          </w:tcPr>
          <w:p>
            <w:pPr>
              <w:spacing w:after="0"/>
              <w:rPr>
                <w:sz w:val="12"/>
                <w:szCs w:val="12"/>
                <w:color w:val="auto"/>
              </w:rPr>
            </w:pPr>
          </w:p>
        </w:tc>
        <w:tc>
          <w:tcPr>
            <w:tcW w:w="3000" w:type="dxa"/>
            <w:vAlign w:val="bottom"/>
            <w:tcBorders>
              <w:top w:val="single" w:sz="8" w:color="auto"/>
            </w:tcBorders>
            <w:gridSpan w:val="5"/>
          </w:tcPr>
          <w:p>
            <w:pPr>
              <w:jc w:val="right"/>
              <w:ind w:right="278"/>
              <w:spacing w:after="0" w:line="142" w:lineRule="exact"/>
              <w:rPr>
                <w:sz w:val="20"/>
                <w:szCs w:val="20"/>
                <w:color w:val="auto"/>
              </w:rPr>
            </w:pPr>
            <w:r>
              <w:rPr>
                <w:rFonts w:ascii="Arial" w:cs="Arial" w:eastAsia="Arial" w:hAnsi="Arial"/>
                <w:sz w:val="14"/>
                <w:szCs w:val="14"/>
                <w:b w:val="1"/>
                <w:bCs w:val="1"/>
                <w:color w:val="auto"/>
              </w:rPr>
              <w:t>(In cents, except percentage changes)</w:t>
            </w: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Mainline CASM excluding special items and fuel:</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Total mainline CASM</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11.96</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11.33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(2.18)</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(2.51)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Mainline CASM, excluding special items and fuel </w:t>
            </w:r>
            <w:r>
              <w:rPr>
                <w:rFonts w:ascii="Arial" w:cs="Arial" w:eastAsia="Arial" w:hAnsi="Arial"/>
                <w:sz w:val="15"/>
                <w:szCs w:val="15"/>
                <w:color w:val="auto"/>
              </w:rPr>
              <w:t>(1)</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54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0"/>
        </w:trPr>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We believe that the presentation of mainline CASM excluding fuel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to evaluate our operating performance. Amounts may not recalculate due to rounding.</w:t>
      </w:r>
    </w:p>
    <w:p>
      <w:pPr>
        <w:spacing w:after="0" w:line="296"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Customer Service</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We are committed to consistently delivering safe, reliable and convenient service to our customers in every aspect of our operation. We are working to continue to improve our customer experience by making investments in our operations in the form of hiring additional personnel and expenditures for new equipment and technology. Additionally, on October 1, 2016, we combined our pilots and entire fleet into a single scheduling system, which was a critical integration milestone that enables us to operate as one airline and better meet the needs of our passengers. The table below summarizes the operating statistics we reported to the U.S. Department of Transportation (DOT) for our mainline operations for the third quarter of 2016 and 2015. Our 2016 third quarter results were affected by severe weather, particularly in Dallas/Fort Worth, our largest hub, which has downstream impacts to our entire system.</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7"/>
              </w:rPr>
              <w:t>Better (Worse)</w:t>
            </w:r>
          </w:p>
        </w:tc>
        <w:tc>
          <w:tcPr>
            <w:tcW w:w="6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36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July</w:t>
            </w:r>
          </w:p>
        </w:tc>
        <w:tc>
          <w:tcPr>
            <w:tcW w:w="2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August</w:t>
            </w:r>
          </w:p>
        </w:tc>
        <w:tc>
          <w:tcPr>
            <w:tcW w:w="2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September</w:t>
            </w:r>
            <w:r>
              <w:rPr>
                <w:rFonts w:ascii="Arial" w:cs="Arial" w:eastAsia="Arial" w:hAnsi="Arial"/>
                <w:sz w:val="12"/>
                <w:szCs w:val="12"/>
                <w:b w:val="1"/>
                <w:bCs w:val="1"/>
                <w:color w:val="auto"/>
                <w:w w:val="91"/>
              </w:rPr>
              <w:t>(e)</w:t>
            </w:r>
          </w:p>
        </w:tc>
        <w:tc>
          <w:tcPr>
            <w:tcW w:w="260" w:type="dxa"/>
            <w:vAlign w:val="bottom"/>
          </w:tcPr>
          <w:p>
            <w:pPr>
              <w:spacing w:after="0"/>
              <w:rPr>
                <w:sz w:val="12"/>
                <w:szCs w:val="12"/>
                <w:color w:val="auto"/>
              </w:rPr>
            </w:pPr>
          </w:p>
        </w:tc>
        <w:tc>
          <w:tcPr>
            <w:tcW w:w="3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July</w:t>
            </w:r>
          </w:p>
        </w:tc>
        <w:tc>
          <w:tcPr>
            <w:tcW w:w="28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7"/>
              </w:rPr>
              <w:t>August</w:t>
            </w:r>
          </w:p>
        </w:tc>
        <w:tc>
          <w:tcPr>
            <w:tcW w:w="280" w:type="dxa"/>
            <w:vAlign w:val="bottom"/>
          </w:tcPr>
          <w:p>
            <w:pPr>
              <w:spacing w:after="0"/>
              <w:rPr>
                <w:sz w:val="12"/>
                <w:szCs w:val="12"/>
                <w:color w:val="auto"/>
              </w:rPr>
            </w:pPr>
          </w:p>
        </w:tc>
        <w:tc>
          <w:tcPr>
            <w:tcW w:w="66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September</w:t>
            </w:r>
          </w:p>
        </w:tc>
        <w:tc>
          <w:tcPr>
            <w:tcW w:w="280" w:type="dxa"/>
            <w:vAlign w:val="bottom"/>
          </w:tcPr>
          <w:p>
            <w:pPr>
              <w:spacing w:after="0"/>
              <w:rPr>
                <w:sz w:val="12"/>
                <w:szCs w:val="12"/>
                <w:color w:val="auto"/>
              </w:rPr>
            </w:pPr>
          </w:p>
        </w:tc>
        <w:tc>
          <w:tcPr>
            <w:tcW w:w="42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July</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87"/>
              </w:rPr>
              <w:t>August</w:t>
            </w: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1"/>
              </w:rPr>
              <w:t>September</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 xml:space="preserve">On-time performance </w:t>
            </w:r>
            <w:r>
              <w:rPr>
                <w:rFonts w:ascii="Arial" w:cs="Arial" w:eastAsia="Arial" w:hAnsi="Arial"/>
                <w:sz w:val="15"/>
                <w:szCs w:val="15"/>
                <w:color w:val="auto"/>
              </w:rPr>
              <w:t>(a)</w:t>
            </w:r>
          </w:p>
        </w:tc>
        <w:tc>
          <w:tcPr>
            <w:tcW w:w="3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72"/>
              </w:rPr>
              <w:t>7)pts</w:t>
            </w: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6)pts</w:t>
            </w:r>
          </w:p>
        </w:tc>
        <w:tc>
          <w:tcPr>
            <w:tcW w:w="0" w:type="dxa"/>
            <w:vAlign w:val="bottom"/>
          </w:tcPr>
          <w:p>
            <w:pPr>
              <w:spacing w:after="0" w:line="20" w:lineRule="exact"/>
              <w:rPr>
                <w:sz w:val="1"/>
                <w:szCs w:val="1"/>
                <w:color w:val="auto"/>
              </w:rPr>
            </w:pPr>
          </w:p>
        </w:tc>
      </w:tr>
      <w:tr>
        <w:trPr>
          <w:trHeight w:val="210"/>
        </w:trPr>
        <w:tc>
          <w:tcPr>
            <w:tcW w:w="388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70.7</w:t>
            </w:r>
          </w:p>
        </w:tc>
        <w:tc>
          <w:tcPr>
            <w:tcW w:w="26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4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6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80.0</w:t>
            </w:r>
          </w:p>
        </w:tc>
        <w:tc>
          <w:tcPr>
            <w:tcW w:w="28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85.6</w:t>
            </w:r>
          </w:p>
        </w:tc>
        <w:tc>
          <w:tcPr>
            <w:tcW w:w="28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(9.3)pts</w:t>
            </w:r>
          </w:p>
        </w:tc>
        <w:tc>
          <w:tcPr>
            <w:tcW w:w="16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 xml:space="preserve">Completion factor </w:t>
            </w:r>
            <w:r>
              <w:rPr>
                <w:rFonts w:ascii="Arial" w:cs="Arial" w:eastAsia="Arial" w:hAnsi="Arial"/>
                <w:sz w:val="15"/>
                <w:szCs w:val="15"/>
                <w:color w:val="auto"/>
              </w:rPr>
              <w:t>(b)</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98.2</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98.1</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99.7</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99.3</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99.0</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99.5</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(1.1)pts</w:t>
            </w: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(0.9)pts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0.2 pts</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Mishandled baggage </w:t>
            </w:r>
            <w:r>
              <w:rPr>
                <w:rFonts w:ascii="Arial" w:cs="Arial" w:eastAsia="Arial" w:hAnsi="Arial"/>
                <w:sz w:val="15"/>
                <w:szCs w:val="15"/>
                <w:color w:val="auto"/>
              </w:rPr>
              <w:t>(c)</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4.12</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2.70</w:t>
            </w:r>
          </w:p>
        </w:tc>
        <w:tc>
          <w:tcPr>
            <w:tcW w:w="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3.73</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w:t>
            </w: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10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 xml:space="preserve">Customer complaints </w:t>
            </w:r>
            <w:r>
              <w:rPr>
                <w:rFonts w:ascii="Arial" w:cs="Arial" w:eastAsia="Arial" w:hAnsi="Arial"/>
                <w:sz w:val="15"/>
                <w:szCs w:val="15"/>
                <w:color w:val="auto"/>
              </w:rPr>
              <w:t>(d)</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2.57</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3.23</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2.60</w:t>
            </w:r>
          </w:p>
        </w:tc>
        <w:tc>
          <w:tcPr>
            <w:tcW w:w="660" w:type="dxa"/>
            <w:vAlign w:val="bottom"/>
            <w:gridSpan w:val="2"/>
          </w:tcPr>
          <w:p>
            <w:pPr>
              <w:ind w:left="80"/>
              <w:spacing w:after="0"/>
              <w:rPr>
                <w:sz w:val="20"/>
                <w:szCs w:val="20"/>
                <w:color w:val="auto"/>
              </w:rPr>
            </w:pPr>
            <w:r>
              <w:rPr>
                <w:rFonts w:ascii="Arial" w:cs="Arial" w:eastAsia="Arial" w:hAnsi="Arial"/>
                <w:sz w:val="18"/>
                <w:szCs w:val="18"/>
                <w:color w:val="auto"/>
              </w:rPr>
              <w:t>3.45</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4.01</w:t>
            </w:r>
          </w:p>
        </w:tc>
        <w:tc>
          <w:tcPr>
            <w:tcW w:w="940" w:type="dxa"/>
            <w:vAlign w:val="bottom"/>
            <w:gridSpan w:val="2"/>
          </w:tcPr>
          <w:p>
            <w:pPr>
              <w:ind w:left="360"/>
              <w:spacing w:after="0"/>
              <w:rPr>
                <w:sz w:val="20"/>
                <w:szCs w:val="20"/>
                <w:color w:val="auto"/>
              </w:rPr>
            </w:pPr>
            <w:r>
              <w:rPr>
                <w:rFonts w:ascii="Arial" w:cs="Arial" w:eastAsia="Arial" w:hAnsi="Arial"/>
                <w:sz w:val="18"/>
                <w:szCs w:val="18"/>
                <w:color w:val="auto"/>
              </w:rPr>
              <w:t>4.15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25.5 %</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19.5 %</w:t>
            </w:r>
          </w:p>
        </w:tc>
        <w:tc>
          <w:tcPr>
            <w:tcW w:w="1000" w:type="dxa"/>
            <w:vAlign w:val="bottom"/>
            <w:gridSpan w:val="2"/>
          </w:tcPr>
          <w:p>
            <w:pPr>
              <w:jc w:val="right"/>
              <w:ind w:right="45"/>
              <w:spacing w:after="0"/>
              <w:rPr>
                <w:sz w:val="20"/>
                <w:szCs w:val="20"/>
                <w:color w:val="auto"/>
              </w:rPr>
            </w:pPr>
            <w:r>
              <w:rPr>
                <w:rFonts w:ascii="Arial" w:cs="Arial" w:eastAsia="Arial" w:hAnsi="Arial"/>
                <w:sz w:val="18"/>
                <w:szCs w:val="18"/>
                <w:color w:val="auto"/>
              </w:rPr>
              <w:t>37.3 %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Percentage of reported flight operations arriving less than 15 minutes after the scheduled arrival time.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Percentage of scheduled flight operations completed.</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Rate of mishandled baggage reports per 1,000 passengers.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Rate of customer complaints filed with the DOT per 100,000 enplanements.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hanging="452"/>
        <w:spacing w:after="0" w:line="277" w:lineRule="auto"/>
        <w:tabs>
          <w:tab w:leader="none" w:pos="460" w:val="left"/>
        </w:tabs>
        <w:numPr>
          <w:ilvl w:val="0"/>
          <w:numId w:val="23"/>
        </w:numPr>
        <w:rPr>
          <w:rFonts w:ascii="Arial" w:cs="Arial" w:eastAsia="Arial" w:hAnsi="Arial"/>
          <w:sz w:val="15"/>
          <w:szCs w:val="15"/>
          <w:color w:val="auto"/>
        </w:rPr>
      </w:pPr>
      <w:r>
        <w:rPr>
          <w:rFonts w:ascii="Arial" w:cs="Arial" w:eastAsia="Arial" w:hAnsi="Arial"/>
          <w:sz w:val="18"/>
          <w:szCs w:val="18"/>
          <w:color w:val="auto"/>
        </w:rPr>
        <w:t>September 2016 operating statistics are preliminary as the DOT has not issued its September 2016 Air Travel Consumer report as of the date of this filing.</w:t>
      </w:r>
    </w:p>
    <w:p>
      <w:pPr>
        <w:spacing w:after="0" w:line="278"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Liquidity Position</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As of September 30, 2016, we had approximately $9.2 billion in total available liquidity, consisting of unrestricted cash and short-term investments of $6.8 billion and $2.4 billion in undrawn revolver capacity.</w:t>
      </w:r>
    </w:p>
    <w:p>
      <w:pPr>
        <w:spacing w:after="0" w:line="170" w:lineRule="exact"/>
        <w:rPr>
          <w:sz w:val="20"/>
          <w:szCs w:val="20"/>
          <w:color w:val="auto"/>
        </w:rPr>
      </w:pPr>
    </w:p>
    <w:p>
      <w:pPr>
        <w:jc w:val="both"/>
        <w:ind w:right="20" w:firstLine="456"/>
        <w:spacing w:after="0" w:line="308" w:lineRule="auto"/>
        <w:rPr>
          <w:sz w:val="20"/>
          <w:szCs w:val="20"/>
          <w:color w:val="auto"/>
        </w:rPr>
      </w:pPr>
      <w:r>
        <w:rPr>
          <w:rFonts w:ascii="Arial" w:cs="Arial" w:eastAsia="Arial" w:hAnsi="Arial"/>
          <w:sz w:val="17"/>
          <w:szCs w:val="17"/>
          <w:color w:val="auto"/>
        </w:rPr>
        <w:t>This remains well in excess of the $6.5 billion minimum liquidity we seek to maintain for the foreseeable future. We believe it is important to retain liquidity levels higher than our network peers given our overall leverage and the fact that we have not yet completed our fleet renewal program.</w:t>
      </w:r>
    </w:p>
    <w:p>
      <w:pPr>
        <w:spacing w:after="0" w:line="14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See Part I, Item 2. Management’s Discussion and Analysis of Financial Condition and Results of Operations – </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for further discussion of our contractual commitments.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AAG’s Results of Operations</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We realized pre-tax income of $1.2 billion and $1.7 billion in the third quarters of 2016 and 2015, respectively. Excluding the effects of net special charges, we recognized pre-tax income of $1.5 billion and $1.9 billion in the third quarters of 2016 and 2015, respectively.</w:t>
      </w:r>
    </w:p>
    <w:p>
      <w:pPr>
        <w:spacing w:after="0" w:line="17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We realized pre-tax income of $3.8 billion and $4.4 billion in the first nine months of 2016 and 2015, respectively. Excluding the effects of net special charges, we recognized pre-tax income of $4.3 billion and $5.0 billion in the first nine months of 2016 and 2015, respectively.</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Our 2016 third quarter and first nine months results on both a GAAP basis and excluding net special charges were impacted by a decline in revenues driven by lower yields and travel demand. In addition, our results were impacted by higher salaries, wages and benefits associated with new labor contracts and the addition of an employee profit sharing program. These impacts were offset in part by a year-over-year decline in fuel prices.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details our pre-tax and net income excluding special items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3"/>
              </w:rPr>
              <w:t>Three Months Ended September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58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4,371</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Pre-tax special items: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Mainline operating special charges, net </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Regional operating special charges, net</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Nonoperating special charges, net </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30"/>
        </w:trPr>
        <w:tc>
          <w:tcPr>
            <w:tcW w:w="5820" w:type="dxa"/>
            <w:vAlign w:val="bottom"/>
          </w:tcPr>
          <w:p>
            <w:pPr>
              <w:ind w:left="720"/>
              <w:spacing w:after="0"/>
              <w:rPr>
                <w:sz w:val="20"/>
                <w:szCs w:val="20"/>
                <w:color w:val="auto"/>
              </w:rPr>
            </w:pPr>
            <w:r>
              <w:rPr>
                <w:rFonts w:ascii="Arial" w:cs="Arial" w:eastAsia="Arial" w:hAnsi="Arial"/>
                <w:sz w:val="18"/>
                <w:szCs w:val="18"/>
                <w:color w:val="auto"/>
              </w:rPr>
              <w:t>Total pre-tax special items</w:t>
            </w: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r>
      <w:tr>
        <w:trPr>
          <w:trHeight w:val="216"/>
        </w:trPr>
        <w:tc>
          <w:tcPr>
            <w:tcW w:w="5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Pre-tax income excluding special items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4,298</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00" w:type="dxa"/>
            <w:vAlign w:val="bottom"/>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58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737</w:t>
            </w:r>
          </w:p>
        </w:tc>
        <w:tc>
          <w:tcPr>
            <w:tcW w:w="300" w:type="dxa"/>
            <w:vAlign w:val="bottom"/>
          </w:tcPr>
          <w:p>
            <w:pPr>
              <w:spacing w:after="0"/>
              <w:rPr>
                <w:sz w:val="24"/>
                <w:szCs w:val="24"/>
                <w:color w:val="auto"/>
              </w:rPr>
            </w:pP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1,693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2,387</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4,329</w:t>
            </w:r>
          </w:p>
        </w:tc>
        <w:tc>
          <w:tcPr>
            <w:tcW w:w="100" w:type="dxa"/>
            <w:vAlign w:val="bottom"/>
          </w:tcPr>
          <w:p>
            <w:pPr>
              <w:spacing w:after="0"/>
              <w:rPr>
                <w:sz w:val="24"/>
                <w:szCs w:val="24"/>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Total pre-tax special items</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499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special charges, net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 xml:space="preserve">Net tax effect of special items </w:t>
            </w: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special items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r>
      <w:tr>
        <w:trPr>
          <w:trHeight w:val="223"/>
        </w:trPr>
        <w:tc>
          <w:tcPr>
            <w:tcW w:w="5820" w:type="dxa"/>
            <w:vAlign w:val="bottom"/>
          </w:tcPr>
          <w:p>
            <w:pPr>
              <w:ind w:left="1080"/>
              <w:spacing w:after="0"/>
              <w:rPr>
                <w:sz w:val="20"/>
                <w:szCs w:val="20"/>
                <w:color w:val="auto"/>
              </w:rPr>
            </w:pPr>
            <w:r>
              <w:rPr>
                <w:rFonts w:ascii="Arial" w:cs="Arial" w:eastAsia="Arial" w:hAnsi="Arial"/>
                <w:sz w:val="18"/>
                <w:szCs w:val="18"/>
                <w:color w:val="auto"/>
              </w:rPr>
              <w:t>Net income excluding special items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4,983</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5"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The 2016 third quarter mainline operating special items totaled a net charge of $289 million, which principally included $225 million of merger integration expenses and a $39 million net charge for bankruptcy related items principally consisting of fair value adjustments for bankruptcy settlement obligations. The 2016 nine month period mainline operating special items totaled a net charge of $450 million, which principally included $467 million of merger integration expenses, offset in part by a $22 million net credit for bankruptcy related items principally consisting of fair value adjustments for bankruptcy settlement obligations. For the 2016 third quarter and nine month periods, merger integration expenses included costs related to re-branding of aircraft, airport facilities and uniforms, information technology, alignment of labor union contracts, fleet restructuring, professional fees, relocation and training, as well as severance.</w:t>
      </w:r>
    </w:p>
    <w:p>
      <w:pPr>
        <w:spacing w:after="0" w:line="81" w:lineRule="exact"/>
        <w:rPr>
          <w:rFonts w:ascii="Arial" w:cs="Arial" w:eastAsia="Arial" w:hAnsi="Arial"/>
          <w:sz w:val="15"/>
          <w:szCs w:val="15"/>
          <w:color w:val="auto"/>
        </w:rPr>
      </w:pPr>
    </w:p>
    <w:p>
      <w:pPr>
        <w:jc w:val="both"/>
        <w:ind w:left="460" w:right="20"/>
        <w:spacing w:after="0" w:line="264" w:lineRule="auto"/>
        <w:rPr>
          <w:rFonts w:ascii="Arial" w:cs="Arial" w:eastAsia="Arial" w:hAnsi="Arial"/>
          <w:sz w:val="15"/>
          <w:szCs w:val="15"/>
          <w:color w:val="auto"/>
        </w:rPr>
      </w:pPr>
      <w:r>
        <w:rPr>
          <w:rFonts w:ascii="Arial" w:cs="Arial" w:eastAsia="Arial" w:hAnsi="Arial"/>
          <w:sz w:val="18"/>
          <w:szCs w:val="18"/>
          <w:color w:val="auto"/>
        </w:rPr>
        <w:t>The 2015 third quarter mainline operating special items totaled a net charge of $163 million, which principally included $198 million of merger integration expenses and a $38 million charge in connection with the dissolution of a joint venture. These charges were offset in part by a $66 million credit related to proceeds received from a legal settlement. The 2015 nine month</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period mainline operating special items totaled a net charge of $610 million, which principally included $741 million of merger integration expenses and a $38 million charge in connection with the dissolution of a joint venture. These charges were offset in part by a $75 million net credit for bankruptcy related items principally consisting of fair value adjustments for bankruptcy settlement obligations and a $66 million credit related to proceeds received from a legal settlement. For the 2015 third quarter and nine month periods, merger integration expenses included costs related to information technology, fleet restructuring, alignment of labor union contracts, professional fees, severance, relocation and training, re-branding of aircraft, airport facilities and uniforms, as well as share-based compensation.</w:t>
      </w:r>
    </w:p>
    <w:p>
      <w:pPr>
        <w:spacing w:after="0" w:line="99" w:lineRule="exact"/>
        <w:rPr>
          <w:sz w:val="20"/>
          <w:szCs w:val="20"/>
          <w:color w:val="auto"/>
        </w:rPr>
      </w:pPr>
    </w:p>
    <w:p>
      <w:pPr>
        <w:ind w:left="460" w:right="20" w:hanging="452"/>
        <w:spacing w:after="0" w:line="27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 connection with a bond refinancing, we recorded a $36 million nonoperating special charge in the 2016 nine month period related to non-cash write offs of unamortized bond discounts and issuance costs as well as payments of redemption premiums and fees.</w:t>
      </w:r>
    </w:p>
    <w:p>
      <w:pPr>
        <w:spacing w:after="0" w:line="62" w:lineRule="exact"/>
        <w:rPr>
          <w:rFonts w:ascii="Arial" w:cs="Arial" w:eastAsia="Arial" w:hAnsi="Arial"/>
          <w:sz w:val="15"/>
          <w:szCs w:val="15"/>
          <w:color w:val="auto"/>
        </w:rPr>
      </w:pPr>
    </w:p>
    <w:p>
      <w:pPr>
        <w:jc w:val="both"/>
        <w:ind w:left="460"/>
        <w:spacing w:after="0" w:line="272" w:lineRule="auto"/>
        <w:rPr>
          <w:rFonts w:ascii="Arial" w:cs="Arial" w:eastAsia="Arial" w:hAnsi="Arial"/>
          <w:sz w:val="15"/>
          <w:szCs w:val="15"/>
          <w:color w:val="auto"/>
        </w:rPr>
      </w:pPr>
      <w:r>
        <w:rPr>
          <w:rFonts w:ascii="Arial" w:cs="Arial" w:eastAsia="Arial" w:hAnsi="Arial"/>
          <w:sz w:val="17"/>
          <w:szCs w:val="17"/>
          <w:color w:val="auto"/>
        </w:rPr>
        <w:t>The 2015 third quarter nonoperating special items totaled a net charge of $21 million, which was primarily due to non-cash write offs of unamortized debt discount and debt issuance costs associated with the purchase and subsequent remarketing of certain special facility revenue bonds. The 2015 nine month period nonoperating special items totaled a net charge of $2 million, which principally included $40 million in charges primarily related to non-cash write offs of unamortized debt discount and debt issuance costs associated with refinancing American’s secured term loan facilities, prepayments of certain aircraft financings and the purchase and subsequent remarketing of certain special facility revenue bonds. These charges were offset in part by a $22 million gain associated with the sale of an investment and a $17 million early debt extinguishment gain associated with the repayment of American’s AAdvantage loan with Citibank.</w:t>
      </w:r>
    </w:p>
    <w:p>
      <w:pPr>
        <w:spacing w:after="0" w:line="83" w:lineRule="exact"/>
        <w:rPr>
          <w:rFonts w:ascii="Arial" w:cs="Arial" w:eastAsia="Arial" w:hAnsi="Arial"/>
          <w:sz w:val="15"/>
          <w:szCs w:val="15"/>
          <w:color w:val="auto"/>
        </w:rPr>
      </w:pPr>
    </w:p>
    <w:p>
      <w:pPr>
        <w:jc w:val="both"/>
        <w:ind w:left="460" w:hanging="452"/>
        <w:spacing w:after="0" w:line="264"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 the 2015 periods, there was no net tax effect associated with special items. During the 2015 periods, our net deferred tax asset, which includes our NOLs, was subject to a full valuation allowance. Accordingly, our NOLs offset our taxable income and resulted in the release of a corresponding portion of valuation allowance, which offset the tax provision dollar for dollar.</w:t>
      </w:r>
    </w:p>
    <w:p>
      <w:pPr>
        <w:spacing w:after="0" w:line="28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At December 31, 2015, we had approximately $8.0 billion of gross NOLs carried over from prior taxable years (NOL Carryforwards) to reduce future federal taxable income, substantially all of which are expected to be available for use in 2016. The federal NOL Carryforwards will expire beginning in 2022 if unused. We also had approximately $4.0 billion of NOL Carryforwards to reduce future state taxable income at December 31, 2015, which will expire in years 2016 through 2034 if unused. Our ability to deduct our NOL Carryforwards and to utilize certain other available tax attributes can be substantially constrained under the general annual limitation rules of Section 382 of the Internal Revenue Code of 1986 (Section 382) where an “ownership change” has occurred. We experienced an ownership change in connection with our emergence from bankruptcy in 2013. The general limitation rules of Section 382 for a debtor in a bankruptcy case are liberalized where the ownership change occurs upon emergence from bankruptcy. We elected to be covered by certain special rules for federal income tax purposes that permitted approximately $9.0 billion (with $6.6 billion of unlimited NOL remaining at December 31, 2015) of our federal NOL Carryforwards to be utilized without regard to the Section 382 annual limitation rules. Substantially all of our remaining federal NOL Carryforwards are subject to limitation under Section 382; however, our ability to utilize such NOL Carryforwards is not anticipated to be effectively constrained as a result of such limitation. Similar limitations may apply for state income tax purposes. Our ability to utilize any new NOL Carryforwards arising after the 2013 ownership changes is not affected by the annual limitation rules imposed by Section 382 unless another ownership change occurs.</w:t>
      </w:r>
    </w:p>
    <w:p>
      <w:pPr>
        <w:spacing w:after="0" w:line="169"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At December 31, 2015, we had an Alternative Minimum Tax credit carryforward of approximately $341 million available for federal income tax purposes, which is available for an indefinite period.</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preparation of our financial statements for the fourth quarter of 2015, we determined that it was more likely than not that substantially all of our deferred tax assets, which include our NOLs, would be realized. Accordingly, we reversed $3.0 billion of the valuation allowance as of December 31, 2015.</w:t>
      </w:r>
    </w:p>
    <w:p>
      <w:pPr>
        <w:spacing w:after="0" w:line="181"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In the first nine months of 2016, we recorded income tax expense with an effective rate of approximately 38%, which is substantially non-cash as we utilized the NOLs described above. For purposes of taxation, substantially all of our income before income taxes is attributable to the United States.</w:t>
      </w:r>
    </w:p>
    <w:p>
      <w:pPr>
        <w:spacing w:after="0" w:line="14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Following the filing of our 2015 annual tax return in the third quarter of 2016, federal NOLs, substantially all of which are expected to be available to reduce future federal taxable income in 2016 and future years, increased by $2.5 billion. The increase in the federal NOLs is attributable to the election to take bonus depreciation on eligible assets (primarily aircraft) in the 2015 federal income tax return.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Statistics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sets forth selected mainline and regional operating data for the three and nine months ended September 30, 2016 and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86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9"/>
              </w:rPr>
              <w:t>September 30,</w:t>
            </w:r>
          </w:p>
        </w:tc>
        <w:tc>
          <w:tcPr>
            <w:tcW w:w="11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8"/>
              </w:rPr>
              <w:t>Increase</w:t>
            </w:r>
          </w:p>
        </w:tc>
        <w:tc>
          <w:tcPr>
            <w:tcW w:w="18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06"/>
        </w:trPr>
        <w:tc>
          <w:tcPr>
            <w:tcW w:w="5580" w:type="dxa"/>
            <w:vAlign w:val="bottom"/>
          </w:tcPr>
          <w:p>
            <w:pPr>
              <w:spacing w:after="0"/>
              <w:rPr>
                <w:sz w:val="9"/>
                <w:szCs w:val="9"/>
                <w:color w:val="auto"/>
              </w:rPr>
            </w:pPr>
          </w:p>
        </w:tc>
        <w:tc>
          <w:tcPr>
            <w:tcW w:w="66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66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6"/>
              </w:rPr>
              <w:t>(Decrease)</w:t>
            </w:r>
          </w:p>
        </w:tc>
        <w:tc>
          <w:tcPr>
            <w:tcW w:w="6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Mainline</w:t>
            </w: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53,472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54,667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151,619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151,148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63,751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63,459</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183,985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181,232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83.9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86.1</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(2.2)pts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82.4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83.4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(1.0)pts</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11.64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12.06</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11.52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12.30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15"/>
                <w:szCs w:val="15"/>
                <w:color w:val="auto"/>
              </w:rPr>
              <w:t>(f)</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11.33</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Passenger enplanements (thousands) </w:t>
            </w:r>
            <w:r>
              <w:rPr>
                <w:rFonts w:ascii="Arial" w:cs="Arial" w:eastAsia="Arial" w:hAnsi="Arial"/>
                <w:sz w:val="15"/>
                <w:szCs w:val="15"/>
                <w:color w:val="auto"/>
              </w:rPr>
              <w:t>(g)</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37,584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38,909</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109,830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110,683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Departures (thousands)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Aircraft at end of period</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922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943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922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943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Block hours (thousands) </w:t>
            </w:r>
            <w:r>
              <w:rPr>
                <w:rFonts w:ascii="Arial" w:cs="Arial" w:eastAsia="Arial" w:hAnsi="Arial"/>
                <w:sz w:val="15"/>
                <w:szCs w:val="15"/>
                <w:color w:val="auto"/>
              </w:rPr>
              <w:t>(h)</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908</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Average stage length (miles) </w:t>
            </w:r>
            <w:r>
              <w:rPr>
                <w:rFonts w:ascii="Arial" w:cs="Arial" w:eastAsia="Arial" w:hAnsi="Arial"/>
                <w:sz w:val="15"/>
                <w:szCs w:val="15"/>
                <w:color w:val="auto"/>
              </w:rPr>
              <w:t>(i)</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1,258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1,259</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1,235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1,231</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consumption (gallons in millions)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954</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w w:val="95"/>
              </w:rPr>
              <w:t>Average aircraft fuel price including related taxes (dollars per gallon)</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Full-time equivalent employees at end of period</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101,200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101,200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99,700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b w:val="1"/>
                <w:bCs w:val="1"/>
                <w:color w:val="auto"/>
              </w:rPr>
              <w:t xml:space="preserve">Regional </w:t>
            </w:r>
            <w:r>
              <w:rPr>
                <w:rFonts w:ascii="Arial" w:cs="Arial" w:eastAsia="Arial" w:hAnsi="Arial"/>
                <w:sz w:val="15"/>
                <w:szCs w:val="15"/>
                <w:b w:val="1"/>
                <w:bCs w:val="1"/>
                <w:color w:val="auto"/>
              </w:rPr>
              <w:t>(j)</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6,447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6,199</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18,406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17,729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8,160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7,633</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23,741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22,050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(2.2)pts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(2.9)pts</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26.85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27.40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27.38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27.69</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22.25</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22.27</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Operating cost per available seat mile (cents) </w:t>
            </w:r>
            <w:r>
              <w:rPr>
                <w:rFonts w:ascii="Arial" w:cs="Arial" w:eastAsia="Arial" w:hAnsi="Arial"/>
                <w:sz w:val="15"/>
                <w:szCs w:val="15"/>
                <w:color w:val="auto"/>
              </w:rPr>
              <w:t>(f)</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18.85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19.89</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18.91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20.57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enplanements (thousands) </w:t>
            </w:r>
            <w:r>
              <w:rPr>
                <w:rFonts w:ascii="Arial" w:cs="Arial" w:eastAsia="Arial" w:hAnsi="Arial"/>
                <w:sz w:val="15"/>
                <w:szCs w:val="15"/>
                <w:color w:val="auto"/>
              </w:rPr>
              <w:t>(g)</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14,413</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40,908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41,032</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Aircraft at end of period</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599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584</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599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584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consumption (gallons in millions)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w w:val="95"/>
              </w:rPr>
              <w:t>Average aircraft fuel price including related taxes (dollars per gallon)</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Full-time equivalent employees at end of period </w:t>
            </w:r>
            <w:r>
              <w:rPr>
                <w:rFonts w:ascii="Arial" w:cs="Arial" w:eastAsia="Arial" w:hAnsi="Arial"/>
                <w:sz w:val="15"/>
                <w:szCs w:val="15"/>
                <w:color w:val="auto"/>
              </w:rPr>
              <w:t>(k)</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24"/>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Mainline and Regional</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Revenue passenger miles (millions) </w:t>
            </w:r>
            <w:r>
              <w:rPr>
                <w:rFonts w:ascii="Arial" w:cs="Arial" w:eastAsia="Arial" w:hAnsi="Arial"/>
                <w:sz w:val="15"/>
                <w:szCs w:val="15"/>
                <w:color w:val="auto"/>
              </w:rPr>
              <w:t>(a)</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59,919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60,866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170,025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168,877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Available seat miles (millions) </w:t>
            </w:r>
            <w:r>
              <w:rPr>
                <w:rFonts w:ascii="Arial" w:cs="Arial" w:eastAsia="Arial" w:hAnsi="Arial"/>
                <w:sz w:val="15"/>
                <w:szCs w:val="15"/>
                <w:color w:val="auto"/>
              </w:rPr>
              <w:t>(b)</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71,911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71,092</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207,726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203,282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Cargo ton miles (millions) </w:t>
            </w:r>
            <w:r>
              <w:rPr>
                <w:rFonts w:ascii="Arial" w:cs="Arial" w:eastAsia="Arial" w:hAnsi="Arial"/>
                <w:sz w:val="15"/>
                <w:szCs w:val="15"/>
                <w:color w:val="auto"/>
              </w:rPr>
              <w:t>(l)</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569</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Passenger load factor (percent) </w:t>
            </w:r>
            <w:r>
              <w:rPr>
                <w:rFonts w:ascii="Arial" w:cs="Arial" w:eastAsia="Arial" w:hAnsi="Arial"/>
                <w:sz w:val="15"/>
                <w:szCs w:val="15"/>
                <w:color w:val="auto"/>
              </w:rPr>
              <w:t>(c)</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83.3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85.6</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(2.3)pts</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81.9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83.1</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(1.2)pts</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Yield (cents) </w:t>
            </w:r>
            <w:r>
              <w:rPr>
                <w:rFonts w:ascii="Arial" w:cs="Arial" w:eastAsia="Arial" w:hAnsi="Arial"/>
                <w:sz w:val="15"/>
                <w:szCs w:val="15"/>
                <w:color w:val="auto"/>
              </w:rPr>
              <w:t>(d)</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15.37</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16.11</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Passenger revenue per available seat mile (cents) </w:t>
            </w:r>
            <w:r>
              <w:rPr>
                <w:rFonts w:ascii="Arial" w:cs="Arial" w:eastAsia="Arial" w:hAnsi="Arial"/>
                <w:sz w:val="15"/>
                <w:szCs w:val="15"/>
                <w:color w:val="auto"/>
              </w:rPr>
              <w:t>(e)</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12.72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13.16</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12.63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13.38</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Total revenue per available seat mile (cents) </w:t>
            </w:r>
            <w:r>
              <w:rPr>
                <w:rFonts w:ascii="Arial" w:cs="Arial" w:eastAsia="Arial" w:hAnsi="Arial"/>
                <w:sz w:val="15"/>
                <w:szCs w:val="15"/>
                <w:color w:val="auto"/>
              </w:rPr>
              <w:t>(m)</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15.06</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14.63</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15.43</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 xml:space="preserve">Cargo yield per ton mile (cents) </w:t>
            </w:r>
            <w:r>
              <w:rPr>
                <w:rFonts w:ascii="Arial" w:cs="Arial" w:eastAsia="Arial" w:hAnsi="Arial"/>
                <w:sz w:val="15"/>
                <w:szCs w:val="15"/>
                <w:color w:val="auto"/>
              </w:rPr>
              <w:t>(n)</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28.42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31.63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(10.2)%</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28.86</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33.11</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Passenger enplanements (thousands) </w:t>
            </w:r>
            <w:r>
              <w:rPr>
                <w:rFonts w:ascii="Arial" w:cs="Arial" w:eastAsia="Arial" w:hAnsi="Arial"/>
                <w:sz w:val="15"/>
                <w:szCs w:val="15"/>
                <w:color w:val="auto"/>
              </w:rPr>
              <w:t>(g)</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51,872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53,322</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150,738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151,715</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Aircraft at end of period</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1,521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1,527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1,521</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1,527</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consumption (gallons in millions)</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3,304</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w w:val="95"/>
              </w:rPr>
              <w:t>Average aircraft fuel price including related taxes (dollars per gallon)</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1.48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1.80</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Full-time equivalent employees at end of period</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121,800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119,000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121,800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119,000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Revenue passenger mile (RPM) – A basic measure of sales volume. One RPM represents one passenger flown one mile.</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Available seat mile (ASM) – A basic measure of production. One ASM represents one seat flown one mile.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Passenger load factor – The percentage of available seats that are filled with revenue passengers.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6"/>
        </w:numPr>
        <w:rPr>
          <w:rFonts w:ascii="Arial" w:cs="Arial" w:eastAsia="Arial" w:hAnsi="Arial"/>
          <w:sz w:val="15"/>
          <w:szCs w:val="15"/>
          <w:color w:val="auto"/>
        </w:rPr>
      </w:pPr>
      <w:r>
        <w:rPr>
          <w:rFonts w:ascii="Arial" w:cs="Arial" w:eastAsia="Arial" w:hAnsi="Arial"/>
          <w:sz w:val="18"/>
          <w:szCs w:val="18"/>
          <w:color w:val="auto"/>
        </w:rPr>
        <w:t>Yield – A measure of airline revenue derived by dividing passenger revenue by RPMs.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Passenger revenue per available seat mile (PRASM) – Passenger revenues divided by ASMs.</w:t>
      </w:r>
    </w:p>
    <w:p>
      <w:pPr>
        <w:spacing w:after="0" w:line="23" w:lineRule="exact"/>
        <w:rPr>
          <w:rFonts w:ascii="Arial" w:cs="Arial" w:eastAsia="Arial" w:hAnsi="Arial"/>
          <w:sz w:val="15"/>
          <w:szCs w:val="15"/>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Operating cost per available seat mile (CASM) – Operating expenses divided by ASMs.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Passenger enplanements – The number of passengers on board an aircraft, including local, connecting and through passengers.</w:t>
      </w:r>
    </w:p>
    <w:p>
      <w:pPr>
        <w:spacing w:after="0" w:line="9" w:lineRule="exact"/>
        <w:rPr>
          <w:rFonts w:ascii="Arial" w:cs="Arial" w:eastAsia="Arial" w:hAnsi="Arial"/>
          <w:sz w:val="15"/>
          <w:szCs w:val="15"/>
          <w:color w:val="auto"/>
        </w:rPr>
      </w:pPr>
    </w:p>
    <w:p>
      <w:pPr>
        <w:ind w:left="460" w:hanging="452"/>
        <w:spacing w:after="0" w:line="250"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Block hours – The hours measured from the moment an aircraft first moves under its own power, including taxi time, for the purposes of flight until the aircraft is docked at the next point of landing and its power is shut down.</w:t>
      </w: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Average stage length – The average of the distances flown on each segment of every route.</w:t>
      </w:r>
    </w:p>
    <w:p>
      <w:pPr>
        <w:spacing w:after="0" w:line="9" w:lineRule="exact"/>
        <w:rPr>
          <w:rFonts w:ascii="Arial" w:cs="Arial" w:eastAsia="Arial" w:hAnsi="Arial"/>
          <w:sz w:val="15"/>
          <w:szCs w:val="15"/>
          <w:color w:val="auto"/>
        </w:rPr>
      </w:pPr>
    </w:p>
    <w:p>
      <w:pPr>
        <w:jc w:val="both"/>
        <w:ind w:left="460" w:hanging="452"/>
        <w:spacing w:after="0" w:line="250" w:lineRule="auto"/>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Regional statistics include our subsidiaries, Envoy Aviation Group Inc. (Envoy), Piedmont Airlines, Inc. (Piedmont) and PSA Airlines, Inc. (PSA), and operating statistics from our capacity purchase agreements with Air Wisconsin Airlines Corporation, ExpressJet Airlines, Inc., Mesa Airlines, Inc., Republic Airline Inc., SkyWest Airlines, Inc., Compass Airlines, LLC and Trans States Airlines, Inc.</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Regional full-time equivalent employees only include our wholly-owned regional airline subsidiaries, Envoy, Piedmont and PSA.</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Cargo ton miles – A basic measure of cargo transportation. One cargo ton mile represents one ton of cargo transported one mile.</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Total revenue per available seat mile (TRASM) – Total revenues divided by total mainline and regional ASMs.</w:t>
      </w:r>
    </w:p>
    <w:p>
      <w:pPr>
        <w:spacing w:after="0" w:line="9" w:lineRule="exact"/>
        <w:rPr>
          <w:rFonts w:ascii="Arial" w:cs="Arial" w:eastAsia="Arial" w:hAnsi="Arial"/>
          <w:sz w:val="15"/>
          <w:szCs w:val="15"/>
          <w:color w:val="auto"/>
        </w:rPr>
      </w:pPr>
    </w:p>
    <w:p>
      <w:pPr>
        <w:ind w:left="460" w:hanging="452"/>
        <w:spacing w:after="0"/>
        <w:tabs>
          <w:tab w:leader="none" w:pos="460" w:val="left"/>
        </w:tabs>
        <w:numPr>
          <w:ilvl w:val="0"/>
          <w:numId w:val="27"/>
        </w:numPr>
        <w:rPr>
          <w:rFonts w:ascii="Arial" w:cs="Arial" w:eastAsia="Arial" w:hAnsi="Arial"/>
          <w:sz w:val="15"/>
          <w:szCs w:val="15"/>
          <w:color w:val="auto"/>
        </w:rPr>
      </w:pPr>
      <w:r>
        <w:rPr>
          <w:rFonts w:ascii="Arial" w:cs="Arial" w:eastAsia="Arial" w:hAnsi="Arial"/>
          <w:sz w:val="18"/>
          <w:szCs w:val="18"/>
          <w:color w:val="auto"/>
        </w:rPr>
        <w:t>Cargo yield per ton mile – Cargo revenues divided by total mainline and regional cargo ton miles.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Compared to Three Months Ended September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57"/>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7,654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Regional passenger</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1,731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1,699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10,594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10,706</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0"/>
        </w:trPr>
        <w:tc>
          <w:tcPr>
            <w:tcW w:w="5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Total operating revenues in the third quarter of 2016 decreased $112 million, or 1.1%, from the 2015 period. Our mainline and regional TRASM was 14.73 cents in the third quarter of 2016, a 2.2% decrease as compared to 15.06 cents in the 2015 period. Mainline and regional passenger revenues declined $203 million, or 2.2%, as compared to the 2015 period driven by competitive capacity growth, continued macroeconomic softness outside of the United States and foreign currency weakness. The decline in mainline and regional passenger revenues was offset in part by an increase in other revenue primarily due to revenue generated from our new co-branded credit card agreements effective in the third quarter of 2016. Significant changes in the components of operating revenues are as follows:</w:t>
      </w:r>
    </w:p>
    <w:p>
      <w:pPr>
        <w:spacing w:after="0" w:line="99" w:lineRule="exact"/>
        <w:rPr>
          <w:sz w:val="20"/>
          <w:szCs w:val="20"/>
          <w:color w:val="auto"/>
        </w:rPr>
      </w:pPr>
    </w:p>
    <w:p>
      <w:pPr>
        <w:jc w:val="both"/>
        <w:ind w:left="90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Mainline passenger revenues were $7.4 billion in the third quarter of 2016 as compared to $7.7 billion in the 2015 period. Mainline RPM’s decreased 2.2% as mainline capacity, as measured by ASMs, increased 0.5%, resulting in a 2.2 point decrease in load factor to 83.9%. Mainline passenger yield decreased 0.9% to 13.87 cents in the third quarter of 2016 from 14.00 cents in the 2015 period. Mainline PRASM decreased 3.5% to 11.64 cents in the third quarter of 2016 from 12.06 cents in the 2015 period.</w:t>
      </w:r>
    </w:p>
    <w:p>
      <w:pPr>
        <w:spacing w:after="0" w:line="92"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Regional passenger revenues were $1.7 billion in each of the third quarters of 2016 and 2015. Regional RPM’s increased 4.0% as regional capacity, as measured by ASMs, increased 6.9%, resulting in a 2.2 point decrease in load factor to 79.0%. Regional passenger yield decreased 2.0% to 26.85 cents in the third quarter of 2016 from 27.40 cents in the 2015 period. Regional PRASM decreased 4.7% to 21.21 cents in the third quarter of 2016 from 22.25 cents in the 2015 period.</w:t>
      </w:r>
    </w:p>
    <w:p>
      <w:pPr>
        <w:spacing w:after="0" w:line="92"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Cargo revenue decreased $9 million, or 5.1%, in the third quarter of 2016 from the 2015 period driven primarily by a decrease in domestic and international freight yields.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revenue increased $100 million, or 8.5%, in the third quarter of 2016 from the 2015 period primarily due to new co-branded credit card agreements effective in the third quarter of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ind w:left="28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7"/>
          </w:tcPr>
          <w:p>
            <w:pPr>
              <w:jc w:val="right"/>
              <w:ind w:right="133"/>
              <w:spacing w:after="0" w:line="142" w:lineRule="exact"/>
              <w:rPr>
                <w:sz w:val="20"/>
                <w:szCs w:val="20"/>
                <w:color w:val="auto"/>
              </w:rPr>
            </w:pPr>
            <w:r>
              <w:rPr>
                <w:rFonts w:ascii="Arial" w:cs="Arial" w:eastAsia="Arial" w:hAnsi="Arial"/>
                <w:sz w:val="14"/>
                <w:szCs w:val="14"/>
                <w:b w:val="1"/>
                <w:bCs w:val="1"/>
                <w:color w:val="auto"/>
                <w:w w:val="92"/>
              </w:rPr>
              <w:t>(In millions, except percentage changes)</w:t>
            </w: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2,772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2,404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432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Selling expenses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366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Special items, net</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23"/>
        </w:trPr>
        <w:tc>
          <w:tcPr>
            <w:tcW w:w="564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2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Fuel</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9,163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8,707</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0"/>
        </w:trPr>
        <w:tc>
          <w:tcPr>
            <w:tcW w:w="5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expenses were $9.2 billion in the third quarter of 2016, an increase of $456 million, or 5.2%, from the 2015 period. The increase in operating expenses was primarily driven by higher salaries, wages and benefits driven by new labor contracts and the addition of an employee profit sharing program effective January 1, 2016. See detailed explanations below relating to the other changes in operating costs.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Mainline CASM</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mainline CASM increased 0.63 cents, or 5.6%, from 11.33 cents in the third quarter of 2015 to 11.96 cents in the third quarter of 2016. Excluding special items and fuel, our mainline CASM increased 0.76 cents, or 8.9%, from 8.56 cents in the third quarter of 2015 to 9.32 cents in the third quarter of 2016, while mainline capacity increased 0.5%.</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table below sets forth the major components of our total mainline CASM and our mainline CASM excluding special items and fuel for the three months ended September 30, 2016 and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8320" w:type="dxa"/>
            <w:vAlign w:val="bottom"/>
          </w:tcPr>
          <w:p>
            <w:pPr>
              <w:spacing w:after="0"/>
              <w:rPr>
                <w:sz w:val="14"/>
                <w:szCs w:val="14"/>
                <w:color w:val="auto"/>
              </w:rPr>
            </w:pPr>
          </w:p>
        </w:tc>
        <w:tc>
          <w:tcPr>
            <w:tcW w:w="20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320" w:type="dxa"/>
            <w:vAlign w:val="bottom"/>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2"/>
                <w:szCs w:val="12"/>
                <w:color w:val="auto"/>
              </w:rPr>
            </w:pPr>
          </w:p>
        </w:tc>
        <w:tc>
          <w:tcPr>
            <w:tcW w:w="1060" w:type="dxa"/>
            <w:vAlign w:val="bottom"/>
            <w:gridSpan w:val="2"/>
          </w:tcPr>
          <w:p>
            <w:pPr>
              <w:jc w:val="center"/>
              <w:ind w:left="13"/>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320" w:type="dxa"/>
            <w:vAlign w:val="bottom"/>
          </w:tcPr>
          <w:p>
            <w:pPr>
              <w:spacing w:after="0"/>
              <w:rPr>
                <w:sz w:val="12"/>
                <w:szCs w:val="12"/>
                <w:color w:val="auto"/>
              </w:rPr>
            </w:pPr>
          </w:p>
        </w:tc>
        <w:tc>
          <w:tcPr>
            <w:tcW w:w="3000" w:type="dxa"/>
            <w:vAlign w:val="bottom"/>
            <w:tcBorders>
              <w:top w:val="single" w:sz="8" w:color="auto"/>
            </w:tcBorders>
            <w:gridSpan w:val="6"/>
          </w:tcPr>
          <w:p>
            <w:pPr>
              <w:jc w:val="right"/>
              <w:ind w:right="273"/>
              <w:spacing w:after="0" w:line="142" w:lineRule="exact"/>
              <w:rPr>
                <w:sz w:val="20"/>
                <w:szCs w:val="20"/>
                <w:color w:val="auto"/>
              </w:rPr>
            </w:pPr>
            <w:r>
              <w:rPr>
                <w:rFonts w:ascii="Arial" w:cs="Arial" w:eastAsia="Arial" w:hAnsi="Arial"/>
                <w:sz w:val="14"/>
                <w:szCs w:val="14"/>
                <w:b w:val="1"/>
                <w:bCs w:val="1"/>
                <w:color w:val="auto"/>
              </w:rPr>
              <w:t>(In cents, except percentage changes)</w:t>
            </w: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Mainline CASM:</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Aircraft fuel and related taxes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2.18</w:t>
            </w:r>
          </w:p>
        </w:tc>
        <w:tc>
          <w:tcPr>
            <w:tcW w:w="5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2.51</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wages and benefits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0.75</w:t>
            </w:r>
          </w:p>
        </w:tc>
        <w:tc>
          <w:tcPr>
            <w:tcW w:w="5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0.72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0.73</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0.68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0.47</w:t>
            </w:r>
          </w:p>
        </w:tc>
        <w:tc>
          <w:tcPr>
            <w:tcW w:w="5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0.49</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0.54</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0.58</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0.63</w:t>
            </w:r>
          </w:p>
        </w:tc>
        <w:tc>
          <w:tcPr>
            <w:tcW w:w="5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0.53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w:t>
            </w:r>
          </w:p>
        </w:tc>
      </w:tr>
      <w:tr>
        <w:trPr>
          <w:trHeight w:val="223"/>
        </w:trPr>
        <w:tc>
          <w:tcPr>
            <w:tcW w:w="8320" w:type="dxa"/>
            <w:vAlign w:val="bottom"/>
          </w:tcPr>
          <w:p>
            <w:pPr>
              <w:ind w:left="360"/>
              <w:spacing w:after="0"/>
              <w:rPr>
                <w:sz w:val="20"/>
                <w:szCs w:val="20"/>
                <w:color w:val="auto"/>
              </w:rPr>
            </w:pPr>
            <w:r>
              <w:rPr>
                <w:rFonts w:ascii="Arial" w:cs="Arial" w:eastAsia="Arial" w:hAnsi="Arial"/>
                <w:sz w:val="18"/>
                <w:szCs w:val="18"/>
                <w:color w:val="auto"/>
              </w:rPr>
              <w:t>Other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mainline CASM</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11.96</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Special items, net</w:t>
            </w:r>
          </w:p>
        </w:tc>
        <w:tc>
          <w:tcPr>
            <w:tcW w:w="1120" w:type="dxa"/>
            <w:vAlign w:val="bottom"/>
            <w:gridSpan w:val="3"/>
          </w:tcPr>
          <w:p>
            <w:pPr>
              <w:jc w:val="right"/>
              <w:ind w:right="480"/>
              <w:spacing w:after="0"/>
              <w:rPr>
                <w:sz w:val="20"/>
                <w:szCs w:val="20"/>
                <w:color w:val="auto"/>
              </w:rPr>
            </w:pPr>
            <w:r>
              <w:rPr>
                <w:rFonts w:ascii="Arial" w:cs="Arial" w:eastAsia="Arial" w:hAnsi="Arial"/>
                <w:sz w:val="18"/>
                <w:szCs w:val="18"/>
                <w:color w:val="auto"/>
              </w:rPr>
              <w:t>(0.45)</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(0.26)</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1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(2.18)</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23"/>
        </w:trPr>
        <w:tc>
          <w:tcPr>
            <w:tcW w:w="8320" w:type="dxa"/>
            <w:vAlign w:val="bottom"/>
          </w:tcPr>
          <w:p>
            <w:pPr>
              <w:ind w:left="720"/>
              <w:spacing w:after="0"/>
              <w:rPr>
                <w:sz w:val="20"/>
                <w:szCs w:val="20"/>
                <w:color w:val="auto"/>
              </w:rPr>
            </w:pPr>
            <w:r>
              <w:rPr>
                <w:rFonts w:ascii="Arial" w:cs="Arial" w:eastAsia="Arial" w:hAnsi="Arial"/>
                <w:sz w:val="18"/>
                <w:szCs w:val="18"/>
                <w:color w:val="auto"/>
              </w:rPr>
              <w:t xml:space="preserve">Mainline CASM, excluding special items and fuel </w:t>
            </w:r>
            <w:r>
              <w:rPr>
                <w:rFonts w:ascii="Arial" w:cs="Arial" w:eastAsia="Arial" w:hAnsi="Arial"/>
                <w:sz w:val="15"/>
                <w:szCs w:val="15"/>
                <w:color w:val="auto"/>
              </w:rPr>
              <w:t>(1)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8.9</w:t>
            </w:r>
          </w:p>
        </w:tc>
      </w:tr>
      <w:tr>
        <w:trPr>
          <w:trHeight w:val="20"/>
        </w:trPr>
        <w:tc>
          <w:tcPr>
            <w:tcW w:w="8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29"/>
        </w:numPr>
        <w:rPr>
          <w:rFonts w:ascii="Arial" w:cs="Arial" w:eastAsia="Arial" w:hAnsi="Arial"/>
          <w:sz w:val="15"/>
          <w:szCs w:val="15"/>
          <w:color w:val="auto"/>
        </w:rPr>
      </w:pPr>
      <w:r>
        <w:rPr>
          <w:rFonts w:ascii="Arial" w:cs="Arial" w:eastAsia="Arial" w:hAnsi="Arial"/>
          <w:sz w:val="18"/>
          <w:szCs w:val="18"/>
          <w:color w:val="auto"/>
        </w:rPr>
        <w:t>We believe that the presentation of mainline CASM excluding fuel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to evaluate our operating performance. Amounts may not recalculate due to rounding.</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59" w:right="2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mainline CASM are as follows:</w:t>
      </w:r>
    </w:p>
    <w:p>
      <w:pPr>
        <w:spacing w:after="0" w:line="131" w:lineRule="exact"/>
        <w:rPr>
          <w:sz w:val="20"/>
          <w:szCs w:val="20"/>
          <w:color w:val="auto"/>
        </w:rPr>
      </w:pPr>
    </w:p>
    <w:p>
      <w:pPr>
        <w:ind w:left="9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Aircraft fuel and related taxes per ASM decreased 13.0% primarily due to a 12.4% decrease in the average price per gallon of fuel to $1.46 in the third quarter of 2016 from $1.67 in the 2015 period.</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Salaries, wages and benefits per ASM increased 14.8% primarily due to increased costs associated with new labor contracts and the addition of an employee profit sharing program effective January 1, 2016. During the third quarter of 2016, we accrued $86 million for this profit sharing program.</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rent and landing fees per ASM increased 6.7% and was primarily driven by rate increases at certain airports in the third quarter of 2016 as compared to the 2015 period.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Selling expenses per ASM decreased 5.5% primarily due to lower revenues in the third quarter of 2016, resulting in lower commissions and credit card fees.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Depreciation and amortization per ASM increased 18.1% primarily due to new purchased aircraft deliveries since the end of the third quarter of 2015 in connection with our fleet renewal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Total regional expenses increased $20 million, or 1.3%, in the third quarter of 2016 from the 2015 period. The period-over-period increase was primarily due to a $27 million increase in other regional operating expenses, offset in part by a $7 million decrease in fuel costs. The average price per gallon of fuel decreased 7.3% to $1.55 in the third quarter of 2016 from $1.67 in the 2015 period, on a 5.3% increase in consumption. The increase in other regional operating expenses was principally due to increased regional capacity. See Note 10 to AAG’s condensed consolidated financial statements in Part I, Item 1A for more detail on regional operating expenses.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7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2015</w:t>
            </w:r>
          </w:p>
        </w:tc>
        <w:tc>
          <w:tcPr>
            <w:tcW w:w="380" w:type="dxa"/>
            <w:vAlign w:val="bottom"/>
          </w:tcPr>
          <w:p>
            <w:pPr>
              <w:spacing w:after="0"/>
              <w:rPr>
                <w:sz w:val="12"/>
                <w:szCs w:val="12"/>
                <w:color w:val="auto"/>
              </w:rPr>
            </w:pPr>
          </w:p>
        </w:tc>
        <w:tc>
          <w:tcPr>
            <w:tcW w:w="1140" w:type="dxa"/>
            <w:vAlign w:val="bottom"/>
            <w:gridSpan w:val="2"/>
          </w:tcPr>
          <w:p>
            <w:pPr>
              <w:jc w:val="center"/>
              <w:ind w:left="58"/>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7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gridSpan w:val="8"/>
          </w:tcPr>
          <w:p>
            <w:pPr>
              <w:jc w:val="right"/>
              <w:ind w:right="378"/>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2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(219)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r>
      <w:tr>
        <w:trPr>
          <w:trHeight w:val="20"/>
        </w:trPr>
        <w:tc>
          <w:tcPr>
            <w:tcW w:w="7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short-term investments in each period consisted of highly liquid investments which provided nominal returns.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Interest expense, net of capitalized interest increased $31 million in the third quarter of 2016 as compared to the 2015 period primarily due to issuances of $4.1 billion in aircraft related financings since the end of the third quarter of 2015.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nonoperating expense, net in the third quarter of 2016 included $7 million of foreign currency losses.</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Other nonoperating expense, net in the third quarter of 2015 included $62 million of foreign currency losses and $21 million in special charges primarily related to non-cash write offs of unamortized debt discount and debt issuance costs associated with the purchase and subsequent remarketing of certain special facility revenue bonds. The foreign currency losses in the 2015 period were driven primarily by the strengthening of the U.S. dollar in foreign currency transactions relative to other currencies, principally in Latin American and European markets, including a 30% decrease in the value of the Brazilian real and a 4% decrease in the value of the British pound.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Compared to Nine Months Ended September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920" w:type="dxa"/>
            <w:vAlign w:val="bottom"/>
            <w:tcBorders>
              <w:top w:val="single" w:sz="8" w:color="auto"/>
            </w:tcBorders>
            <w:gridSpan w:val="6"/>
          </w:tcPr>
          <w:p>
            <w:pPr>
              <w:jc w:val="right"/>
              <w:ind w:right="157"/>
              <w:spacing w:after="0" w:line="142" w:lineRule="exact"/>
              <w:rPr>
                <w:sz w:val="20"/>
                <w:szCs w:val="20"/>
                <w:color w:val="auto"/>
              </w:rPr>
            </w:pPr>
            <w:r>
              <w:rPr>
                <w:rFonts w:ascii="Arial" w:cs="Arial" w:eastAsia="Arial" w:hAnsi="Arial"/>
                <w:sz w:val="14"/>
                <w:szCs w:val="14"/>
                <w:b w:val="1"/>
                <w:bCs w:val="1"/>
                <w:color w:val="auto"/>
                <w:w w:val="98"/>
              </w:rPr>
              <w:t>(In millions, except percentage changes)</w:t>
            </w: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$ 21,192</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$ 22,298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Regional passenger</w:t>
            </w:r>
          </w:p>
        </w:tc>
        <w:tc>
          <w:tcPr>
            <w:tcW w:w="3980" w:type="dxa"/>
            <w:vAlign w:val="bottom"/>
            <w:gridSpan w:val="3"/>
          </w:tcPr>
          <w:p>
            <w:pPr>
              <w:jc w:val="right"/>
              <w:ind w:right="200"/>
              <w:spacing w:after="0"/>
              <w:rPr>
                <w:sz w:val="20"/>
                <w:szCs w:val="20"/>
                <w:color w:val="auto"/>
              </w:rPr>
            </w:pPr>
            <w:r>
              <w:rPr>
                <w:rFonts w:ascii="Arial" w:cs="Arial" w:eastAsia="Arial" w:hAnsi="Arial"/>
                <w:sz w:val="18"/>
                <w:szCs w:val="18"/>
                <w:color w:val="auto"/>
              </w:rPr>
              <w:t>5,040</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4,910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506</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w:t>
            </w: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$ 30,391</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$ 31,360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0"/>
        </w:trPr>
        <w:tc>
          <w:tcPr>
            <w:tcW w:w="5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operating revenues in the first nine months of 2016 decreased $969 million, or 3.1%, from the 2015 period primarily due to a decline in mainline and regional passenger revenues driven by competitive capacity growth, continued macroeconomic softness outside of the United States and foreign currency weakness. Our mainline and regional TRASM was 14.63 cents in the first nine months of 2016, a 5.2% decrease as compared to 15.43 cents in the 2015 period. Significant changes in the components of operating revenues are as follows:</w:t>
      </w:r>
    </w:p>
    <w:p>
      <w:pPr>
        <w:spacing w:after="0" w:line="92" w:lineRule="exact"/>
        <w:rPr>
          <w:sz w:val="20"/>
          <w:szCs w:val="20"/>
          <w:color w:val="auto"/>
        </w:rPr>
      </w:pPr>
    </w:p>
    <w:p>
      <w:pPr>
        <w:jc w:val="both"/>
        <w:ind w:left="900" w:hanging="325"/>
        <w:spacing w:after="0" w:line="279"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Mainline passenger revenues were $21.2 billion in the first nine months of 2016 as compared to $22.3 billion in the 2015 period. Mainline RPM’s increased 0.3% as mainline capacity, as measured by ASMs, increased 1.5%, resulting in a 1.0 point decrease in load factor to 82.4%. Mainline passenger yield decreased 5.3% to 13.98 cents in the first nine months of 2016 from 14.75 cents in the 2015 period. Mainline PRASM decreased 6.4% to 11.52 cents in the first nine months of 2016 from 12.30 cents in the 2015 period.</w:t>
      </w:r>
    </w:p>
    <w:p>
      <w:pPr>
        <w:spacing w:after="0" w:line="76" w:lineRule="exact"/>
        <w:rPr>
          <w:rFonts w:ascii="Arial" w:cs="Arial" w:eastAsia="Arial" w:hAnsi="Arial"/>
          <w:sz w:val="17"/>
          <w:szCs w:val="17"/>
          <w:color w:val="auto"/>
        </w:rPr>
      </w:pPr>
    </w:p>
    <w:p>
      <w:pPr>
        <w:jc w:val="both"/>
        <w:ind w:left="900" w:hanging="325"/>
        <w:spacing w:after="0" w:line="279"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Regional passenger revenues were $5.0 billion in the first nine months of 2016 as compared to $4.9 billion in the 2015 period. Regional RPM’s increased 3.8% as regional capacity, as measured by ASMs, increased 7.7%, resulting in a 2.9 point decrease in load factor to 77.5%. Regional passenger yield decreased 1.1% to 27.38 cents in the first nine months of 2016 from 27.69 cents in the 2015 period. Regional PRASM decreased 4.7% to 21.23 cents in the first nine months of 2016 from 22.27 cents in the 2015 period.</w:t>
      </w:r>
    </w:p>
    <w:p>
      <w:pPr>
        <w:spacing w:after="0" w:line="76" w:lineRule="exact"/>
        <w:rPr>
          <w:rFonts w:ascii="Arial" w:cs="Arial" w:eastAsia="Arial" w:hAnsi="Arial"/>
          <w:sz w:val="17"/>
          <w:szCs w:val="17"/>
          <w:color w:val="auto"/>
        </w:rPr>
      </w:pPr>
    </w:p>
    <w:p>
      <w:pPr>
        <w:ind w:left="9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Cargo revenue decreased $62 million, or 10.9%, in the first nine months of 2016 from the 2015 period driven primarily by a decrease in domestic and international freight yields.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53"/>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8,094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7,141</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1,290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Selling expenses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1,051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Special items, net</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610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3,278</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2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21,386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21,688</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Fuel</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970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3,566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4,536</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25,874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26,224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0"/>
        </w:trPr>
        <w:tc>
          <w:tcPr>
            <w:tcW w:w="5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Total operating expenses were $25.9 billion in the first nine months of 2016, a decrease of $350 million, or 1.3%, from the 2015 period. The decrease in operating expenses was primarily driven by lower aircraft fuel costs, offset in part by higher salaries, wages and benefits driven by new labor contracts and the addition of an employee profit sharing program effective January 1, 2016. See detailed explanations below relating to other changes in operating costs.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Mainline CASM</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mainline CASM decreased 0.35 cents, or 2.9%, from 11.97 cents in the first nine months of 2015 to 11.62 cents in the first nine months of 2016. Excluding special items and aircraft fuel and related taxes, our mainline CASM increased 0.43 cents, or 4.8%, from 8.92 cents in the first nine months of 2015 to 9.35 cents in the first nine months of 2016, while mainline capacity increased 1.5%.</w:t>
      </w:r>
    </w:p>
    <w:p>
      <w:pPr>
        <w:spacing w:after="0" w:line="18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 table below sets forth the major components of our total mainline CASM and our mainline CASM excluding special items and fuel for the nine months ended September 30, 2016 and 2015:</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852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520" w:type="dxa"/>
            <w:vAlign w:val="bottom"/>
          </w:tcPr>
          <w:p>
            <w:pPr>
              <w:spacing w:after="0"/>
              <w:rPr>
                <w:sz w:val="12"/>
                <w:szCs w:val="12"/>
                <w:color w:val="auto"/>
              </w:rPr>
            </w:pPr>
          </w:p>
        </w:tc>
        <w:tc>
          <w:tcPr>
            <w:tcW w:w="56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2"/>
                <w:szCs w:val="12"/>
                <w:color w:val="auto"/>
              </w:rPr>
            </w:pPr>
          </w:p>
        </w:tc>
        <w:tc>
          <w:tcPr>
            <w:tcW w:w="10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520" w:type="dxa"/>
            <w:vAlign w:val="bottom"/>
          </w:tcPr>
          <w:p>
            <w:pPr>
              <w:spacing w:after="0"/>
              <w:rPr>
                <w:sz w:val="12"/>
                <w:szCs w:val="12"/>
                <w:color w:val="auto"/>
              </w:rPr>
            </w:pPr>
          </w:p>
        </w:tc>
        <w:tc>
          <w:tcPr>
            <w:tcW w:w="2800" w:type="dxa"/>
            <w:vAlign w:val="bottom"/>
            <w:tcBorders>
              <w:top w:val="single" w:sz="8" w:color="auto"/>
            </w:tcBorders>
            <w:gridSpan w:val="6"/>
          </w:tcPr>
          <w:p>
            <w:pPr>
              <w:jc w:val="right"/>
              <w:ind w:right="173"/>
              <w:spacing w:after="0" w:line="142" w:lineRule="exact"/>
              <w:rPr>
                <w:sz w:val="20"/>
                <w:szCs w:val="20"/>
                <w:color w:val="auto"/>
              </w:rPr>
            </w:pPr>
            <w:r>
              <w:rPr>
                <w:rFonts w:ascii="Arial" w:cs="Arial" w:eastAsia="Arial" w:hAnsi="Arial"/>
                <w:sz w:val="14"/>
                <w:szCs w:val="14"/>
                <w:b w:val="1"/>
                <w:bCs w:val="1"/>
                <w:color w:val="auto"/>
                <w:w w:val="99"/>
              </w:rPr>
              <w:t>(In cents, except percentage changes)</w:t>
            </w:r>
          </w:p>
        </w:tc>
        <w:tc>
          <w:tcPr>
            <w:tcW w:w="100" w:type="dxa"/>
            <w:vAlign w:val="bottom"/>
          </w:tcPr>
          <w:p>
            <w:pPr>
              <w:spacing w:after="0"/>
              <w:rPr>
                <w:sz w:val="12"/>
                <w:szCs w:val="1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Mainline CASM:</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Aircraft fuel and related taxes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2.71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Salaries, wages and benefits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Maintenance, materials and repairs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0.73</w:t>
            </w: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0.80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rent and landing fees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0.73</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Aircraft rent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0.49</w:t>
            </w: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0.52</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expenses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0.54</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0.58</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0.61</w:t>
            </w: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0.56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Special items, net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0.24</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0.34</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1.81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7"/>
        </w:trPr>
        <w:tc>
          <w:tcPr>
            <w:tcW w:w="8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mainline CASM</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8520" w:type="dxa"/>
            <w:vAlign w:val="bottom"/>
          </w:tcPr>
          <w:p>
            <w:pPr>
              <w:ind w:left="360"/>
              <w:spacing w:after="0"/>
              <w:rPr>
                <w:sz w:val="20"/>
                <w:szCs w:val="20"/>
                <w:color w:val="auto"/>
              </w:rPr>
            </w:pPr>
            <w:r>
              <w:rPr>
                <w:rFonts w:ascii="Arial" w:cs="Arial" w:eastAsia="Arial" w:hAnsi="Arial"/>
                <w:sz w:val="18"/>
                <w:szCs w:val="18"/>
                <w:color w:val="auto"/>
              </w:rPr>
              <w:t>Special items, net</w:t>
            </w: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(0.24)</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(27.4)</w:t>
            </w: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Aircraft fuel and related taxes</w:t>
            </w:r>
          </w:p>
        </w:tc>
        <w:tc>
          <w:tcPr>
            <w:tcW w:w="10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r>
      <w:tr>
        <w:trPr>
          <w:trHeight w:val="223"/>
        </w:trPr>
        <w:tc>
          <w:tcPr>
            <w:tcW w:w="8520" w:type="dxa"/>
            <w:vAlign w:val="bottom"/>
          </w:tcPr>
          <w:p>
            <w:pPr>
              <w:ind w:left="720"/>
              <w:spacing w:after="0"/>
              <w:rPr>
                <w:sz w:val="20"/>
                <w:szCs w:val="20"/>
                <w:color w:val="auto"/>
              </w:rPr>
            </w:pPr>
            <w:r>
              <w:rPr>
                <w:rFonts w:ascii="Arial" w:cs="Arial" w:eastAsia="Arial" w:hAnsi="Arial"/>
                <w:sz w:val="18"/>
                <w:szCs w:val="18"/>
                <w:color w:val="auto"/>
              </w:rPr>
              <w:t xml:space="preserve">Mainline CASM, excluding special items and fuel </w:t>
            </w:r>
            <w:r>
              <w:rPr>
                <w:rFonts w:ascii="Arial" w:cs="Arial" w:eastAsia="Arial" w:hAnsi="Arial"/>
                <w:sz w:val="15"/>
                <w:szCs w:val="15"/>
                <w:color w:val="auto"/>
              </w:rPr>
              <w:t>(1)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0"/>
        </w:trPr>
        <w:tc>
          <w:tcPr>
            <w:tcW w:w="8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7" w:lineRule="auto"/>
        <w:tabs>
          <w:tab w:leader="none" w:pos="460" w:val="left"/>
        </w:tabs>
        <w:numPr>
          <w:ilvl w:val="0"/>
          <w:numId w:val="32"/>
        </w:numPr>
        <w:rPr>
          <w:rFonts w:ascii="Arial" w:cs="Arial" w:eastAsia="Arial" w:hAnsi="Arial"/>
          <w:sz w:val="15"/>
          <w:szCs w:val="15"/>
          <w:color w:val="auto"/>
        </w:rPr>
      </w:pPr>
      <w:r>
        <w:rPr>
          <w:rFonts w:ascii="Arial" w:cs="Arial" w:eastAsia="Arial" w:hAnsi="Arial"/>
          <w:sz w:val="18"/>
          <w:szCs w:val="18"/>
          <w:color w:val="auto"/>
        </w:rPr>
        <w:t>We believe that the presentation of mainline CASM excluding fuel is useful to investors because both the cost and availability of fuel are subject to many economic and political factors beyond our control, and the exclusion of special items provides investors the ability to measure financial performance in a way that is more indicative of our ongoing performance and that is more comparable to measures reported by other major airlines. Management uses mainline CASM excluding special items and fuel to evaluate our operating performance. Amounts may not recalculate due to rounding.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in the components of mainline CASM are as follows:</w:t>
      </w:r>
    </w:p>
    <w:p>
      <w:pPr>
        <w:spacing w:after="0" w:line="131" w:lineRule="exact"/>
        <w:rPr>
          <w:sz w:val="20"/>
          <w:szCs w:val="20"/>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Aircraft fuel and related taxes per ASM decreased 25.1% primarily due to a 24.0% decrease in the average price per gallon of fuel to $1.36 in the first nine months of 2016 from $1.80 in the 2015 period.</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Salaries, wages and benefits per ASM increased 11.7% primarily due to increased costs associated with new labor contracts and the addition of an employee profit sharing program effective January 1, 2016. During the first nine months of 2016, we accrued $257 million for this profit sharing program.</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Maintenance, materials and repairs per ASM decreased 8.3% and was primarily driven by fewer engine overhauls due to the timing of maintenance cycles in the first nine months of 2016 as compared to the 2015 period.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Aircraft rent per ASM decreased 5.0% and was primarily due to expirations and early exiting of aircraft leases, driven by our fleet renewal program.</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Selling expenses per ASM decreased 7.3% primarily due to lower revenues in the first nine months of 2016, resulting in lower commissions and credit card fees.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Depreciation and amortization per ASM increased 9.7% primarily due to new purchased aircraft deliveries since the end of the third quarter of 2015 in connection with our fleet renewal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Total regional expenses decreased $48 million, or 1.1%, in the first nine months of 2016 from the 2015 period. The period-over-period decrease was primarily due to a $169 million decrease in fuel costs, offset in part by a $121 million increase in other regional operating expenses. The average price per gallon of fuel decreased 21.6% to $1.42 in the first nine months of 2016 from $1.81 in the 2015 period, on a 5.4% increase in consumption. The increase in other regional operating expenses was principally due to increased regional capacity. See Note 10 to AAG’s condensed consolidated financial statements in Part I, Item 1A for more detail on regional operating expenses.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11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980" w:type="dxa"/>
            <w:vAlign w:val="bottom"/>
            <w:tcBorders>
              <w:top w:val="single" w:sz="8" w:color="auto"/>
            </w:tcBorders>
            <w:gridSpan w:val="8"/>
          </w:tcPr>
          <w:p>
            <w:pPr>
              <w:jc w:val="right"/>
              <w:ind w:right="258"/>
              <w:spacing w:after="0" w:line="142" w:lineRule="exact"/>
              <w:rPr>
                <w:sz w:val="20"/>
                <w:szCs w:val="20"/>
                <w:color w:val="auto"/>
              </w:rPr>
            </w:pPr>
            <w:r>
              <w:rPr>
                <w:rFonts w:ascii="Arial" w:cs="Arial" w:eastAsia="Arial" w:hAnsi="Arial"/>
                <w:sz w:val="14"/>
                <w:szCs w:val="14"/>
                <w:b w:val="1"/>
                <w:bCs w:val="1"/>
                <w:color w:val="auto"/>
                <w:w w:val="97"/>
              </w:rPr>
              <w:t>(In millions, except percentage changes)</w:t>
            </w:r>
          </w:p>
        </w:tc>
        <w:tc>
          <w:tcPr>
            <w:tcW w:w="100" w:type="dxa"/>
            <w:vAlign w:val="bottom"/>
          </w:tcPr>
          <w:p>
            <w:pPr>
              <w:spacing w:after="0"/>
              <w:rPr>
                <w:sz w:val="12"/>
                <w:szCs w:val="1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(651)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(82.2)</w:t>
            </w:r>
          </w:p>
        </w:tc>
      </w:tr>
      <w:tr>
        <w:trPr>
          <w:trHeight w:val="223"/>
        </w:trPr>
        <w:tc>
          <w:tcPr>
            <w:tcW w:w="820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short-term investments in each period consisted of highly liquid investments which provided nominal returns.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Interest expense, net of capitalized interest increased $87 million in the first nine months of 2016 as compared to the 2015 period primarily due to issuances of $4.1 billion in aircraft related financings since the end of the third quarter of 2015.</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nonoperating expense, net in the first nine months of 2016 included $36 million in special charges related to non-cash write offs of unamortized bond discounts and issuance costs as well as payments of redemption premiums and fees in connection with a bond refinancing, offset in part by $19 million of foreign currency gains. The foreign currency gains were driven primarily by the weakening of the U.S. dollar relative to other currencies, principally the Brazilian real, which appreciated 19% in the first nine months of 2016.</w:t>
      </w:r>
    </w:p>
    <w:p>
      <w:pPr>
        <w:spacing w:after="0" w:line="18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Other nonoperating expense, net in the first nine months of 2015 included $144 million of foreign currency losses driven primarily by the strengthening of the U.S. dollar in foreign currency transactions relative to other currencies, principally in Latin American and European markets, including a 50% decrease in the value of the Brazilian real, an 8% decrease in the value of the Euro and a 2% decrease in the value of the British pound.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American’s Results of Operations</w:t>
      </w:r>
    </w:p>
    <w:p>
      <w:pPr>
        <w:spacing w:after="0" w:line="121"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 xml:space="preserve">On December 30, 2015, in order to simplify AAG’s internal corporate structure and as part of the integration efforts following the business combination of AAG and US Airways Group, US Airways merged with and into American, with American as the surviving corporation. As a result of the merger of US Airways and American, US Airways transferred all of its assets, liabilities and off-balance sheet commitments to American. For financial reporting purposes, this transaction constituted a transfer of assets between entities under common control and was accounted for at historical cost. As a result, American’s condensed consolidated financial statements as well as this management’s discussion and analysis of financial condition and results of operations in this Quarterly Report on Form 10-Q (unless otherwise indicated) are presented as though the transaction had occurred on December 9, 2013, when a subsidiary of AMR merged with and into US Airways Group, which represents the earliest date that American and US Airways were under common control. Thus, all periods presented below in </w:t>
      </w:r>
      <w:r>
        <w:rPr>
          <w:rFonts w:ascii="Arial" w:cs="Arial" w:eastAsia="Arial" w:hAnsi="Arial"/>
          <w:sz w:val="16"/>
          <w:szCs w:val="16"/>
          <w:i w:val="1"/>
          <w:iCs w:val="1"/>
          <w:color w:val="auto"/>
        </w:rPr>
        <w:t>American’s Results of Operations</w:t>
      </w:r>
      <w:r>
        <w:rPr>
          <w:rFonts w:ascii="Arial" w:cs="Arial" w:eastAsia="Arial" w:hAnsi="Arial"/>
          <w:sz w:val="16"/>
          <w:szCs w:val="16"/>
          <w:color w:val="auto"/>
        </w:rPr>
        <w:t xml:space="preserve"> are comprised of the financial data of American and US Airways.</w:t>
      </w:r>
    </w:p>
    <w:p>
      <w:pPr>
        <w:spacing w:after="0" w:line="166"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American realized pre-tax income of $1.2 billion and $1.7 billion in the third quarters of 2016 and 2015, respectively. Excluding the effects of net special charges, American recognized pre-tax income of $1.5 billion and $1.9 billion in the third quarters of 2016 and 2015, respectively.</w:t>
      </w:r>
    </w:p>
    <w:p>
      <w:pPr>
        <w:spacing w:after="0" w:line="170"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American realized pre-tax income of $3.9 billion and $4.4 billion in the first nine months of 2016 and 2015, respectively. Excluding the effects of net special charges, American recognized pre-tax income of $4.4 billion and $5.1 billion in the first nine months of 2016 and 2015, respectively.</w:t>
      </w:r>
    </w:p>
    <w:p>
      <w:pPr>
        <w:spacing w:after="0" w:line="14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American’s 2016 third quarter and first nine months results on both a GAAP basis and excluding net special charges were impacted by a decline in revenues driven by lower yields and travel demand. In addition, our results were impacted by higher salaries, wages and benefits associated with new labor contracts and the addition of an employee profit sharing program. These impacts were offset in part by a year-over-year decline in fuel prices.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details American’s pre-tax and net income excluding special items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w w:val="93"/>
              </w:rPr>
              <w:t>Three Months Ended September 30,</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142"/>
        </w:trPr>
        <w:tc>
          <w:tcPr>
            <w:tcW w:w="58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Pre-tax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Pre-tax special items: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Mainline operating special charges, net </w:t>
            </w:r>
            <w:r>
              <w:rPr>
                <w:rFonts w:ascii="Arial" w:cs="Arial" w:eastAsia="Arial" w:hAnsi="Arial"/>
                <w:sz w:val="15"/>
                <w:szCs w:val="15"/>
                <w:color w:val="auto"/>
              </w:rPr>
              <w:t>(1)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w:t>
            </w: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Regional operating special charges, net</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Nonoperating special charges, net </w:t>
            </w:r>
            <w:r>
              <w:rPr>
                <w:rFonts w:ascii="Arial" w:cs="Arial" w:eastAsia="Arial" w:hAnsi="Arial"/>
                <w:sz w:val="15"/>
                <w:szCs w:val="15"/>
                <w:color w:val="auto"/>
              </w:rPr>
              <w:t>(2)</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r>
      <w:tr>
        <w:trPr>
          <w:trHeight w:val="230"/>
        </w:trPr>
        <w:tc>
          <w:tcPr>
            <w:tcW w:w="5820" w:type="dxa"/>
            <w:vAlign w:val="bottom"/>
          </w:tcPr>
          <w:p>
            <w:pPr>
              <w:ind w:left="720"/>
              <w:spacing w:after="0"/>
              <w:rPr>
                <w:sz w:val="20"/>
                <w:szCs w:val="20"/>
                <w:color w:val="auto"/>
              </w:rPr>
            </w:pPr>
            <w:r>
              <w:rPr>
                <w:rFonts w:ascii="Arial" w:cs="Arial" w:eastAsia="Arial" w:hAnsi="Arial"/>
                <w:sz w:val="18"/>
                <w:szCs w:val="18"/>
                <w:color w:val="auto"/>
              </w:rPr>
              <w:t>Total pre-tax special items</w:t>
            </w: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r>
      <w:tr>
        <w:trPr>
          <w:trHeight w:val="216"/>
        </w:trPr>
        <w:tc>
          <w:tcPr>
            <w:tcW w:w="58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Pre-tax income excluding special items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4,383</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w:t>
            </w:r>
          </w:p>
        </w:tc>
        <w:tc>
          <w:tcPr>
            <w:tcW w:w="100" w:type="dxa"/>
            <w:vAlign w:val="bottom"/>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58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758</w:t>
            </w:r>
          </w:p>
        </w:tc>
        <w:tc>
          <w:tcPr>
            <w:tcW w:w="300" w:type="dxa"/>
            <w:vAlign w:val="bottom"/>
          </w:tcPr>
          <w:p>
            <w:pPr>
              <w:spacing w:after="0"/>
              <w:rPr>
                <w:sz w:val="24"/>
                <w:szCs w:val="24"/>
                <w:color w:val="auto"/>
              </w:rPr>
            </w:pP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1,723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2,441</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4,369</w:t>
            </w:r>
          </w:p>
        </w:tc>
        <w:tc>
          <w:tcPr>
            <w:tcW w:w="100" w:type="dxa"/>
            <w:vAlign w:val="bottom"/>
          </w:tcPr>
          <w:p>
            <w:pPr>
              <w:spacing w:after="0"/>
              <w:rPr>
                <w:sz w:val="24"/>
                <w:szCs w:val="24"/>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special items: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Total pre-tax special items</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497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r>
      <w:tr>
        <w:trPr>
          <w:trHeight w:val="216"/>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special charges, net</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 xml:space="preserve">Net tax effect of special items </w:t>
            </w:r>
            <w:r>
              <w:rPr>
                <w:rFonts w:ascii="Arial" w:cs="Arial" w:eastAsia="Arial" w:hAnsi="Arial"/>
                <w:sz w:val="15"/>
                <w:szCs w:val="15"/>
                <w:color w:val="auto"/>
              </w:rPr>
              <w:t>(3)</w:t>
            </w:r>
          </w:p>
        </w:tc>
        <w:tc>
          <w:tcPr>
            <w:tcW w:w="14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(98)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special items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r>
      <w:tr>
        <w:trPr>
          <w:trHeight w:val="223"/>
        </w:trPr>
        <w:tc>
          <w:tcPr>
            <w:tcW w:w="5820" w:type="dxa"/>
            <w:vAlign w:val="bottom"/>
          </w:tcPr>
          <w:p>
            <w:pPr>
              <w:ind w:left="1080"/>
              <w:spacing w:after="0"/>
              <w:rPr>
                <w:sz w:val="20"/>
                <w:szCs w:val="20"/>
                <w:color w:val="auto"/>
              </w:rPr>
            </w:pPr>
            <w:r>
              <w:rPr>
                <w:rFonts w:ascii="Arial" w:cs="Arial" w:eastAsia="Arial" w:hAnsi="Arial"/>
                <w:sz w:val="18"/>
                <w:szCs w:val="18"/>
                <w:color w:val="auto"/>
              </w:rPr>
              <w:t>Net income excluding special items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jc w:val="both"/>
        <w:ind w:left="460" w:hanging="452"/>
        <w:spacing w:after="0" w:line="255"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The 2016 third quarter mainline operating special items totaled a net charge of $289 million, which principally included $225 million of merger integration expenses and a $39 million net charge for bankruptcy related items principally consisting of fair value adjustments for bankruptcy settlement obligations. The 2016 nine month period mainline operating special items totaled a net charge of $450 million, which principally included $467 million of merger integration expenses, offset in part by a $22 million net credit for bankruptcy related items principally consisting of fair value adjustments for bankruptcy settlement obligations. For the 2016 third quarter and nine month periods, merger integration expenses included costs related to re-branding of aircraft, airport facilities and uniforms, information technology, alignment of labor union contracts, fleet restructuring, professional fees, relocation and training, as well as severance.</w:t>
      </w:r>
    </w:p>
    <w:p>
      <w:pPr>
        <w:spacing w:after="0" w:line="81" w:lineRule="exact"/>
        <w:rPr>
          <w:rFonts w:ascii="Arial" w:cs="Arial" w:eastAsia="Arial" w:hAnsi="Arial"/>
          <w:sz w:val="15"/>
          <w:szCs w:val="15"/>
          <w:color w:val="auto"/>
        </w:rPr>
      </w:pPr>
    </w:p>
    <w:p>
      <w:pPr>
        <w:jc w:val="both"/>
        <w:ind w:left="460"/>
        <w:spacing w:after="0" w:line="290" w:lineRule="auto"/>
        <w:rPr>
          <w:rFonts w:ascii="Arial" w:cs="Arial" w:eastAsia="Arial" w:hAnsi="Arial"/>
          <w:sz w:val="15"/>
          <w:szCs w:val="15"/>
          <w:color w:val="auto"/>
        </w:rPr>
      </w:pPr>
      <w:r>
        <w:rPr>
          <w:rFonts w:ascii="Arial" w:cs="Arial" w:eastAsia="Arial" w:hAnsi="Arial"/>
          <w:sz w:val="16"/>
          <w:szCs w:val="16"/>
          <w:color w:val="auto"/>
        </w:rPr>
        <w:t>The 2015 third quarter mainline operating special items totaled a net charge of $163 million, which principally included $198 million of merger integration expenses and a $38 million charge in connection with the dissolution of a joint venture. These charges were offset in part by a $66 million credit related to proceeds received from a legal settlement. The 2015 nine month period mainline operating special items totaled a net charge of $610 million, which principally included $741 million of merger integration expenses and a $38 million charge in connection with the dissolution of a joint venture. These charges were offset in part by a $75 million net credit for bankruptcy related items principally consisting of fair value adjustments for bankruptcy settlement obligations and a $66 million credit related to proceeds received from a legal settlement. For the 2015 third quarter and nine month periods, merger integration expenses included costs related to information technology, fleet restructuring, alignment of labor union contracts, professional fees, severance, relocation and training, re-branding of aircraft, airport facilities and uniforms, as well as share-based compensation.</w:t>
      </w:r>
    </w:p>
    <w:p>
      <w:pPr>
        <w:spacing w:after="0" w:line="71" w:lineRule="exact"/>
        <w:rPr>
          <w:rFonts w:ascii="Arial" w:cs="Arial" w:eastAsia="Arial" w:hAnsi="Arial"/>
          <w:sz w:val="15"/>
          <w:szCs w:val="15"/>
          <w:color w:val="auto"/>
        </w:rPr>
      </w:pPr>
    </w:p>
    <w:p>
      <w:pPr>
        <w:ind w:left="460" w:hanging="452"/>
        <w:spacing w:after="0" w:line="277"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In connection with a bond refinancing, American recorded a $36 million nonoperating special charge in the 2016 nine month period related to non-cash write offs of unamortized bond discounts and issuance costs as well as payments of redemption premiums and fees.</w:t>
      </w:r>
    </w:p>
    <w:p>
      <w:pPr>
        <w:spacing w:after="0" w:line="62" w:lineRule="exact"/>
        <w:rPr>
          <w:rFonts w:ascii="Arial" w:cs="Arial" w:eastAsia="Arial" w:hAnsi="Arial"/>
          <w:sz w:val="15"/>
          <w:szCs w:val="15"/>
          <w:color w:val="auto"/>
        </w:rPr>
      </w:pPr>
    </w:p>
    <w:p>
      <w:pPr>
        <w:jc w:val="both"/>
        <w:ind w:left="460"/>
        <w:spacing w:after="0" w:line="293" w:lineRule="auto"/>
        <w:rPr>
          <w:rFonts w:ascii="Arial" w:cs="Arial" w:eastAsia="Arial" w:hAnsi="Arial"/>
          <w:sz w:val="15"/>
          <w:szCs w:val="15"/>
          <w:color w:val="auto"/>
        </w:rPr>
      </w:pPr>
      <w:r>
        <w:rPr>
          <w:rFonts w:ascii="Arial" w:cs="Arial" w:eastAsia="Arial" w:hAnsi="Arial"/>
          <w:sz w:val="16"/>
          <w:szCs w:val="16"/>
          <w:color w:val="auto"/>
        </w:rPr>
        <w:t>The 2015 third quarter nonoperating special items totaled a net charge of $21 million, which was primarily due to non-cash write offs of unamortized debt discount and debt issuance costs associated with the purchase and subsequent remarketing of certain special facility revenue bonds. The 2015 nine month period nonoperating special items totaled a net charge of $24 million, which principally included $41 million in charges primarily related to non-cash write offs of unamortized debt discount and debt issuance costs associated with refinancing American’s secured term loan facilities, prepayments of certain aircraft financings and the purchase and subsequent remarketing of certain special facility revenue bonds. These charges were offset in part by a $17 million early debt extinguishment gain associated with the repayment of American’s AAdvantage loan with Citibank.</w:t>
      </w:r>
    </w:p>
    <w:p>
      <w:pPr>
        <w:spacing w:after="0" w:line="70" w:lineRule="exact"/>
        <w:rPr>
          <w:rFonts w:ascii="Arial" w:cs="Arial" w:eastAsia="Arial" w:hAnsi="Arial"/>
          <w:sz w:val="15"/>
          <w:szCs w:val="15"/>
          <w:color w:val="auto"/>
        </w:rPr>
      </w:pPr>
    </w:p>
    <w:p>
      <w:pPr>
        <w:jc w:val="both"/>
        <w:ind w:left="460" w:hanging="452"/>
        <w:spacing w:after="0" w:line="264"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8"/>
          <w:szCs w:val="18"/>
          <w:color w:val="auto"/>
        </w:rPr>
        <w:t>In the 2015 periods, there was no net tax effect associated with special items. During the 2015 periods, American’s net deferred tax asset, which includes its NOLs, was subject to a full valuation allowance. Accordingly, American’s NOLs offset its taxable income and resulted in the release of a corresponding portion of valuation allowance, which offset the tax provision dollar for dollar.</w:t>
      </w:r>
    </w:p>
    <w:p>
      <w:pPr>
        <w:spacing w:after="0" w:line="28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i w:val="1"/>
          <w:iCs w:val="1"/>
          <w:u w:val="single" w:color="auto"/>
          <w:color w:val="auto"/>
        </w:rPr>
        <w:t>Income Taxes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At December 31, 2015, American had approximately $8.8 billion of gross NOL Carryforwards to reduce future federal taxable income, substantially all of which are expected to be available for use in 2016. American is a member of AAG’s consolidated federal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and certain state income tax returns. The amount of federal NOL Carryforwards available in those returns is $8.0 billion, substantially all of which is expected to be available for use in 2016. The federal NOL Carryforwards will expire beginning in 2022 if unused. American also had approximately $3.7 billion of NOL Carryforwards to reduce future state taxable income at December 31, 2015, which will expire in years 2016 through 2034 if unused. American’s ability to deduct its NOL Carryforwards and to utilize certain other available tax attributes can be substantially constrained under the general annual limitation rules of Section 382 where an “ownership change” has occurred. American experienced an ownership change in connection with its emergence from bankruptcy in 2013. The general limitation rules of Section 382 for a debtor in a bankruptcy case are liberalized where the ownership change occurs upon emergence from bankruptcy. American elected to be covered by certain special rules for federal income tax purposes that permitted approximately $9.5 billion (with $7.3 billion of unlimited NOL remaining at December 31, 2015) of its federal NOL Carryforwards to be utilized without regard to the Section 382 annual limitation rules. Substantially all of American’s remaining federal NOL Carryforwards are subject to limitation under Section 382; however, American’s ability to utilize such NOL Carryforwards is not anticipated to be effectively constrained as a result of such limitation. Similar limitations may apply for state income tax purposes. American’s ability to utilize any new NOL Carryforwards arising after the 2013 ownership changes is not affected by the annual limitation rules imposed by Section 382 unless another ownership change occurs.</w:t>
      </w:r>
    </w:p>
    <w:p>
      <w:pPr>
        <w:spacing w:after="0" w:line="18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At December 31, 2015, American had an Alternative Minimum Tax credit carryforward of approximately $458 million available for federal income tax purposes, which is available for an indefinite period.</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connection with the preparation of American’s financial statements for the fourth quarter of 2015, management determined that it was more likely than not that substantially all of its deferred tax assets, which include its NOLs, would be realized. Accordingly, American reversed $3.5 billion of the valuation allowance as of December 31, 2015.</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first nine months of 2016, American recorded income tax expense with an effective rate of approximately 38%, which is substantially non-cash as American utilized the NOLs described above. For purposes of taxation, substantially all of American’s income before income taxes is attributable to the United States.</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Following the filing of AAG’s 2015 annual tax return in the third quarter of 2016, federal NOLs, substantially all of which are expected to be available to reduce future federal taxable income in 2016 and future years, increased by $2.4 billion. The increase in the federal NOLs is attributable to the election to take bonus depreciation on eligible assets (primarily aircraft) in the 2015 federal income tax return.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2016 Compared to Three Months Ended September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57"/>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7,654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Regional passenger</w:t>
            </w:r>
          </w:p>
        </w:tc>
        <w:tc>
          <w:tcPr>
            <w:tcW w:w="3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1,731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1,699</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3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w:t>
            </w: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3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10,689</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10,733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0"/>
        </w:trPr>
        <w:tc>
          <w:tcPr>
            <w:tcW w:w="5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Total operating revenues in the third quarter of 2016 decreased $44 million, or 0.4%, from the 2015 period. Mainline and regional passenger revenues declined $203 million, or 2.2%, as compared to the 2015 period driven by competitive capacity growth, continued macroeconomic softness outside of the United States and foreign currency weakness. The decline in mainline and regional passenger revenues was offset in part by an increase in other revenue primarily due to revenue generated from the new co-branded credit card agreements effective in the third quarter of 2016. Significant changes in the components of operating revenues are as follows:</w:t>
      </w:r>
    </w:p>
    <w:p>
      <w:pPr>
        <w:spacing w:after="0" w:line="94" w:lineRule="exact"/>
        <w:rPr>
          <w:sz w:val="20"/>
          <w:szCs w:val="20"/>
          <w:color w:val="auto"/>
        </w:rPr>
      </w:pPr>
    </w:p>
    <w:p>
      <w:pPr>
        <w:ind w:left="900" w:right="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Mainline passenger revenues decreased $235 million, or 3.1%, in the third quarter of 2016 from the 2015 period due to a decrease in yield and RPMs.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Regional passenger revenues increased $32 million, or 1.9%, in the third quarter of 2016 from the 2015 period due to higher RPMs, offset in part by a decrease in yield.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Cargo revenue decreased $9 million, or 5.1%, in the third quarter of 2016 from the 2015 period driven primarily by a decrease in domestic and international freight yields.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revenue increased $168 million, or 14.0%, in the third quarter of 2016 from the 2015 period primarily due to new co-branded credit card agreements effective in the third quarter of 2016.</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56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6"/>
          </w:tcPr>
          <w:p>
            <w:pPr>
              <w:ind w:left="28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64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7"/>
          </w:tcPr>
          <w:p>
            <w:pPr>
              <w:jc w:val="right"/>
              <w:ind w:right="133"/>
              <w:spacing w:after="0" w:line="142" w:lineRule="exact"/>
              <w:rPr>
                <w:sz w:val="20"/>
                <w:szCs w:val="20"/>
                <w:color w:val="auto"/>
              </w:rPr>
            </w:pPr>
            <w:r>
              <w:rPr>
                <w:rFonts w:ascii="Arial" w:cs="Arial" w:eastAsia="Arial" w:hAnsi="Arial"/>
                <w:sz w:val="14"/>
                <w:szCs w:val="14"/>
                <w:b w:val="1"/>
                <w:bCs w:val="1"/>
                <w:color w:val="auto"/>
                <w:w w:val="92"/>
              </w:rPr>
              <w:t>(In millions, except percentage changes)</w:t>
            </w:r>
          </w:p>
        </w:tc>
        <w:tc>
          <w:tcPr>
            <w:tcW w:w="10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1,393</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2,770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2,402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432</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Selling expenses</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366</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336</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Special items, net</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77.8</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r>
      <w:tr>
        <w:trPr>
          <w:trHeight w:val="223"/>
        </w:trPr>
        <w:tc>
          <w:tcPr>
            <w:tcW w:w="564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28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7,189</w:t>
            </w: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Fuel</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8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56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9,257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8,730</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0"/>
        </w:trPr>
        <w:tc>
          <w:tcPr>
            <w:tcW w:w="56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Total operating expenses in the third quarter of 2016 increased $527 million, or 6.0%, from the 2015 period. Significant changes in the components of mainline operating expenses are as follows:</w:t>
      </w:r>
    </w:p>
    <w:p>
      <w:pPr>
        <w:spacing w:after="0" w:line="76" w:lineRule="exact"/>
        <w:rPr>
          <w:sz w:val="20"/>
          <w:szCs w:val="20"/>
          <w:color w:val="auto"/>
        </w:rPr>
      </w:pPr>
    </w:p>
    <w:p>
      <w:pPr>
        <w:ind w:left="9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Aircraft fuel and related taxes decreased $200 million, or 12.6%, in the third quarter of 2016 from the 2015 period primarily due to a decrease in the average price per gallon of fuel.</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Salaries, wages and benefits increased $368 million, or 15.3%, in the third quarter of 2016 from the 2015 period primarily due to increased costs associated with new labor contracts and the addition of an employee profit sharing program effective January 1, 2016. During the third quarter of 2016, American accrued $86 million for this profit sharing program.</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rent and landing fees increased $31 million, or 7.2%, and was primarily driven by rate increases at certain airports in the third quarter of 2016 as compared to the 2015 period.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Selling expenses decreased $19 million, or 5.0%, primarily due to lower revenues in the third quarter of 2016, resulting in lower commissions and credit card fees.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Depreciation and amortization increased $63 million, or 18.6%, primarily due to new purchased aircraft deliveries since the end of the third quarter of 2015 in connection with American’s fleet renewal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regional expenses increased $91 million, or 5.9%, in the third quarter of 2016 from the 2015 period. The period-over-period increase was primarily due to a $98 million increase in other regional operating expenses principally due to increased flying under capacity purchase agreements, offset in part by a $7 million decrease in fuel costs due to a decrease in the average price per gallon of fuel. See Note 8 to American’s condensed consolidated financial statements in Part I, Item 1B for more detail on regional operating expenses.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7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7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2015</w:t>
            </w:r>
          </w:p>
        </w:tc>
        <w:tc>
          <w:tcPr>
            <w:tcW w:w="380" w:type="dxa"/>
            <w:vAlign w:val="bottom"/>
          </w:tcPr>
          <w:p>
            <w:pPr>
              <w:spacing w:after="0"/>
              <w:rPr>
                <w:sz w:val="12"/>
                <w:szCs w:val="12"/>
                <w:color w:val="auto"/>
              </w:rPr>
            </w:pPr>
          </w:p>
        </w:tc>
        <w:tc>
          <w:tcPr>
            <w:tcW w:w="1140" w:type="dxa"/>
            <w:vAlign w:val="bottom"/>
            <w:gridSpan w:val="2"/>
          </w:tcPr>
          <w:p>
            <w:pPr>
              <w:jc w:val="center"/>
              <w:ind w:left="58"/>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7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20" w:type="dxa"/>
            <w:vAlign w:val="bottom"/>
            <w:tcBorders>
              <w:top w:val="single" w:sz="8" w:color="auto"/>
            </w:tcBorders>
            <w:gridSpan w:val="8"/>
          </w:tcPr>
          <w:p>
            <w:pPr>
              <w:jc w:val="right"/>
              <w:ind w:right="378"/>
              <w:spacing w:after="0" w:line="142" w:lineRule="exact"/>
              <w:rPr>
                <w:sz w:val="20"/>
                <w:szCs w:val="20"/>
                <w:color w:val="auto"/>
              </w:rPr>
            </w:pPr>
            <w:r>
              <w:rPr>
                <w:rFonts w:ascii="Arial" w:cs="Arial" w:eastAsia="Arial" w:hAnsi="Arial"/>
                <w:sz w:val="14"/>
                <w:szCs w:val="14"/>
                <w:b w:val="1"/>
                <w:bCs w:val="1"/>
                <w:color w:val="auto"/>
              </w:rPr>
              <w:t>(In millions, except percentage changes)</w:t>
            </w:r>
          </w:p>
        </w:tc>
        <w:tc>
          <w:tcPr>
            <w:tcW w:w="100" w:type="dxa"/>
            <w:vAlign w:val="bottom"/>
          </w:tcPr>
          <w:p>
            <w:pPr>
              <w:spacing w:after="0"/>
              <w:rPr>
                <w:sz w:val="12"/>
                <w:szCs w:val="1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2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rPr>
              <w:t>(229)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(89.8)</w:t>
            </w: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360" w:type="dxa"/>
            <w:vAlign w:val="bottom"/>
            <w:gridSpan w:val="2"/>
          </w:tcPr>
          <w:p>
            <w:pPr>
              <w:jc w:val="right"/>
              <w:ind w:right="3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r>
      <w:tr>
        <w:trPr>
          <w:trHeight w:val="20"/>
        </w:trPr>
        <w:tc>
          <w:tcPr>
            <w:tcW w:w="7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American’s short-term investments in each period consisted of highly liquid investments which provided nominal returns.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Interest expense, net of capitalized interest increased $32 million in the third quarter of 2016 as compared to the 2015 period primarily due to issuances of $4.1 billion in aircraft related financings since the end of the third quarter of 2015.</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nonoperating expense, net in the third quarter of 2016 included $7 million of foreign currency losses.</w:t>
      </w:r>
    </w:p>
    <w:p>
      <w:pPr>
        <w:spacing w:after="0" w:line="225"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Other nonoperating expense, net in the third quarter of 2015 included $62 million of foreign currency losses and $21 million in special charges primarily related to non-cash write offs of unamortized debt discount and debt issuance costs associated with the purchase and subsequent remarketing of certain special facility revenue bonds. The foreign currency losses in the 2015 period were driven primarily by the strengthening of the U.S. dollar in foreign currency transactions relative to other currencies, principally in Latin American and European markets, including a 30% decrease in the value of the Brazilian real and a 4% decrease in the value of the British pound.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2016 Compared to Nine Months Ended September 30, 2015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Revenues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28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660" w:type="dxa"/>
            <w:vAlign w:val="bottom"/>
            <w:tcBorders>
              <w:top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28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2920" w:type="dxa"/>
            <w:vAlign w:val="bottom"/>
            <w:tcBorders>
              <w:top w:val="single" w:sz="8" w:color="auto"/>
            </w:tcBorders>
            <w:gridSpan w:val="6"/>
          </w:tcPr>
          <w:p>
            <w:pPr>
              <w:jc w:val="right"/>
              <w:ind w:right="157"/>
              <w:spacing w:after="0" w:line="142" w:lineRule="exact"/>
              <w:rPr>
                <w:sz w:val="20"/>
                <w:szCs w:val="20"/>
                <w:color w:val="auto"/>
              </w:rPr>
            </w:pPr>
            <w:r>
              <w:rPr>
                <w:rFonts w:ascii="Arial" w:cs="Arial" w:eastAsia="Arial" w:hAnsi="Arial"/>
                <w:sz w:val="14"/>
                <w:szCs w:val="14"/>
                <w:b w:val="1"/>
                <w:bCs w:val="1"/>
                <w:color w:val="auto"/>
                <w:w w:val="98"/>
              </w:rPr>
              <w:t>(In millions, except percentage changes)</w:t>
            </w:r>
          </w:p>
        </w:tc>
        <w:tc>
          <w:tcPr>
            <w:tcW w:w="100" w:type="dxa"/>
            <w:vAlign w:val="bottom"/>
          </w:tcPr>
          <w:p>
            <w:pPr>
              <w:spacing w:after="0"/>
              <w:rPr>
                <w:sz w:val="12"/>
                <w:szCs w:val="12"/>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Mainline passenger</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$ 21,192</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$ 22,298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Regional passenger</w:t>
            </w:r>
          </w:p>
        </w:tc>
        <w:tc>
          <w:tcPr>
            <w:tcW w:w="3980" w:type="dxa"/>
            <w:vAlign w:val="bottom"/>
            <w:gridSpan w:val="3"/>
          </w:tcPr>
          <w:p>
            <w:pPr>
              <w:jc w:val="right"/>
              <w:ind w:right="200"/>
              <w:spacing w:after="0"/>
              <w:rPr>
                <w:sz w:val="20"/>
                <w:szCs w:val="20"/>
                <w:color w:val="auto"/>
              </w:rPr>
            </w:pPr>
            <w:r>
              <w:rPr>
                <w:rFonts w:ascii="Arial" w:cs="Arial" w:eastAsia="Arial" w:hAnsi="Arial"/>
                <w:sz w:val="18"/>
                <w:szCs w:val="18"/>
                <w:color w:val="auto"/>
              </w:rPr>
              <w:t>5,040</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4,910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Cargo</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506</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568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Other</w:t>
            </w:r>
          </w:p>
        </w:tc>
        <w:tc>
          <w:tcPr>
            <w:tcW w:w="3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2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revenues</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$ 30,635</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$ 31,423</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r>
      <w:tr>
        <w:trPr>
          <w:trHeight w:val="20"/>
        </w:trPr>
        <w:tc>
          <w:tcPr>
            <w:tcW w:w="52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Total operating revenues in the first nine months of 2016 decreased $788 million, or 2.5%, from the 2015 period primarily due to a decline in mainline and regional passenger revenues driven by competitive capacity growth, continued macroeconomic softness outside of the United States and foreign currency weakness. Significant changes in the components of operating revenues are as follows:</w:t>
      </w:r>
    </w:p>
    <w:p>
      <w:pPr>
        <w:spacing w:after="0" w:line="87"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Mainline passenger revenues decreased $1.1 billion, or 5.0%, in the first nine months of 2016 from the 2015 period due to a decrease in yield.</w:t>
      </w:r>
    </w:p>
    <w:p>
      <w:pPr>
        <w:spacing w:after="0" w:line="153" w:lineRule="exact"/>
        <w:rPr>
          <w:rFonts w:ascii="Arial" w:cs="Arial" w:eastAsia="Arial" w:hAnsi="Arial"/>
          <w:sz w:val="16"/>
          <w:szCs w:val="16"/>
          <w:color w:val="auto"/>
        </w:rPr>
      </w:pPr>
    </w:p>
    <w:p>
      <w:pPr>
        <w:ind w:left="900" w:right="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Regional passenger revenues increased $130 million, or 2.7%, in the first nine months of 2016 from the 2015 period due to higher RPMs, offset in part by a decrease in yield.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Cargo revenue decreased $62 million, or 10.9%, in the first nine months of 2016 from the 2015 period driven primarily by a decrease in domestic and international freight yields.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Percent</w:t>
            </w:r>
          </w:p>
        </w:tc>
      </w:tr>
      <w:tr>
        <w:trPr>
          <w:trHeight w:val="162"/>
        </w:trPr>
        <w:tc>
          <w:tcPr>
            <w:tcW w:w="56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5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56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7"/>
          </w:tcPr>
          <w:p>
            <w:pPr>
              <w:jc w:val="right"/>
              <w:ind w:right="153"/>
              <w:spacing w:after="0" w:line="142" w:lineRule="exact"/>
              <w:rPr>
                <w:sz w:val="20"/>
                <w:szCs w:val="20"/>
                <w:color w:val="auto"/>
              </w:rPr>
            </w:pPr>
            <w:r>
              <w:rPr>
                <w:rFonts w:ascii="Arial" w:cs="Arial" w:eastAsia="Arial" w:hAnsi="Arial"/>
                <w:sz w:val="14"/>
                <w:szCs w:val="14"/>
                <w:b w:val="1"/>
                <w:bCs w:val="1"/>
                <w:color w:val="auto"/>
                <w:w w:val="93"/>
              </w:rPr>
              <w:t>(In millions, except percentage changes)</w:t>
            </w:r>
          </w:p>
        </w:tc>
        <w:tc>
          <w:tcPr>
            <w:tcW w:w="10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Aircraft fuel and related taxes</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3,736</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4,912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8,087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7,134</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Maintenance, materials and repairs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rent and landing fees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1,342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1,290</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Aircraft rent</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Selling expenses</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990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1,051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1,013</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Special items, net</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610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3,281</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23"/>
        </w:trPr>
        <w:tc>
          <w:tcPr>
            <w:tcW w:w="5620" w:type="dxa"/>
            <w:vAlign w:val="bottom"/>
          </w:tcPr>
          <w:p>
            <w:pPr>
              <w:ind w:left="360"/>
              <w:spacing w:after="0"/>
              <w:rPr>
                <w:sz w:val="20"/>
                <w:szCs w:val="20"/>
                <w:color w:val="auto"/>
              </w:rPr>
            </w:pPr>
            <w:r>
              <w:rPr>
                <w:rFonts w:ascii="Arial" w:cs="Arial" w:eastAsia="Arial" w:hAnsi="Arial"/>
                <w:sz w:val="18"/>
                <w:szCs w:val="18"/>
                <w:color w:val="auto"/>
              </w:rPr>
              <w:t>Total mainline operating expenses</w:t>
            </w:r>
          </w:p>
        </w:tc>
        <w:tc>
          <w:tcPr>
            <w:tcW w:w="2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21,384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21,684</w:t>
            </w:r>
          </w:p>
        </w:tc>
        <w:tc>
          <w:tcPr>
            <w:tcW w:w="2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Regional expenses:</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Fuel</w:t>
            </w:r>
          </w:p>
        </w:tc>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970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3,644</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Total regional operating expenses</w:t>
            </w:r>
          </w:p>
        </w:tc>
        <w:tc>
          <w:tcPr>
            <w:tcW w:w="2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w:t>
            </w: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5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26,122</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26,298</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r>
      <w:tr>
        <w:trPr>
          <w:trHeight w:val="20"/>
        </w:trPr>
        <w:tc>
          <w:tcPr>
            <w:tcW w:w="56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Total operating expenses in the first nine months of 2016 decreased $176 million, or 0.7%, from the 2015 period. Significant changes in the components of mainline operating expenses are as follows:</w:t>
      </w:r>
    </w:p>
    <w:p>
      <w:pPr>
        <w:spacing w:after="0" w:line="76" w:lineRule="exact"/>
        <w:rPr>
          <w:sz w:val="20"/>
          <w:szCs w:val="20"/>
          <w:color w:val="auto"/>
        </w:rPr>
      </w:pPr>
    </w:p>
    <w:p>
      <w:pPr>
        <w:ind w:left="90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Aircraft fuel and related taxes decreased $1.2 billion, or 23.9%, in the first nine months of 2016 from the 2015 period primarily due to a decrease in the average price per gallon of fuel.</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459" w:right="23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00" w:right="20" w:hanging="325"/>
        <w:spacing w:after="0" w:line="264"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Salaries, wages and benefits increased $953 million, or 13.4%, in the first nine months of 2016 from the 2015 period primarily due to increased costs associated with new labor contracts and the addition of an employee profit sharing program effective January 1, 2016. During the first nine months of 2016, American accrued $257 million for this profit sharing program.</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Maintenance, materials and repairs decreased $100 million, or 6.9%, and was primarily driven by fewer engine overhauls due to the timing of maintenance cycles in the first nine months of 2016 as compared to the 2015 period.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Aircraft rent decreased $33 million, or 3.6%, and was primarily due to expirations and early exiting of aircraft leases, driven by American’s fleet renewal program.</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Selling expenses decreased $61 million, or 5.9%, in the first nine months of 2016 from the 2015 period primarily due to lower revenues in the first nine months of 2016, resulting in lower commissions and credit card fees.</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Depreciation and amortization increased $115 million, or 11.4%, primarily due to new purchased aircraft deliveries since the end of the third quarter of 2015 in connection with American’s fleet renewal program.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Regional Operating Expenses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Total regional expenses increased $124 million, or 2.7%, in the first nine months of 2016 from the 2015 period. The period-over-period increase was primarily due to a $293 million increase in other regional operating expenses principally due to increased flying under capacity purchase agreements, offset in part by a $169 million decrease in fuel costs due to a decrease in the average price per gallon of fuel. See Note 8 to American’s condensed consolidated financial statements in Part I, Item 1B for more detail on regional operating expenses.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Nonoperating Income (Expense)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Percent</w:t>
            </w:r>
          </w:p>
        </w:tc>
      </w:tr>
      <w:tr>
        <w:trPr>
          <w:trHeight w:val="162"/>
        </w:trPr>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Increase</w:t>
            </w:r>
          </w:p>
        </w:tc>
      </w:tr>
      <w:tr>
        <w:trPr>
          <w:trHeight w:val="142"/>
        </w:trPr>
        <w:tc>
          <w:tcPr>
            <w:tcW w:w="8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11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(Decrease)</w:t>
            </w:r>
          </w:p>
        </w:tc>
      </w:tr>
      <w:tr>
        <w:trPr>
          <w:trHeight w:val="142"/>
        </w:trPr>
        <w:tc>
          <w:tcPr>
            <w:tcW w:w="8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980" w:type="dxa"/>
            <w:vAlign w:val="bottom"/>
            <w:tcBorders>
              <w:top w:val="single" w:sz="8" w:color="auto"/>
            </w:tcBorders>
            <w:gridSpan w:val="8"/>
          </w:tcPr>
          <w:p>
            <w:pPr>
              <w:jc w:val="right"/>
              <w:ind w:right="258"/>
              <w:spacing w:after="0" w:line="142" w:lineRule="exact"/>
              <w:rPr>
                <w:sz w:val="20"/>
                <w:szCs w:val="20"/>
                <w:color w:val="auto"/>
              </w:rPr>
            </w:pPr>
            <w:r>
              <w:rPr>
                <w:rFonts w:ascii="Arial" w:cs="Arial" w:eastAsia="Arial" w:hAnsi="Arial"/>
                <w:sz w:val="14"/>
                <w:szCs w:val="14"/>
                <w:b w:val="1"/>
                <w:bCs w:val="1"/>
                <w:color w:val="auto"/>
                <w:w w:val="97"/>
              </w:rPr>
              <w:t>(In millions, except percentage changes)</w:t>
            </w:r>
          </w:p>
        </w:tc>
        <w:tc>
          <w:tcPr>
            <w:tcW w:w="100" w:type="dxa"/>
            <w:vAlign w:val="bottom"/>
          </w:tcPr>
          <w:p>
            <w:pPr>
              <w:spacing w:after="0"/>
              <w:rPr>
                <w:sz w:val="12"/>
                <w:szCs w:val="12"/>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Interest expense, net of capitalized interest</w:t>
            </w:r>
          </w:p>
        </w:tc>
        <w:tc>
          <w:tcPr>
            <w:tcW w:w="14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(674)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(587)</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(83.7)</w:t>
            </w:r>
          </w:p>
        </w:tc>
      </w:tr>
      <w:tr>
        <w:trPr>
          <w:trHeight w:val="223"/>
        </w:trPr>
        <w:tc>
          <w:tcPr>
            <w:tcW w:w="8200" w:type="dxa"/>
            <w:vAlign w:val="bottom"/>
          </w:tcPr>
          <w:p>
            <w:pPr>
              <w:ind w:left="360"/>
              <w:spacing w:after="0"/>
              <w:rPr>
                <w:sz w:val="20"/>
                <w:szCs w:val="20"/>
                <w:color w:val="auto"/>
              </w:rPr>
            </w:pPr>
            <w:r>
              <w:rPr>
                <w:rFonts w:ascii="Arial" w:cs="Arial" w:eastAsia="Arial" w:hAnsi="Arial"/>
                <w:sz w:val="18"/>
                <w:szCs w:val="18"/>
                <w:color w:val="auto"/>
              </w:rPr>
              <w:t>Total nonoperating expense,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r>
      <w:tr>
        <w:trPr>
          <w:trHeight w:val="20"/>
        </w:trPr>
        <w:tc>
          <w:tcPr>
            <w:tcW w:w="8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American’s short-term investments in each period consisted of highly liquid investments which provided nominal returns.</w:t>
      </w:r>
    </w:p>
    <w:p>
      <w:pPr>
        <w:spacing w:after="0" w:line="22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Interest expense, net of capitalized interest increased $87 million in the first nine months of 2016 as compared to the 2015 period primarily due to issuances of $4.1 billion in aircraft related financings since the end of the third quarter of 2015.</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nonoperating expense, net in the first nine months of 2016 included $36 million in special charges related to non-cash write offs of unamortized bond discounts and issuance costs as well as payments of redemption premiums and fees in connection with a bond refinancing, offset in part by $19 million of foreign currency gains. The foreign currency gains were driven primarily by the weakening of the U.S. dollar relative to other currencies, principally the Brazilian real, which appreciated 19% in the first nine months of 2016.</w:t>
      </w:r>
    </w:p>
    <w:p>
      <w:pPr>
        <w:spacing w:after="0" w:line="18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Other nonoperating expense, net in the first nine months of 2015 included $143 million of foreign currency losses and a net $24 million in special charges, which principally included $41 million in charges primarily related to non-cash write offs of unamortized debt discount and debt issuance costs associated with refinancing American’s secured term loan facilities, prepayments of certain aircraft financings and the purchase and subsequent remarketing of certain special facility revenue bonds. These charges were offset in part by a $17 million early debt extinguishment gain associated with the repayment of American’s AAdvantage loan with Citibank. The foreign currency losses were driven primarily by the strengthening of the U.S. dollar in foreign currency transactions relative to other currencies, principally in Latin American and European markets, including a 50% decrease in the value of the Brazilian real, an 8% decrease in the value of the Euro and a 2% decrease in the value of the British pound.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As of September 30, 2016, AAG had approximately $9.2 billion in total available liquidity and $635 million in restricted cash and short-term investments. Additional detail of our available liquidity is provided in the table below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AAG</w:t>
            </w:r>
          </w:p>
        </w:tc>
        <w:tc>
          <w:tcPr>
            <w:tcW w:w="72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American</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12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1"/>
              </w:rPr>
              <w:t>September 30, 2016</w:t>
            </w:r>
          </w:p>
        </w:tc>
        <w:tc>
          <w:tcPr>
            <w:tcW w:w="7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2015</w:t>
            </w:r>
          </w:p>
        </w:tc>
        <w:tc>
          <w:tcPr>
            <w:tcW w:w="760" w:type="dxa"/>
            <w:vAlign w:val="bottom"/>
          </w:tcPr>
          <w:p>
            <w:pPr>
              <w:spacing w:after="0"/>
              <w:rPr>
                <w:sz w:val="12"/>
                <w:szCs w:val="12"/>
                <w:color w:val="auto"/>
              </w:rPr>
            </w:pPr>
          </w:p>
        </w:tc>
        <w:tc>
          <w:tcPr>
            <w:tcW w:w="12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3"/>
              </w:rPr>
              <w:t>September 30, 2016</w:t>
            </w:r>
          </w:p>
        </w:tc>
        <w:tc>
          <w:tcPr>
            <w:tcW w:w="72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2015</w:t>
            </w:r>
          </w:p>
        </w:tc>
        <w:tc>
          <w:tcPr>
            <w:tcW w:w="100" w:type="dxa"/>
            <w:vAlign w:val="bottom"/>
          </w:tcPr>
          <w:p>
            <w:pPr>
              <w:spacing w:after="0"/>
              <w:rPr>
                <w:sz w:val="12"/>
                <w:szCs w:val="12"/>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7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6,374</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5,864</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w w:val="93"/>
              </w:rPr>
              <w:t>6,371</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Undrawn revolver capacity</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2,425</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3"/>
              </w:rPr>
              <w:t>2,425</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shd w:val="clear" w:color="auto" w:fill="CCEEFF"/>
          </w:tcPr>
          <w:p>
            <w:pPr>
              <w:spacing w:after="0"/>
              <w:rPr>
                <w:sz w:val="18"/>
                <w:szCs w:val="18"/>
                <w:color w:val="auto"/>
              </w:rPr>
            </w:pPr>
          </w:p>
        </w:tc>
      </w:tr>
      <w:tr>
        <w:trPr>
          <w:trHeight w:val="223"/>
        </w:trPr>
        <w:tc>
          <w:tcPr>
            <w:tcW w:w="4320" w:type="dxa"/>
            <w:vAlign w:val="bottom"/>
          </w:tcPr>
          <w:p>
            <w:pPr>
              <w:spacing w:after="0"/>
              <w:rPr>
                <w:sz w:val="20"/>
                <w:szCs w:val="20"/>
                <w:color w:val="auto"/>
              </w:rPr>
            </w:pPr>
            <w:r>
              <w:rPr>
                <w:rFonts w:ascii="Arial" w:cs="Arial" w:eastAsia="Arial" w:hAnsi="Arial"/>
                <w:sz w:val="18"/>
                <w:szCs w:val="18"/>
                <w:color w:val="auto"/>
              </w:rPr>
              <w:t>Total available liquidity</w:t>
            </w: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9,180</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8,679</w:t>
            </w:r>
          </w:p>
        </w:tc>
        <w:tc>
          <w:tcPr>
            <w:tcW w:w="7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4"/>
              </w:rPr>
              <w:t>9,168</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8,651</w:t>
            </w:r>
          </w:p>
        </w:tc>
        <w:tc>
          <w:tcPr>
            <w:tcW w:w="10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Generally, fluctuations in foreign currencies, including devaluations, cannot be predicted by us and can significantly affect the value of our cash and short-term investments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operate a global business with 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8"/>
          <w:szCs w:val="18"/>
          <w:color w:val="auto"/>
        </w:rPr>
        <w:t>for additional discussion of this and other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risks.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Since July 2014, our Board of Directors has approved several share repurchase programs aggregating $9.0 billion of authority of which, as of September 30, 2016, $555 million remained unused under repurchase programs that expire on December 31, 2017. Share repurchases under our share repurchase programs may be made through a variety of methods, which may include open market purchases, privately negotiated transactions, block trades or accelerated share repurchase transactions. Any such repurchases will be made from time to time subject to market and economic conditions, applicable legal requirements and other relevant factors. Our share repurchase programs do not obligate us to repurchase any specific number of shares and may be suspended at any time at our discretion.</w:t>
      </w:r>
    </w:p>
    <w:p>
      <w:pPr>
        <w:spacing w:after="0" w:line="19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During the three months ended September 30, 2016, we repurchased 18.2 million shares of AAG common stock for $616 million at a weighted average cost per share of $33.87. During the nine months ended September 30, 2016, we repurchased 107.7 million shares of AAG common stock for $3.9 billion at a weighted average cost per share of $35.87. Since the inception of the share repurchase programs in July 2014, we have repurchased 216.2 million shares of AAG common stock for $8.4 billion at a weighted average cost per share of $39.06.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 Paid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declared the following cash dividends during the first nine months of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500" w:type="dxa"/>
            <w:vAlign w:val="bottom"/>
          </w:tcPr>
          <w:p>
            <w:pPr>
              <w:spacing w:after="0"/>
              <w:rPr>
                <w:sz w:val="14"/>
                <w:szCs w:val="14"/>
                <w:color w:val="auto"/>
              </w:rPr>
            </w:pPr>
          </w:p>
        </w:tc>
        <w:tc>
          <w:tcPr>
            <w:tcW w:w="10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7"/>
              </w:rPr>
              <w:t>Per share</w:t>
            </w:r>
          </w:p>
        </w:tc>
        <w:tc>
          <w:tcPr>
            <w:tcW w:w="17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For stockholders</w:t>
            </w:r>
          </w:p>
        </w:tc>
        <w:tc>
          <w:tcPr>
            <w:tcW w:w="18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Payable on</w:t>
            </w: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rPr>
              <w:t>Cash paid</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25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of record as of</w:t>
            </w:r>
          </w:p>
        </w:tc>
        <w:tc>
          <w:tcPr>
            <w:tcW w:w="1800" w:type="dxa"/>
            <w:vAlign w:val="bottom"/>
            <w:gridSpan w:val="2"/>
            <w:vMerge w:val="continue"/>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w:t>
            </w:r>
          </w:p>
        </w:tc>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Quarter</w:t>
            </w:r>
          </w:p>
        </w:tc>
        <w:tc>
          <w:tcPr>
            <w:tcW w:w="2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February 10, 2016</w:t>
            </w:r>
          </w:p>
        </w:tc>
        <w:tc>
          <w:tcPr>
            <w:tcW w:w="4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February 24, 2016</w:t>
            </w:r>
          </w:p>
        </w:tc>
        <w:tc>
          <w:tcPr>
            <w:tcW w:w="4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26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0.10</w:t>
            </w:r>
          </w:p>
        </w:tc>
        <w:tc>
          <w:tcPr>
            <w:tcW w:w="1780" w:type="dxa"/>
            <w:vAlign w:val="bottom"/>
            <w:gridSpan w:val="2"/>
          </w:tcPr>
          <w:p>
            <w:pPr>
              <w:jc w:val="right"/>
              <w:ind w:right="400"/>
              <w:spacing w:after="0"/>
              <w:rPr>
                <w:sz w:val="20"/>
                <w:szCs w:val="20"/>
                <w:color w:val="auto"/>
              </w:rPr>
            </w:pPr>
            <w:r>
              <w:rPr>
                <w:rFonts w:ascii="Arial" w:cs="Arial" w:eastAsia="Arial" w:hAnsi="Arial"/>
                <w:sz w:val="18"/>
                <w:szCs w:val="18"/>
                <w:color w:val="auto"/>
              </w:rPr>
              <w:t>May 4, 2016</w:t>
            </w:r>
          </w:p>
        </w:tc>
        <w:tc>
          <w:tcPr>
            <w:tcW w:w="1800" w:type="dxa"/>
            <w:vAlign w:val="bottom"/>
            <w:gridSpan w:val="2"/>
          </w:tcPr>
          <w:p>
            <w:pPr>
              <w:jc w:val="right"/>
              <w:ind w:right="400"/>
              <w:spacing w:after="0"/>
              <w:rPr>
                <w:sz w:val="20"/>
                <w:szCs w:val="20"/>
                <w:color w:val="auto"/>
              </w:rPr>
            </w:pPr>
            <w:r>
              <w:rPr>
                <w:rFonts w:ascii="Arial" w:cs="Arial" w:eastAsia="Arial" w:hAnsi="Arial"/>
                <w:sz w:val="18"/>
                <w:szCs w:val="18"/>
                <w:color w:val="auto"/>
              </w:rPr>
              <w:t>May 18, 2016</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6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0.10</w:t>
            </w:r>
          </w:p>
        </w:tc>
        <w:tc>
          <w:tcPr>
            <w:tcW w:w="1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5, 2016</w:t>
            </w:r>
          </w:p>
        </w:tc>
        <w:tc>
          <w:tcPr>
            <w:tcW w:w="1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August 19, 2016</w:t>
            </w: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October 2016, we announced that our Board of Directors had declared a $0.10 per share dividend for stockholders of record on November 7, 2016, and payable on November 21, 2016.</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w:t>
      </w:r>
    </w:p>
    <w:p>
      <w:pPr>
        <w:spacing w:after="0" w:line="289" w:lineRule="exact"/>
        <w:rPr>
          <w:sz w:val="20"/>
          <w:szCs w:val="20"/>
          <w:color w:val="auto"/>
        </w:rPr>
      </w:pPr>
    </w:p>
    <w:p>
      <w:pPr>
        <w:jc w:val="right"/>
        <w:ind w:right="9480"/>
        <w:spacing w:after="0"/>
        <w:rPr>
          <w:sz w:val="20"/>
          <w:szCs w:val="20"/>
          <w:color w:val="auto"/>
        </w:rPr>
      </w:pPr>
      <w:r>
        <w:rPr>
          <w:rFonts w:ascii="Arial" w:cs="Arial" w:eastAsia="Arial" w:hAnsi="Arial"/>
          <w:sz w:val="15"/>
          <w:szCs w:val="15"/>
          <w:b w:val="1"/>
          <w:bCs w:val="1"/>
          <w:i w:val="1"/>
          <w:iCs w:val="1"/>
          <w:color w:val="auto"/>
        </w:rPr>
        <w:t>Sources and Uses of Cash</w:t>
      </w:r>
    </w:p>
    <w:p>
      <w:pPr>
        <w:spacing w:after="0" w:line="152" w:lineRule="exact"/>
        <w:rPr>
          <w:sz w:val="20"/>
          <w:szCs w:val="20"/>
          <w:color w:val="auto"/>
        </w:rPr>
      </w:pPr>
    </w:p>
    <w:p>
      <w:pPr>
        <w:jc w:val="right"/>
        <w:ind w:right="9480"/>
        <w:spacing w:after="0"/>
        <w:rPr>
          <w:sz w:val="20"/>
          <w:szCs w:val="20"/>
          <w:color w:val="auto"/>
        </w:rPr>
      </w:pPr>
      <w:r>
        <w:rPr>
          <w:rFonts w:ascii="Arial" w:cs="Arial" w:eastAsia="Arial" w:hAnsi="Arial"/>
          <w:sz w:val="18"/>
          <w:szCs w:val="18"/>
          <w:b w:val="1"/>
          <w:bCs w:val="1"/>
          <w:i w:val="1"/>
          <w:iCs w:val="1"/>
          <w:u w:val="single" w:color="auto"/>
          <w:color w:val="auto"/>
        </w:rPr>
        <w:t>AAG and American</w:t>
      </w:r>
    </w:p>
    <w:p>
      <w:pPr>
        <w:spacing w:after="0" w:line="117" w:lineRule="exact"/>
        <w:rPr>
          <w:sz w:val="20"/>
          <w:szCs w:val="20"/>
          <w:color w:val="auto"/>
        </w:rPr>
      </w:pPr>
    </w:p>
    <w:p>
      <w:pPr>
        <w:jc w:val="right"/>
        <w:ind w:right="9500"/>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AAG’s net cash provided by operating activities was $5.9 billion and $6.0 billion for the first nine months of 2016 and 2015, respectively. While AAG’s profitability was lower in the 2016 period as compared to the same period in 2015, cash provided by operating activities remained relatively flat on a year-over-year basis due to favorable changes in working capital primarily driven by certain payments related to our new co-branded credit card agreements effective in the third quarter of 2016.</w:t>
      </w:r>
    </w:p>
    <w:p>
      <w:pPr>
        <w:sectPr>
          <w:pgSz w:w="11900" w:h="16838" w:orient="portrait"/>
          <w:cols w:equalWidth="0" w:num="1">
            <w:col w:w="11420"/>
          </w:cols>
          <w:pgMar w:left="240" w:top="459" w:right="239" w:bottom="1440"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American’s net cash provided by operating activities was $1.8 billion and $3.9 billion for the first nine months of 2016 and 2015, respectively, a period-over-period decrease of $2.1 billion. The decline in operating cash flows was primarily due to American’s increased cash funding of AAG’s share repurchases and dividend payments in the 2016 period. In addition, American received the proceeds of the $500 million senior notes issued by AAG during the first quarter of 2015, which also contributed to the period-over-period decline in operating cash flows.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1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Net cash used in investing activities was $4.6 billion and $6.0 billion for the first nine months of 2016 and 2015, respectively, for both AAG and American.</w:t>
      </w:r>
    </w:p>
    <w:p>
      <w:pPr>
        <w:spacing w:after="0" w:line="17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AAG and American’s principal investing activities in the 2016 period included expenditures of $4.3 billion and $4.2 billion, respectively, for property and equipment, consisting primarily of the purchase of newly delivered aircraft including 19 Airbus A321 aircraft, 18 Bombardier CRJ900 aircraft, 18 Embraer 175 aircraft, 15 Boeing 737-800 aircraft, five Boeing 787 family aircraft and two Boeing 777 aircraft, as well as $491 million in net purchases of short-term investments.</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AAG and American’s principal investing activities in the 2015 period each included expenditures of $4.6 billion for property and equipment, consisting primarily of the purchase of newly delivered aircraft including 24 Airbus A321 aircraft, 15 Embraer 175 aircraft, 14 Bombardier CRJ900 aircraft, 12 Boeing 737-800 aircraft, 11 Boeing 787 aircraft, seven Airbus A319 aircraft and one Boeing 777 aircraft, the purchase of five Boeing 757 aircraft previously being leased, as well as $1.6 billion in net purchases of short-term investments.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AAG’s net cash used in financing activities was $1.3 billion for the first nine months of 2016 as compared to $33 million provided by financing activities for the first nine months of 2015. American’s net cash provided by financing activities was $2.8 billion and $2.2 billion for the first nine months of 2016 and 2015, respectively.</w:t>
      </w:r>
    </w:p>
    <w:p>
      <w:pPr>
        <w:spacing w:after="0" w:line="18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AAG and American’s principal financing activities in the 2016 period each included proceeds of $5.4 billion from the issuance of debt, primarily including the $2.1 billion issuance of enhanced equipment trust certifications (EETCs) by American, $1.0 billion provided under the 2016 Term Loan Facility, the $844 million issuance of special facility revenue refunding bonds related to John F. Kennedy International Airport (JFK) and an additional $1.4 billion borrowed in connection with the financing of certain aircraft. These cash inflows were offset in part by debt repayments of $2.5 billion by AAG and American, primarily including the repayment of approximately $588 million in remaining principal of the 2013 Citicorp Credit Facility Tranche B-2 and the refunding of approximately $1.0 billion of special facility revenue bonds related to JFK. In addition, AAG had cash outflows of $3.9 billion in share repurchases and $172 million in dividend payments.</w:t>
      </w:r>
    </w:p>
    <w:p>
      <w:pPr>
        <w:spacing w:after="0" w:line="189"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AAG and American’s principal financing activities in the 2015 period included proceeds from the issuance of debt of $4.5 billion and $4.0 billion, respectively, primarily including the $2.3 billion issuance of EETCs by American and the $500 million issuance of 4.625% senior notes by AAG. These cash inflows were offset in part by debt repayments of $1.8 billion by AAG and American, including the $400 million repayment of American’s AAdvantage loan with Citibank. In addition, AAG had cash outflows of $2.4 billion in share repurchases and $206 million in dividend payments.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Significant Indebtedness</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As of September 30, 2016, AAG and American had $23.6 billion and $21.8 billion, respectively, in long-term debt and capital leases (including current maturities of $1.8 billion each). During the nine months ended September 30, 2016, there have been no material changes in our significant indebtedness as discussed in our 2015 Form 10-K, except for our new 2016 Credit Facilities, the repayment of the 2013 Citicorp Credit Facility Tranche B-2, the refinancing of certain special facility revenue bonds related to JFK, the amendment of the 2014 Credit Facilities to reduce the applicable interest rate margins, and new aircraft related indebtedness. See Note 5 to AAG’s condensed consolidated financial statements in Part I, Item 1A and Note 3 to American’s condensed consolidated financial statements in Part I, Item 1B for all indebtedness as of September 30, 2016, as well as 2016 financing activities.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Collateral Related Covenants</w:t>
      </w:r>
    </w:p>
    <w:p>
      <w:pPr>
        <w:spacing w:after="0" w:line="11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Certain of our debt financing agreements contain loan to value ratio covenants and require us to annually appraise the related collateral. Pursuant to such agreements, if the loan to value ratio exceeds a specified threshold, we are required, as applicable, to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pledge additional qualifying collateral (which in some cases may include cash collateral), or pay down such financing, in whole or in part. We were in compliance with the collateral coverage tests for the 2013 Credit Facilities, 2013 Citicorp Credit Facility, the 2014 Credit Facilities and the 2016 Credit Facilities as of the most recent measurement dates.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Credit Ratings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our credit ratings as of September 30,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7"/>
              </w:rPr>
              <w:t>S&amp;P</w:t>
            </w: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Fitch</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Moody’s</w:t>
            </w:r>
          </w:p>
        </w:tc>
      </w:tr>
      <w:tr>
        <w:trPr>
          <w:trHeight w:val="149"/>
        </w:trPr>
        <w:tc>
          <w:tcPr>
            <w:tcW w:w="116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5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Local Issuer</w:t>
            </w:r>
          </w:p>
        </w:tc>
        <w:tc>
          <w:tcPr>
            <w:tcW w:w="15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Issuer Default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r>
      <w:tr>
        <w:trPr>
          <w:trHeight w:val="171"/>
        </w:trPr>
        <w:tc>
          <w:tcPr>
            <w:tcW w:w="116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Credit Rating</w:t>
            </w:r>
          </w:p>
        </w:tc>
        <w:tc>
          <w:tcPr>
            <w:tcW w:w="15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5"/>
              </w:rPr>
              <w:t>Credit Rating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5"/>
              </w:rPr>
              <w:t>Family Rating</w:t>
            </w:r>
          </w:p>
        </w:tc>
      </w:tr>
      <w:tr>
        <w:trPr>
          <w:trHeight w:val="210"/>
        </w:trPr>
        <w:tc>
          <w:tcPr>
            <w:tcW w:w="7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AAG</w:t>
            </w: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BB-</w:t>
            </w:r>
          </w:p>
        </w:tc>
        <w:tc>
          <w:tcPr>
            <w:tcW w:w="6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BB-</w:t>
            </w:r>
          </w:p>
        </w:tc>
        <w:tc>
          <w:tcPr>
            <w:tcW w:w="6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Ba3</w:t>
            </w: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American</w:t>
            </w:r>
          </w:p>
        </w:tc>
        <w:tc>
          <w:tcPr>
            <w:tcW w:w="154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BB-</w:t>
            </w:r>
          </w:p>
        </w:tc>
        <w:tc>
          <w:tcPr>
            <w:tcW w:w="154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BB-</w:t>
            </w:r>
          </w:p>
        </w:tc>
        <w:tc>
          <w:tcPr>
            <w:tcW w:w="900" w:type="dxa"/>
            <w:vAlign w:val="bottom"/>
          </w:tcPr>
          <w:p>
            <w:pPr>
              <w:jc w:val="right"/>
              <w:ind w:right="321"/>
              <w:spacing w:after="0"/>
              <w:rPr>
                <w:sz w:val="20"/>
                <w:szCs w:val="20"/>
                <w:color w:val="auto"/>
              </w:rPr>
            </w:pPr>
            <w:r>
              <w:rPr>
                <w:rFonts w:ascii="Arial" w:cs="Arial" w:eastAsia="Arial" w:hAnsi="Arial"/>
                <w:sz w:val="18"/>
                <w:szCs w:val="18"/>
                <w:color w:val="auto"/>
              </w:rPr>
              <w:t>*</w:t>
            </w:r>
          </w:p>
        </w:tc>
      </w:tr>
      <w:tr>
        <w:trPr>
          <w:trHeight w:val="121"/>
        </w:trPr>
        <w:tc>
          <w:tcPr>
            <w:tcW w:w="1160" w:type="dxa"/>
            <w:vAlign w:val="bottom"/>
            <w:tcBorders>
              <w:bottom w:val="single" w:sz="8" w:color="auto"/>
            </w:tcBorders>
          </w:tcPr>
          <w:p>
            <w:pPr>
              <w:spacing w:after="0"/>
              <w:rPr>
                <w:sz w:val="10"/>
                <w:szCs w:val="10"/>
                <w:color w:val="auto"/>
              </w:rPr>
            </w:pPr>
          </w:p>
        </w:tc>
        <w:tc>
          <w:tcPr>
            <w:tcW w:w="6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50"/>
        </w:trPr>
        <w:tc>
          <w:tcPr>
            <w:tcW w:w="7440" w:type="dxa"/>
            <w:vAlign w:val="bottom"/>
            <w:gridSpan w:val="2"/>
          </w:tcPr>
          <w:p>
            <w:pPr>
              <w:spacing w:after="0"/>
              <w:rPr>
                <w:sz w:val="20"/>
                <w:szCs w:val="20"/>
                <w:color w:val="auto"/>
              </w:rPr>
            </w:pPr>
            <w:r>
              <w:rPr>
                <w:rFonts w:ascii="Arial" w:cs="Arial" w:eastAsia="Arial" w:hAnsi="Arial"/>
                <w:sz w:val="18"/>
                <w:szCs w:val="18"/>
                <w:color w:val="auto"/>
              </w:rPr>
              <w:t>*  The credit agency does not rate this category for the respective entity.</w:t>
            </w:r>
          </w:p>
        </w:tc>
        <w:tc>
          <w:tcPr>
            <w:tcW w:w="8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r>
    </w:tbl>
    <w:p>
      <w:pPr>
        <w:spacing w:after="0" w:line="20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6"/>
          <w:szCs w:val="16"/>
          <w:color w:val="auto"/>
        </w:rPr>
        <w:t>A decrease in our credit ratings could cause our borrowing costs to increase, which would increase our interest expense and could affect our net income, and our credit ratings could adversely affect our ability to obtain additional financing. If our financial performance or industry conditions worsen, we may face future downgrades, which could negatively impact our borrowing costs and the prices of our equity or debt securities. In addition, any downgrade of our credit ratings may indicate a decline in our business and in our ability to satisfy our obligations under our indebtedness. See Part II, Item 1A. Risk Factors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w:t>
      </w:r>
      <w:r>
        <w:rPr>
          <w:rFonts w:ascii="Arial" w:cs="Arial" w:eastAsia="Arial" w:hAnsi="Arial"/>
          <w:sz w:val="18"/>
          <w:szCs w:val="18"/>
          <w:i w:val="1"/>
          <w:iCs w:val="1"/>
          <w:color w:val="auto"/>
        </w:rPr>
        <w:t>Increased costs of financing, a reduction in the availability of financing and fluctuations in interest rates could adversely affect our liquidity,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and financial condition</w:t>
      </w:r>
      <w:r>
        <w:rPr>
          <w:rFonts w:ascii="Arial" w:cs="Arial" w:eastAsia="Arial" w:hAnsi="Arial"/>
          <w:sz w:val="18"/>
          <w:szCs w:val="18"/>
          <w:color w:val="auto"/>
        </w:rPr>
        <w:t>” for additional discussion.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Aircraft and Engine Purchase Commitments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September 30, 2016, we have definitive purchase agreements with Airbus, Boeing and Embraer for the acquisition of the following mainline and regional aircraft: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Remainder</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2017</w:t>
            </w:r>
          </w:p>
        </w:tc>
        <w:tc>
          <w:tcPr>
            <w:tcW w:w="3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2021 and</w:t>
            </w:r>
          </w:p>
        </w:tc>
        <w:tc>
          <w:tcPr>
            <w:tcW w:w="4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of 2016</w:t>
            </w: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Thereafter</w:t>
            </w:r>
          </w:p>
        </w:tc>
        <w:tc>
          <w:tcPr>
            <w:tcW w:w="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Airbus</w:t>
            </w:r>
          </w:p>
        </w:tc>
        <w:tc>
          <w:tcPr>
            <w:tcW w:w="60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A320 Family</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A320neo Family</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A350 XWB</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1"/>
              </w:rPr>
              <w:t>Boeing</w:t>
            </w:r>
          </w:p>
        </w:tc>
        <w:tc>
          <w:tcPr>
            <w:tcW w:w="604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99"/>
              </w:rPr>
              <w:t>737-800</w:t>
            </w:r>
          </w:p>
        </w:tc>
        <w:tc>
          <w:tcPr>
            <w:tcW w:w="58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737 MAX Family</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787 Family</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8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Embraer</w:t>
            </w:r>
          </w:p>
        </w:tc>
        <w:tc>
          <w:tcPr>
            <w:tcW w:w="6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58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3"/>
          </w:tcPr>
          <w:p>
            <w:pPr>
              <w:spacing w:after="0"/>
              <w:rPr>
                <w:sz w:val="20"/>
                <w:szCs w:val="20"/>
                <w:color w:val="auto"/>
              </w:rPr>
            </w:pPr>
            <w:r>
              <w:rPr>
                <w:rFonts w:ascii="Arial" w:cs="Arial" w:eastAsia="Arial" w:hAnsi="Arial"/>
                <w:sz w:val="18"/>
                <w:szCs w:val="18"/>
                <w:color w:val="auto"/>
              </w:rPr>
              <w:t xml:space="preserve">ERJ175 </w:t>
            </w:r>
            <w:r>
              <w:rPr>
                <w:rFonts w:ascii="Arial" w:cs="Arial" w:eastAsia="Arial" w:hAnsi="Arial"/>
                <w:sz w:val="15"/>
                <w:szCs w:val="15"/>
                <w:color w:val="auto"/>
              </w:rPr>
              <w:t>(1)</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100</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77" w:lineRule="auto"/>
        <w:tabs>
          <w:tab w:leader="none" w:pos="460" w:val="left"/>
        </w:tabs>
        <w:numPr>
          <w:ilvl w:val="0"/>
          <w:numId w:val="41"/>
        </w:numPr>
        <w:rPr>
          <w:rFonts w:ascii="Arial" w:cs="Arial" w:eastAsia="Arial" w:hAnsi="Arial"/>
          <w:sz w:val="15"/>
          <w:szCs w:val="15"/>
          <w:color w:val="auto"/>
        </w:rPr>
      </w:pPr>
      <w:r>
        <w:rPr>
          <w:rFonts w:ascii="Arial" w:cs="Arial" w:eastAsia="Arial" w:hAnsi="Arial"/>
          <w:sz w:val="18"/>
          <w:szCs w:val="18"/>
          <w:color w:val="auto"/>
        </w:rPr>
        <w:t>These aircraft may be operated by wholly-owned subsidiaries or leased to third-party regional carriers which would operate the aircraft under capacity purchase arrangements.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also have agreements for 48 spare engines to be delivered in 2016 and beyond. Under all of our aircraft and engine purchase agreements, our total future commitments as of September 30, 2016 are expected to be as follows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Remainder</w:t>
            </w:r>
          </w:p>
        </w:tc>
        <w:tc>
          <w:tcPr>
            <w:tcW w:w="6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6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5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50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2021 and</w:t>
            </w:r>
          </w:p>
        </w:tc>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of 2016</w:t>
            </w:r>
          </w:p>
        </w:tc>
        <w:tc>
          <w:tcPr>
            <w:tcW w:w="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Thereafter</w:t>
            </w: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Payments for the above aircraft commitments and certain engines </w:t>
            </w:r>
            <w:r>
              <w:rPr>
                <w:rFonts w:ascii="Arial" w:cs="Arial" w:eastAsia="Arial" w:hAnsi="Arial"/>
                <w:sz w:val="15"/>
                <w:szCs w:val="15"/>
                <w:color w:val="auto"/>
              </w:rPr>
              <w:t>(1)</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1,089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$2,196</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$3,119</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$3,138</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5,512</w:t>
            </w:r>
          </w:p>
        </w:tc>
        <w:tc>
          <w:tcPr>
            <w:tcW w:w="3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$19,114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jc w:val="both"/>
        <w:ind w:left="460" w:hanging="452"/>
        <w:spacing w:after="0" w:line="264" w:lineRule="auto"/>
        <w:tabs>
          <w:tab w:leader="none" w:pos="460" w:val="left"/>
        </w:tabs>
        <w:numPr>
          <w:ilvl w:val="0"/>
          <w:numId w:val="42"/>
        </w:numPr>
        <w:rPr>
          <w:rFonts w:ascii="Arial" w:cs="Arial" w:eastAsia="Arial" w:hAnsi="Arial"/>
          <w:sz w:val="15"/>
          <w:szCs w:val="15"/>
          <w:color w:val="auto"/>
        </w:rPr>
      </w:pPr>
      <w:r>
        <w:rPr>
          <w:rFonts w:ascii="Arial" w:cs="Arial" w:eastAsia="Arial" w:hAnsi="Arial"/>
          <w:sz w:val="18"/>
          <w:szCs w:val="18"/>
          <w:color w:val="auto"/>
        </w:rPr>
        <w:t>These amounts are net of purchase deposits currently held by the manufacturers and include all commitments for regional aircraft. American has granted a security interest in its purchase deposits with Boeing. Our purchase deposits held by all manufacturers totaled $1.1 billion as of September 30,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July 2016, we amended our purchase agreement with Airbus, the principal purpose of which was to revise the delivery schedule of the A350s, and such revised delivery schedule is reflected in the table and future payment schedule above. Prior to the effectiveness of the amendment, the delivery schedule for the A350s was four in 2017, 10 in 2018, six in 2019 and two in 2020.</w:t>
      </w:r>
    </w:p>
    <w:p>
      <w:pPr>
        <w:spacing w:after="0" w:line="18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As of September 30, 2016, we did not have financing commitments for the following aircraft currently on order and scheduled to be delivered through 2017: 19 Airbus A320 family aircraft in 2017, 12 Boeing 787 family aircraft in 2017, ten Boeing 737-800 aircraft in 2017 and four Boeing 737 MAX family aircraft in 2017. In addition, we do not have financing commitments in place for substantially all aircraft currently on order and scheduled to be delivered in 2018 and beyond. See Part II, Item 1A. Risk Factors – “</w:t>
      </w:r>
      <w:r>
        <w:rPr>
          <w:rFonts w:ascii="Arial" w:cs="Arial" w:eastAsia="Arial" w:hAnsi="Arial"/>
          <w:sz w:val="16"/>
          <w:szCs w:val="16"/>
          <w:i w:val="1"/>
          <w:iCs w:val="1"/>
          <w:color w:val="auto"/>
        </w:rPr>
        <w:t>We will need to obtain sufficient financing or other capital to operate successfully</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Labor Agreements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March 2016, we reached a tentative agreement with the Transport Workers Union (TWU) for a new five-year joint collective bargaining agreement applicable to dispatchers and operational specialists, which was ratified by TWU membership in April 2016 and provides immediate and significant pay increases.</w:t>
      </w:r>
    </w:p>
    <w:p>
      <w:pPr>
        <w:spacing w:after="0" w:line="18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In August 2016, we reached an interim agreement with the Transport Workers Union International Association of Machinists &amp; Aerospace Workers (TWU-IAM) to move approximately 35,000 maintenance, fleet service, stores and planner employees represented by the TWU-IAM to new pay rates and to provide additional flexibility in assigning work to these employees. This new interim agreement provides immediate and significant pay increases and does not constitute a new joint collective bargaining agreement, and negotiations for such an agreement will continue.</w:t>
      </w:r>
    </w:p>
    <w:p>
      <w:pPr>
        <w:spacing w:after="0" w:line="17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 September 2016, we reached a tentative agreement with the TWU-IAM on a new joint collective bargaining agreement applicable to flight simulator engineers, which is subject to ratification by the TWU-IAM membership.</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October 2016, we reached a tentative agreement with the TWU on a new joint collective bargaining agreement applicable to flight crew training instructors and simulator instructors, which is subject to ratification by the TWU membership.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Co-branded Credit Card Agreements</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In July 2016, American, Citi, Barclaycard US and MasterCard announced new agreements relating to American’s co-branded credit card program. Under the new arrangements, American will partner with two banks to provide co-branded credit cards. Citi and Barclaycard US will both issue AAdvantage co-branded credit cards commencing in January 2017. American also announced a new exclusive partnership and direct relationship with MasterCard. All new AAdvantage co-branded credit cards will be affiliated with MasterCard going forward. Consistent with our prior co-branded credit card agreements, we are accounting for these new agreements in accordance with Accounting Standards Update 2009-13, “Revenue Recognition (Topic 605) – Multiple-Deliverable Revenue Arrangements” as disclosed in our critical accounting policies and the consolidated financial statements and accompanying notes contained in our 2015 Form 10-K.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Republic Capacity Purchase Agreement</w:t>
      </w:r>
    </w:p>
    <w:p>
      <w:pPr>
        <w:spacing w:after="0" w:line="11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 xml:space="preserve">Republic Airways Holdings Inc. (Republic), commenced a Chapter 11 bankruptcy case on February 25, 2016. As part of Republic’s restructuring process and with bankruptcy court approval, in September 2016 we entered into an amendment to our contractual relationship with Republic, that, among other things, provided for the reduction in the number of aircraft operated by Republic on our behalf to 76 E175 aircraft (a reduction of 20 E170 and nine E175 aircraft). In addition, we have reached a settlement with Republic which, if approved by the bankruptcy court, would allow an unsecured claim on behalf of American in the amount of $250 million, to compensate us for losses and damages that we incurred under the existing contract with Republic. It is not possible, at this point, however, to quantify the value of a recovery on such claim. See Part II, Item 1A. Risk Factors – </w:t>
      </w:r>
      <w:r>
        <w:rPr>
          <w:rFonts w:ascii="Arial" w:cs="Arial" w:eastAsia="Arial" w:hAnsi="Arial"/>
          <w:sz w:val="17"/>
          <w:szCs w:val="17"/>
          <w:i w:val="1"/>
          <w:iCs w:val="1"/>
          <w:color w:val="auto"/>
        </w:rPr>
        <w:t>“If we encounter problems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any of our third-party regional operators or third-party service providers, our operations could be adversely affected by a resulting decline in revenue or negative public perception about our services” </w:t>
      </w:r>
      <w:r>
        <w:rPr>
          <w:rFonts w:ascii="Arial" w:cs="Arial" w:eastAsia="Arial" w:hAnsi="Arial"/>
          <w:sz w:val="17"/>
          <w:szCs w:val="17"/>
          <w:color w:val="auto"/>
        </w:rPr>
        <w:t>for additional discussion.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Off-Balance Sheet Arrangements</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An off-balance sheet arrangement is any transaction, agreement or other contractual arrangement involving an unconsolidated entity under which a company has (1) made guarantees, (2) a retained or a contingent interest in transferred assets, (3) an obligation under derivative instruments classified as equity or (4) any obligation arising out of a material variable interest in an unconsolidated entity that provides financing, liquidity, market risk or credit risk support to us, or that engages in leasing, hedging or research and development arrangements with us.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have been no material changes in our off-balance sheet arrangements as discussed in our 2015 Form 10-K.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AAG 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details of our future cash contractual obligations as of September 30,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7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Remainder</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0"/>
                <w:szCs w:val="10"/>
                <w:color w:val="auto"/>
              </w:rPr>
            </w:pPr>
          </w:p>
        </w:tc>
        <w:tc>
          <w:tcPr>
            <w:tcW w:w="9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2021 and</w:t>
            </w:r>
          </w:p>
        </w:tc>
        <w:tc>
          <w:tcPr>
            <w:tcW w:w="80" w:type="dxa"/>
            <w:vAlign w:val="bottom"/>
          </w:tcPr>
          <w:p>
            <w:pPr>
              <w:spacing w:after="0"/>
              <w:rPr>
                <w:sz w:val="10"/>
                <w:szCs w:val="10"/>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1"/>
              </w:rPr>
              <w:t>of 2016</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American</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15"/>
                <w:szCs w:val="15"/>
                <w:color w:val="auto"/>
              </w:rPr>
              <w:t>(1), (3)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1,853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1,891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2,885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3,342</w:t>
            </w: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11,483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21,776</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5"/>
                <w:szCs w:val="15"/>
                <w:color w:val="auto"/>
              </w:rPr>
              <w:t>(2), (3)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 xml:space="preserve">Commitments for aircraft and engine purchases </w:t>
            </w:r>
            <w:r>
              <w:rPr>
                <w:rFonts w:ascii="Arial" w:cs="Arial" w:eastAsia="Arial" w:hAnsi="Arial"/>
                <w:sz w:val="15"/>
                <w:szCs w:val="15"/>
                <w:color w:val="auto"/>
              </w:rPr>
              <w:t>(4)</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4,060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2,196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3,138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5,512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Operating lease commitments </w:t>
            </w:r>
            <w:r>
              <w:rPr>
                <w:rFonts w:ascii="Arial" w:cs="Arial" w:eastAsia="Arial" w:hAnsi="Arial"/>
                <w:sz w:val="15"/>
                <w:szCs w:val="15"/>
                <w:color w:val="auto"/>
              </w:rPr>
              <w:t>(5)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2,013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1,799</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13,099</w:t>
            </w: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 xml:space="preserve">Regional capacity purchase agreements </w:t>
            </w:r>
            <w:r>
              <w:rPr>
                <w:rFonts w:ascii="Arial" w:cs="Arial" w:eastAsia="Arial" w:hAnsi="Arial"/>
                <w:sz w:val="15"/>
                <w:szCs w:val="15"/>
                <w:color w:val="auto"/>
              </w:rPr>
              <w:t>(6)</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1,547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1,256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3,407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Minimum pension obligations </w:t>
            </w: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Retiree medical and other purchase obligations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American Contractual Obligations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11,030</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8,630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10,666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31,590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75,478</w:t>
            </w:r>
          </w:p>
        </w:tc>
        <w:tc>
          <w:tcPr>
            <w:tcW w:w="0" w:type="dxa"/>
            <w:vAlign w:val="bottom"/>
          </w:tcPr>
          <w:p>
            <w:pPr>
              <w:spacing w:after="0"/>
              <w:rPr>
                <w:sz w:val="1"/>
                <w:szCs w:val="1"/>
                <w:color w:val="auto"/>
              </w:rPr>
            </w:pPr>
          </w:p>
        </w:tc>
      </w:tr>
      <w:tr>
        <w:trPr>
          <w:trHeight w:val="324"/>
        </w:trPr>
        <w:tc>
          <w:tcPr>
            <w:tcW w:w="5320" w:type="dxa"/>
            <w:vAlign w:val="bottom"/>
            <w:gridSpan w:val="2"/>
          </w:tcPr>
          <w:p>
            <w:pPr>
              <w:spacing w:after="0"/>
              <w:rPr>
                <w:sz w:val="20"/>
                <w:szCs w:val="20"/>
                <w:color w:val="auto"/>
              </w:rPr>
            </w:pPr>
            <w:r>
              <w:rPr>
                <w:rFonts w:ascii="Arial" w:cs="Arial" w:eastAsia="Arial" w:hAnsi="Arial"/>
                <w:sz w:val="18"/>
                <w:szCs w:val="18"/>
                <w:i w:val="1"/>
                <w:iCs w:val="1"/>
                <w:color w:val="auto"/>
              </w:rPr>
              <w:t>AAG and Other AAG Subsidiaries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Debt and capital lease obligations </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 xml:space="preserve">Interest obligations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20" w:type="dxa"/>
            <w:vAlign w:val="bottom"/>
            <w:gridSpan w:val="2"/>
          </w:tcPr>
          <w:p>
            <w:pPr>
              <w:ind w:left="360"/>
              <w:spacing w:after="0"/>
              <w:rPr>
                <w:sz w:val="20"/>
                <w:szCs w:val="20"/>
                <w:color w:val="auto"/>
              </w:rPr>
            </w:pPr>
            <w:r>
              <w:rPr>
                <w:rFonts w:ascii="Arial" w:cs="Arial" w:eastAsia="Arial" w:hAnsi="Arial"/>
                <w:sz w:val="18"/>
                <w:szCs w:val="18"/>
                <w:color w:val="auto"/>
              </w:rPr>
              <w:t>Total AAG Contractual Obligations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11,136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9,218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11,719</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11,186</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31,623</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77,582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4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60" w:right="20" w:hanging="452"/>
        <w:spacing w:after="0" w:line="258"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8"/>
          <w:szCs w:val="18"/>
          <w:color w:val="auto"/>
        </w:rPr>
        <w:t>Amounts represent contractual amounts due. Excludes $200 million and $13 million of unamortized debt discount and debt issuance costs as of September 30, 2016 for American and AAG, respectively.</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43"/>
        </w:numPr>
        <w:rPr>
          <w:rFonts w:ascii="Arial" w:cs="Arial" w:eastAsia="Arial" w:hAnsi="Arial"/>
          <w:sz w:val="15"/>
          <w:szCs w:val="15"/>
          <w:color w:val="auto"/>
        </w:rPr>
      </w:pPr>
      <w:r>
        <w:rPr>
          <w:rFonts w:ascii="Arial" w:cs="Arial" w:eastAsia="Arial" w:hAnsi="Arial"/>
          <w:sz w:val="18"/>
          <w:szCs w:val="18"/>
          <w:color w:val="auto"/>
        </w:rPr>
        <w:t>For variable-rate debt, future interest obligations are estimated using the current forward rates at September 30, 2016.</w:t>
      </w:r>
    </w:p>
    <w:p>
      <w:pPr>
        <w:spacing w:after="0" w:line="9" w:lineRule="exact"/>
        <w:rPr>
          <w:rFonts w:ascii="Arial" w:cs="Arial" w:eastAsia="Arial" w:hAnsi="Arial"/>
          <w:sz w:val="15"/>
          <w:szCs w:val="15"/>
          <w:color w:val="auto"/>
        </w:rPr>
      </w:pPr>
    </w:p>
    <w:p>
      <w:pPr>
        <w:ind w:left="460" w:right="20" w:hanging="452"/>
        <w:spacing w:after="0" w:line="250"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8"/>
          <w:szCs w:val="18"/>
          <w:color w:val="auto"/>
        </w:rPr>
        <w:t>Includes $10.4 billion of future principal payments and $2.6 billion of future interest payments, respectively, as of September 30, 2016, related to EETC notes associated with mortgage financings for the purchase of certain aircraft.</w:t>
      </w:r>
    </w:p>
    <w:p>
      <w:pPr>
        <w:ind w:left="460" w:hanging="452"/>
        <w:spacing w:after="0" w:line="250" w:lineRule="auto"/>
        <w:tabs>
          <w:tab w:leader="none" w:pos="460" w:val="left"/>
        </w:tabs>
        <w:numPr>
          <w:ilvl w:val="0"/>
          <w:numId w:val="43"/>
        </w:numPr>
        <w:rPr>
          <w:rFonts w:ascii="Arial" w:cs="Arial" w:eastAsia="Arial" w:hAnsi="Arial"/>
          <w:sz w:val="15"/>
          <w:szCs w:val="15"/>
          <w:color w:val="auto"/>
        </w:rPr>
      </w:pPr>
      <w:r>
        <w:rPr>
          <w:rFonts w:ascii="Arial" w:cs="Arial" w:eastAsia="Arial" w:hAnsi="Arial"/>
          <w:sz w:val="18"/>
          <w:szCs w:val="18"/>
          <w:color w:val="auto"/>
        </w:rPr>
        <w:t>See Part I, Item 2. Management’s Discussion and Analysis of Financial Condition and Results of Operations –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additional information about these obligations.</w:t>
      </w:r>
    </w:p>
    <w:p>
      <w:pPr>
        <w:ind w:left="460" w:hanging="452"/>
        <w:spacing w:after="0"/>
        <w:tabs>
          <w:tab w:leader="none" w:pos="460" w:val="left"/>
        </w:tabs>
        <w:numPr>
          <w:ilvl w:val="0"/>
          <w:numId w:val="43"/>
        </w:numPr>
        <w:rPr>
          <w:rFonts w:ascii="Arial" w:cs="Arial" w:eastAsia="Arial" w:hAnsi="Arial"/>
          <w:sz w:val="14"/>
          <w:szCs w:val="14"/>
          <w:color w:val="auto"/>
        </w:rPr>
      </w:pPr>
      <w:r>
        <w:rPr>
          <w:rFonts w:ascii="Arial" w:cs="Arial" w:eastAsia="Arial" w:hAnsi="Arial"/>
          <w:sz w:val="17"/>
          <w:szCs w:val="17"/>
          <w:color w:val="auto"/>
        </w:rPr>
        <w:t>Includes $1.5 billion of future minimum lease payments related to EETC leverage leased financings of certain aircraft as of September 30, 2016.</w:t>
      </w:r>
    </w:p>
    <w:p>
      <w:pPr>
        <w:spacing w:after="0" w:line="20" w:lineRule="exact"/>
        <w:rPr>
          <w:rFonts w:ascii="Arial" w:cs="Arial" w:eastAsia="Arial" w:hAnsi="Arial"/>
          <w:sz w:val="14"/>
          <w:szCs w:val="14"/>
          <w:color w:val="auto"/>
        </w:rPr>
      </w:pPr>
    </w:p>
    <w:p>
      <w:pPr>
        <w:ind w:left="460" w:hanging="452"/>
        <w:spacing w:after="0" w:line="265" w:lineRule="auto"/>
        <w:tabs>
          <w:tab w:leader="none" w:pos="460" w:val="left"/>
        </w:tabs>
        <w:numPr>
          <w:ilvl w:val="0"/>
          <w:numId w:val="43"/>
        </w:numPr>
        <w:rPr>
          <w:rFonts w:ascii="Arial" w:cs="Arial" w:eastAsia="Arial" w:hAnsi="Arial"/>
          <w:sz w:val="14"/>
          <w:szCs w:val="14"/>
          <w:color w:val="auto"/>
        </w:rPr>
      </w:pPr>
      <w:r>
        <w:rPr>
          <w:rFonts w:ascii="Arial" w:cs="Arial" w:eastAsia="Arial" w:hAnsi="Arial"/>
          <w:sz w:val="17"/>
          <w:szCs w:val="17"/>
          <w:color w:val="auto"/>
        </w:rPr>
        <w:t>Represents minimum payments under capacity purchase agreements with third-party regional carriers. These commitments are estimates of costs based on assumed minimum levels of flying under the capacity purchase agreements and our actual payments could differ materially.</w:t>
      </w:r>
    </w:p>
    <w:p>
      <w:pPr>
        <w:jc w:val="both"/>
        <w:ind w:left="460" w:hanging="452"/>
        <w:spacing w:after="0" w:line="288" w:lineRule="auto"/>
        <w:tabs>
          <w:tab w:leader="none" w:pos="460" w:val="left"/>
        </w:tabs>
        <w:numPr>
          <w:ilvl w:val="0"/>
          <w:numId w:val="43"/>
        </w:numPr>
        <w:rPr>
          <w:rFonts w:ascii="Arial" w:cs="Arial" w:eastAsia="Arial" w:hAnsi="Arial"/>
          <w:sz w:val="14"/>
          <w:szCs w:val="14"/>
          <w:color w:val="auto"/>
        </w:rPr>
      </w:pPr>
      <w:r>
        <w:rPr>
          <w:rFonts w:ascii="Arial" w:cs="Arial" w:eastAsia="Arial" w:hAnsi="Arial"/>
          <w:sz w:val="16"/>
          <w:szCs w:val="16"/>
          <w:color w:val="auto"/>
        </w:rPr>
        <w:t>Includes minimum pension contributions based on actuarially determined estimates and other postretirement benefit payments and is based on estimated payments through 2025. We are required to make minimum contributions to our defined benefit pension plans under the minimum funding requirements of the Employee Retirement Income Security Act of 1974 and various other laws. Based on our current funding assumptions, we have no minimum required contributions until 2018. Currently, our minimum funding obligation for our pension plans is subject to favorable temporary funding rules that are scheduled to expire at the end of 2017. Our pension funding obligations are likely to increase materially following expiration of the temporary funding rules, when we will be required to make contributions relating to the 2018 fiscal year. The amount of these obligations will depend on the performance of our investments held in trust by the pension plans, interest rates for determining liabilities and our actuarial experience.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Raising Activity and Other Possible Actions</w:t>
      </w:r>
    </w:p>
    <w:p>
      <w:pPr>
        <w:spacing w:after="0" w:line="121"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In light of our significant financial commitments related to, among other things, new aircraft, the servicing and amortization of existing debt and equipment leasing arrangements, as well as future pension funding obligations, we and our subsidiaries will regularly consider, and enter into negotiations related to, capital raising activity, which may include the entry into leasing transactions and future issuances of secured or unsecured debt obligations or additional equity securities in public or private offerings or otherwise. The cash available from operations and these sources, however, may not be sufficient to cover cash contractual obligations because economic factors may reduce the amount of cash generated by operations or increase costs. For instance, an economic downturn or general global instability caused by military actions, terrorism, disease outbreaks or natural disasters could reduce the demand for air travel, which would reduce the amount of cash generated by operations. An increase in costs, either due to an increase in borrowing costs caused by a reduction in credit ratings or a general increase in interest rates, or due to an increase in the cost of fuel,</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maintenance, or aircraft, aircraft engines or parts, could decrease the amount of cash available to cover cash contractual obligations. Moreover, the 2013 Credit Facilities, the 2014 Credit Facilities, the 2013 Citicorp Credit Facility, the 2016 Credit Facilities and certain of our other financing arrangements contain significant minimum cash balance requirements. As a result, we cannot use all of our available cash to fund operations, capital expenditures and cash obligations without violating these requirements.</w:t>
      </w:r>
    </w:p>
    <w:p>
      <w:pPr>
        <w:spacing w:after="0" w:line="18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the past, we have from time to time refinanced, redeemed or repurchased our debt and taken other steps to reduce or otherwise manage the aggregate amount and cost of our debt or lease obligations or otherwise improve our balance sheet. Going forward, depending on market conditions, our cash position and other considerations, we may continue to take such actions.</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Our Board of Directors, has from time to time authorized programs to repurchase shares of our common stock, and may authorize additional share repurchase programs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In the third quarter of 2016, there were no changes to our critical accounting policies and estimates from those disclosed in the consolidated financial statements and accompanying notes contained in our 2015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See Note 1 to AAG’s condensed consolidated financial statements in Part I, Item 1A and Note 1 to American’s condensed consolidated financial statements in Part I, Item 1B for further information on recent accounting pronouncements.</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AAG and American’s Market Risk Sensitive Instruments and Positions</w:t>
      </w:r>
    </w:p>
    <w:p>
      <w:pPr>
        <w:spacing w:after="0" w:line="12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Our primary market risk exposures include the price of aircraft fuel, foreign currency exchange rates and interest rate risk. Our exposure to these market risks has not changed materially from our exposure discussed in our 2015 10-K except as updated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Aircraft Fuel</w:t>
      </w:r>
    </w:p>
    <w:p>
      <w:pPr>
        <w:spacing w:after="0" w:line="117"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As of September 30, 2016, we did not have any fuel hedging contracts outstanding to hedge our fuel consumption. As such, and assuming we do not enter into any future transactions to hedge our fuel consumption, we will continue to be fully exposed to fluctuations in fuel prices. Our current policy is not to enter into transactions to hedge our fuel consumption, although we review that policy from time to time based on market conditions and other factors. Our 2016 forecasted mainline and regional fuel consumption is presently approximately 4.3 billion gallons, and based on this forecast, a one cent per gallon increase in aviation fuel price would result in a $43 million increase in annual expense.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are exposed to the effect of foreign exchange rate fluctuations on the U.S. dollar value of foreign currency-denominated operating revenues and expenses. Our largest exposure comes from the British pound, Euro, Canadian dollar and various Latin American currencies, primarily the Brazilian real. We do not currently have a foreign currency hedge program.</w:t>
      </w:r>
    </w:p>
    <w:p>
      <w:pPr>
        <w:spacing w:after="0" w:line="181"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 xml:space="preserve">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 See Part II, Item 1A. Risk Factors – </w:t>
      </w:r>
      <w:r>
        <w:rPr>
          <w:rFonts w:ascii="Arial" w:cs="Arial" w:eastAsia="Arial" w:hAnsi="Arial"/>
          <w:sz w:val="16"/>
          <w:szCs w:val="16"/>
          <w:i w:val="1"/>
          <w:iCs w:val="1"/>
          <w:color w:val="auto"/>
        </w:rPr>
        <w:t>“We operate a global business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international operations that are subject to economic and political instability and have been, and in the future may continue to be, adversely affected by numerous events, circumstances or government actions beyond our control” </w:t>
      </w:r>
      <w:r>
        <w:rPr>
          <w:rFonts w:ascii="Arial" w:cs="Arial" w:eastAsia="Arial" w:hAnsi="Arial"/>
          <w:sz w:val="16"/>
          <w:szCs w:val="16"/>
          <w:color w:val="auto"/>
        </w:rPr>
        <w:t>for additional discussion of this and other currency risks.</w:t>
      </w:r>
    </w:p>
    <w:p>
      <w:pPr>
        <w:spacing w:after="0" w:line="3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121"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 term “disclosure controls and procedures” is defined in Rules 13a-15(e) and 15d-15(e) of the Securities Exchange Act of 1934, as amended (the Exchange Act). This term refers to the controls and procedures of a company that are designed to ensure that information required to be disclosed by a company in the reports that it files under the Exchange Act is recorded, processed, summarized and reported within the time periods specified by the SEC. An evaluation of the effectiveness of AAG’s and American’s disclosure controls and procedures as of September 30, 2016 was performed under the supervision and with the participation of AAG’s and American’s management, including AAG’s and American’s Chief Executive Officer (CEO) and Chief Financial Officer (CFO). Based on that evaluation, AAG’s and American’s management, including AAG’s and American’s CEO and CFO, concluded that AAG’s and American’s disclosure controls and procedures were effective as of September 30, 2016.</w:t>
      </w:r>
    </w:p>
    <w:p>
      <w:pPr>
        <w:sectPr>
          <w:pgSz w:w="11900" w:h="16838" w:orient="portrait"/>
          <w:cols w:equalWidth="0" w:num="1">
            <w:col w:w="11420"/>
          </w:cols>
          <w:pgMar w:left="240" w:top="459"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On December 9, 2013, AAG acquired US Airways Group and its subsidiaries. We are in the process of integrating policies, processes, people, technology and operations for the post-Merger combined company, and we will continue to evaluate the impact of any related changes to our internal control over financial reporting. Except for any changes in internal controls related to the integration of US Airways Group and its subsidiaries into the post-Merger combined company, including the related adoption of common financial reporting and internal control practices for the combined company and associated updates and improvements to the combined control environment, during the quarter ended September 30, 2016, there has been no change in AAG’s or American’s internal control over financial reporting that has materially affected, or is reasonably likely to materially affect, AAG’s and American’s internal control over financial reporting.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the Effectiveness of Controls</w:t>
      </w:r>
    </w:p>
    <w:p>
      <w:pPr>
        <w:spacing w:after="0" w:line="121"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believe that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the CEO and CFO of AAG and American believe that our disclosure controls and procedures were effective at the “reasonable assurance” level as of September 30, 2016.</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 xml:space="preserve">Chapter 11 Cases. </w:t>
      </w:r>
      <w:r>
        <w:rPr>
          <w:rFonts w:ascii="Arial" w:cs="Arial" w:eastAsia="Arial" w:hAnsi="Arial"/>
          <w:sz w:val="18"/>
          <w:szCs w:val="18"/>
          <w:color w:val="auto"/>
        </w:rPr>
        <w:t>On November 29, 2011, AMR, American, and certain of AMR’s other direct and indirect domestic subsidiaries (the Debtors) filed</w:t>
      </w:r>
      <w:r>
        <w:rPr>
          <w:rFonts w:ascii="Arial" w:cs="Arial" w:eastAsia="Arial" w:hAnsi="Arial"/>
          <w:sz w:val="18"/>
          <w:szCs w:val="18"/>
          <w:i w:val="1"/>
          <w:iCs w:val="1"/>
          <w:color w:val="auto"/>
        </w:rPr>
        <w:t xml:space="preserve"> </w:t>
      </w:r>
      <w:r>
        <w:rPr>
          <w:rFonts w:ascii="Arial" w:cs="Arial" w:eastAsia="Arial" w:hAnsi="Arial"/>
          <w:sz w:val="18"/>
          <w:szCs w:val="18"/>
          <w:color w:val="auto"/>
        </w:rPr>
        <w:t>voluntary petitions for relief under Chapter 11 of the United States Bankruptcy Code in the United States Bankruptcy Court for the Southern District of New York (the Bankruptcy Court). On October 21, 2013, the Bankruptcy Court entered an order approving and confirming the Debtors’ fourth amended joint plan of reorganization (as amended, the Plan). On the Effective Date, December 9, 2013, the Debtors consummated their reorganization pursuant to the Plan and completed the Merger.</w:t>
      </w:r>
    </w:p>
    <w:p>
      <w:pPr>
        <w:spacing w:after="0" w:line="18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Pursuant to rulings of the Bankruptcy Court, the Plan established the Disputed Claims Reserve to hold shares of AAG common stock reserved for issuance to disputed claimholders at the Effective Date that ultimately become holders of allowed “Single-Dip” unsecured claims. As of September 30, 2016, there were approximately 25.2 million shares of AAG common stock remaining in the Disputed Claims Reserve. As disputed claims are resolved, the claimants will receive distributions of shares from the Disputed Claims Reserve on the same basis as if such distributions had been made on or about the Effective Date. However, we are not required to distribute additional shares above the limits contemplated by the Plan, even if the shares remaining for distribution are not sufficient to fully pay any additional allowed unsecured claims. To the extent that any of the reserved shares remain undistributed upon resolution of all remaining disputed claims, such shares will not be returned to us but rather will be distributed to former AMR stockholders as of the Effective Date.</w:t>
      </w:r>
    </w:p>
    <w:p>
      <w:pPr>
        <w:spacing w:after="0" w:line="192"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There is also pending in the Bankruptcy Court an adversary proceeding relating to an action brought by American to seek a determination that certain non-pension, postemployment benefits are not vested benefits and thus may be modified or terminated without liability to American. On April 18, 2014, the Bankruptcy Court granted American’s motion for summary judgment with respect to certain non-union employees, concluding that their benefits were not vested and could be terminated. The summary judgment motion was denied with respect to all other retirees. The Bankruptcy Court has not yet scheduled a trial on the merits concerning whether those retirees’ benefits are vested, and American cannot predict whether it will receive relief from obligations to provide benefits to any of those retirees. Our financial statements presently reflect these retirement programs without giving effect to any modification or termination of benefits that may ultimately be implemented based upon the outcome of this proceeding.</w:t>
      </w:r>
    </w:p>
    <w:p>
      <w:pPr>
        <w:spacing w:after="0" w:line="178"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i w:val="1"/>
          <w:iCs w:val="1"/>
          <w:color w:val="auto"/>
        </w:rPr>
        <w:t xml:space="preserve">DOJ Antitrust Civil Investigative Demand. </w:t>
      </w:r>
      <w:r>
        <w:rPr>
          <w:rFonts w:ascii="Arial" w:cs="Arial" w:eastAsia="Arial" w:hAnsi="Arial"/>
          <w:sz w:val="16"/>
          <w:szCs w:val="16"/>
          <w:color w:val="auto"/>
        </w:rPr>
        <w:t>In June 2015, we received a Civil Investigative Demand (CID) from the United States Department of Justice</w:t>
      </w:r>
      <w:r>
        <w:rPr>
          <w:rFonts w:ascii="Arial" w:cs="Arial" w:eastAsia="Arial" w:hAnsi="Arial"/>
          <w:sz w:val="16"/>
          <w:szCs w:val="16"/>
          <w:i w:val="1"/>
          <w:iCs w:val="1"/>
          <w:color w:val="auto"/>
        </w:rPr>
        <w:t xml:space="preserve"> </w:t>
      </w:r>
      <w:r>
        <w:rPr>
          <w:rFonts w:ascii="Arial" w:cs="Arial" w:eastAsia="Arial" w:hAnsi="Arial"/>
          <w:sz w:val="16"/>
          <w:szCs w:val="16"/>
          <w:color w:val="auto"/>
        </w:rPr>
        <w:t>(DOJ) as part of an investigation into whether there have been illegal agreements or coordination of air passenger capacity. The CID seeks documents and other information from us, and other airlines have announced that they have received similar requests. We are cooperating fully with the DOJ investigation. In addition, subsequent to announcement of the delivery of CIDs by the DOJ, we, along with Delta Air Lines, Inc., Southwest Airlines Co., United Airlines, Inc. and, in the case of litigation filed in Canada, Air Canada, have been named as defendants in approximately 100 putative class action lawsuits alleging unlawful agreements with respect to air passenger capacity. The U.S. lawsuits were the subject of multiple motions to consolidate them in a single forum, and they have now been consolidated in the Federal District Court for the District of Columbia. The airline defendants have moved to dismiss all claims in the class actions. Both the DOJ investigation and these lawsuits are in their very early stages and we intend to defend the lawsuits vigorously.</w:t>
      </w:r>
    </w:p>
    <w:p>
      <w:pPr>
        <w:spacing w:after="0" w:line="166"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i w:val="1"/>
          <w:iCs w:val="1"/>
          <w:color w:val="auto"/>
        </w:rPr>
        <w:t>Private Party Antitrust Action</w:t>
      </w:r>
      <w:r>
        <w:rPr>
          <w:rFonts w:ascii="Arial" w:cs="Arial" w:eastAsia="Arial" w:hAnsi="Arial"/>
          <w:sz w:val="17"/>
          <w:szCs w:val="17"/>
          <w:color w:val="auto"/>
        </w:rPr>
        <w:t>. On July 2, 2013, a lawsuit captioned Carolyn Fjord, et al., v. US Airways Group, Inc., et al., was filed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District Court for the Northern District of California. The complaint named as defendants US Airways Group and US Airways, and alleged that the effect of the Merger may be to substantially lessen competition or tend to create a monopoly in violation of Section 7 of the Clayton Antitrust Act. The relief sought in the complaint included an injunction against the Merger, or divestiture. On August 6, 2013, the plaintiffs re-filed their complaint in the Bankruptcy Court, adding AMR and American as defendants, and on October 2, 2013, dismissed the initial California action. On November 27, 2013, the Bankruptcy Court denied plaintiffs’ motion to preliminarily enjoin the Merger. On August 19, 2015, after three previous largely unsuccessful attempts to amend their complaint, plaintiffs filed a fourth motion for leave to file an amended and supplemental complaint to add a claim for damages and demand for jury trial, as well as claims similar to those in the putative class action lawsuits regarding air passenger capacity. Thereafter, plaintiffs filed a request with the Judicial Panel on Multidistrict Litigation (JPML) to consolidate the Fjord matter with the putative class action lawsuits. The JPML denied that request on October 15, 2015 and plaintiffs’ request for further relief from the JPML was denied on February 4, 2016. Accordingly, the parties will continue to litigate the matter in Bankruptcy Court; a jointly proposed schedule for the remainder of the case was submitted on September 7, 2016, which has not yet been accepted by the court. We believe this lawsuit is without merit and intend to vigorously defend against the allegations.</w:t>
      </w:r>
    </w:p>
    <w:p>
      <w:pPr>
        <w:spacing w:after="0" w:line="180"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i w:val="1"/>
          <w:iCs w:val="1"/>
          <w:color w:val="auto"/>
        </w:rPr>
        <w:t>DOJ Investigation Related to the United States Postal Service</w:t>
      </w:r>
      <w:r>
        <w:rPr>
          <w:rFonts w:ascii="Arial" w:cs="Arial" w:eastAsia="Arial" w:hAnsi="Arial"/>
          <w:sz w:val="18"/>
          <w:szCs w:val="18"/>
          <w:color w:val="auto"/>
        </w:rPr>
        <w:t>. In April 2015, the DOJ informed us of an inquiry regarding American’s 2009 and 2011</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the United States Postal Service for the international transportation of mail by air. In October 2015, we received a CID from the DOJ seeking certain information relating to these contracts and the DOJ has also sought information concerning certain of the airlines that transport mail on a codeshare basis. The DOJ has indicated it is investigating potential violations of the False Claims Act or other statutes. We are cooperating fully with the DOJ investigation.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In addition to the specifically identified legal proceedings, we and our subsidiaries are also engaged in other legal proceedings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time. Legal proceedings can be complex and take many months, or even years, to reach resolution, with the final outcome depending on a number of variables, some of which are not within our control. Therefore, although we will vigorously defend ourselves in each of the actions described above and such other legal proceedings, their ultimate resolution and potential financial and other impacts on us are uncertain but could be material. See Part II, Item 1A. Risk Factors – “</w:t>
      </w:r>
      <w:r>
        <w:rPr>
          <w:rFonts w:ascii="Arial" w:cs="Arial" w:eastAsia="Arial" w:hAnsi="Arial"/>
          <w:sz w:val="18"/>
          <w:szCs w:val="18"/>
          <w:i w:val="1"/>
          <w:iCs w:val="1"/>
          <w:color w:val="auto"/>
        </w:rPr>
        <w:t>We may be a party to litigation in the normal course of business or otherwise, which could affect our financial position and liquidity</w:t>
      </w:r>
      <w:r>
        <w:rPr>
          <w:rFonts w:ascii="Arial" w:cs="Arial" w:eastAsia="Arial" w:hAnsi="Arial"/>
          <w:sz w:val="18"/>
          <w:szCs w:val="18"/>
          <w:color w:val="auto"/>
        </w:rPr>
        <w:t>” for additional discussion.</w:t>
      </w:r>
    </w:p>
    <w:p>
      <w:pPr>
        <w:spacing w:after="0" w:line="33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Below are certain risk factors that may affect our business, results of operations and financial condition, or the trading price of our common stock or other securities. We caution the reader that these risk factors may not be exhaustive. We operate in a continually changing business environment, and new risks and uncertainties emerge from time to time. Management cannot predict such new risks and uncertainties, nor can it assess the extent to which any of the risk factors below or any such new risks and uncertainties, or any combination thereof, may impact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 and Industry-Related Risks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experience significant operating losses in the future.</w:t>
      </w:r>
    </w:p>
    <w:p>
      <w:pPr>
        <w:spacing w:after="0" w:line="117"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For a number of reasons, including those addressed in these risk factors, we might fail to maintain profitability and might experience significant losses. In particular, the condition of the economy, the level and volatility of fuel prices, the state of travel demand and intense competition in the airline industry have had, and will continue to have, an impact on our operating results, and may increase the risk that we will experience losses.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Downturns in economic conditions adversely affect our business.</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 xml:space="preserve">Due to the discretionary nature of business and leisure travel spending, airline industry revenues are heavily influenced by the condition of the U.S. economy and economies in other regions of the world. Unfavorable conditions in these broader economies have resulted, and may result in the future, in decreased passenger demand for air travel and changes in booking practices, both of which in turn have had, and may have in the future, a strong negative effect on our revenues. In addition, during challenging economic times, actions by our competitors to increase their revenues can have an adverse impact on our revenues. See </w:t>
      </w:r>
      <w:r>
        <w:rPr>
          <w:rFonts w:ascii="Arial" w:cs="Arial" w:eastAsia="Arial" w:hAnsi="Arial"/>
          <w:sz w:val="17"/>
          <w:szCs w:val="17"/>
          <w:i w:val="1"/>
          <w:iCs w:val="1"/>
          <w:color w:val="auto"/>
        </w:rPr>
        <w:t>“The airline industry is intensely competitive and dynamic”</w:t>
      </w:r>
      <w:r>
        <w:rPr>
          <w:rFonts w:ascii="Arial" w:cs="Arial" w:eastAsia="Arial" w:hAnsi="Arial"/>
          <w:sz w:val="17"/>
          <w:szCs w:val="17"/>
          <w:color w:val="auto"/>
        </w:rPr>
        <w:t xml:space="preserve"> below. Certain labor agreements to which we are a party limit our ability to reduce the number of aircraft in operation, and the utilization of such aircraft, below certain levels. As a result, we may not be able to optimize the number of aircraft in operation in response to a decrease in passenger demand for air travel.</w:t>
      </w:r>
    </w:p>
    <w:p>
      <w:pPr>
        <w:spacing w:after="0" w:line="286"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Our business is dependent on the price and availability of aircraft fuel. Continued periods of high volatility in fuel costs, increased fuel prices and significant disruptions in the supply of aircraft fuel could have a significant negative impact on our operating results and liquidity.</w:t>
      </w:r>
    </w:p>
    <w:p>
      <w:pPr>
        <w:spacing w:after="0" w:line="16" w:lineRule="exact"/>
        <w:rPr>
          <w:sz w:val="20"/>
          <w:szCs w:val="20"/>
          <w:color w:val="auto"/>
        </w:rPr>
      </w:pPr>
    </w:p>
    <w:p>
      <w:pPr>
        <w:jc w:val="both"/>
        <w:ind w:firstLine="456"/>
        <w:spacing w:after="0" w:line="342" w:lineRule="auto"/>
        <w:rPr>
          <w:sz w:val="20"/>
          <w:szCs w:val="20"/>
          <w:color w:val="auto"/>
        </w:rPr>
      </w:pPr>
      <w:r>
        <w:rPr>
          <w:rFonts w:ascii="Arial" w:cs="Arial" w:eastAsia="Arial" w:hAnsi="Arial"/>
          <w:sz w:val="16"/>
          <w:szCs w:val="16"/>
          <w:color w:val="auto"/>
        </w:rPr>
        <w:t>Our operating results are materially impacted by changes in the availability, price volatility and cost of aircraft fuel, which represents one of the largest single cost items in our business. Jet fuel market prices have fluctuated substantially over the past several years and prices continue to be highly volatile.</w:t>
      </w:r>
    </w:p>
    <w:p>
      <w:pPr>
        <w:spacing w:after="0" w:line="124"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Because of the amount of fuel needed to operate our business, even a relatively small increase or decrease in the price of fuel can have a material effect on our operating results and liquidity. Due to the competitive nature of the airline industry and unpredictability of the market, we can offer no assurance that we may be able to increase our fares, impose fuel surcharges or otherwise increase revenues sufficiently to offset fuel price increases. Similarly, we cannot predict the effect or the actions of our competitors if the current low fuel prices remain in place for a significant period of time.</w:t>
      </w:r>
    </w:p>
    <w:p>
      <w:pPr>
        <w:spacing w:after="0" w:line="154"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Although we are currently able to obtain adequate supplies of aircraft fuel, we cannot predict the future availability, price volatility or cost of aircraft fuel. Natural disasters, political disruptions or wars involving oil-producing countries, changes in fuel-related governmental policy, the strength of the U.S. dollar against foreign currencies, changes in access to petroleum product pipelines and terminals, speculation in the energy futures markets, changes in aircraft fuel production capacity, environmental concerns and other unpredictable events may result in fuel supply shortages, additional fuel price volatility and cost increases in the future.</w:t>
      </w:r>
    </w:p>
    <w:p>
      <w:pPr>
        <w:spacing w:after="0" w:line="1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a large number of older aircraft in our fleet, and these aircraft are not as fuel efficient as more recent models of aircraft, including those we have on order. We intend to continue to execute our fleet renewal plans to, among other things, improve the fuel efficiency of our fleet, and we are dependent on a limited number of major aircraft manufacturers to deliver aircraft on schedule. If we experience delays in delivery of the more fuel efficient aircraft that we have on order, we will be adversely affected.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aviation fuel purchase contracts generally do not provide meaningful price protection against increases in fuel costs. Prior to the closing of the Merger, we sought to manage the risk of fuel price increases by using derivative contracts. As of September 30, 2016, we did not have any fuel hedging contracts outstanding. As such, and assuming we do not enter into any future transactions to hedge our fuel consumption, we will continue to be fully exposed to fluctuations in fuel prices.</w:t>
      </w:r>
    </w:p>
    <w:p>
      <w:pPr>
        <w:spacing w:after="0" w:line="187"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 xml:space="preserve">Our current policy is not to enter into transactions to hedge our fuel consumption, although we review that policy from time to time based on market conditions and other factors. If in the future we enter into derivative contracts to hedge our fuel consumption, there can be no assurance that, at any given time, we will have derivatives in place to provide any particular level of protection against increased fuel costs or that our counterparties will be able to perform under our derivative contracts. To the extent we use derivative contracts that have the potential to create an obligation to pay upon settlement if prices decline significantly, such derivative contracts may limit our ability to benefit from lower fuel costs in the future. Also, a rapid decline in the projected price of fuel at a time when we have fuel hedging contracts in place could adversely impact our short-term liquidity, because hedge counterparties could require that we post collateral in the form of cash or letters of credit. See also the discussion in Part I, Item 3. Quantitative and Qualitative Disclosures About Market Risk – </w:t>
      </w:r>
      <w:r>
        <w:rPr>
          <w:rFonts w:ascii="Arial" w:cs="Arial" w:eastAsia="Arial" w:hAnsi="Arial"/>
          <w:sz w:val="17"/>
          <w:szCs w:val="17"/>
          <w:i w:val="1"/>
          <w:iCs w:val="1"/>
          <w:color w:val="auto"/>
        </w:rPr>
        <w:t>“AAG and American’s Market Risk Sensitive Instruments and Positions – Aircraft Fuel.”</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airline industry is intensely competitive and dynamic.</w:t>
      </w:r>
    </w:p>
    <w:p>
      <w:pPr>
        <w:spacing w:after="0" w:line="117"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Our competitors include other major domestic airlines and foreign, regional and new entrant airlines, as well as joint ventures formed by some of these airlines, many of which have more financial or other resources and/or lower cost structures than ours, as well as other forms of transportation, including rail and private automobiles. In many of our markets we compete with at least one low-cost air carrier. Our revenues are sensitive to the actions of other carriers in many areas including pricing, scheduling, capacity and promotions, which can have a substantial adverse impact not only on our revenues, but on overall industry revenues. These factors may become even more significant in periods when the industry experiences large losses, as airlines under financial stress, or in bankruptcy, may institute pricing structures intended to achieve near-term survival rather than long-term viability.</w:t>
      </w:r>
    </w:p>
    <w:p>
      <w:pPr>
        <w:spacing w:after="0" w:line="165"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Low-cost carriers, including so-called ultra-low-cost carriers, have a profound impact on industry revenues. Using the advantage of low unit costs, these carriers offer lower fares in order to shift demand from larger, more established airlines and represent significant competitors, particularly for customers who fly infrequently and are price sensitive and tend not to be loyal to any one particular carrier. Some low-cost carriers, which have cost structures lower than ours, have better recent financial performance and have announced growth strategies including commitments to acquire significant numbers of aircraft for delivery in the next few years. These low-cost carriers are expected to continue to increase their market share through growth and, potentially, consolidation, and could continue to have an impact on our revenues and overall performance. For example, as a result of divestitures completed in connection with gaining regulatory approval for the Merger, low-fare, low-cost carriers have gained additional access in a number of markets, including Ronald Reagan Washington National Airport (DCA), a slot-controlled airport. The actions of the low-cost carriers, including those described above, could have a material adverse effect on our operations and financial performance.</w:t>
      </w:r>
    </w:p>
    <w:p>
      <w:pPr>
        <w:spacing w:after="0" w:line="182"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 xml:space="preserve">Our presence in international markets is not as extensive as that of some of our competitors. We derived approximately 30% of our operating revenues in 2015 from operations outside of the U.S., as measured and reported to the DOT. In providing international air transportation, we compete to provide scheduled passenger and cargo service between the U.S. and various overseas locations with U.S. airlines, foreign investor-owned airlines, and foreign state-owned or state-affiliated airlines, including carriers based in the Middle East, the three largest of which we believe benefit from significant government subsidies. Our international service exposes us to foreign economies and the potential for reduced demand, such as we have recently experienced in Brazil and Venezuela, when any foreign countries we serve suffer adverse local economic conditions. In addition, open skies agreements with an increasing number of countries around the world provide international airlines with open access to U.S. markets. See </w:t>
      </w:r>
      <w:r>
        <w:rPr>
          <w:rFonts w:ascii="Arial" w:cs="Arial" w:eastAsia="Arial" w:hAnsi="Arial"/>
          <w:sz w:val="17"/>
          <w:szCs w:val="17"/>
          <w:i w:val="1"/>
          <w:iCs w:val="1"/>
          <w:color w:val="auto"/>
        </w:rPr>
        <w:t>“Our business is subject to extensive government</w:t>
      </w:r>
      <w:r>
        <w:rPr>
          <w:rFonts w:ascii="Arial" w:cs="Arial" w:eastAsia="Arial" w:hAnsi="Arial"/>
          <w:sz w:val="17"/>
          <w:szCs w:val="17"/>
          <w:color w:val="auto"/>
        </w:rPr>
        <w:t xml:space="preserve"> </w:t>
      </w:r>
      <w:r>
        <w:rPr>
          <w:rFonts w:ascii="Arial" w:cs="Arial" w:eastAsia="Arial" w:hAnsi="Arial"/>
          <w:sz w:val="17"/>
          <w:szCs w:val="17"/>
          <w:i w:val="1"/>
          <w:iCs w:val="1"/>
          <w:color w:val="auto"/>
        </w:rPr>
        <w:t>regulation, which may result in increases in our costs, disruptions to our operations, limits on our operating flexibility, reductions in the demand for air travel, and competitive disadvantages.”</w:t>
      </w:r>
    </w:p>
    <w:p>
      <w:pPr>
        <w:spacing w:after="0" w:line="182"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Certain airline alliances have been, or may in the future be, granted immunity from antitrust regulations by governmental authorities for specific areas of cooperation, such as joint pricing decisions. To the extent alliances formed by our competitors can undertake activities that are not available to us, our ability to effectively compete may be hindered. Our ability to attract and retain customers is dependent upon, among other things, our ability to offer our customers convenient access to desired markets. Our business could be adversely affected if we are unable to maintain or obtain alliance and marketing relationships with other air carriers in desired markets.</w:t>
      </w:r>
    </w:p>
    <w:p>
      <w:pPr>
        <w:spacing w:after="0" w:line="188"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are party to antitrust-immunized cooperation agreements with British Airways, Iberia, Finnair, Royal Jordanian, Japan Airlines, LAN Airlines and LAN Peru. As part of the antitrust-immunized relationships, we have also established joint business agreements (JBAs) with British Airways, Iberia, and Finnair, and separately with Japan Airlines. We have signed a revised JBA with Qantas Airways and have applied for antitrust immunity with the DOT for the revised relationship, which application is still pending before the DOT. In addition, we have signed JBAs with certain air carriers of the LATAM Airlines Group and have applied for approval in the relevant jurisdictions affected by such agreements, which applications are still pending before the relevant regulators. No assurances can be given as to any benefits that we may derive from such arrangements or any other arrangements that may ultimately be implemented.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Additional mergers and other forms of industry consolidation, including antitrust immunity grants, may take place and may not involve us as a participant. Depending on which carriers combine and which assets, if any, are sold or otherwise transferred to other carriers in connection with such combinations, our competitive position relative to the post-combination carriers or other carriers that acquire such assets could be harmed. In addition, as carriers combine through traditional mergers or antitrust immunity grants, their route networks will grow, and that growth will result in greater overlap with our network, which in turn could result in lower overall market share and revenues for us. Such consolidation is not limited to the U.S., but could include further consolidation among international carriers in Europe and elsewhere.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integrate operations successfully and realize the anticipated synergies and other benefits of the Merger.</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The Merger involved the combination of two companies that operated as independent public companies prior to the Merger, and each of which operated its own international network airline. Historically, the integration of separate airlines has often proven to be more time consuming and to require more resources than initially estimated. Although we received a single operating certificate from the FAA for American and US Airways on April 8, 2015, implemented a single integrated reservation system on October 17, 2015 and merged American and US Airways on December 30, 2015, we must continue to devote significant management attention and resources to integrating our business practices, cultures and operations. Potential difficulties we may encounter as part of the integration process include the following:</w:t>
      </w:r>
    </w:p>
    <w:p>
      <w:pPr>
        <w:spacing w:after="0" w:line="99" w:lineRule="exact"/>
        <w:rPr>
          <w:sz w:val="20"/>
          <w:szCs w:val="20"/>
          <w:color w:val="auto"/>
        </w:rPr>
      </w:pPr>
    </w:p>
    <w:p>
      <w:pPr>
        <w:ind w:left="900" w:right="2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successfully combine our businesses in a manner that permits us to achieve the synergies and other benefits anticipated to result from the Merger;</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challenge of integrating complex systems, operating procedures, regulatory compliance programs, technology, aircraft fleets, networks, and other assets (including, for example, our flight operations systems and technology which supports human resources functions) in a manner that minimizes any adverse impact on customers, suppliers, employees, and other constituencies;</w:t>
      </w:r>
    </w:p>
    <w:p>
      <w:pPr>
        <w:spacing w:after="0" w:line="86" w:lineRule="exact"/>
        <w:rPr>
          <w:rFonts w:ascii="Arial" w:cs="Arial" w:eastAsia="Arial" w:hAnsi="Arial"/>
          <w:sz w:val="18"/>
          <w:szCs w:val="18"/>
          <w:color w:val="auto"/>
        </w:rPr>
      </w:pPr>
    </w:p>
    <w:p>
      <w:pPr>
        <w:ind w:left="900" w:hanging="325"/>
        <w:spacing w:after="0" w:line="34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effects of divestitures and other operational commitments entered into in connection with the settlement of the litigation brought by the Department of Justice (DOJ) and certain states prior to the closing of the Merger, including those involving Dallas Love Field Airport and DCA;</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challenge of forming and maintaining an effective and cohesive management team;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diversion of the attention of our management and other key employees;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challenge of integrating workforces while maintaining focus on providing consistent, high quality customer service and running an efficient operation;</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risks relating to integrating various computer, communications and other technology systems that will be necessary to operate American and US Airways as a single airline and to achieve cost synergies by eliminating redundancies in the businesses;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disruption of, or the loss of momentum in, our ongoing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branding or rebranding initiatives may involve substantial costs and may not be favorably received by customers;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potential unknown liabilities, liabilities that are significantly larger than we currently anticipate and unforeseen increased expenses or delays associated with the Merger, including costs in excess of the cash transition costs that we currently anticipate.</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Accordingly, we may not be able to realize the contemplated benefits of the Merger fully, or it may take longer and cost more than expected to realize such benefits.</w:t>
      </w:r>
    </w:p>
    <w:p>
      <w:pPr>
        <w:spacing w:after="0" w:line="2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Ongoing data security compliance requirements could increase our costs, and any significant data breach could disrupt our operations and harm our reputation, business, results of operations and financial condition.</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business requires the appropriate and secure utilization of customer, employee, business partner and other sensitive information. We cannot be certain that advances in criminal capabilities (including cyber-attacks or cyber intrusions over the Internet, malware, computer viruses and the like), discovery of new vulnerabilities or attempts to exploit existing vulnerabilities in our systems, other data thefts, physical system or network break-ins or inappropriate access, or other developments will not compromise or breach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technology protecting the networks that access and store sensitive information. The risk of a security breach or disruption, particularly through cyber-attack or cyber intrusion, including by computer hackers, foreign governments and cyber terrorists, has increased as the number, intensity and sophistication of attempted attacks and intrusions from around the world have increased. Furthermore, there has been heightened legislative and regulatory focus on data security in the U.S. and abroad (particularly in the European Union (EU)), including requirements for varying levels of customer notification in the event of a data breach.</w:t>
      </w:r>
    </w:p>
    <w:p>
      <w:pPr>
        <w:spacing w:after="0" w:line="18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addition, many of our commercial partners, including credit card companies, have imposed data security standards that we must meet. In particular, we are required by the Payment Card Industry Security Standards Council, founded by the credit card companies, to comply with their highest level of data security standards. While we continue our efforts to meet these standards, new and revised standards may be imposed that may be difficult for us to meet and could increase our costs.</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 significant data security breach or our failure to comply with applicable U.S. or foreign data security regulations or other data security standards may expose us to litigation, claims for contract breach, fines, sanctions or other penalties, which could disrupt our operations, harm our reputation and materially and adversely affect our business, results of operations and financial condition. Failure to address these issues appropriately could also give rise to additional legal risks, which, in turn, could increase the size and number of litigation claims and damages asserted or subject us to enforcement actions, fines and penalties and cause us to incur further related costs and expenses.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indebtedness and other obligations are substantial and could adversely affect our business and liquidity.</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have significant amounts of indebtedness and other obligations, including pension obligations, obligations to make future payments on flight equipment and property leases, and substantial non-cancelable obligations under aircraft and related spare engine purchase agreements. Moreover, currently a substantial portion of our assets are pledged to secure our indebtedness. Our substantial indebtedness and other obligations could have important consequences. For example, they:</w:t>
      </w:r>
    </w:p>
    <w:p>
      <w:pPr>
        <w:spacing w:after="0" w:line="92"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may make it more difficult for us to satisfy our obligations under our indebtedness;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may limit our ability to obtain additional funding for working capital, capital expenditures, acquisitions, investments, integration costs, and general corporate purposes, and adversely affect the terms on which such funding can be obtained;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and other obligations, thereby reducing the funds available for other purposes;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make us more vulnerable to economic downturns, industry conditions and catastrophic external events;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limit our ability to respond to business opportunities and to withstand operating risks that are customary in the industry, particularly relative to competitors with lower relative levels of financial leverage;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contain restrictive covenants that could:</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limit our ability to merge, consolidate, sell assets, incur additional indebtedness, issue preferred stock, make investments and pay dividends;</w:t>
      </w:r>
    </w:p>
    <w:p>
      <w:pPr>
        <w:spacing w:after="0" w:line="75" w:lineRule="exact"/>
        <w:rPr>
          <w:rFonts w:ascii="Arial" w:cs="Arial" w:eastAsia="Arial" w:hAnsi="Arial"/>
          <w:sz w:val="18"/>
          <w:szCs w:val="18"/>
          <w:color w:val="auto"/>
        </w:rPr>
      </w:pPr>
    </w:p>
    <w:p>
      <w:pPr>
        <w:jc w:val="both"/>
        <w:ind w:left="1480" w:hanging="446"/>
        <w:spacing w:after="0" w:line="264"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significantly constrain our ability to respond, or respond quickly, to unexpected disruptions in our own operations, the U.S. or global economies, or the businesses in which we operate, or to take advantage of opportunities that would improve our business, operations, or competitive position versus other airlines;</w:t>
      </w:r>
    </w:p>
    <w:p>
      <w:pPr>
        <w:spacing w:after="0" w:line="86" w:lineRule="exact"/>
        <w:rPr>
          <w:rFonts w:ascii="Arial" w:cs="Arial" w:eastAsia="Arial" w:hAnsi="Arial"/>
          <w:sz w:val="18"/>
          <w:szCs w:val="18"/>
          <w:color w:val="auto"/>
        </w:rPr>
      </w:pPr>
    </w:p>
    <w:p>
      <w:pPr>
        <w:ind w:left="1480" w:hanging="446"/>
        <w:spacing w:after="0" w:line="277" w:lineRule="auto"/>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limit our ability to withstand competitive pressures and reduce our flexibility in responding to changing business and economic conditions;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result in an event of default under our indebtedness.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will need to obtain sufficient financing or other capital to operate successfully.</w:t>
      </w:r>
    </w:p>
    <w:p>
      <w:pPr>
        <w:spacing w:after="0" w:line="117"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Our business plan contemplates significant investments in modernizing our fleet and integrating the American and US Airways businesses. Significant capital resources will be required to execute this plan. We estimate that, based on our commitments as of September 30, 2016, our planned aggregate expenditures for aircraft purchase commitments and certain engines on a consolidated basis for calendar years 2016-2020 would be approximately $13.6 billion. Accordingly, we will need substantial financing or other capital resources. In addition, as of the date of this report, we had not secured financing commitments for some of the aircraft that we have on order, and we cannot be assured of the availability or cost of that financing. In particular, as of September 30, 2016, we did not have financing commitments for the following aircraft currently on order and scheduled to be delivered through 2017: 19 Airbus A320 family aircraft in 2017, 12 Boeing 787 family aircraft in 2017, ten Boeing 737-800 aircraft in 2017 and four Boeing 737 MAX</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family aircraft in 2017. In addition, we do not have financing commitments in place for substantially all aircraft currently on order and scheduled to be delivered in 2018 and beyond. The number of aircraft for which we do not have financing may change as we exercise purchase options or otherwise change our purchase and delivery schedules. If we are unable to arrange financing for such aircraft at customary advance rates and on terms and conditions acceptable to us, we may need to use cash from operations or cash on hand to purchase such aircraft or may seek to negotiate deferrals for such aircraft with the aircraft manufacturers. Depending on numerous factors, many of which are out of our control, such as the state of the domestic and global economies, the capital and credit markets’ view of our prospects and the airline industry in general, and the general availability of debt and equity capital at the time we seek capital, the financing or other capital resources that we will need may not be available to us, or may only be available on onerous terms and conditions. There can be no assurance that we will be successful in obtaining financing or other needed sources of capital to operate successfully. An inability to obtain necessary financing on acceptable terms would have a material adverse impact on our business, results of operations and financial condition.</w:t>
      </w:r>
    </w:p>
    <w:p>
      <w:pPr>
        <w:spacing w:after="0" w:line="275"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Increased costs of financing, a reduction in the availability of financing and fluctuations in interest rates could adversely affect our liquidity, results of operations and financial condition.</w:t>
      </w:r>
    </w:p>
    <w:p>
      <w:pPr>
        <w:spacing w:after="0" w:line="62" w:lineRule="exact"/>
        <w:rPr>
          <w:sz w:val="20"/>
          <w:szCs w:val="20"/>
          <w:color w:val="auto"/>
        </w:rPr>
      </w:pPr>
    </w:p>
    <w:p>
      <w:pPr>
        <w:jc w:val="both"/>
        <w:ind w:firstLine="456"/>
        <w:spacing w:after="0" w:line="293" w:lineRule="auto"/>
        <w:rPr>
          <w:sz w:val="20"/>
          <w:szCs w:val="20"/>
          <w:color w:val="auto"/>
        </w:rPr>
      </w:pPr>
      <w:r>
        <w:rPr>
          <w:rFonts w:ascii="Arial" w:cs="Arial" w:eastAsia="Arial" w:hAnsi="Arial"/>
          <w:sz w:val="16"/>
          <w:szCs w:val="16"/>
          <w:color w:val="auto"/>
        </w:rPr>
        <w:t>Concerns about the systemic impact of inflation, the availability and cost of credit, energy costs and geopolitical issues, combined with continued changes in business activity levels and consumer confidence, increased unemployment and volatile oil prices, have in the past and may in the future contribute to volatility in the capital and credit markets. These market conditions could result in illiquid credit markets and wider credit spreads. Any such changes in the domestic and global financial markets may increase our costs of financing and adversely affect our ability to obtain financing needed for the acquisition of aircraft that we have contractual commitments to purchase and for other types of financings we may seek in order to refinance debt maturities, raise capital or fund other types of obligations. Any downgrades to our credit rating may likewise increase the cost and reduce the availability of financing.</w:t>
      </w:r>
    </w:p>
    <w:p>
      <w:pPr>
        <w:spacing w:after="0" w:line="165"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 xml:space="preserve">Further, a substantial portion of our indebtedness bears interest at fluctuating interest rates, primarily based on the London interbank offered rate for deposits of U.S. dollars (LIBOR). LIBOR tends to fluctuate based on general economic conditions, general interest rates, rates set by the Federal Reserve and other central banks, and the supply of and demand for credit in the London interbank market. We have not hedged our interest rate exposure with respect to our floating rate debt. Accordingly, our interest expense for any particular period will fluctuate based on LIBOR and other variable interest rates. To the extent these interest rates increase, our interest expense will increase, in which event we may have difficulties making interest payments and funding our other fixed costs, and our available cash flow for general corporate requirements may be adversely affected. See also the discussion of interest rate risk in Part II, Item 7A. Quantitative and Qualitative Disclosures About Market Risk – </w:t>
      </w:r>
      <w:r>
        <w:rPr>
          <w:rFonts w:ascii="Arial" w:cs="Arial" w:eastAsia="Arial" w:hAnsi="Arial"/>
          <w:sz w:val="17"/>
          <w:szCs w:val="17"/>
          <w:i w:val="1"/>
          <w:iCs w:val="1"/>
          <w:color w:val="auto"/>
        </w:rPr>
        <w:t>“AAG’s Market Risk Sensitive Instruments and Positions – Interest”</w:t>
      </w:r>
      <w:r>
        <w:rPr>
          <w:rFonts w:ascii="Arial" w:cs="Arial" w:eastAsia="Arial" w:hAnsi="Arial"/>
          <w:sz w:val="17"/>
          <w:szCs w:val="17"/>
          <w:color w:val="auto"/>
        </w:rPr>
        <w:t xml:space="preserve"> and “</w:t>
      </w:r>
      <w:r>
        <w:rPr>
          <w:rFonts w:ascii="Arial" w:cs="Arial" w:eastAsia="Arial" w:hAnsi="Arial"/>
          <w:sz w:val="17"/>
          <w:szCs w:val="17"/>
          <w:i w:val="1"/>
          <w:iCs w:val="1"/>
          <w:color w:val="auto"/>
        </w:rPr>
        <w:t>American’s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Market Risk Sensitive Instruments and Positions – Interest” </w:t>
      </w:r>
      <w:r>
        <w:rPr>
          <w:rFonts w:ascii="Arial" w:cs="Arial" w:eastAsia="Arial" w:hAnsi="Arial"/>
          <w:sz w:val="17"/>
          <w:szCs w:val="17"/>
          <w:color w:val="auto"/>
        </w:rPr>
        <w:t>in our 2015 Form 10-K.</w:t>
      </w:r>
    </w:p>
    <w:p>
      <w:pPr>
        <w:spacing w:after="0" w:line="287"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b w:val="1"/>
          <w:bCs w:val="1"/>
          <w:i w:val="1"/>
          <w:iCs w:val="1"/>
          <w:color w:val="auto"/>
        </w:rPr>
        <w:t>Our high level of fixed obligations may limit our ability to fund general corporate requirements and obtain additional financing, may limit our flexibility in responding to competitive developments and cause our business to be vulnerable to adverse economic and industry conditions.</w:t>
      </w:r>
    </w:p>
    <w:p>
      <w:pPr>
        <w:spacing w:after="0" w:line="16"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We have a significant amount of fixed obligations, including debt, pension costs, aircraft leases and financings, aircraft purchase commitments, leases and developments of airport and other facilities and other cash obligations. We also have certain guaranteed costs associated with our regional operations.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result of the substantial fixed costs associated with these obligations:</w:t>
      </w:r>
    </w:p>
    <w:p>
      <w:pPr>
        <w:spacing w:after="0" w:line="131"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decrease in revenues results in a disproportionately greater percentage decrease in earnings;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not have sufficient liquidity to fund all of these fixed obligations if our revenues decline or costs increase; and</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may have to use our working capital to fund these fixed obligations instead of funding general corporate requirements, including capital expenditures.</w:t>
      </w:r>
    </w:p>
    <w:p>
      <w:pPr>
        <w:spacing w:after="0" w:line="17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These obligations also impact our ability to obtain additional financing, if needed, and our flexibility in the conduct of our business, and could materially adversely affect our liquidity, results of operations and financial condition.</w:t>
      </w:r>
    </w:p>
    <w:p>
      <w:pPr>
        <w:spacing w:after="0" w:line="2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significant pension and other postretirement benefit funding obligations, which may adversely affect our liquidity, results of operations and financial condition.</w:t>
      </w:r>
    </w:p>
    <w:p>
      <w:pPr>
        <w:spacing w:after="0" w:line="6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pension funding obligations are significant. The amount of these obligations will depend on the performance of investments held in trust by the pension plans, interest rates for determining liabilities and actuarial experience. Currently, our minimum funding obligation for our pension plans is subject to favorable temporary funding rules that are scheduled to expire at the end of 2017. Our pension funding obligations are likely to increase materially beginning in 2019, when we will be required to make contributions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relating to the 2018 fiscal year. In addition, we may have significant obligations for other postretirement benefits, the ultimate amount of which depends on, among other things, the outcome of an adversary proceeding related to retiree medical and life insurance obligations filed in the Chapter 11 Cases.</w:t>
      </w:r>
    </w:p>
    <w:p>
      <w:pPr>
        <w:spacing w:after="0" w:line="255"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Any failure to comply with the covenants contained in our financing arrangements may have a material adverse effect on our business, results of operations and financial condition.</w:t>
      </w:r>
    </w:p>
    <w:p>
      <w:pPr>
        <w:spacing w:after="0" w:line="62"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The terms of the $1.9 billion term loan facility and the $1.4 billion revolving credit facility provided for by the credit and guaranty agreement, entered into June 27, 2013 between AAG, American and certain lenders (as amended and restated on May 21, 2015 and as otherwise amended, the “2013 Credit Facilities”), the $1.6 billion term loan facility entered into on May 23, 2013 between American and AAG and certain lenders (as amended, the “2013 Citicorp Credit Facility”), the $750 million term loan facility and the $1.0 billion revolving credit facility entered into October 10, 2014 between AAG and American and certain lenders (as amended and restated on April 20, 2015 and as otherwise amended, the “2014 Credit Facilities”) and the Credit and Guaranty Agreement entered into on April 29, 2016, between AAG and American and certain lenders, which provides for a $1.0 billion term loan facility (the “2016 Term Loan Facility”) and a revolving credit facility that may be established in the future (the “2016 Revolving Credit Facility,” and together with the 2016 Term Loan Facility, the “2016 Credit Facilities”) require AAG and American to ensure that AAG and its restricted subsidiaries maintain consolidated unrestricted cash and cash equivalents and amounts available to be drawn under revolving credit facilities in an aggregate amount not less than $2.0 billion, and the 2013 Citicorp Credit Facility also requires AAG and the other obligors thereunder to hold not less than $750 million (subject to partial reductions upon certain reductions in the outstanding amount of the loan) of that amount in accounts subject to control agreements.</w:t>
      </w:r>
    </w:p>
    <w:p>
      <w:pPr>
        <w:spacing w:after="0" w:line="173"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Our ability to comply with these liquidity covenants while paying the fixed costs associated with our contractual obligations and our other expenses, including significant pension and other postretirement funding obligations and cash transition costs associated with the Merger, will depend on our operating performance and cash flow, which are seasonal, as well as factors including fuel costs and general economic and political conditions.</w:t>
      </w:r>
    </w:p>
    <w:p>
      <w:pPr>
        <w:spacing w:after="0" w:line="166"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addition, our credit facilities and certain other financing arrangements include covenants that, among other things, limit our ability to pay dividends and make certain other payments, make certain investments, incur additional indebtedness, enter into certain affiliate transactions and engage in certain business activities, in each case subject to certain exceptions.</w:t>
      </w:r>
    </w:p>
    <w:p>
      <w:pPr>
        <w:spacing w:after="0" w:line="181"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The factors affecting our liquidity (and our ability to comply with related liquidity and other covenants) will remain subject to significant fluctuations and uncertainties, many of which are outside our control. Any breach of our liquidity and other covenants or failure to timely pay our obligations could result in a variety of adverse consequences, including the acceleration of our indebtedness, the withholding of credit card proceeds by our credit card processors and the exercise of remedies by our creditors and lessors. In such a situation, we may not be able to fulfill our contractual obligations, repay the accelerated indebtedness, make required lease payments or otherwise cover our fixed costs.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If our financial condition worsens, provisions in our credit card processing and other commercial agreements may adversely affect our liquidity.</w:t>
      </w:r>
    </w:p>
    <w:p>
      <w:pPr>
        <w:spacing w:after="0" w:line="152"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We have agreements with companies that process customer credit card transactions for the sale of air travel and other services. These agreements allow these processing companies, under certain conditions (including, with respect to certain agreements, the failure of American to maintain certain levels of liquidity) to hold an amount of our cash (a holdback) equal to some or all of the advance ticket sales that have been processed by that company, but for which we have not yet provided the air transportation. We are not currently required to maintain any holdbacks pursuant to these requirements. These holdback requirements can be modified at the discretion of the processing companies upon the occurrence of specific events, including material adverse changes in our financial condition. An increase in the current holdbacks, up to and including 100% of relevant advanced ticket sales, could materially reduce our liquidity. Likewise, other of our commercial agreements contain provisions that allow other entities to impose less-favorable terms, including the acceleration of amounts due, in the event of material adverse changes in our financial condition.</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Union disputes, employee strikes and other labor-related disruptions may adversely affect our operations.</w:t>
      </w:r>
    </w:p>
    <w:p>
      <w:pPr>
        <w:spacing w:after="0" w:line="11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Relations between air carriers and labor unions in the U.S. are governed by the Railway Labor Act (RLA). Under the RLA, collective bargaining agreements (CBAs) generally contain “amendable dates” rather than expiration dates, and the RLA requires that a carrier maintain the existing terms and conditions of employment following the amendable date through a multi-stage and usually lengthy series of bargaining processes overseen by the National Mediation Board (NMB). For the dates that the CBAs with our major work groups become amendable under the RLA, see Part I, Item 1. Business – </w:t>
      </w:r>
      <w:r>
        <w:rPr>
          <w:rFonts w:ascii="Arial" w:cs="Arial" w:eastAsia="Arial" w:hAnsi="Arial"/>
          <w:sz w:val="18"/>
          <w:szCs w:val="18"/>
          <w:i w:val="1"/>
          <w:iCs w:val="1"/>
          <w:color w:val="auto"/>
        </w:rPr>
        <w:t xml:space="preserve">“Employees and Labor Relations” </w:t>
      </w:r>
      <w:r>
        <w:rPr>
          <w:rFonts w:ascii="Arial" w:cs="Arial" w:eastAsia="Arial" w:hAnsi="Arial"/>
          <w:sz w:val="18"/>
          <w:szCs w:val="18"/>
          <w:color w:val="auto"/>
        </w:rPr>
        <w:t>in our 2015 Form 10-K.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71" w:lineRule="auto"/>
        <w:rPr>
          <w:sz w:val="20"/>
          <w:szCs w:val="20"/>
          <w:color w:val="auto"/>
        </w:rPr>
      </w:pPr>
      <w:r>
        <w:rPr>
          <w:rFonts w:ascii="Arial" w:cs="Arial" w:eastAsia="Arial" w:hAnsi="Arial"/>
          <w:sz w:val="17"/>
          <w:szCs w:val="17"/>
          <w:color w:val="auto"/>
        </w:rPr>
        <w:t>In the case of a CBA that is amendable under the RLA, if no agreement is reached during direct negotiations between the parties, either party may request that the NMB appoint a federal mediator. The RLA prescribes no timetable for the direct negotiation and mediation processes, and it is not unusual for those processes to last for many months or even several years. If no agreement is reached in mediation, the NMB in its discretion may declare that an impasse exists and proffer binding arbitration to the parties. Either party may decline to submit to arbitration, and if arbitration is rejected by either party, a 30-day “cooling off” period commences. During or after that period, a Presidential Emergency Board (PEB) may be established, which examines the parties’ positions and recommends a solution. The PEB process lasts for 30 days and is followed by another 30-day “cooling off” period. At the end of a “cooling off” period, unless an agreement is reached or action is taken by Congress, the labor organization may exercise “self-help,” such as a strike, which could materially adversely affect our business, results of operations and financial condition.</w:t>
      </w:r>
    </w:p>
    <w:p>
      <w:pPr>
        <w:spacing w:after="0" w:line="179"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None of the unions representing our employees presently may lawfully engage in concerted refusals to work, such as strikes, slow-downs, sick-outs or other similar activity, against us. Nonetheless, there is a risk that disgruntled employees, either with or without union involvement, could engage in one or more concerted refusals to work that could individually or collectively harm the operation of our airline and impair our financial performance. See Part I, Item 1. Business – </w:t>
      </w:r>
      <w:r>
        <w:rPr>
          <w:rFonts w:ascii="Arial" w:cs="Arial" w:eastAsia="Arial" w:hAnsi="Arial"/>
          <w:sz w:val="18"/>
          <w:szCs w:val="18"/>
          <w:i w:val="1"/>
          <w:iCs w:val="1"/>
          <w:color w:val="auto"/>
        </w:rPr>
        <w:t>“Employees and Labor Relations”</w:t>
      </w:r>
      <w:r>
        <w:rPr>
          <w:rFonts w:ascii="Arial" w:cs="Arial" w:eastAsia="Arial" w:hAnsi="Arial"/>
          <w:sz w:val="18"/>
          <w:szCs w:val="18"/>
          <w:color w:val="auto"/>
        </w:rPr>
        <w:t xml:space="preserve"> in our 2015 Form 10-K.</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inability to maintain labor costs at competitive levels would harm our financial performance.</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Currently, we believe our labor costs are competitive relative to the other large network carriers. However, we cannot provide assurance that labor costs going forward will remain competitive because some of our agreements are amendable now and others may become amendable, competitors may significantly reduce their labor costs or we may agree to higher-cost provisions in our current or future labor negotiations, such as the employee profit sharing program we instituted effective January 1, 2016. As of December 31, 2015, approximately 82% of our employees were represented for collective bargaining purposes by labor unions. Some of our unions have brought and may continue to bring grievances to binding arbitration, including those related to wages. Unions may also bring court actions and may seek to compel us to engage in bargaining processes where we believe we have no such obligation. If successful, there is a risk these judicial or arbitral avenues could create material additional costs that we did not anticipate.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Interruptions or disruptions in service at one of our hub airports could have a material adverse impact on our operations.</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We operate principally through hubs in Charlotte, Chicago, Dallas/Fort Worth, Los Angeles, Miami, New York, Philadelphia, Phoenix and Washington, D.C. Substantially all of our flights either originate in or fly into one of these locations. A significant interruption or disruption in service at one of our hubs resulting from air traffic control (ATC) delays, weather conditions, natural disasters, growth constraints, relations with third-party service providers, failure of computer systems, facility disruptions, labor relations, power supplies, fuel supplies, terrorist activities, or otherwise, could result in the cancellation or delay of a significant portion of our flights and, as a result, could have a severe impact on our business, results of operations and financial condition.</w:t>
      </w:r>
    </w:p>
    <w:p>
      <w:pPr>
        <w:spacing w:after="0" w:line="266"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adequate facilities and infrastructure throughout our system and, at some airports, adequate slots, we may be unable to operate our existing flight schedule and to expand or change our route network in the future, which may have a material adverse impact on our operations.</w:t>
      </w:r>
    </w:p>
    <w:p>
      <w:pPr>
        <w:spacing w:after="0" w:line="73"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In order to operate our existing and proposed flight schedule and, where appropriate, add service along new or existing routes, we must be able to maintain and/or obtain adequate gates, ticketing facilities, operations areas, and office space. As airports around the world become more congested, we will not always be able to ensure that our plans for new service can be implemented in a commercially viable manner, given operating constraints at airports throughout our network, including due to inadequate facilities at desirable airports. Further, our operating costs at airports at which we operate, including our hubs, may increase significantly because of capital improvements at such airports that we may be required to fund, directly or indirectly. In some circumstances, such costs could be imposed by the relevant airport authority without our approval.</w:t>
      </w:r>
    </w:p>
    <w:p>
      <w:pPr>
        <w:spacing w:after="0" w:line="178"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In addition, operations at four major domestic airports, certain smaller domestic airports and certain foreign airports served by us are regulated by governmental entities through the use of slots or similar regulatory mechanisms which limit the rights of carriers to conduct operations at those airports. Each slot represents the authorization to land at or take off from the particular airport during a specified time period and may have other operational restrictions as well. In the U.S., the FAA currently regulates the allocation of slots or slot exemptions at DCA and two New York City airports: John F. Kennedy International Airport and LaGuardia Airport (LGA). Our operations at these airports generally require the allocation of slots or similar regulatory authority. Similarly, our operations at international airports in Frankfurt, London Heathrow, Paris and other airports outside the U.S. are regulated by local slot authorities pursuant to the International Air Transport Association’s (IATA) Worldwide Scheduling Guidelines and applicable local law. We cannot provide any assurance that regulatory changes regarding the allocation of slots or similar regulatory authority will not have a material adverse impact on our operations.</w:t>
      </w:r>
    </w:p>
    <w:p>
      <w:pPr>
        <w:spacing w:after="0" w:line="197"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 connection with the settlement of litigation relating to the Merger brought by the DOJ and certain states, we entered into settlement agreements that provide for certain asset divestitures including 52 slot pairs at DCA, 17 slot pairs at LGA and gates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related ground facilities necessary to operate those slot pairs, and two gates at each of Boston Logan International Airport, Chicago O’Hare International Airport, Dallas Love Field Airport, Los Angeles International Airport (LAX) and Miami International Airport. The settlement agreements also require us to maintain certain hub operations and continue to provide service to certain specified communities for limited periods of time. In addition, we entered into a related settlement with the DOT related to small community service from DCA. Further, as a consequence of the Merger clearance process in the EU, we made one pair of London Heathrow slots available for use by another carrier and, along with our JBA partners, we made one pair of London Heathrow slots available to competitors for use for up to six years in different markets.</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Our ability to provide service can also be impaired at airports, such as Chicago O’Hare International Airport and LAX, where the airport gate and other facilities are inadequate to accommodate all of the service that we would like to provide, or airports such as Dallas Love Field Airport where we have no access to gates at all.</w:t>
      </w:r>
    </w:p>
    <w:p>
      <w:pPr>
        <w:spacing w:after="0" w:line="181"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Any limitation on our ability to acquire or maintain adequate gates, ticketing facilities, operations areas, slots (where applicable), or office space could have a material adverse effect on our business, results of operations and financial condition.</w:t>
      </w:r>
    </w:p>
    <w:p>
      <w:pPr>
        <w:spacing w:after="0" w:line="2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If we encounter problems with any of our third-party regional operators or third-party service providers, our operations could be adversely affected by a resulting decline in revenue or negative public perception about our services.</w:t>
      </w:r>
    </w:p>
    <w:p>
      <w:pPr>
        <w:spacing w:after="0" w:line="62"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A significant portion of our regional operations are conducted by third-party operators on our behalf, primarily under capacity purchase agreements. Due to our reliance on third parties to provide these essential services, we are subject to the risks of disruptions to their operations, which may result from many of the same risk factors disclosed in this report, such as the impact of adverse economic conditions, the inability of third parties to hire or retain necessary personnel, including in particular pilots, and other risk factors, such as an out-of-court or bankruptcy restructuring of any of our regional operators. For example, one of our significant third-party operators of regional capacity, Republic Airways Holdings Inc. (Republic), commenced a Chapter 11 bankruptcy case on February 25, 2016. As part of Republic’s restructuring process and with bankruptcy court approval, we entered into an amendment to our contractual relationship with Republic, that, among other things, provided for the reduction in the number of aircraft operated by Republic on our behalf to 76 E175 aircraft (a reduction of 20 E170 and nine E175 aircraft). In addition, we have reached a settlement with Republic which, if approved by the bankruptcy court, would allow an unsecured claim on behalf of American in the amount of $250 million, to compensate us for losses and damages that we incurred under the existing contract with Republic. It is not possible, at this point, however, to quantify the value of a recovery on such claim. We have taken various actions to mitigate the effects of this reduction in flying, including by adjusting our mainline schedule and seeking additional capacity from our wholly owned regional subsidiaries and other regional providers. We may also experience disruption to our regional operations if we terminate the capacity purchase agreement with one or more of our current operators and transition the services to another provider. As our regional segment provides revenues to us directly and indirectly (by providing flow traffic to our hubs), any significant disruption to our regional operations would have a material adverse effect on our business, results of operations and financial condition.</w:t>
      </w:r>
    </w:p>
    <w:p>
      <w:pPr>
        <w:spacing w:after="0" w:line="183"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6"/>
          <w:szCs w:val="16"/>
          <w:color w:val="auto"/>
        </w:rPr>
        <w:t>In addition, our reliance upon others to provide essential services on behalf of our operations may result in our relative inability to control the efficiency and timeliness of contract services. We have entered into agreements with contractors to provide various facilities and services required for our operations, including distribution and sale of airline seat inventory, provision of information technology and services, regional operations, aircraft maintenance, ground services and facilities, reservations and baggage handling. Similar agreements may be entered into in any new markets we decide to serve. These agreements are generally subject to termination after notice by the third-party service provider. We are also at risk should one of these service providers cease operations, and there is no guarantee that we could replace these providers on a timely basis with comparably priced providers, or at all. Volatility in fuel prices, disruptions to capital markets and adverse economic conditions in general have subjected certain of these third-party regional carriers to significant financial pressures, which have led to several bankruptcies among these carriers. Any material problems with the efficiency and timeliness of contract services, resulting from financial hardships or otherwise, could have a material adverse effect on our business, results of operations and financial condition.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rely on third-party distribution channels and must manage effectively the costs, rights and functionality of these channels.</w:t>
      </w:r>
    </w:p>
    <w:p>
      <w:pPr>
        <w:spacing w:after="0" w:line="117" w:lineRule="exact"/>
        <w:rPr>
          <w:sz w:val="20"/>
          <w:szCs w:val="20"/>
          <w:color w:val="auto"/>
        </w:rPr>
      </w:pPr>
    </w:p>
    <w:p>
      <w:pPr>
        <w:jc w:val="both"/>
        <w:ind w:firstLine="456"/>
        <w:spacing w:after="0" w:line="288" w:lineRule="auto"/>
        <w:rPr>
          <w:sz w:val="20"/>
          <w:szCs w:val="20"/>
          <w:color w:val="auto"/>
        </w:rPr>
      </w:pPr>
      <w:r>
        <w:rPr>
          <w:rFonts w:ascii="Arial" w:cs="Arial" w:eastAsia="Arial" w:hAnsi="Arial"/>
          <w:sz w:val="16"/>
          <w:szCs w:val="16"/>
          <w:color w:val="auto"/>
        </w:rPr>
        <w:t>We rely on third-party distribution channels, including those provided by or through global distribution systems (GDSs) (e.g., Amadeus, Sabre and Travelport), conventional travel agents and online travel agents (OTAs) (e.g., Expedia, including its booking sites Orbitz and Travelocity, and The Priceline Group), to distribute a significant portion of our airline tickets, and we expect in the future to continue to rely on these channels and hope to expand their ability to distribute and collect revenues for ancillary products (e.g., fees for selective seating). These distribution channels are more expensive and at present have less functionality in respect of ancillary product offerings than those we operate ourselves, such as our call centers and our website. Certain of these distribution channels also effectively restrict the manner in which we distribute our products generally. To remain competitive, we will need to manage successfully our distribution costs and rights, increase our distribution flexibility and improve the functionality of third-party distribution channels, while maintaining an industry-competitive cost structure. These imperatives may affect our relationships with GDSs and OTAs, including as consolidation of OTAs continues or is proposed to continue. Any inability to manage our third-party distribution costs, rights and functionality at a competitive level or any material diminishment or disruption in the distribution of our tickets could have a material adverse effect on our business, results of operations and financial condition.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government regulation, which may result in increases in our costs, disruptions to our operations, limits on our operating flexibility, reductions in the demand for air travel, and competitive disadvantages.</w:t>
      </w:r>
    </w:p>
    <w:p>
      <w:pPr>
        <w:spacing w:after="0" w:line="6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Airlines are subject to extensive domestic and international regulatory requirements. In the last several years, Congress has passed laws, and the DOT, the FAA, the U.S. Transportation Security Administration (TSA) and the Department of Homeland Security have issued a number of directives and other regulations, that affect the airline industry. These requirements impose substantial costs on us and restrict the ways we may conduct our business.</w:t>
      </w:r>
    </w:p>
    <w:p>
      <w:pPr>
        <w:spacing w:after="0" w:line="14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example, the FAA from time to time issues directives and other regulations relating to the maintenance and operation of aircraft that require significant expenditures or operational restrictions. Our failure to timely comply with these requirements has in the past and may in the future result in fines and other enforcement actions by the FAA or other regulators. In the future, new regulatory requirements could have a material adverse effect on us and the industry.</w:t>
      </w:r>
    </w:p>
    <w:p>
      <w:pPr>
        <w:spacing w:after="0" w:line="18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DOT consumer rules that took effect in 2010 require procedures for customer handling during long onboard delays, further regulate airline interactions with passengers through the reservations process, at the airport, and onboard the aircraft, and require disclosures concerning airline fares and ancillary fees such as baggage fees. The DOT has been aggressively investigating alleged violations of these rules. Other DOT rules apply to post-ticket purchase price increases and an expansion of tarmac delay regulations to international airlines.</w:t>
      </w:r>
    </w:p>
    <w:p>
      <w:pPr>
        <w:spacing w:after="0" w:line="18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Aviation and Transportation Security Act mandates the federalization of certain airport security procedures and imposes additional security requirements on airports and airlines, most of which are funded by a per-ticket tax on passengers and a tax on airlines.</w:t>
      </w:r>
    </w:p>
    <w:p>
      <w:pPr>
        <w:spacing w:after="0" w:line="170"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results of our operations, demand for air travel, and the manner in which we conduct business each may be affected by changes in law and future actions taken by governmental agencies, including:</w:t>
      </w:r>
    </w:p>
    <w:p>
      <w:pPr>
        <w:spacing w:after="0" w:line="76" w:lineRule="exact"/>
        <w:rPr>
          <w:sz w:val="20"/>
          <w:szCs w:val="20"/>
          <w:color w:val="auto"/>
        </w:rPr>
      </w:pPr>
    </w:p>
    <w:p>
      <w:pPr>
        <w:ind w:left="900" w:right="2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law which affect the services that can be offered by airlines in particular markets and at particular airports, or the types of fees that can be charged to passengers;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granting and timing of certain governmental approvals (including antitrust or foreign government approvals) needed for codesharing alliances and other arrangements with other airlines;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competitive practices (for example, court orders, or agency regulations or orders, that would curtail an airline’s ability to respond to a competitor);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adoption of new passenger security standards or regulations that impact customer service standards (for example, a “passenger bill of rights”);</w:t>
      </w:r>
    </w:p>
    <w:p>
      <w:pPr>
        <w:spacing w:after="0" w:line="153" w:lineRule="exact"/>
        <w:rPr>
          <w:rFonts w:ascii="Arial" w:cs="Arial" w:eastAsia="Arial" w:hAnsi="Arial"/>
          <w:sz w:val="16"/>
          <w:szCs w:val="16"/>
          <w:color w:val="auto"/>
        </w:rPr>
      </w:pPr>
    </w:p>
    <w:p>
      <w:pPr>
        <w:ind w:left="90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restrictions on airport operations, such as restrictions on the use of slots at airports or the auction or reallocation of slot rights currently held by 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adoption of more restrictive locally-imposed noise restrictions.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Each additional regulation or other form of regulatory oversight increases costs and adds greater complexity to airline operations and, in some cases, may reduce the demand for air travel. There can be no assurance that our compliance with new rules, anticipated rules or other forms of regulatory oversight will not have a material adverse effect on us.</w:t>
      </w:r>
    </w:p>
    <w:p>
      <w:pPr>
        <w:spacing w:after="0" w:line="181"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Any significant reduction in air traffic capacity at key airports in the U.S. or overseas could have a material adverse effect on our business, results of operations and financial condition. In addition, the ATC system is not successfully managing the growing demand for U.S. air travel. ATC towers are frequently understaffed in certain of our hubs, and air traffic controllers rely on outdated technologies that routinely overwhelm the system and compel airlines to fly inefficient, indirect routes. The ATC system’s inability to handle existing travel demand has led government agencies to implement short-term capacity constraints during peak travel periods in certain markets, resulting in delays and disruptions of air traffic. The outdated technologies also cause the ATC to be less resilient in the event of a failure. For example, in 2014 the ATC systems in Chicago took weeks to recover following a fire in the ATC tower at Chicago O’Hare International Airport, which resulted in thousands of cancelled flights.</w:t>
      </w:r>
    </w:p>
    <w:p>
      <w:pPr>
        <w:spacing w:after="0" w:line="17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On February 14, 2012, the FAA Modernization and Reform Act of 2012 was signed. The law provides funding for the FAA to rebuild its ATC system, including switching from radar to a GPS-based system. It is uncertain when any improvements to the efficiency of the ATC system will take effect. Failure to update the ATC system in a timely manner and the substantial funding requirements that may be imposed on airlines of a modernized ATC system may have a material adverse effect on our business.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The ability of U.S. airlines to operate international routes is subject to change because the applicable arrangements between the U.S. and foreign governments may be amended from time to time and appropriate slots or facilities may not be made available. We currently operate a number of international routes under government arrangements that limit the number of airlines permitted to operate on the route, the capacity of the airlines providing services on the route, or the number of airlines allowed access to particular airports. If an open skies policy were to be adopted for any of these routes, such an event could have a material adverse impact on us and could result in the impairment of material amounts of our related tangible and intangible assets. In addition, competition from revenue-sharing joint ventures, JBAs, and other alliance arrangements by and among other airlines could impair the value of our business and assets on the open skies routes. For example, the open skies air services agreement between the U.S. and the EU, which took effect in March 2008, provides airlines from the U.S. and EU member states open access to each other’s markets, with freedom of pricing and unlimited rights to fly from the U.S. to any airport in the EU, including London Heathrow Airport. As a result of the agreement, we face increased competition in these markets, including London Heathrow Airport.</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airline industry is heavily taxed.</w:t>
      </w:r>
    </w:p>
    <w:p>
      <w:pPr>
        <w:spacing w:after="0" w:line="117" w:lineRule="exact"/>
        <w:rPr>
          <w:sz w:val="20"/>
          <w:szCs w:val="20"/>
          <w:color w:val="auto"/>
        </w:rPr>
      </w:pPr>
    </w:p>
    <w:p>
      <w:pPr>
        <w:jc w:val="both"/>
        <w:ind w:firstLine="456"/>
        <w:spacing w:after="0" w:line="270" w:lineRule="auto"/>
        <w:rPr>
          <w:sz w:val="20"/>
          <w:szCs w:val="20"/>
          <w:color w:val="auto"/>
        </w:rPr>
      </w:pPr>
      <w:r>
        <w:rPr>
          <w:rFonts w:ascii="Arial" w:cs="Arial" w:eastAsia="Arial" w:hAnsi="Arial"/>
          <w:sz w:val="17"/>
          <w:szCs w:val="17"/>
          <w:color w:val="auto"/>
        </w:rPr>
        <w:t>The airline industry is subject to extensive government fees and taxation that negatively impact our revenue. The U.S. airline industry is one of the most heavily taxed of all industries. These fees and taxes have grown significantly in the past decade for domestic flights, and various U.S. fees and taxes also are assessed on international flights. For example, as permitted by federal legislation, most major U.S. airports impose a passenger facility charge per passenger on us. In addition, the governments of foreign countries in which we operate impose on U.S. airlines, including us, various fees and taxes, and these assessments have been increasing in number and amount in recent years. Moreover, we are obligated to collect a federal excise tax, commonly referred to as the “ticket tax,” on domestic and international air transportation. We collect the excise tax, along with certain other U.S. and foreign taxes and user fees on air transportation (such as passenger security fees), and pass along the collected amounts to the appropriate governmental agencies. Although these taxes are not operating expenses, they represent an additional cost to our customers. There are continuing efforts in Congress and in other countries to raise different portions of the various taxes, fees, and charges imposed on airlines and their passengers. Increases in such taxes, fees and charges could negatively impact our business, results of operations and financial condition.</w:t>
      </w:r>
    </w:p>
    <w:p>
      <w:pPr>
        <w:spacing w:after="0" w:line="17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Under DOT regulations, all governmental taxes and fees must be included in the prices we quote or advertise to our customers. Due to the competitive revenue environment, many increases in these fees and taxes have been absorbed by the airline industry rather than being passed on to the customer. Further increases in fees and taxes may reduce demand for air travel, and thus our revenues.</w:t>
      </w:r>
    </w:p>
    <w:p>
      <w:pPr>
        <w:spacing w:after="0" w:line="28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Changes to our business model that are designed to increase revenues may not be successful and may cause operational difficulties or decreased demand.</w:t>
      </w:r>
    </w:p>
    <w:p>
      <w:pPr>
        <w:spacing w:after="0" w:line="62"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We have a number of measures designed to increase revenue and offset costs. These measures include charging separately for services that had previously been included within the price of a ticket and increasing other pre-existing fees. We may introduce additional initiatives in the future; however, as time goes on, we expect that it will be more difficult to identify and implement additional initiatives. We cannot assure you that these measures or any future initiatives will be successful in increasing our revenues. Additionally, the implementation of these initiatives may create logistical challenges that could harm the operational performance of our airline. Also, any new and increased fees might reduce the demand for air travel on our airline or across the industry in general, particularly if weakened economic conditions make our customers more sensitive to increased travel costs or provide a significant competitive advantage to other carriers that determine not to institute similar charges.</w:t>
      </w:r>
    </w:p>
    <w:p>
      <w:pPr>
        <w:spacing w:after="0" w:line="28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The loss of key personnel upon whom we depend to operate our business or the inability to attract additional qualified personnel could adversely affect our business.</w:t>
      </w:r>
    </w:p>
    <w:p>
      <w:pPr>
        <w:spacing w:after="0" w:line="62"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believe that our future success will depend in large part on our ability to retain or attract highly qualified management, technical and other personnel. We may not be successful in retaining key personnel or in attracting other highly qualified personnel. Any inability to retain or attract significant numbers of qualified management and other personnel would have a material adverse effect on our business, results of operations and financial condition.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adversely affected by conflicts overseas or terrorist attacks; the travel industry continues to face ongoing security concerns.</w:t>
      </w:r>
    </w:p>
    <w:p>
      <w:pPr>
        <w:spacing w:after="0" w:line="14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Acts of terrorism or fear of such attacks, including elevated national threat warnings, wars or other military conflicts, may depress air travel, particularly on international routes, and cause declines in revenues and increases in costs. The attacks of September 11, 2001 and continuing terrorist threats, attacks and attempted attacks materially impacted and continue to impact air travel. Increased security procedures introduced at airports since the attacks of September 11, 2001 and any other such measures that may be introduced in the future generate higher operating costs for airlines. The Aviation and Transportation Security Act mandated improved flight deck security, deployment of federal air marshals on board flights, improved airport perimeter access security, airline crew security training, enhanced security screening of passengers, baggage, cargo, mail, employees and vendors, enhanced training and qualifications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security screening personnel, additional provision of passenger data to the U.S. Customs and Border Protection Agency and enhanced background checks. A concurrent increase in airport security charges and procedures, such as restrictions on carry-on baggage, has also had and may continue to have a disproportionate impact on short-haul travel, which constitutes a significant portion of our flying and revenue.</w:t>
      </w:r>
    </w:p>
    <w:p>
      <w:pPr>
        <w:spacing w:after="0" w:line="289" w:lineRule="exact"/>
        <w:rPr>
          <w:sz w:val="20"/>
          <w:szCs w:val="20"/>
          <w:color w:val="auto"/>
        </w:rPr>
      </w:pPr>
    </w:p>
    <w:p>
      <w:pPr>
        <w:ind w:left="460" w:right="20"/>
        <w:spacing w:after="0" w:line="308" w:lineRule="auto"/>
        <w:rPr>
          <w:sz w:val="20"/>
          <w:szCs w:val="20"/>
          <w:color w:val="auto"/>
        </w:rPr>
      </w:pPr>
      <w:r>
        <w:rPr>
          <w:rFonts w:ascii="Arial" w:cs="Arial" w:eastAsia="Arial" w:hAnsi="Arial"/>
          <w:sz w:val="17"/>
          <w:szCs w:val="17"/>
          <w:b w:val="1"/>
          <w:bCs w:val="1"/>
          <w:i w:val="1"/>
          <w:iCs w:val="1"/>
          <w:color w:val="auto"/>
        </w:rPr>
        <w:t>We operate a global business with international operations that are subject to economic and political instability and have been, and in the future may continue to be, adversely affected by numerous events, circumstances or government actions beyond our control.</w:t>
      </w:r>
    </w:p>
    <w:p>
      <w:pPr>
        <w:spacing w:after="0" w:line="3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We operate a global business with operations outside of the U.S. from which we derived approximately 30% of our operating revenues in 2015, as measured and reported to the DOT. Our current international activities and prospects have been and in the future could be adversely affected by reversals or delays in the opening of foreign markets, increased competition in international markets, exchange controls or other restrictions on repatriation of funds, currency and political risks (including changes in exchange rates and currency devaluations), environmental regulation, increases in taxes and fees and changes in international government regulation of our operations, including the inability to obtain or retain needed route authorities and/or slots. In particular, fluctuations in foreign currencies, including devaluations, exchange controls and other restrictions on the repatriation of funds, have significantly affected and may continue to significantly affect our operating performance, liquidity and the value of any cash held outside the U.S. in local currency.</w:t>
      </w:r>
    </w:p>
    <w:p>
      <w:pPr>
        <w:spacing w:after="0" w:line="16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Generally, fluctuations in foreign currencies, including devaluations, cannot be predicted by us and can significantly affect the value of our assets located outside the United States. These conditions, as well as any further delays, devaluations or imposition of more stringent repatriation restrictions, may materially adversely affect our business, results of operations and financial condition.</w:t>
      </w:r>
    </w:p>
    <w:p>
      <w:pPr>
        <w:spacing w:after="0" w:line="181"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The United Kingdom held a referendum on June 23, 2016 regarding its membership in the EU in which a majority of the United Kingdom electorate voted in favor of the British government taking the necessary action for the United Kingdom to leave the EU. At this time, it is not certain what steps will need to be taken to facilitate the United Kingdom’s exit from the EU or the length of time, expected to be measured in years, that this may take. The implications of the United Kingdom withdrawing from the EU are similarly unclear at present because it is unclear what relationship the United Kingdom will have with the EU after withdrawal. We face risks associated with the uncertainty following the referendum and the consequences that may flow from the decision to exit the EU. Among other things, the exit of the United Kingdom from the EU could adversely affect European or worldwide economic or market conditions and could contribute to further instability in global financial markets. In addition, the exit of the United Kingdom from the EU could lead to legal and regulatory uncertainty and potentially divergent treaties, laws and regulations as the United Kingdom determines which EU treaties, laws and regulations to replace or replicate, including those governing aviation, labor, environmental, data protection/privacy, competition and other matters applicable to the provision of air transportation services by us or our joint business or code share partners. The impact on our business of any treaties, laws and regulations that replace the existing EU counterparts cannot be predicted. Any of these effects, and others we cannot anticipate, could materially adversely affect our business, results of operations and financial condition.</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many forms of environmental and noise regulation and may incur substantial costs as a result.</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subject to increasingly stringent federal, state, local and foreign laws, regulations and ordinances relating to the protection of the environment and noise reduction, including those relating to emissions to the air, discharges to surface and subsurface waters, safe drinking water, and the management of hazardous substances, oils and waste materials. Compliance with environmental laws and regulations can require significant expenditures, and violations can lead to significant fines and penalties.</w:t>
      </w:r>
    </w:p>
    <w:p>
      <w:pPr>
        <w:spacing w:after="0" w:line="187"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In June 2015, the U.S. Environmental Protection Agency (EPA) issued revised underground storage tank regulations that could affect airport fuel hydrant systems, as certain of those systems may need to be modified in order to comply with applicable portions of the revised regulations. Additionally, on June 4, 2015, the EPA reissued the Multi-Sector General Permit for Stormwater Discharges from Industrial Activities. Among other revisions, the reissued permit incorporates the EPA’s previously issued Airport Deicing Effluent Limitation Guidelines and New Source Performance Standards. In addition, California adopted a revised State Industrial General Permit for Stormwater Discharges on April 1, 2014, which became effective July 1, 2015. This permit places additional reporting and monitoring requirements on permittees and requires implementation of mandatory best management practices. While the cost of compliance with these requirements is not expected to be significant, we will continue to monitor and evaluate the impact of these requirements on airport operations. In addition to the EPA and state regulations, several U.S. airport authorities are actively engaged in efforts to limit discharges of de-icing fluid to the environment, often by requiring airlines to participate in the building or reconfiguring of airport de-icing facilities. Such efforts are likely to impose additional costs and restrictions on airlines using those airports. We do not believe, however, that such environmental developments will have a material impact on our capital expenditures or otherwise materially adversely affect our operations, operating costs or competitive position.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We are also subject to other environmental laws and regulations, including those that require us to investigate and remediate soil or groundwater to meet certain remediation standards. Under federal law, generators of waste materials, and current and former owners or operators of facilities, can be subject to liability for investigation and remediation costs at locations that have been identified as requiring response actions. Liability under these laws may be strict, joint and several, meaning that we could be liable for the costs of cleaning up environmental contamination regardless of fault or the amount of wastes directly attributable to us. We have liability for investigation and remediation costs at various sites, although such costs are currently not expected to have a material adverse effect on our business.</w:t>
      </w:r>
    </w:p>
    <w:p>
      <w:pPr>
        <w:spacing w:after="0" w:line="193"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We have various leases and agreements with respect to real property, tanks and pipelines with airports and other operators. Under these leases and agreements, we have agreed to indemnify the lessor or operator against environmental liabilities associated with the real property or operations described under the agreement, in some cases even if we are not the party responsible for the initial event that caused the environmental damage. We also participate in leases with other airlines in fuel consortiums and fuel committees at airports, where such indemnities are generally joint and several among the participating airlines.</w:t>
      </w:r>
    </w:p>
    <w:p>
      <w:pPr>
        <w:spacing w:after="0" w:line="188"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Governmental authorities in several U.S. and foreign cities are also considering, or have already implemented, aircraft noise reduction programs, including the imposition of nighttime curfews and limitations on daytime take-offs and landings. We have been able to accommodate local noise restrictions imposed to date, but our operations could be adversely affected if locally-imposed regulations become more restrictive or widespread.</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are subject to risks associated with climate change, including increased regulation to reduce emissions of greenhouse gases.</w:t>
      </w:r>
    </w:p>
    <w:p>
      <w:pPr>
        <w:spacing w:after="0" w:line="129"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There is increasing global regulatory focus on climate change and greenhouse gas (GHG) emissions. For example, the EU has established the Emissions Trading Scheme (ETS) to regulate GHG emissions in the EU. The EU adopted a directive in 2008 under which each EU member state is required to extend the ETS to aviation operations. This directive would have required us, beginning in 2012, to annually submit emission allowances in order to operate flights to and from airports in the European Economic Area (EEA), including flights between the U.S. and EU member states. However, in an effort to allow the International Civil Aviation Organization (ICAO) time to propose an alternate scheme to manage global aviation emissions, in April 2013, the EU suspended for one year the ETS’ application to flights entering and departing the EEA, limiting its application, for flights flown in 2012, to intra-EEA flights only. In October 2013, the ICAO Assembly adopted a resolution calling for the development through ICAO of a global, market-based scheme for aviation GHG emissions, to be finalized in 2016 and implemented in 2020. Subsequently, the EU amended the ETS so that the monitoring, reporting and submission of allowances for aviation GHG emissions will continue to be limited to only intra-EEA flights through 2016, at which time the EU will evaluate the progress made by ICAO and determine what, if any, measures to take related to aviation GHG emissions from 2017 onwards. The U.S. enacted legislation in November 2012 which encourages the DOT to seek an international solution through ICAO and that will allow the U.S. Secretary of Transportation to prohibit U.S. airlines from participating in the ETS.</w:t>
      </w:r>
    </w:p>
    <w:p>
      <w:pPr>
        <w:spacing w:after="0" w:line="180"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In October 2016, ICAO passed a resolution adopting the ICAO Carbon Offsetting and Reduction Scheme for International Aviation (CORSIA), which is a global, market-based emissions offset program to encourage carbon-neutral growth beyond 2020. The CORSIA was supported by the board of Airlines For America (the principal US airline trade association) and IATA (the principal international airline trade association), and by American and many other U.S. and foreign airlines. The CORSIA will increase operating costs for American and most other airlines, including other U.S. airlines that operate internationally, but the implementation of a global program, as compared to regional emission reduction schemes, should help to ensure that these costs will be more predictable and more evenly applied to American and its competitors. The CORSIA is expected to be implemented in phases, beginning in 2021. Certain details still need to be developed and the impact of the CORSIA cannot be fully predicted. Although the EU has not detailed its future plans for the EU ETS, it is expected that the adoption of the CORSIA by ICAO will generally stave off a proliferation of regional schemes like EU ETS, and other environmental taxes. While we do not anticipate any significant emissions allowance expenditures in 2016, beyond 2016 compliance with the CORSIA, ETS or similar emissions-related requirements could significantly increase our operating costs. Further, the potential impact of the CORSIA, ETS or other emissions-related requirements on our costs will ultimately depend on a number of factors, including baseline emissions, the price of emission allowances or offsets and the number of future flights subject to such emissions-related requirements. These costs have not been completely defined and could fluctuate.</w:t>
      </w:r>
    </w:p>
    <w:p>
      <w:pPr>
        <w:spacing w:after="0" w:line="169"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In addition, in December 2015, at the 21st Conference of the Parties to the United Nations Framework Convention on Climate Change (UNFCCC’s COP21), over 190 countries, including the United States, reached an agreement to reduce global greenhouse gas emissions. While there is no express reference to aviation in this international agreement, to the extent the United States and other countries implement this agreement or impose other climate change regulations, either with respect to the aviation industry or with respect to related industries such as the aviation fuel industry, it could have an adverse direct or indirect effect on our business.</w:t>
      </w:r>
    </w:p>
    <w:p>
      <w:pPr>
        <w:spacing w:after="0" w:line="188"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Within the U.S., there is an increasing trend toward regulating GHG emissions directly under the Clean Air Act (CAA). In response to a 2012 ruling by the U.S. District Court for the District of Columbia, the EPA announced in June 2015 a proposed endangerment finding that aircraft engine GHG emissions cause or contribute to air pollution that may reasonably be anticipated to endanger public health or welfare. A public hearing regarding the proposed endangerment finding was held in August 2015. If the EPA finalizes the endangerment finding, the EPA is obligated under the CAA to set aircraft engine GHG emission standards. It is anticipated that any such standards established by the EPA would closely align with emission standards currently being developed by ICAO. In February 2016, the ICAO Committee on Aviation Environmental Protection recommended that ICAO adopt carbon dioxide certification standards that would apply to new type aircraft certified beginning in 2020, and would be phased in for newly manufactured existing aircraft type designs starting in 2023.</w:t>
      </w:r>
    </w:p>
    <w:p>
      <w:pPr>
        <w:sectPr>
          <w:pgSz w:w="11900" w:h="16838" w:orient="portrait"/>
          <w:cols w:equalWidth="0" w:num="1">
            <w:col w:w="11420"/>
          </w:cols>
          <w:pgMar w:left="240" w:top="459" w:right="239"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459" w:right="239" w:bottom="1440" w:gutter="0" w:footer="0" w:header="0"/>
          <w:type w:val="continuous"/>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In addition, several states have adopted or are considering initiatives to regulate emissions of GHGs, primarily through the planned development of GHG emissions inventories and/or regional GHG cap and trade programs.</w:t>
      </w:r>
    </w:p>
    <w:p>
      <w:pPr>
        <w:spacing w:after="0" w:line="170"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These regulatory efforts, both internationally and in the U.S. at the federal and state levels, are still developing, and we cannot yet determine what the final regulatory programs or their impact will be in the U.S., the EU or in other areas in which we do business. However, such climate change-related regulatory activity in the future may adversely affect our business and financial results by requiring us to reduce our emissions, purchase allowances or otherwise pay for our emissions. Such activity may also impact us indirectly by increasing our operating costs, including fuel costs.</w:t>
      </w:r>
    </w:p>
    <w:p>
      <w:pPr>
        <w:spacing w:after="0" w:line="280"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rely heavily on technology and automated systems to operate our business, and any failure of these technologies or systems could harm our business, results of operations and financial condition.</w:t>
      </w:r>
    </w:p>
    <w:p>
      <w:pPr>
        <w:spacing w:after="0" w:line="62"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We are highly dependent on technology and automated systems to operate our business and achieve low operating costs. These technologies and systems include our computerized airline reservation system, flight operations systems, financial planning, management and accounting systems, telecommunications systems, website, maintenance systems and check-in kiosks. In order for our operations to work efficiently, our website and reservation system must be able to accommodate a high volume of traffic, maintain secure information and deliver flight information, as well as issue electronic tickets and process critical financial information in a timely manner. Substantially all of our tickets are issued to passengers as electronic tickets. We depend on our reservation system, which is hosted and maintained under a long-term contract by a third-party service provider, to be able to issue, track and accept these electronic tickets. If our automated systems are not functioning or if our third-party service providers were to fail to adequately provide technical support, system maintenance or timely software upgrades for any one of our key existing systems, we could experience service disruptions or delays, which could harm our business and result in the loss of important data, increase our expenses and decrease our revenues. In the event that one or more of our primary technology or systems vendors goes into bankruptcy, ceases operations or fails to perform as promised, replacement services may not be readily available on a timely basis, at competitive rates or at all, and any transition time to a new system may be significant.</w:t>
      </w:r>
    </w:p>
    <w:p>
      <w:pPr>
        <w:spacing w:after="0" w:line="173"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Our automated systems cannot be completely protected against other events that are beyond our control, including natural disasters, power failures, terrorist attacks, cyber-attacks, data theft, equipment and software failures, computer viruses or telecommunications failures. Substantial or sustained system failures could cause service delays or failures and result in our customers purchasing tickets from other airlines. We cannot assure you that our security measures, change control procedures or disaster recovery plans are adequate to prevent disruptions or delays. Disruption in or changes to these systems could result in a disruption to our business and the loss of important data. Any of the foregoing could result in a material adverse effect on our business, results of operations and financial condition.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face challenges in integrating our computer, communications and other technology systems.</w:t>
      </w:r>
    </w:p>
    <w:p>
      <w:pPr>
        <w:spacing w:after="0" w:line="117"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Among the principal risks of integrating our businesses and operations are the risks relating to integrating various computer, communications and other technology systems that will be necessary to operate US Airways and American as a single airline and to achieve cost synergies by eliminating redundancies in the businesses. While we have to date successfully integrated several of our systems, including our customer reservations system and our pilot and fleet scheduling system, we still have to complete several additional important system integration projects. The integration of these systems in a number of prior airline mergers has taken longer, been more disruptive and cost more than originally forecast. The implementation process to integrate these various systems will involve a number of risks that could adversely impact our business, results of operations and financial condition. New systems will replace multiple legacy systems and the related implementation will be a complex and time-consuming project involving substantial expenditures for implementation consultants, system hardware, software and implementation activities, as well as the transformation of business and financial processes.</w:t>
      </w:r>
    </w:p>
    <w:p>
      <w:pPr>
        <w:spacing w:after="0" w:line="166"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As with any large project, there will be many factors that may materially affect the schedule, cost and execution of the integration of our computer, communications and other technology systems. These factors include, among others: problems during the design, implementation and testing phases; systems delays and/or malfunctions; the risk that suppliers and contractors will not perform as required under their contracts; the diversion of management attention from daily operations to the project; reworks due to unanticipated changes in business processes; challenges in simultaneously activating new systems throughout our global network; difficulty in training employees in the operations of new systems; the risk of security breach or disruption; and other unexpected events beyond our control. We cannot assure you that our security measures, change control procedures or disaster recovery plans will be adequate to prevent disruptions or delays. Disruptions in or changes to these systems could result in a disruption to our business and the loss of important data. Any of the foregoing could result in a material adverse effect on our business, results of operations and financial condition.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We are at risk of losses and adverse publicity stemming from any accident involving any of our aircraft or the aircraft of our regional or codeshare operators.</w:t>
      </w:r>
    </w:p>
    <w:p>
      <w:pPr>
        <w:spacing w:after="0" w:line="62"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If one of our aircraft, an aircraft that is operated under our brand by one of our regional operators, or an aircraft that is operated by an airline with which we have a marketing alliance or codeshare relationship were to be involved in an accident, incident or catastrophe, we could be exposed to significant tort liability. The insurance we carry to cover damages arising from any future accidents may be inadequate. In the event that our insurance is not adequate, we may be forced to bear substantial losses from an accident. In addition, any accident, incident or catastrophe involving an aircraft operated by us, operated under our brand by one of our regional operators or operated by one of our codeshare partners could create a public perception that our aircraft or those of our regional operators or codeshare partners are not safe or reliable, which could harm our reputation, result in air travelers being reluctant to fly on our aircraft or those of our regional operators or codeshare partners, and adversely impact our business, results of operations and financial condition.</w:t>
      </w:r>
    </w:p>
    <w:p>
      <w:pPr>
        <w:spacing w:after="0" w:line="275"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Delays in scheduled aircraft deliveries or other loss of anticipated fleet capacity, and failure of new aircraft to perform as expected, may adversely impact our business, results of operations and financial condition.</w:t>
      </w:r>
    </w:p>
    <w:p>
      <w:pPr>
        <w:spacing w:after="0" w:line="62" w:lineRule="exact"/>
        <w:rPr>
          <w:sz w:val="20"/>
          <w:szCs w:val="20"/>
          <w:color w:val="auto"/>
        </w:rPr>
      </w:pPr>
    </w:p>
    <w:p>
      <w:pPr>
        <w:jc w:val="both"/>
        <w:ind w:firstLine="456"/>
        <w:spacing w:after="0" w:line="290" w:lineRule="auto"/>
        <w:rPr>
          <w:sz w:val="20"/>
          <w:szCs w:val="20"/>
          <w:color w:val="auto"/>
        </w:rPr>
      </w:pPr>
      <w:r>
        <w:rPr>
          <w:rFonts w:ascii="Arial" w:cs="Arial" w:eastAsia="Arial" w:hAnsi="Arial"/>
          <w:sz w:val="16"/>
          <w:szCs w:val="16"/>
          <w:color w:val="auto"/>
        </w:rPr>
        <w:t>The success of our business depends on, among other things, effectively managing the number and types of aircraft we operate. In many cases, the aircraft we intend to operate are not yet in our fleet, but we have contractual commitments to purchase or lease them. If for any reason we were unable to accept or secure deliveries of new aircraft on contractually scheduled delivery dates, this could have a negative impact on our business, results of operations and financial condition. Our failure to integrate newly purchased aircraft into our fleet as planned might require us to seek extensions of the terms for some leased aircraft or otherwise delay the exit of certain aircraft from our fleet. Such unanticipated extensions or delays may require us to operate existing aircraft beyond the point at which it is economically optimal to retire them, resulting in increased maintenance costs. If new aircraft orders are not filled on a timely basis, we could face higher operating costs than planned. In addition, if the aircraft we receive do not meet expected performance or quality standards, including with respect to fuel efficiency and reliability, our business, results of operations and financial condition could be adversely impacted.</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depend on a limited number of suppliers for aircraft, aircraft engines and parts.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depend on a limited number of suppliers for aircraft, aircraft engines and many aircraft and engine parts. As a result, we are vulnerable to any problems associated with the supply of those aircraft, parts and engines, including design defects, mechanical problems, contractual performance by the suppliers, or adverse perception by the public that would result in customer avoidance or in actions by the FAA resulting in an inability to operate our aircraft.</w:t>
      </w:r>
    </w:p>
    <w:p>
      <w:pPr>
        <w:spacing w:after="0" w:line="255"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Our business has been and will continue to be affected by many changing economic and other conditions beyond our control, including global events that affect travel behavior, and our results of operations could be volatile and fluctuate due to seasonality.</w:t>
      </w:r>
    </w:p>
    <w:p>
      <w:pPr>
        <w:spacing w:after="0" w:line="3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business, results of operations and financial condition has been and will continue to be affected by many changing economic and other conditions beyond our control, including, among others:</w:t>
      </w:r>
    </w:p>
    <w:p>
      <w:pPr>
        <w:spacing w:after="0" w:line="76" w:lineRule="exact"/>
        <w:rPr>
          <w:sz w:val="20"/>
          <w:szCs w:val="20"/>
          <w:color w:val="auto"/>
        </w:rPr>
      </w:pPr>
    </w:p>
    <w:p>
      <w:pPr>
        <w:ind w:left="900" w:hanging="325"/>
        <w:spacing w:after="0" w:line="277"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potential changes in international, national, regional, and local economic, business and financial conditions, including recession, inflation, higher interest rates, wars, terrorist attacks, or political instability;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consumer preferences, perceptions, spending patterns, or demographic trends;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competitive environment due to industry consolidation, changes in airline alliance affiliations, and other factors;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potential disruptions to the ATC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increases in costs of safety, security, and environmental measures;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outbreaks of diseases that affect travel behavior;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weather and natural disasters.</w:t>
      </w:r>
    </w:p>
    <w:p>
      <w:pPr>
        <w:spacing w:after="0" w:line="225"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In particular, an outbreak of a contagious disease such as the Ebola virus, Middle East Respiratory Syndrome, Severe Acute Respiratory Syndrome, H1N1 influenza virus, avian flu, Zika virus, or any other similar illness, if it were to persist for an extended period, could materially affect the airline industry and us by reducing revenues and adversely impacting our operations and passengers’ travel behavior. As a result of these or other conditions beyond our control, our results of operations could be volatile and subject to rapid and unexpected change. In addition, due to generally weaker demand for air travel during the winter, our revenues in the first and fourth quarters of the year could be weaker than revenues in the second and third quarters of the year.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A higher than normal number of pilot retirements, more stringent duty time regulations, increased flight hour requirements for commercial airline pilots and other factors have caused a shortage of pilots which could materially adversely affect our business.</w:t>
      </w:r>
    </w:p>
    <w:p>
      <w:pPr>
        <w:spacing w:after="0" w:line="38"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We currently have a higher than normal number of pilots eligible for retirement. Among other things, the extension of pilot careers facilitated by the FAA’s 2007 modification of the mandatory retirement age from age 60 to age 65 has now been fully implemented, resulting in large numbers of pilots in the industry approaching the revised mandatory retirement age. Further, in July 2013, the FAA issued regulations that increased the flight hours required for pilots working for airlines certificated under Part 121 of the Federal Aviation Regulations. In addition, on January 4, 2014, more stringent pilot flight and duty time requirements under Part 117 of the Federal Aviation Regulations took effect. These and other factors, including reductions in the number of military pilots being trained by the U.S. armed forces and available as commercial pilots upon their retirement from military service, have contributed to a shortage of qualified, entry-level pilots and increased compensation costs, particularly for our regional subsidiaries and our other regional partners who have paid increased wages and signing bonuses to their pilots. The foregoing factors have also led to increased competition from large, mainline carriers to hire pilots to replace retiring pilots. We believe that this industry-wide pilot shortage is becoming an increasing problem for airlines in the United States. Our regional partners have recently been unable to hire adequate numbers of pilots to meet their needs, resulting in a reduction in the number of flights offered, disruptions, increased costs of operations, financial difficulties and other adverse effects, and these circumstances may become more severe in the future and thereby cause a material adverse effect on our business.</w:t>
      </w:r>
    </w:p>
    <w:p>
      <w:pPr>
        <w:spacing w:after="0" w:line="2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Increases in insurance costs or reductions in insurance coverage may adversely impact our operations and financial results.</w:t>
      </w:r>
    </w:p>
    <w:p>
      <w:pPr>
        <w:spacing w:after="0" w:line="117"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The terrorist attacks of September 11, 2001 led to a significant increase in insurance premiums and a decrease in the insurance coverage available to commercial air carriers. Accordingly, our insurance costs increased significantly, and our ability to continue to obtain insurance even at current prices remains uncertain. If we are unable to maintain adequate insurance coverage, our business could be materially and adversely affected. Additionally, severe disruptions in the domestic and global financial markets could adversely impact the claims-paying ability of some insurers. Future downgrades in the ratings of enough insurers could adversely impact both the availability of appropriate insurance coverage and its cost. Because of competitive pressures in our industry, our ability to pass additional insurance costs to passengers is limited. As a result, further increases in insurance costs or reductions in available insurance coverage could have an adverse impact on our financial results.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may be a party to litigation in the normal course of business or otherwise, which could affect our financial position and liquidity.</w:t>
      </w:r>
    </w:p>
    <w:p>
      <w:pPr>
        <w:spacing w:after="0" w:line="129"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7"/>
          <w:szCs w:val="17"/>
          <w:color w:val="auto"/>
        </w:rPr>
        <w:t>From time to time, we are a party to or otherwise involved in legal proceedings, claims and government inspections or investigations and other legal matters, both inside and outside the United States, arising in the ordinary course of our business or otherwise. We are currently involved in various legal proceedings and claims that have not yet been fully resolved and additional claims may arise in the future. Legal proceedings can be complex and take many months, or even years, to reach resolution, with the final outcome depending on a number of variables, some of which are not within our control. Litigation is subject to significant uncertainty and may be expensive, time-consuming, and disruptive to our operations. Although we will vigorously defend ourselves in such legal proceedings, their ultimate resolution and potential financial and other impacts on us are uncertain. For these and other reasons, we may choose to settle legal proceedings and claims, regardless of their actual merit. If a legal proceeding is resolved against us, it could result in significant compensatory damages, and in certain circumstances punitive or trebled damages, disgorgement of revenue or profits, remedial corporate measures or injunctive relief imposed on us. If our existing insurance does not cover the amount or types of damages awarded, or if other resolution or actions taken as a result of the legal proceeding were to restrain our ability to operate or market our services, our consolidated financial position, results of operations or cash flows could be materially adversely affected. In addition, legal proceedings, and any adverse resolution thereof, can result in adverse publicity and damage to our reputation, which could adversely impact our business. Additional information regarding certain legal matters in which we are involved can be found in Part II, Item 1. Legal Proceedings.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utilize our NOL Carryforwards may be limited.</w:t>
      </w:r>
    </w:p>
    <w:p>
      <w:pPr>
        <w:spacing w:after="0" w:line="117"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Under the Internal Revenue Code of 1986, as amended (the Code), a corporation is generally allowed a deduction for NOLs carried over from prior taxable years (NOL Carryforwards). As of December 31, 2015, we had available NOL Carryforwards of approximately $8.0 billion for regular federal income tax purposes which will expire, if unused, beginning in 2022, and approximately $4.0 billion for state income tax purposes which will expire, if unused, between 2016 and 2034. As of December 31, 2015, the amount of NOL Carryforwards for state income tax purposes that will expire, if unused, in 2016 is $136 million. Following the filing of our 2015 annual tax return in the third quarter of 2016, federal NOLs, substantially all of which are expected to be available to reduce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future federal taxable income in 2016 and future years, increased by $2.5 billion. The increase in the federal NOLs is attributable to the election to take bonus depreciation on eligible assets (primarily aircraft) in the 2015 federal income tax return. Our NOL Carryforwards are subject to adjustment on audit by the Internal Revenue Service and the respective state taxing authorities.</w:t>
      </w:r>
    </w:p>
    <w:p>
      <w:pPr>
        <w:spacing w:after="0" w:line="181" w:lineRule="exact"/>
        <w:rPr>
          <w:sz w:val="20"/>
          <w:szCs w:val="20"/>
          <w:color w:val="auto"/>
        </w:rPr>
      </w:pPr>
    </w:p>
    <w:p>
      <w:pPr>
        <w:jc w:val="both"/>
        <w:ind w:firstLine="456"/>
        <w:spacing w:after="0" w:line="269" w:lineRule="auto"/>
        <w:rPr>
          <w:sz w:val="20"/>
          <w:szCs w:val="20"/>
          <w:color w:val="auto"/>
        </w:rPr>
      </w:pPr>
      <w:r>
        <w:rPr>
          <w:rFonts w:ascii="Arial" w:cs="Arial" w:eastAsia="Arial" w:hAnsi="Arial"/>
          <w:sz w:val="17"/>
          <w:szCs w:val="17"/>
          <w:color w:val="auto"/>
        </w:rPr>
        <w:t>A corporation’s ability to deduct its federal NOL Carryforwards and to utilize certain other available tax attributes can be substantially constrained under the general annual limitation rules of Section 382 of the Code (Section 382) if it undergoes an “ownership change” as defined in Section 382 (generally where cumulative stock ownership changes among material stockholders exceed 50 percent during a rolling three-year period). We experienced an ownership change in connection with our emergence from the Chapter 11 Cases and US Airways Group experienced an ownership change in connection with the Merger. The general limitation rules for a debtor in a bankruptcy case are liberalized where the ownership change occurs upon emergence from bankruptcy. We elected to be covered by certain special rules for federal income tax purposes that permitted approximately $9.0 billion (with $6.6 billion of unlimited NOL still remaining at December 31, 2015) of our federal NOL Carryforwards to be utilized without regard to the annual limitation generally imposed by Section 382. If the special rules are determined not to apply, our ability to utilize such federal NOL Carryforwards may be subject to limitation. Substantially all of our remaining federal NOL Carryforwards (attributable to US Airways Group and its subsidiaries) are subject to limitation under Section 382 as a result of the Merger; however, our ability to utilize such NOL Carryforwards is not anticipated to be effectively constrained as a result of such limitation. Similar limitations may apply for state income tax purposes.</w:t>
      </w:r>
    </w:p>
    <w:p>
      <w:pPr>
        <w:spacing w:after="0" w:line="183" w:lineRule="exact"/>
        <w:rPr>
          <w:sz w:val="20"/>
          <w:szCs w:val="20"/>
          <w:color w:val="auto"/>
        </w:rPr>
      </w:pPr>
    </w:p>
    <w:p>
      <w:pPr>
        <w:jc w:val="both"/>
        <w:ind w:firstLine="456"/>
        <w:spacing w:after="0" w:line="276" w:lineRule="auto"/>
        <w:rPr>
          <w:sz w:val="20"/>
          <w:szCs w:val="20"/>
          <w:color w:val="auto"/>
        </w:rPr>
      </w:pPr>
      <w:r>
        <w:rPr>
          <w:rFonts w:ascii="Arial" w:cs="Arial" w:eastAsia="Arial" w:hAnsi="Arial"/>
          <w:sz w:val="17"/>
          <w:szCs w:val="17"/>
          <w:color w:val="auto"/>
        </w:rPr>
        <w:t>Notwithstanding the foregoing, an ownership change subsequent to our emergence from the Chapter 11 Cases may severely limit or effectively eliminate our ability to utilize our NOL Carryforwards and other tax attributes. To reduce the risk of a potential adverse effect on our ability to utilize our NOL Carryforwards, our Certificate of Incorporation contains transfer restrictions applicable to certain substantial stockholders. Although the purpose of these transfer restrictions is to prevent an ownership change from occurring, no assurance can be given that such an ownership change will not occur, in which case our ability to utilize our NOL Carryforwards and other tax attributes could be severely limited or effectively eliminated.</w:t>
      </w:r>
    </w:p>
    <w:p>
      <w:pPr>
        <w:spacing w:after="0" w:line="173"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Our ability to use our NOL Carryforwards also will depend on the amount of taxable income generated in future periods. The NOL Carryforwards may expire before we can generate sufficient taxable income to use them.</w:t>
      </w:r>
    </w:p>
    <w:p>
      <w:pPr>
        <w:spacing w:after="0" w:line="2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goodwill, which is tested for impairment at least annually. In addition, we may never realize the full value of our intangible assets or long-lived assets, causing us to record material impairment charges.</w:t>
      </w:r>
    </w:p>
    <w:p>
      <w:pPr>
        <w:spacing w:after="0" w:line="62"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Goodwill is not amortized, but is tested for impairment at least annually. In accordance with applicable accounting standards, we are required to test our indefinite-lived intangible assets for impairment on an annual basis, or more frequently if conditions indicate that an impairment may have occurred. In addition, we are required to test certain of our other long-lived assets for impairment if conditions indicate that an impairment may have occurred.</w:t>
      </w:r>
    </w:p>
    <w:p>
      <w:pPr>
        <w:spacing w:after="0" w:line="147" w:lineRule="exact"/>
        <w:rPr>
          <w:sz w:val="20"/>
          <w:szCs w:val="20"/>
          <w:color w:val="auto"/>
        </w:rPr>
      </w:pPr>
    </w:p>
    <w:p>
      <w:pPr>
        <w:jc w:val="both"/>
        <w:ind w:firstLine="456"/>
        <w:spacing w:after="0" w:line="253" w:lineRule="auto"/>
        <w:rPr>
          <w:sz w:val="20"/>
          <w:szCs w:val="20"/>
          <w:color w:val="auto"/>
        </w:rPr>
      </w:pPr>
      <w:r>
        <w:rPr>
          <w:rFonts w:ascii="Arial" w:cs="Arial" w:eastAsia="Arial" w:hAnsi="Arial"/>
          <w:sz w:val="18"/>
          <w:szCs w:val="18"/>
          <w:color w:val="auto"/>
        </w:rPr>
        <w:t>Future impairment of goodwill or other long-lived assets could be recorded in results of operations as a result of changes in assumptions, estimates, or circumstances, some of which are beyond our control. Factors which could result in an impairment could include, but are not limited to: (i) reduced passenger demand as a result of domestic or global economic conditions; (ii) higher prices for jet fuel; (iii) lower fares or passenger yields as a result of increased competition or lower demand; (iv) a significant increase in future capital expenditure commitments; and (v) significant disruptions to our operations as a result of both internal and external events such as terrorist activities, actual or threatened war, labor actions by employees, or further industry regulation. There can be no assurance that a material impairment charge of goodwill or tangible or intangible assets will be avoided. The value of our aircraft could be impacted in future periods by changes in supply and demand for these aircraft. Such changes in supply and demand for certain aircraft types could result from grounding of aircraft by us or other airlines. An impairment charge could have a material adverse effect on our business, results of operations and financial condition.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AAG’s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common stock has recently been and may in the future be volatile.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market price of AAG common stock may fluctuate substantially due to a variety of factors, many of which are beyond our control, including:</w:t>
      </w:r>
    </w:p>
    <w:p>
      <w:pPr>
        <w:spacing w:after="0" w:line="142"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AAG’s operating and financial results failing to meet the expectations of securities analysts or investors;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material announcements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movements in fuel prices;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expectations regarding our capital deployment program, including our share repurchase program and any future dividend payments that may be declared by our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success or failure of AAG’s integration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our key personnel;</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distributions of shares of AAG common stock pursuant to the Plan, including distributions from the disputed claims reserve established under the plan of reorganization upon the resolution of the underlying claims;</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public sales of a substantial number of shares of AAG common stock or issuances of AAG common stock upon the exercise or conversion of convertible securities, options, warrants, restricted stock unit awards, stock appreciation rights, or similar rights;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increases or decreases in reported holdings by insiders or other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fluctuations in trading volume;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market values of airline companies as well as general market conditions.</w:t>
      </w:r>
    </w:p>
    <w:p>
      <w:pPr>
        <w:spacing w:after="0" w:line="333"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b w:val="1"/>
          <w:bCs w:val="1"/>
          <w:i w:val="1"/>
          <w:iCs w:val="1"/>
          <w:color w:val="auto"/>
        </w:rPr>
        <w:t>We cannot guarantee that we will repurchase our common stock pursuant to our share repurchase programs or continue to pay dividends on our common stock or that our capital deployment program will enhance long-term stockholder value. Our capital deployment program could increase the volatility of the price of our common stock and diminish our cash reserves.</w:t>
      </w:r>
    </w:p>
    <w:p>
      <w:pPr>
        <w:spacing w:after="0" w:line="73" w:lineRule="exact"/>
        <w:rPr>
          <w:sz w:val="20"/>
          <w:szCs w:val="20"/>
          <w:color w:val="auto"/>
        </w:rPr>
      </w:pPr>
    </w:p>
    <w:p>
      <w:pPr>
        <w:jc w:val="both"/>
        <w:ind w:firstLine="456"/>
        <w:spacing w:after="0" w:line="272" w:lineRule="auto"/>
        <w:rPr>
          <w:sz w:val="20"/>
          <w:szCs w:val="20"/>
          <w:color w:val="auto"/>
        </w:rPr>
      </w:pPr>
      <w:r>
        <w:rPr>
          <w:rFonts w:ascii="Arial" w:cs="Arial" w:eastAsia="Arial" w:hAnsi="Arial"/>
          <w:sz w:val="17"/>
          <w:szCs w:val="17"/>
          <w:color w:val="auto"/>
        </w:rPr>
        <w:t>Since July 2014, as part of our capital deployment program, our Board of Directors has approved several share repurchase programs aggregating $9.0 billion of authority of which, as of September 30, 2016, $555 million remained unused under repurchase programs that expire on December 31, 2017. Share repurchases under our share repurchase programs may be made through a variety of methods, which may include open market purchases, privately negotiated transactions, block trades or accelerated share repurchase transactions. These share repurchase programs do not obligate us to acquire any specific number of shares or to repurchase any specific number of shares for any fixed period, and may be suspended at any time at our discretion. The timing and amount of repurchases, if any, will be subject to market and economic conditions, applicable legal requirements and other relevant factors. The repurchase programs may be limited, suspended or discontinued at any time without prior notice.</w:t>
      </w:r>
    </w:p>
    <w:p>
      <w:pPr>
        <w:spacing w:after="0" w:line="178"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Although our Board of Directors commenced declaring quarterly cash dividends in July 2014 as part of our capital deployment program, any future dividends that may be declared and paid from time to time will be subject to market and economic conditions, applicable legal requirements and other relevant factors. We are not obligated to continue a dividend for any fixed period, and payment of dividends may be suspended at any time at our discretion. We will continue to retain future earnings to develop our business, as opportunities arise, and evaluate on a quarterly basis the amount and timing of future dividends based on our operating results, financial condition, capital requirements and general business conditions. The amount and timing of any future dividends may vary, and the payment of any dividend does not assure that we will be able to pay dividends in the future.</w:t>
      </w:r>
    </w:p>
    <w:p>
      <w:pPr>
        <w:spacing w:after="0" w:line="178"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In addition, repurchases of AAG common stock pursuant to our share repurchase programs and any future dividends could affect our stock price and increase its volatility. The existence of a share repurchase program and any future dividends could cause our stock price to be higher than it would otherwise be and could potentially reduce the market liquidity for our stock. Additionally, our share repurchase programs and any future dividends will diminish our cash reserves, which may impact our ability to finance future growth and to pursue possible future strategic opportunities and acquisitions. Further, our share repurchase programs may fluctuate such that our cash flow may be insufficient to fully cover our share repurchases. Although our share repurchase programs are intended to enhance long-term stockholder value, there is no assurance that it will do so because the market price of our common stock may decline below the levels at which we repurchased shares of stock and short-term stock price fluctuations could reduce the program’s effectiveness.</w:t>
      </w:r>
    </w:p>
    <w:p>
      <w:pPr>
        <w:spacing w:after="0" w:line="275"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Certain provisions of AAG’s Certificate of Incorporation and Bylaws make it difficult for stockholders to change the composition of our Board of Directors and may discourage takeover attempts that some of our stockholders might consider beneficial.</w:t>
      </w:r>
    </w:p>
    <w:p>
      <w:pPr>
        <w:spacing w:after="0" w:line="3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Certain provisions of our Restated Certificate of Incorporation (Certificate of Incorporation) and Amended and Restated Bylaws (Bylaws) may have the effect of delaying or preventing changes in control if our Board of Directors determines that such changes in control are not in our best interest and the best interest of our stockholders. These provisions include, among other things, the following:</w:t>
      </w:r>
    </w:p>
    <w:p>
      <w:pPr>
        <w:spacing w:after="0" w:line="87" w:lineRule="exact"/>
        <w:rPr>
          <w:sz w:val="20"/>
          <w:szCs w:val="20"/>
          <w:color w:val="auto"/>
        </w:rPr>
      </w:pPr>
    </w:p>
    <w:p>
      <w:pPr>
        <w:ind w:left="5620" w:right="3580" w:hanging="5045"/>
        <w:spacing w:after="0" w:line="449" w:lineRule="auto"/>
        <w:tabs>
          <w:tab w:leader="none" w:pos="896"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advance notice procedures for stockholder proposals to be considered at stockholders’ meetings; 75</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ability of our Board of Directors to fill vacancies on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prohibition against stockholders taking action by written consent;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prohibition against stockholders calling special meetings of stockholders;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requirement that holders of at least 80% of the voting power of the shares entitled to vote in the election of directors approve any amendment of our Bylaws submitted to stockholders for approval;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super-majority voting requirements to modify or amend specified provisions of our Certificate of Incorporation.</w:t>
      </w:r>
    </w:p>
    <w:p>
      <w:pPr>
        <w:spacing w:after="0" w:line="225"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These provisions are not intended to prevent a takeover, but are intended to protect and maximize the value of the interests of our stockholders. While these provisions have the effect of encouraging persons seeking to acquire control of our company to negotiate with our Board of Directors, they could enable our Board of Directors to prevent a transaction that some, or a majority, of our stockholders might believe to be in their best interest and, in that case, may prevent or discourage attempts to remove and replace incumbent directors. In addition, we are subject to the provisions of Section 203 of the Delaware General Corporation Law, which prohibits business combinations with interested stockholders. Interested stockholders do not include stockholders whose acquisition of our securities is approved by the Board of Directors prior to the investment under Section 203.</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AAG’s Certificate of Incorporation and Bylaws include provisions that limit voting and acquisition and disposition of our equity interests.</w:t>
      </w:r>
    </w:p>
    <w:p>
      <w:pPr>
        <w:spacing w:after="0" w:line="140"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Our Certificate of Incorporation and Bylaws include certain provisions that limit voting and ownership and disposition of our equity interests, including AAG common stock and convertible notes. These restrictions may adversely affect the ability of certain holders of AAG common stock and our other equity interests to vote such interests and adversely affect the ability of persons to acquire shares of AAG common stock and our other equity interests.</w:t>
      </w:r>
    </w:p>
    <w:p>
      <w:pPr>
        <w:spacing w:after="0" w:line="255"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b w:val="1"/>
          <w:bCs w:val="1"/>
          <w:i w:val="1"/>
          <w:iCs w:val="1"/>
          <w:color w:val="auto"/>
        </w:rPr>
        <w:t>In order to protect AAG’s NOL Carryforwards and certain other tax attributes, AAG’s Certificate of Incorporation includes certain limitations on acquisitions and dispositions of AAG’s common stock, which may limit the liquidity of our common stock.</w:t>
      </w:r>
    </w:p>
    <w:p>
      <w:pPr>
        <w:spacing w:after="0" w:line="38"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To reduce the risk of a potential adverse effect on our ability to use our NOL Carryforwards and certain other tax attributes for federal income tax purposes, our Certificate of Incorporation contains certain restrictions on the acquisition and disposition of AAG common stock by substantial stockholders. These restrictions may adversely affect the ability of certain holders of AAG common stock to dispose of or acquire shares of AAG common stock. Although the purpose of these transfer restrictions is to prevent an “ownership change” (as defined in Section 382) from occurring, no assurance can be given that an ownership change will not occur even with these restrictions in place.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displays information with respect to our purchases of shares of AAG common stock during the three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Total number of shares</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Maximum 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0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4"/>
              </w:rPr>
              <w:t>Total number of</w:t>
            </w:r>
          </w:p>
        </w:tc>
        <w:tc>
          <w:tcPr>
            <w:tcW w:w="1320" w:type="dxa"/>
            <w:vAlign w:val="bottom"/>
            <w:gridSpan w:val="3"/>
            <w:vMerge w:val="continue"/>
          </w:tcPr>
          <w:p>
            <w:pPr>
              <w:spacing w:after="0"/>
              <w:rPr>
                <w:sz w:val="12"/>
                <w:szCs w:val="12"/>
                <w:color w:val="auto"/>
              </w:rPr>
            </w:pPr>
          </w:p>
        </w:tc>
        <w:tc>
          <w:tcPr>
            <w:tcW w:w="17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shares that may be</w:t>
            </w:r>
          </w:p>
        </w:tc>
        <w:tc>
          <w:tcPr>
            <w:tcW w:w="0" w:type="dxa"/>
            <w:vAlign w:val="bottom"/>
          </w:tcPr>
          <w:p>
            <w:pPr>
              <w:spacing w:after="0"/>
              <w:rPr>
                <w:sz w:val="1"/>
                <w:szCs w:val="1"/>
                <w:color w:val="auto"/>
              </w:rPr>
            </w:pPr>
          </w:p>
        </w:tc>
      </w:tr>
      <w:tr>
        <w:trPr>
          <w:trHeight w:val="149"/>
        </w:trPr>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66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publicly announced</w:t>
            </w:r>
          </w:p>
        </w:tc>
        <w:tc>
          <w:tcPr>
            <w:tcW w:w="360" w:type="dxa"/>
            <w:vAlign w:val="bottom"/>
          </w:tcPr>
          <w:p>
            <w:pPr>
              <w:spacing w:after="0"/>
              <w:rPr>
                <w:sz w:val="12"/>
                <w:szCs w:val="12"/>
                <w:color w:val="auto"/>
              </w:rPr>
            </w:pPr>
          </w:p>
        </w:tc>
        <w:tc>
          <w:tcPr>
            <w:tcW w:w="2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purchased under the plan or program</w:t>
            </w:r>
          </w:p>
        </w:tc>
        <w:tc>
          <w:tcPr>
            <w:tcW w:w="0" w:type="dxa"/>
            <w:vAlign w:val="bottom"/>
          </w:tcPr>
          <w:p>
            <w:pPr>
              <w:spacing w:after="0"/>
              <w:rPr>
                <w:sz w:val="1"/>
                <w:szCs w:val="1"/>
                <w:color w:val="auto"/>
              </w:rPr>
            </w:pPr>
          </w:p>
        </w:tc>
      </w:tr>
      <w:tr>
        <w:trPr>
          <w:trHeight w:val="171"/>
        </w:trPr>
        <w:tc>
          <w:tcPr>
            <w:tcW w:w="1040" w:type="dxa"/>
            <w:vAlign w:val="bottom"/>
            <w:gridSpan w:val="2"/>
            <w:vMerge w:val="continue"/>
          </w:tcPr>
          <w:p>
            <w:pPr>
              <w:spacing w:after="0"/>
              <w:rPr>
                <w:sz w:val="14"/>
                <w:szCs w:val="14"/>
                <w:color w:val="auto"/>
              </w:rPr>
            </w:pPr>
          </w:p>
        </w:tc>
        <w:tc>
          <w:tcPr>
            <w:tcW w:w="2660" w:type="dxa"/>
            <w:vAlign w:val="bottom"/>
          </w:tcPr>
          <w:p>
            <w:pPr>
              <w:spacing w:after="0"/>
              <w:rPr>
                <w:sz w:val="14"/>
                <w:szCs w:val="14"/>
                <w:color w:val="auto"/>
              </w:rPr>
            </w:pPr>
          </w:p>
        </w:tc>
        <w:tc>
          <w:tcPr>
            <w:tcW w:w="18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8"/>
              </w:rPr>
              <w:t>shares purchased</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7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plan or program</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w:t>
            </w:r>
          </w:p>
        </w:tc>
        <w:tc>
          <w:tcPr>
            <w:tcW w:w="620" w:type="dxa"/>
            <w:vAlign w:val="bottom"/>
            <w:tcBorders>
              <w:top w:val="single" w:sz="8" w:color="CCEEFF"/>
            </w:tcBorders>
            <w:shd w:val="clear" w:color="auto" w:fill="CCEEFF"/>
          </w:tcPr>
          <w:p>
            <w:pPr>
              <w:jc w:val="right"/>
              <w:ind w:right="235"/>
              <w:spacing w:after="0"/>
              <w:rPr>
                <w:sz w:val="20"/>
                <w:szCs w:val="20"/>
                <w:color w:val="auto"/>
              </w:rPr>
            </w:pPr>
            <w:r>
              <w:rPr>
                <w:rFonts w:ascii="Arial" w:cs="Arial" w:eastAsia="Arial" w:hAnsi="Arial"/>
                <w:sz w:val="17"/>
                <w:szCs w:val="17"/>
                <w:color w:val="auto"/>
                <w:w w:val="73"/>
              </w:rPr>
              <w:t>2016</w:t>
            </w:r>
          </w:p>
        </w:tc>
        <w:tc>
          <w:tcPr>
            <w:tcW w:w="26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11,231,052</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7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11,231,052</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2"/>
          </w:tcPr>
          <w:p>
            <w:pPr>
              <w:spacing w:after="0"/>
              <w:rPr>
                <w:sz w:val="20"/>
                <w:szCs w:val="20"/>
                <w:color w:val="auto"/>
              </w:rPr>
            </w:pPr>
            <w:r>
              <w:rPr>
                <w:rFonts w:ascii="Arial" w:cs="Arial" w:eastAsia="Arial" w:hAnsi="Arial"/>
                <w:sz w:val="18"/>
                <w:szCs w:val="18"/>
                <w:color w:val="auto"/>
              </w:rPr>
              <w:t>August 2016</w:t>
            </w:r>
          </w:p>
        </w:tc>
        <w:tc>
          <w:tcPr>
            <w:tcW w:w="2660" w:type="dxa"/>
            <w:vAlign w:val="bottom"/>
          </w:tcPr>
          <w:p>
            <w:pPr>
              <w:spacing w:after="0"/>
              <w:rPr>
                <w:sz w:val="18"/>
                <w:szCs w:val="18"/>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8"/>
                <w:szCs w:val="18"/>
                <w:color w:val="auto"/>
              </w:rPr>
              <w:t>3,222,480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35.97</w:t>
            </w:r>
          </w:p>
        </w:tc>
        <w:tc>
          <w:tcPr>
            <w:tcW w:w="7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3,222,480</w:t>
            </w:r>
          </w:p>
        </w:tc>
        <w:tc>
          <w:tcPr>
            <w:tcW w:w="360" w:type="dxa"/>
            <w:vAlign w:val="bottom"/>
          </w:tcPr>
          <w:p>
            <w:pPr>
              <w:spacing w:after="0"/>
              <w:rPr>
                <w:sz w:val="18"/>
                <w:szCs w:val="18"/>
                <w:color w:val="auto"/>
              </w:rPr>
            </w:pP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2016</w:t>
            </w: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3,727,813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w:t>
            </w:r>
          </w:p>
        </w:tc>
        <w:tc>
          <w:tcPr>
            <w:tcW w:w="7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3,727,813</w:t>
            </w:r>
          </w:p>
        </w:tc>
        <w:tc>
          <w:tcPr>
            <w:tcW w:w="3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581"/>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2660" w:type="dxa"/>
            <w:vAlign w:val="bottom"/>
          </w:tcPr>
          <w:p>
            <w:pPr>
              <w:ind w:left="100"/>
              <w:spacing w:after="0"/>
              <w:rPr>
                <w:sz w:val="20"/>
                <w:szCs w:val="20"/>
                <w:color w:val="auto"/>
              </w:rPr>
            </w:pPr>
            <w:r>
              <w:rPr>
                <w:rFonts w:ascii="Arial" w:cs="Arial" w:eastAsia="Arial" w:hAnsi="Arial"/>
                <w:sz w:val="18"/>
                <w:szCs w:val="18"/>
                <w:b w:val="1"/>
                <w:bCs w:val="1"/>
                <w:color w:val="auto"/>
              </w:rPr>
              <w:t>EXHIBITS</w:t>
            </w: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exhibits listed in the Exhibit Index following the signature pages to this report are filed as part of, or incorporated by reference into, this report.</w:t>
      </w:r>
    </w:p>
    <w:p>
      <w:pPr>
        <w:spacing w:after="0" w:line="23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Exhibits required to be filed by Item 601 of Regulation S-K: Where the amount of securities authorized to be issued under any of our long-term debt agreements does not exceed 10 percent of our assets, pursuant to paragraph (b)(4) of Item 601 of Regulation S-K, in lieu of filing such as an exhibit, we hereby agree to furnish to the Commission upon request a copy of any agreement with respect to such long-term debt.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American Airlines Group Inc.</w:t>
      </w:r>
    </w:p>
    <w:p>
      <w:pPr>
        <w:spacing w:after="0" w:line="22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October 20, 2016</w:t>
      </w:r>
      <w:r>
        <w:rPr>
          <w:sz w:val="20"/>
          <w:szCs w:val="20"/>
          <w:color w:val="auto"/>
        </w:rPr>
        <w:tab/>
      </w:r>
      <w:r>
        <w:rPr>
          <w:rFonts w:ascii="Arial" w:cs="Arial" w:eastAsia="Arial" w:hAnsi="Arial"/>
          <w:sz w:val="17"/>
          <w:szCs w:val="17"/>
          <w:color w:val="auto"/>
        </w:rPr>
        <w:t>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Derek J. Kerr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Date: October 20, 2016</w:t>
      </w:r>
      <w:r>
        <w:rPr>
          <w:sz w:val="20"/>
          <w:szCs w:val="20"/>
          <w:color w:val="auto"/>
        </w:rPr>
        <w:tab/>
      </w:r>
      <w:r>
        <w:rPr>
          <w:rFonts w:ascii="Arial" w:cs="Arial" w:eastAsia="Arial" w:hAnsi="Arial"/>
          <w:sz w:val="17"/>
          <w:szCs w:val="17"/>
          <w:color w:val="auto"/>
        </w:rPr>
        <w:t>By: /s/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Derek J. Kerr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(Duly Authorized Officer and Principal Financial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900" w:type="dxa"/>
            <w:vAlign w:val="bottom"/>
            <w:gridSpan w:val="3"/>
          </w:tcPr>
          <w:p>
            <w:pPr>
              <w:ind w:left="45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gridSpan w:val="3"/>
            <w:vMerge w:val="restart"/>
          </w:tcPr>
          <w:p>
            <w:pPr>
              <w:ind w:left="5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Pass Through Trust Agreement, dated as of September 16, 2014, between American Airlines, Inc. and Wilmington Trust Company, as Trustee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(incorporated by reference to Exhibit 4.1 to American’s Current Report on Form 8-K filed on September 17, 2014 (Commission File No. 1-</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5380" w:type="dxa"/>
            <w:vAlign w:val="bottom"/>
          </w:tcPr>
          <w:p>
            <w:pPr>
              <w:ind w:left="560"/>
              <w:spacing w:after="0"/>
              <w:rPr>
                <w:sz w:val="20"/>
                <w:szCs w:val="20"/>
                <w:color w:val="auto"/>
              </w:rPr>
            </w:pPr>
            <w:r>
              <w:rPr>
                <w:rFonts w:ascii="Arial" w:cs="Arial" w:eastAsia="Arial" w:hAnsi="Arial"/>
                <w:sz w:val="18"/>
                <w:szCs w:val="18"/>
                <w:color w:val="auto"/>
              </w:rPr>
              <w:t>2691)).</w:t>
            </w:r>
          </w:p>
        </w:tc>
        <w:tc>
          <w:tcPr>
            <w:tcW w:w="7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Trust Supplement No. 2016-2B, dated as of July 8, 2016, between American Airlines, Inc. and Wilmington Trust Company, as Trustee, to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Pass Through Trust Agreement, dated as of September 16, 2014 (incorporated by reference to Exhibit 4.2 to American’s Current Report 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Form 8-K filed on July 12, 2016 (Commission 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Amended and Restated Intercreditor Agreement (2016-2), dated as of July 8, 2016, among Wilmington Trust Company, as Trustee of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American Airlines Pass Through Trust 2016-2AA, as Trustee of the American Airlines Pass Through Trust 2016-2A and as Trustee of the</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6"/>
              </w:rPr>
              <w:t>American Airlines Pass Through Trust 2016-2B, KfW IPEX-Bank GmbH, as Class AA Liquidity Provider, Class A Liquidity Provider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Class B Liquidity Provider, and Wilmington Trust Company, as Subordination Agent (incorporated by reference to Exhibit 4.3 to American’s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Current Report on Form 8-K filed on July 12, 2016 (Commission 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5"/>
              </w:rPr>
              <w:t>Deposit Agreement (Class B), dated as of July 8, 2016, between Wilmington Trust, National Association, as Escrow Agent, and Citibank,</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N.A., as Depositary (incorporated by reference to Exhibit 4.4 to American’s Current Report on Form 8-K filed on July 12, 2016 (Commission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Escrow and Paying Agent Agreement (Class B), dated as of July 8, 2016, among Wilmington Trust, National Association, as Escrow Agent,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Citigroup Global Markets Inc., as the initial purchaser, Wilmington Trust Company, not in its individual capacity, but solely as Pass Through</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Trustee for and on behalf of American Airlines Pass Through Trust 2016-2B, and Wilmington Trust Company, as Paying Agent (incorporated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by reference to Exhibit 4.5 to American’s Current Report on Form 8-K filed on July 12, 2016 (Commission 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Amended and Restated Note Purchase Agreement, dated as of July 8, 2016, among American Airlines, Inc., Wilmington Trust Company,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Pass Through Trustee under each of the Pass Through Trust Agreements, Wilmington Trust Company, as Subordination Agent, Wilmington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Trust, National Association, as Escrow Agent, and Wilmington Trust Company, as Paying Agent (incorporated by reference to Exhibit 4.6 to</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American’s Current Report on Form 8-K filed on July 12, 2016 (Commission 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5"/>
              </w:rPr>
              <w:t>Form of Participation Agreement (Participation Agreement among American Airlines, Inc., Wilmington Trust Company, as Pass Through</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Trustee under each of the Pass Through Trust Agreements, Wilmington Trust Company, as Subordination Agent, Wilmington Trust Company,</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8"/>
              </w:rPr>
              <w:t>as Loan Trustee, and Wilmington Trust Company, in its individual capacity as set forth therein) (included in Exhibit B to Exhibit 4.6).</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9"/>
              </w:rPr>
              <w:t>Form of First Amendment to Participation Agreement (First Amendment to Participation Agreement among American Airlines,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Wilmington Trust Company, as Pass Through Trustee under each of the Pass Through Trust Agreements, Wilmington Trust Company, as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5"/>
              </w:rPr>
              <w:t>Subordination Agent, Wilmington Trust Company, as Loan Trustee, and Wilmington Trust Company, in its individual capacity as set forth</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therein) (included in Exhibit D to Exhibit 4.6).</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7"/>
              </w:rPr>
              <w:t>Form of Indenture and Security Agreement (Indenture and Security Agreement between American Airlines, Inc., and Wilmington Trust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Company, as Loan Trustee) (included in Exhibit C to Exhibit 4.6).</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Form of First Amendment to Indenture and Security Agreement (First Amendment to Indenture and Security Agreement between American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Airlines, Inc., and Wilmington Trust Company, as Loan Trustee) (included in Exhibit E to Exhibit 4.6).</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Form of Pass Through Trust Certificate, Series 2016-2B (included in Exhibit A to Exhibit 4.2).</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Revolving Credit Agreement (2016-2B), dated as of July 8, 2016, between Wilmington Trust Company, as Subordination Agent, as agent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trustee for the trustee of the American Airlines Pass Through Trust 2016-2B, as Borrower, and KfW IPEX Bank GmbH, as liquidity Provider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3"/>
              </w:rPr>
              <w:t>(incorporated by reference to Exhibit 4.12 to American’s Current Report on Form 8-K filed on July 12, 2016 (Commission File No. 1-2691)).</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1"/>
              </w:rPr>
              <w:t>Second Amendment to the Amended and Restated Credit and Guaranty Agreement, dated September 22, 2016, amending the Amended and</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6"/>
              </w:rPr>
              <w:t>Restated Credit and Guaranty Agreement, dated as of April 20, 2015, among American Airlines, Inc., American Airlines Group Inc.,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lenders from time to time party thereto, Citibank N.A., as administrative agent, and certain other parties thereto.</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5380" w:type="dxa"/>
            <w:vAlign w:val="bottom"/>
          </w:tcPr>
          <w:p>
            <w:pPr>
              <w:ind w:left="5100"/>
              <w:spacing w:after="0"/>
              <w:rPr>
                <w:sz w:val="20"/>
                <w:szCs w:val="20"/>
                <w:color w:val="auto"/>
              </w:rPr>
            </w:pPr>
            <w:r>
              <w:rPr>
                <w:rFonts w:ascii="Arial" w:cs="Arial" w:eastAsia="Arial" w:hAnsi="Arial"/>
                <w:sz w:val="18"/>
                <w:szCs w:val="18"/>
                <w:color w:val="auto"/>
              </w:rPr>
              <w:t>79</w:t>
            </w:r>
          </w:p>
        </w:tc>
        <w:tc>
          <w:tcPr>
            <w:tcW w:w="70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10900" w:type="dxa"/>
            <w:vAlign w:val="bottom"/>
            <w:gridSpan w:val="3"/>
            <w:vMerge w:val="restart"/>
          </w:tcPr>
          <w:p>
            <w:pPr>
              <w:ind w:left="53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09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5"/>
              </w:rPr>
              <w:t>Supplemental Agreement No. 5, dated as of August 8, 2016, to Purchase Agreement No. 03735 dated as of February 1, 2013, between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American Airlines, Inc. and The Boeing Company.*</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6"/>
              </w:rPr>
              <w:t>Supplemental Agreement No. 7, dated as of August 8, 2016, to Purchase Agreement No. 3219 dated as of October 15, 2008, between</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American Airlines, Inc. and The Boeing Company.*</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2"/>
              </w:rPr>
              <w:t>Amendment No. 8, dated as of July 18, 2016, to the Amended and Restated Airbus A350 XWB Purchase Agreement, dated as of October 2,</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2007, between American Airlines, Inc. and Airbus S.A.S.*</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6"/>
              </w:rPr>
              <w:t>Transition and Separation Agreement, dated as of August 29, 2016, among J. Scott Kirby, American Airlines Group Inc. and American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7"/>
              </w:rPr>
              <w:t>Airlines, Inc. (incorporated by reference to Exhibit 99.1 to AAG and American’s Current Report on Form 8-K filed on August 29, 2016</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(Commission File Nos. 1-8400 and 1-2691)).</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Computation of ratio of earnings to fixed charges of American Airlines Group Inc. for the nine months ended September 30, 2016.</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12.2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Computation of ratio of earnings to fixed charges of American Airlines, Inc. for the nine months ended September 30, 2016.</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Certification of AAG Chief Executive Officer pursuant to Rule 13a-14(a).</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Certification of AAG Chief Financial Officer pursuant to Rule 13a-14(a).</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31.3</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Certification of American Chief Executive Officer pursuant to Rule 13a-14(a).</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31.4</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Certification of American Chief Financial Officer pursuant to Rule 13a-14(a).</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4"/>
              </w:rPr>
              <w:t>AAG Certification pursuant to Rule 13a-14(b) and section 906 of the Sarbanes-Oxley Act of 2002 (subsections (a) and (b) of section 1350,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chapter 63 of title 18, United States Code).</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w w:val="90"/>
              </w:rPr>
              <w:t>American Certification pursuant to Rule 13a-14(b) and section 906 of the Sarbanes-Oxley Act of 2002 (subsections (a) and (b) of section 1350,</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chapter 63 of title 18, United States Code).</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gridSpan w:val="3"/>
          </w:tcPr>
          <w:p>
            <w:pPr>
              <w:ind w:left="560"/>
              <w:spacing w:after="0"/>
              <w:rPr>
                <w:sz w:val="20"/>
                <w:szCs w:val="20"/>
                <w:color w:val="auto"/>
              </w:rPr>
            </w:pPr>
            <w:r>
              <w:rPr>
                <w:rFonts w:ascii="Arial" w:cs="Arial" w:eastAsia="Arial" w:hAnsi="Arial"/>
                <w:sz w:val="18"/>
                <w:szCs w:val="18"/>
                <w:color w:val="auto"/>
              </w:rPr>
              <w:t>Interactive data files pursuant to Rule 405 of Regulation S-T.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20" w:right="4560" w:hanging="5612"/>
        <w:spacing w:after="0" w:line="449" w:lineRule="auto"/>
        <w:tabs>
          <w:tab w:leader="none" w:pos="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certain portions of this agreement. 80</w:t>
      </w:r>
    </w:p>
    <w:p>
      <w:pPr>
        <w:sectPr>
          <w:pgSz w:w="11900" w:h="16838" w:orient="portrait"/>
          <w:cols w:equalWidth="0" w:num="1">
            <w:col w:w="11420"/>
          </w:cols>
          <w:pgMar w:left="240" w:top="459"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SECOND AMENDMENT TO AMENDED AND RESTATED CREDIT AND GUARANTY AGREEMENT</w:t>
      </w:r>
    </w:p>
    <w:p>
      <w:pPr>
        <w:spacing w:after="0" w:line="22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SECOND AMENDMENT TO AMENDED AND RESTATED CREDIT AND GUARANTY AGREEMENT (this “</w:t>
      </w:r>
      <w:r>
        <w:rPr>
          <w:rFonts w:ascii="Arial" w:cs="Arial" w:eastAsia="Arial" w:hAnsi="Arial"/>
          <w:sz w:val="18"/>
          <w:szCs w:val="18"/>
          <w:u w:val="single" w:color="auto"/>
          <w:color w:val="auto"/>
        </w:rPr>
        <w:t>Second Amendment</w:t>
      </w:r>
      <w:r>
        <w:rPr>
          <w:rFonts w:ascii="Arial" w:cs="Arial" w:eastAsia="Arial" w:hAnsi="Arial"/>
          <w:sz w:val="18"/>
          <w:szCs w:val="18"/>
          <w:color w:val="auto"/>
        </w:rPr>
        <w:t>”), dated as of September 22, 2016 among American Airlines,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American Airlines Group Inc., a Delaware corporation (the “</w:t>
      </w:r>
      <w:r>
        <w:rPr>
          <w:rFonts w:ascii="Arial" w:cs="Arial" w:eastAsia="Arial" w:hAnsi="Arial"/>
          <w:sz w:val="18"/>
          <w:szCs w:val="18"/>
          <w:u w:val="single" w:color="auto"/>
          <w:color w:val="auto"/>
        </w:rPr>
        <w:t>Parent</w:t>
      </w:r>
      <w:r>
        <w:rPr>
          <w:rFonts w:ascii="Arial" w:cs="Arial" w:eastAsia="Arial" w:hAnsi="Arial"/>
          <w:sz w:val="18"/>
          <w:szCs w:val="18"/>
          <w:color w:val="auto"/>
        </w:rPr>
        <w:t>” or the “</w:t>
      </w:r>
      <w:r>
        <w:rPr>
          <w:rFonts w:ascii="Arial" w:cs="Arial" w:eastAsia="Arial" w:hAnsi="Arial"/>
          <w:sz w:val="18"/>
          <w:szCs w:val="18"/>
          <w:u w:val="single" w:color="auto"/>
          <w:color w:val="auto"/>
        </w:rPr>
        <w:t>Guarantor</w:t>
      </w:r>
      <w:r>
        <w:rPr>
          <w:rFonts w:ascii="Arial" w:cs="Arial" w:eastAsia="Arial" w:hAnsi="Arial"/>
          <w:sz w:val="18"/>
          <w:szCs w:val="18"/>
          <w:color w:val="auto"/>
        </w:rPr>
        <w:t>”), the lenders party hereto with a 2016 Replacement Term Loan Commitment referred to below (the “</w:t>
      </w:r>
      <w:r>
        <w:rPr>
          <w:rFonts w:ascii="Arial" w:cs="Arial" w:eastAsia="Arial" w:hAnsi="Arial"/>
          <w:sz w:val="18"/>
          <w:szCs w:val="18"/>
          <w:u w:val="single" w:color="auto"/>
          <w:color w:val="auto"/>
        </w:rPr>
        <w:t>2016 Replacement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each other lender party hereto and Citibank N.A. (“</w:t>
      </w:r>
      <w:r>
        <w:rPr>
          <w:rFonts w:ascii="Arial" w:cs="Arial" w:eastAsia="Arial" w:hAnsi="Arial"/>
          <w:sz w:val="18"/>
          <w:szCs w:val="18"/>
          <w:u w:val="single" w:color="auto"/>
          <w:color w:val="auto"/>
        </w:rPr>
        <w:t>Citi</w:t>
      </w:r>
      <w:r>
        <w:rPr>
          <w:rFonts w:ascii="Arial" w:cs="Arial" w:eastAsia="Arial" w:hAnsi="Arial"/>
          <w:sz w:val="18"/>
          <w:szCs w:val="18"/>
          <w:color w:val="auto"/>
        </w:rPr>
        <w:t>”), as administrative agent (in such capacity,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and as the designated lender of 2016 Replacement Term Loans referred to below (in such capacity, the “</w:t>
      </w:r>
      <w:r>
        <w:rPr>
          <w:rFonts w:ascii="Arial" w:cs="Arial" w:eastAsia="Arial" w:hAnsi="Arial"/>
          <w:sz w:val="18"/>
          <w:szCs w:val="18"/>
          <w:u w:val="single" w:color="auto"/>
          <w:color w:val="auto"/>
        </w:rPr>
        <w:t>Designated 2016 Replacement Term Lender</w:t>
      </w:r>
      <w:r>
        <w:rPr>
          <w:rFonts w:ascii="Arial" w:cs="Arial" w:eastAsia="Arial" w:hAnsi="Arial"/>
          <w:sz w:val="18"/>
          <w:szCs w:val="18"/>
          <w:color w:val="auto"/>
        </w:rPr>
        <w:t>”). Unless otherwise indicated, all capitalized terms used herein and not otherwise defined shall have the respective meanings provided such terms in the Credit Agreement referred to below.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w:t>
      </w:r>
    </w:p>
    <w:p>
      <w:pPr>
        <w:spacing w:after="0" w:line="225"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WHEREAS, the Borrower, the Guarantor, the lenders from time to time party thereto, the Administrative Agent and certain other parties thereto are parties to that certain Amended and Restated Credit and Guaranty Agreement, dated as of April 20, 2015 (as amended by that certain First Amendment to Amended and Restated Credit and Guaranty Agreement, dated as of October 26, 2015, and as further amended, amended and restated, supplemented or otherwise modified to but not including the Second Amendment Effective Date as defined below,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17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WHEREAS, on the date hereof, there are outstanding Term Loans under the Credit Agreement (the “</w:t>
      </w:r>
      <w:r>
        <w:rPr>
          <w:rFonts w:ascii="Arial" w:cs="Arial" w:eastAsia="Arial" w:hAnsi="Arial"/>
          <w:sz w:val="18"/>
          <w:szCs w:val="18"/>
          <w:u w:val="single" w:color="auto"/>
          <w:color w:val="auto"/>
        </w:rPr>
        <w:t>Existing Term Loans</w:t>
      </w:r>
      <w:r>
        <w:rPr>
          <w:rFonts w:ascii="Arial" w:cs="Arial" w:eastAsia="Arial" w:hAnsi="Arial"/>
          <w:sz w:val="18"/>
          <w:szCs w:val="18"/>
          <w:color w:val="auto"/>
        </w:rPr>
        <w:t>”) in an aggregate principal amount of $742,500,000;</w:t>
      </w:r>
    </w:p>
    <w:p>
      <w:pPr>
        <w:spacing w:after="0" w:line="17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WHEREAS, pursuant to Section 10.08(e) of the Credit Agreement, the Borrower desires to refinance in full the Existing Term Loans with the proceeds of the 2016 Replacement Term Loans (as defined below) (the “</w:t>
      </w:r>
      <w:r>
        <w:rPr>
          <w:rFonts w:ascii="Arial" w:cs="Arial" w:eastAsia="Arial" w:hAnsi="Arial"/>
          <w:sz w:val="18"/>
          <w:szCs w:val="18"/>
          <w:u w:val="single" w:color="auto"/>
          <w:color w:val="auto"/>
        </w:rPr>
        <w:t>Refinancing</w:t>
      </w:r>
      <w:r>
        <w:rPr>
          <w:rFonts w:ascii="Arial" w:cs="Arial" w:eastAsia="Arial" w:hAnsi="Arial"/>
          <w:sz w:val="18"/>
          <w:szCs w:val="18"/>
          <w:color w:val="auto"/>
        </w:rPr>
        <w:t>”); and</w:t>
      </w:r>
    </w:p>
    <w:p>
      <w:pPr>
        <w:spacing w:after="0" w:line="170"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WHEREAS, the Borrower, the Administrative Agent, the 2016 Replacement Term Lenders and the other Lenders party hereto wish to amend the Credit Agreement to provide for (i) the Refinancing and (ii) certain other modifications to the Credit Agreement, in each case, on the terms and subject to the conditions set forth herein.</w:t>
      </w:r>
    </w:p>
    <w:p>
      <w:pPr>
        <w:sectPr>
          <w:pgSz w:w="11900" w:h="16838" w:orient="portrait"/>
          <w:cols w:equalWidth="0" w:num="1">
            <w:col w:w="11420"/>
          </w:cols>
          <w:pgMar w:left="240" w:top="121" w:right="239" w:bottom="1440" w:gutter="0" w:footer="0" w:header="0"/>
        </w:sectPr>
      </w:pPr>
    </w:p>
    <w:bookmarkStart w:id="81" w:name="page82"/>
    <w:bookmarkEnd w:id="81"/>
    <w:p>
      <w:pPr>
        <w:ind w:right="1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in consideration of the foregoing, and for other good and valuable consideration, the receipt and sufficiency of which are hereby acknowledged, the parties hereto hereby agree as follows: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SECTION ONE - Credit Agreement Amendments</w:t>
      </w:r>
      <w:r>
        <w:rPr>
          <w:rFonts w:ascii="Arial" w:cs="Arial" w:eastAsia="Arial" w:hAnsi="Arial"/>
          <w:sz w:val="18"/>
          <w:szCs w:val="18"/>
          <w:color w:val="auto"/>
        </w:rPr>
        <w:t>. Effective as of the Second Amendment Effective Date (as defined below):</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The Credit Agreement is hereby amended as follows: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 Section 1.01 of the Credit Agreement is hereby amended by inserting the following definitions in appropriate alphabetical order:</w:t>
      </w:r>
    </w:p>
    <w:p>
      <w:pPr>
        <w:spacing w:after="0" w:line="117" w:lineRule="exact"/>
        <w:rPr>
          <w:sz w:val="20"/>
          <w:szCs w:val="20"/>
          <w:color w:val="auto"/>
        </w:rPr>
      </w:pPr>
    </w:p>
    <w:p>
      <w:pPr>
        <w:ind w:left="920" w:right="80" w:firstLine="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2016 Replacement Term Lender</w:t>
      </w:r>
      <w:r>
        <w:rPr>
          <w:rFonts w:ascii="Arial" w:cs="Arial" w:eastAsia="Arial" w:hAnsi="Arial"/>
          <w:sz w:val="18"/>
          <w:szCs w:val="18"/>
          <w:color w:val="auto"/>
        </w:rPr>
        <w:t>” shall mean each Lender having a Term Loan Commitment to provide 2016 Replacement Term Loans or, as the case may be, with an outstanding 2016 Replacement Term Loan.</w:t>
      </w:r>
    </w:p>
    <w:p>
      <w:pPr>
        <w:spacing w:after="0" w:line="6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2016 Replacement Term Loans</w:t>
      </w:r>
      <w:r>
        <w:rPr>
          <w:rFonts w:ascii="Arial" w:cs="Arial" w:eastAsia="Arial" w:hAnsi="Arial"/>
          <w:sz w:val="18"/>
          <w:szCs w:val="18"/>
          <w:color w:val="auto"/>
        </w:rPr>
        <w:t>” shall be the Term Loans incurred pursuant to the Second Amendment.</w:t>
      </w:r>
    </w:p>
    <w:p>
      <w:pPr>
        <w:spacing w:after="0" w:line="117" w:lineRule="exact"/>
        <w:rPr>
          <w:sz w:val="20"/>
          <w:szCs w:val="20"/>
          <w:color w:val="auto"/>
        </w:rPr>
      </w:pPr>
    </w:p>
    <w:p>
      <w:pPr>
        <w:ind w:left="920" w:right="340" w:firstLine="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2016 Replacement Term Loan Commitment</w:t>
      </w:r>
      <w:r>
        <w:rPr>
          <w:rFonts w:ascii="Arial" w:cs="Arial" w:eastAsia="Arial" w:hAnsi="Arial"/>
          <w:sz w:val="18"/>
          <w:szCs w:val="18"/>
          <w:color w:val="auto"/>
        </w:rPr>
        <w:t>” shall mean the Term Loan Commitment of each 2016 Replacement Term Loan Lender to make 2016 Replacement Term Loans pursuant to the Second Amendment.</w:t>
      </w:r>
    </w:p>
    <w:p>
      <w:pPr>
        <w:spacing w:after="0" w:line="62" w:lineRule="exact"/>
        <w:rPr>
          <w:sz w:val="20"/>
          <w:szCs w:val="20"/>
          <w:color w:val="auto"/>
        </w:rPr>
      </w:pPr>
    </w:p>
    <w:p>
      <w:pPr>
        <w:ind w:left="920" w:firstLine="4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2016 Replacement Term Loan Commitment Schedule</w:t>
      </w:r>
      <w:r>
        <w:rPr>
          <w:rFonts w:ascii="Arial" w:cs="Arial" w:eastAsia="Arial" w:hAnsi="Arial"/>
          <w:sz w:val="18"/>
          <w:szCs w:val="18"/>
          <w:color w:val="auto"/>
        </w:rPr>
        <w:t>” shall mean the schedule of 2016 Replacement Term Loan Commitments of each 2016 Replacement Term Lender provided to the Borrower on the Second Amendment Effective Date by the Administrative Agent pursuant to the Second Amendment.</w:t>
      </w:r>
    </w:p>
    <w:p>
      <w:pPr>
        <w:spacing w:after="0" w:line="73" w:lineRule="exact"/>
        <w:rPr>
          <w:sz w:val="20"/>
          <w:szCs w:val="20"/>
          <w:color w:val="auto"/>
        </w:rPr>
      </w:pPr>
    </w:p>
    <w:p>
      <w:pPr>
        <w:ind w:left="920" w:right="140" w:firstLine="4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Amendment</w:t>
      </w:r>
      <w:r>
        <w:rPr>
          <w:rFonts w:ascii="Arial" w:cs="Arial" w:eastAsia="Arial" w:hAnsi="Arial"/>
          <w:sz w:val="18"/>
          <w:szCs w:val="18"/>
          <w:color w:val="auto"/>
        </w:rPr>
        <w:t>” shall mean the Second Amendment to First Amended and Restated Credit and Guaranty Agreement, dated as of September 22, 2016, by and among Parent, the Borrower, the Administrative Agent, the 2016 Replacement Term Lenders and Citibank N.A., in its capacity as the designated Lender of 2016 Replacement Term Loans.</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Amendment Effective Date</w:t>
      </w:r>
      <w:r>
        <w:rPr>
          <w:rFonts w:ascii="Arial" w:cs="Arial" w:eastAsia="Arial" w:hAnsi="Arial"/>
          <w:sz w:val="18"/>
          <w:szCs w:val="18"/>
          <w:color w:val="auto"/>
        </w:rPr>
        <w:t>” shall have the meaning provided in the Second Amendment.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(ii) The definition of “</w:t>
      </w:r>
      <w:r>
        <w:rPr>
          <w:rFonts w:ascii="Arial" w:cs="Arial" w:eastAsia="Arial" w:hAnsi="Arial"/>
          <w:sz w:val="17"/>
          <w:szCs w:val="17"/>
          <w:i w:val="1"/>
          <w:iCs w:val="1"/>
          <w:color w:val="auto"/>
        </w:rPr>
        <w:t>Applicable Margin</w:t>
      </w:r>
      <w:r>
        <w:rPr>
          <w:rFonts w:ascii="Arial" w:cs="Arial" w:eastAsia="Arial" w:hAnsi="Arial"/>
          <w:sz w:val="17"/>
          <w:szCs w:val="17"/>
          <w:color w:val="auto"/>
        </w:rPr>
        <w:t>” appearing in Section 1.01 of the Credit Agreement is hereby amended and restated in its entirety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03" w:lineRule="exact"/>
        <w:rPr>
          <w:sz w:val="20"/>
          <w:szCs w:val="20"/>
          <w:color w:val="auto"/>
        </w:rPr>
      </w:pPr>
    </w:p>
    <w:p>
      <w:pPr>
        <w:jc w:val="both"/>
        <w:ind w:left="920" w:right="80" w:firstLine="4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Margin</w:t>
      </w:r>
      <w:r>
        <w:rPr>
          <w:rFonts w:ascii="Arial" w:cs="Arial" w:eastAsia="Arial" w:hAnsi="Arial"/>
          <w:sz w:val="18"/>
          <w:szCs w:val="18"/>
          <w:color w:val="auto"/>
        </w:rPr>
        <w:t>” shall mean (a) with respect to Revolving Loans (i) that are Eurodollar Loans, 3.00% per annum and (ii) that are ABR Loans, 2.00% per annum and (b) with respect to 2016 Replacement Term Loans (i) that are Eurodollar Loans, 2.50% per annum and (ii) that are ABR Loans 1.50% per annum.</w:t>
      </w:r>
    </w:p>
    <w:p>
      <w:pPr>
        <w:spacing w:after="0" w:line="181" w:lineRule="exact"/>
        <w:rPr>
          <w:sz w:val="20"/>
          <w:szCs w:val="20"/>
          <w:color w:val="auto"/>
        </w:rPr>
      </w:pPr>
    </w:p>
    <w:p>
      <w:pPr>
        <w:jc w:val="both"/>
        <w:ind w:right="240" w:firstLine="921"/>
        <w:spacing w:after="0" w:line="264" w:lineRule="auto"/>
        <w:tabs>
          <w:tab w:leader="none" w:pos="12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first sentence of the definition of “</w:t>
      </w:r>
      <w:r>
        <w:rPr>
          <w:rFonts w:ascii="Arial" w:cs="Arial" w:eastAsia="Arial" w:hAnsi="Arial"/>
          <w:sz w:val="18"/>
          <w:szCs w:val="18"/>
          <w:i w:val="1"/>
          <w:iCs w:val="1"/>
          <w:color w:val="auto"/>
        </w:rPr>
        <w:t>Class</w:t>
      </w:r>
      <w:r>
        <w:rPr>
          <w:rFonts w:ascii="Arial" w:cs="Arial" w:eastAsia="Arial" w:hAnsi="Arial"/>
          <w:sz w:val="18"/>
          <w:szCs w:val="18"/>
          <w:color w:val="auto"/>
        </w:rPr>
        <w:t>” is hereby amended by deleting “2015 Term Loans” where it first appears and replacing such term with “2016 Replacement Term Loans” and deleting “Incremental Term Loans that are not 2015 Term Loans” and replacing it with “Incremental Term Loans”.</w:t>
      </w:r>
    </w:p>
    <w:p>
      <w:pPr>
        <w:spacing w:after="0" w:line="181" w:lineRule="exact"/>
        <w:rPr>
          <w:rFonts w:ascii="Arial" w:cs="Arial" w:eastAsia="Arial" w:hAnsi="Arial"/>
          <w:sz w:val="18"/>
          <w:szCs w:val="18"/>
          <w:color w:val="auto"/>
        </w:rPr>
      </w:pPr>
    </w:p>
    <w:p>
      <w:pPr>
        <w:ind w:left="1220" w:hanging="299"/>
        <w:spacing w:after="0"/>
        <w:tabs>
          <w:tab w:leader="none" w:pos="1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definition of “</w:t>
      </w:r>
      <w:r>
        <w:rPr>
          <w:rFonts w:ascii="Arial" w:cs="Arial" w:eastAsia="Arial" w:hAnsi="Arial"/>
          <w:sz w:val="17"/>
          <w:szCs w:val="17"/>
          <w:i w:val="1"/>
          <w:iCs w:val="1"/>
          <w:color w:val="auto"/>
        </w:rPr>
        <w:t>LIBO Rate</w:t>
      </w:r>
      <w:r>
        <w:rPr>
          <w:rFonts w:ascii="Arial" w:cs="Arial" w:eastAsia="Arial" w:hAnsi="Arial"/>
          <w:sz w:val="17"/>
          <w:szCs w:val="17"/>
          <w:color w:val="auto"/>
        </w:rPr>
        <w:t>” is hereby amended by deleting “2015 Term Loans” and replacing it with “2016 Replacement Term Loans”.</w:t>
      </w:r>
    </w:p>
    <w:p>
      <w:pPr>
        <w:spacing w:after="0" w:line="236" w:lineRule="exact"/>
        <w:rPr>
          <w:rFonts w:ascii="Arial" w:cs="Arial" w:eastAsia="Arial" w:hAnsi="Arial"/>
          <w:sz w:val="17"/>
          <w:szCs w:val="17"/>
          <w:color w:val="auto"/>
        </w:rPr>
      </w:pPr>
    </w:p>
    <w:p>
      <w:pPr>
        <w:ind w:right="380" w:firstLine="921"/>
        <w:spacing w:after="0" w:line="277" w:lineRule="auto"/>
        <w:tabs>
          <w:tab w:leader="none" w:pos="116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Repricing Event</w:t>
      </w:r>
      <w:r>
        <w:rPr>
          <w:rFonts w:ascii="Arial" w:cs="Arial" w:eastAsia="Arial" w:hAnsi="Arial"/>
          <w:sz w:val="18"/>
          <w:szCs w:val="18"/>
          <w:color w:val="auto"/>
        </w:rPr>
        <w:t>” is hereby amended by deleting “2015 Term Loans” each place it appears and replacing it with “2016 Replacement Term Loans”.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82" w:name="page83"/>
    <w:bookmarkEnd w:id="82"/>
    <w:p>
      <w:pPr>
        <w:ind w:left="1220" w:hanging="299"/>
        <w:spacing w:after="0"/>
        <w:tabs>
          <w:tab w:leader="none" w:pos="1220" w:val="left"/>
        </w:tabs>
        <w:numPr>
          <w:ilvl w:val="0"/>
          <w:numId w:val="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definition of “</w:t>
      </w:r>
      <w:r>
        <w:rPr>
          <w:rFonts w:ascii="Arial" w:cs="Arial" w:eastAsia="Arial" w:hAnsi="Arial"/>
          <w:sz w:val="16"/>
          <w:szCs w:val="16"/>
          <w:i w:val="1"/>
          <w:iCs w:val="1"/>
          <w:color w:val="auto"/>
        </w:rPr>
        <w:t>Term Loan</w:t>
      </w:r>
      <w:r>
        <w:rPr>
          <w:rFonts w:ascii="Arial" w:cs="Arial" w:eastAsia="Arial" w:hAnsi="Arial"/>
          <w:sz w:val="16"/>
          <w:szCs w:val="16"/>
          <w:color w:val="auto"/>
        </w:rPr>
        <w:t>” is hereby amended by deleting “2015 Term Loans” and replacing it with “2016 Replacement Term Loans”.</w:t>
      </w:r>
    </w:p>
    <w:p>
      <w:pPr>
        <w:spacing w:after="0" w:line="248" w:lineRule="exact"/>
        <w:rPr>
          <w:rFonts w:ascii="Arial" w:cs="Arial" w:eastAsia="Arial" w:hAnsi="Arial"/>
          <w:sz w:val="16"/>
          <w:szCs w:val="16"/>
          <w:color w:val="auto"/>
        </w:rPr>
      </w:pPr>
    </w:p>
    <w:p>
      <w:pPr>
        <w:ind w:right="520" w:firstLine="921"/>
        <w:spacing w:after="0" w:line="277" w:lineRule="auto"/>
        <w:tabs>
          <w:tab w:leader="none" w:pos="12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definition of “</w:t>
      </w:r>
      <w:r>
        <w:rPr>
          <w:rFonts w:ascii="Arial" w:cs="Arial" w:eastAsia="Arial" w:hAnsi="Arial"/>
          <w:sz w:val="18"/>
          <w:szCs w:val="18"/>
          <w:i w:val="1"/>
          <w:iCs w:val="1"/>
          <w:color w:val="auto"/>
        </w:rPr>
        <w:t>Term Loan Commitment</w:t>
      </w:r>
      <w:r>
        <w:rPr>
          <w:rFonts w:ascii="Arial" w:cs="Arial" w:eastAsia="Arial" w:hAnsi="Arial"/>
          <w:sz w:val="18"/>
          <w:szCs w:val="18"/>
          <w:color w:val="auto"/>
        </w:rPr>
        <w:t>” appearing in Section 1.01 of the Credit Agreement is hereby amended and restated in its entirety as follows:</w:t>
      </w:r>
    </w:p>
    <w:p>
      <w:pPr>
        <w:spacing w:after="0" w:line="62" w:lineRule="exact"/>
        <w:rPr>
          <w:sz w:val="20"/>
          <w:szCs w:val="20"/>
          <w:color w:val="auto"/>
        </w:rPr>
      </w:pPr>
    </w:p>
    <w:p>
      <w:pPr>
        <w:ind w:left="920" w:firstLine="420"/>
        <w:spacing w:after="0" w:line="273" w:lineRule="auto"/>
        <w:rPr>
          <w:sz w:val="20"/>
          <w:szCs w:val="20"/>
          <w:color w:val="auto"/>
        </w:rPr>
      </w:pPr>
      <w:r>
        <w:rPr>
          <w:rFonts w:ascii="Arial" w:cs="Arial" w:eastAsia="Arial" w:hAnsi="Arial"/>
          <w:sz w:val="17"/>
          <w:szCs w:val="17"/>
          <w:i w:val="1"/>
          <w:iCs w:val="1"/>
          <w:color w:val="auto"/>
        </w:rPr>
        <w:t xml:space="preserve">“Term Loan Commitment” </w:t>
      </w:r>
      <w:r>
        <w:rPr>
          <w:rFonts w:ascii="Arial" w:cs="Arial" w:eastAsia="Arial" w:hAnsi="Arial"/>
          <w:sz w:val="17"/>
          <w:szCs w:val="17"/>
          <w:color w:val="auto"/>
        </w:rPr>
        <w:t>shall mean the commitment of each Term Lender to make Term Loans hereunder and, in the case of the 2016</w:t>
      </w:r>
      <w:r>
        <w:rPr>
          <w:rFonts w:ascii="Arial" w:cs="Arial" w:eastAsia="Arial" w:hAnsi="Arial"/>
          <w:sz w:val="17"/>
          <w:szCs w:val="17"/>
          <w:i w:val="1"/>
          <w:iCs w:val="1"/>
          <w:color w:val="auto"/>
        </w:rPr>
        <w:t xml:space="preserve"> </w:t>
      </w:r>
      <w:r>
        <w:rPr>
          <w:rFonts w:ascii="Arial" w:cs="Arial" w:eastAsia="Arial" w:hAnsi="Arial"/>
          <w:sz w:val="17"/>
          <w:szCs w:val="17"/>
          <w:color w:val="auto"/>
        </w:rPr>
        <w:t>Replacement Term Loans, in an aggregate principal amount not to exceed the amount set forth under the heading “2016 Replacement Term Loan Commitment” opposite its name in the 2016 Replacement Term Loan Commitment Schedule or in the Assignment and Acceptance pursuant to which such Term Lender became a party hereto, as the same may be changed from time to time pursuant to the terms hereof. The aggregate amount of the Term Loan Commitments as of the Second Amendment Effective Date was $742,500,000. The Term Loan Commitments as of the Second Amendment Effective Date are for 2016 Replacement Term Loans.</w:t>
      </w:r>
    </w:p>
    <w:p>
      <w:pPr>
        <w:spacing w:after="0" w:line="178" w:lineRule="exact"/>
        <w:rPr>
          <w:sz w:val="20"/>
          <w:szCs w:val="20"/>
          <w:color w:val="auto"/>
        </w:rPr>
      </w:pPr>
    </w:p>
    <w:p>
      <w:pPr>
        <w:ind w:left="1320" w:hanging="399"/>
        <w:spacing w:after="0"/>
        <w:tabs>
          <w:tab w:leader="none" w:pos="1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definition of “</w:t>
      </w:r>
      <w:r>
        <w:rPr>
          <w:rFonts w:ascii="Arial" w:cs="Arial" w:eastAsia="Arial" w:hAnsi="Arial"/>
          <w:sz w:val="16"/>
          <w:szCs w:val="16"/>
          <w:i w:val="1"/>
          <w:iCs w:val="1"/>
          <w:color w:val="auto"/>
        </w:rPr>
        <w:t>Term Loan Maturity Date</w:t>
      </w:r>
      <w:r>
        <w:rPr>
          <w:rFonts w:ascii="Arial" w:cs="Arial" w:eastAsia="Arial" w:hAnsi="Arial"/>
          <w:sz w:val="16"/>
          <w:szCs w:val="16"/>
          <w:color w:val="auto"/>
        </w:rPr>
        <w:t>” is hereby amended by deleting “2015 Term Loans” and replacing it with “2016 Replacement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 Loans”.</w:t>
      </w:r>
    </w:p>
    <w:p>
      <w:pPr>
        <w:spacing w:after="0" w:line="210" w:lineRule="exact"/>
        <w:rPr>
          <w:rFonts w:ascii="Arial" w:cs="Arial" w:eastAsia="Arial" w:hAnsi="Arial"/>
          <w:sz w:val="16"/>
          <w:szCs w:val="16"/>
          <w:color w:val="auto"/>
        </w:rPr>
      </w:pPr>
    </w:p>
    <w:p>
      <w:pPr>
        <w:ind w:left="1220" w:hanging="299"/>
        <w:spacing w:after="0"/>
        <w:tabs>
          <w:tab w:leader="none" w:pos="12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Section 2.01(b) is hereby amended and restated in its entirety as follows:</w:t>
      </w:r>
    </w:p>
    <w:p>
      <w:pPr>
        <w:spacing w:after="0" w:line="117" w:lineRule="exact"/>
        <w:rPr>
          <w:sz w:val="20"/>
          <w:szCs w:val="20"/>
          <w:color w:val="auto"/>
        </w:rPr>
      </w:pPr>
    </w:p>
    <w:p>
      <w:pPr>
        <w:jc w:val="both"/>
        <w:ind w:left="920" w:right="100" w:firstLine="420"/>
        <w:spacing w:after="0" w:line="286" w:lineRule="auto"/>
        <w:rPr>
          <w:sz w:val="20"/>
          <w:szCs w:val="20"/>
          <w:color w:val="auto"/>
        </w:rPr>
      </w:pPr>
      <w:r>
        <w:rPr>
          <w:rFonts w:ascii="Arial" w:cs="Arial" w:eastAsia="Arial" w:hAnsi="Arial"/>
          <w:sz w:val="17"/>
          <w:szCs w:val="17"/>
          <w:i w:val="1"/>
          <w:iCs w:val="1"/>
          <w:color w:val="auto"/>
        </w:rPr>
        <w:t>Term Loan Commitments</w:t>
      </w:r>
      <w:r>
        <w:rPr>
          <w:rFonts w:ascii="Arial" w:cs="Arial" w:eastAsia="Arial" w:hAnsi="Arial"/>
          <w:sz w:val="17"/>
          <w:szCs w:val="17"/>
          <w:color w:val="auto"/>
        </w:rPr>
        <w:t>. On the Second Amendment Effective Date, each 2016 Replacement Lender agrees to make to the Borrower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2016 Replacement Term Loans denominated in Dollars in an aggregate principal amount equal to such 2016 Replacement Term Lender’s 2016 Replacement Term Loan Commitment in accordance with the terms and conditions of the Second Amendment.</w:t>
      </w:r>
    </w:p>
    <w:p>
      <w:pPr>
        <w:spacing w:after="0" w:line="166" w:lineRule="exact"/>
        <w:rPr>
          <w:sz w:val="20"/>
          <w:szCs w:val="20"/>
          <w:color w:val="auto"/>
        </w:rPr>
      </w:pPr>
    </w:p>
    <w:p>
      <w:pPr>
        <w:ind w:left="1180" w:hanging="259"/>
        <w:spacing w:after="0"/>
        <w:tabs>
          <w:tab w:leader="none" w:pos="11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Section 2.10(b) is hereby amended and restated in its entirety as follows:</w:t>
      </w:r>
    </w:p>
    <w:p>
      <w:pPr>
        <w:spacing w:after="0" w:line="117" w:lineRule="exact"/>
        <w:rPr>
          <w:rFonts w:ascii="Arial" w:cs="Arial" w:eastAsia="Arial" w:hAnsi="Arial"/>
          <w:sz w:val="18"/>
          <w:szCs w:val="18"/>
          <w:color w:val="auto"/>
        </w:rPr>
      </w:pPr>
    </w:p>
    <w:p>
      <w:pPr>
        <w:ind w:left="920" w:firstLine="421"/>
        <w:spacing w:after="0" w:line="254" w:lineRule="auto"/>
        <w:tabs>
          <w:tab w:leader="none" w:pos="1591"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principal amounts of the 2016 Replacement Term Loans shall be repaid in consecutive annual installments (each, an “</w:t>
      </w:r>
      <w:r>
        <w:rPr>
          <w:rFonts w:ascii="Arial" w:cs="Arial" w:eastAsia="Arial" w:hAnsi="Arial"/>
          <w:sz w:val="18"/>
          <w:szCs w:val="18"/>
          <w:i w:val="1"/>
          <w:iCs w:val="1"/>
          <w:color w:val="auto"/>
        </w:rPr>
        <w:t>Installment</w:t>
      </w:r>
      <w:r>
        <w:rPr>
          <w:rFonts w:ascii="Arial" w:cs="Arial" w:eastAsia="Arial" w:hAnsi="Arial"/>
          <w:sz w:val="18"/>
          <w:szCs w:val="18"/>
          <w:color w:val="auto"/>
        </w:rPr>
        <w:t>”) of 1.00% of the sum of (i) the original aggregate principal amount of the 2015 Term Loans made on the Restatement Effective Date plus (ii) the original aggregate principal amount of any Incremental Term Loans of the same Class as the 2016 Replacement Term Loans from time to time after the Second Amendment Effective Date, on each anniversary of the Closing Date occurring prior to the Term Loan Maturity Date with respect to such 2016 Replacement Term Loans. Notwithstanding the foregoing, (1) such Installments shall be reduced in connection with any mandatory or voluntary prepayments of the 2016 Replacement Term Loans in accordance with Sections 2.12 and 2.13, as applicable, and (2) the Term Loans, together with all other amounts owed hereunder with respect thereto, shall, in any event, be paid in full no later than the applicable Term Loan Termination Date.</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83" w:name="page84"/>
    <w:bookmarkEnd w:id="8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(xi) Section 2.13(a) is hereby amended by adding the following sentence at the end thereof:</w:t>
      </w:r>
    </w:p>
    <w:p>
      <w:pPr>
        <w:spacing w:after="0" w:line="117" w:lineRule="exact"/>
        <w:rPr>
          <w:sz w:val="20"/>
          <w:szCs w:val="20"/>
          <w:color w:val="auto"/>
        </w:rPr>
      </w:pPr>
    </w:p>
    <w:p>
      <w:pPr>
        <w:ind w:left="920" w:right="60" w:firstLine="420"/>
        <w:spacing w:after="0" w:line="308" w:lineRule="auto"/>
        <w:rPr>
          <w:sz w:val="20"/>
          <w:szCs w:val="20"/>
          <w:color w:val="auto"/>
        </w:rPr>
      </w:pPr>
      <w:r>
        <w:rPr>
          <w:rFonts w:ascii="Arial" w:cs="Arial" w:eastAsia="Arial" w:hAnsi="Arial"/>
          <w:sz w:val="17"/>
          <w:szCs w:val="17"/>
          <w:color w:val="auto"/>
        </w:rPr>
        <w:t>Notwithstanding anything to the contrary above, no notice to the Administrative Agent shall be required in connection with the repayment of Term Loans with the proceeds of 2016 Replacement Term Loans incurred on the Second Amendment Effective Date.</w:t>
      </w:r>
    </w:p>
    <w:p>
      <w:pPr>
        <w:spacing w:after="0" w:line="147" w:lineRule="exact"/>
        <w:rPr>
          <w:sz w:val="20"/>
          <w:szCs w:val="20"/>
          <w:color w:val="auto"/>
        </w:rPr>
      </w:pPr>
    </w:p>
    <w:p>
      <w:pPr>
        <w:ind w:firstLine="921"/>
        <w:spacing w:after="0" w:line="277" w:lineRule="auto"/>
        <w:tabs>
          <w:tab w:leader="none" w:pos="1268"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Section 2.13(d) is hereby amended by (A) deleting “2015 Term Loans” each place it appears and replacing it with “2016 Replacement Term Loans” and (B) deleting “Restatement Effective Date” and replacing it with “Second Amendment Effective Date”.</w:t>
      </w:r>
    </w:p>
    <w:p>
      <w:pPr>
        <w:spacing w:after="0" w:line="170" w:lineRule="exact"/>
        <w:rPr>
          <w:rFonts w:ascii="Arial" w:cs="Arial" w:eastAsia="Arial" w:hAnsi="Arial"/>
          <w:sz w:val="18"/>
          <w:szCs w:val="18"/>
          <w:color w:val="auto"/>
        </w:rPr>
      </w:pPr>
    </w:p>
    <w:p>
      <w:pPr>
        <w:ind w:left="1320" w:hanging="399"/>
        <w:spacing w:after="0"/>
        <w:tabs>
          <w:tab w:leader="none" w:pos="13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Section 2.27(c) is hereby amended by deleting “2015 Term Loans” each place it appears and replacing it with “2016 Replacement Term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Loans”.</w:t>
      </w:r>
    </w:p>
    <w:p>
      <w:pPr>
        <w:spacing w:after="0" w:line="210" w:lineRule="exact"/>
        <w:rPr>
          <w:rFonts w:ascii="Arial" w:cs="Arial" w:eastAsia="Arial" w:hAnsi="Arial"/>
          <w:sz w:val="16"/>
          <w:szCs w:val="16"/>
          <w:color w:val="auto"/>
        </w:rPr>
      </w:pPr>
    </w:p>
    <w:p>
      <w:pPr>
        <w:ind w:left="1320" w:hanging="399"/>
        <w:spacing w:after="0"/>
        <w:tabs>
          <w:tab w:leader="none" w:pos="13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Section 3.08 is hereby amended by adding the following proviso at the end thereof:</w:t>
      </w:r>
    </w:p>
    <w:p>
      <w:pPr>
        <w:spacing w:after="0" w:line="117" w:lineRule="exact"/>
        <w:rPr>
          <w:rFonts w:ascii="Arial" w:cs="Arial" w:eastAsia="Arial" w:hAnsi="Arial"/>
          <w:sz w:val="18"/>
          <w:szCs w:val="18"/>
          <w:color w:val="auto"/>
        </w:rPr>
      </w:pPr>
    </w:p>
    <w:p>
      <w:pPr>
        <w:ind w:left="920" w:right="460" w:firstLine="421"/>
        <w:spacing w:after="0" w:line="277" w:lineRule="auto"/>
        <w:tabs>
          <w:tab w:leader="none" w:pos="1435" w:val="left"/>
        </w:tabs>
        <w:numPr>
          <w:ilvl w:val="1"/>
          <w:numId w:val="58"/>
        </w:numPr>
        <w:rPr>
          <w:rFonts w:ascii="Arial" w:cs="Arial" w:eastAsia="Arial" w:hAnsi="Arial"/>
          <w:sz w:val="18"/>
          <w:szCs w:val="18"/>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proceeds of the 2016 Replacement Term Loans incurred on the Second Amendment Effective Date pursuant to the Second Amendment shall solely be used as provided in the Second Amendment.</w:t>
      </w:r>
    </w:p>
    <w:p>
      <w:pPr>
        <w:spacing w:after="0" w:line="170" w:lineRule="exact"/>
        <w:rPr>
          <w:sz w:val="20"/>
          <w:szCs w:val="20"/>
          <w:color w:val="auto"/>
        </w:rPr>
      </w:pPr>
    </w:p>
    <w:p>
      <w:pPr>
        <w:ind w:firstLine="921"/>
        <w:spacing w:after="0" w:line="259" w:lineRule="auto"/>
        <w:tabs>
          <w:tab w:leader="none" w:pos="11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Subject to the satisfaction (or waiver) of the conditions set forth in Section Three hereof, the 2016 Replacement Term Lenders hereby agree to make 2016 Replacement Term Loans (as defined below) to the Borrower on the Second Amendment Effective Date (as defined below) in the aggregate principal amount of $742,500,000, which shall be used solely to refinance in full all outstanding Existing Term Loans and to pay fees and expenses relating to this Second Amendment.</w:t>
      </w:r>
    </w:p>
    <w:p>
      <w:pPr>
        <w:spacing w:after="0" w:line="187" w:lineRule="exact"/>
        <w:rPr>
          <w:sz w:val="20"/>
          <w:szCs w:val="20"/>
          <w:color w:val="auto"/>
        </w:rPr>
      </w:pPr>
    </w:p>
    <w:p>
      <w:pPr>
        <w:ind w:right="60" w:firstLine="921"/>
        <w:spacing w:after="0" w:line="273" w:lineRule="auto"/>
        <w:tabs>
          <w:tab w:leader="none" w:pos="1178" w:val="left"/>
        </w:tabs>
        <w:numPr>
          <w:ilvl w:val="0"/>
          <w:numId w:val="60"/>
        </w:numPr>
        <w:rPr>
          <w:rFonts w:ascii="Arial" w:cs="Arial" w:eastAsia="Arial" w:hAnsi="Arial"/>
          <w:sz w:val="17"/>
          <w:szCs w:val="17"/>
          <w:color w:val="auto"/>
        </w:rPr>
      </w:pPr>
      <w:r>
        <w:rPr>
          <w:rFonts w:ascii="Arial" w:cs="Arial" w:eastAsia="Arial" w:hAnsi="Arial"/>
          <w:sz w:val="17"/>
          <w:szCs w:val="17"/>
          <w:color w:val="auto"/>
        </w:rPr>
        <w:t>As of the Second Amendment Effective Date, immediately prior to the effectiveness of the Second Amendment, the Administrative Agent has prepared and provided a true and correct copy to the Borrower of a schedule (the “</w:t>
      </w:r>
      <w:r>
        <w:rPr>
          <w:rFonts w:ascii="Arial" w:cs="Arial" w:eastAsia="Arial" w:hAnsi="Arial"/>
          <w:sz w:val="17"/>
          <w:szCs w:val="17"/>
          <w:u w:val="single" w:color="auto"/>
          <w:color w:val="auto"/>
        </w:rPr>
        <w:t>2016 Replacement Term Loan Commitments Schedule</w:t>
      </w:r>
      <w:r>
        <w:rPr>
          <w:rFonts w:ascii="Arial" w:cs="Arial" w:eastAsia="Arial" w:hAnsi="Arial"/>
          <w:sz w:val="17"/>
          <w:szCs w:val="17"/>
          <w:color w:val="auto"/>
        </w:rPr>
        <w:t>”) which sets forth the allocated commitments received by it (the “</w:t>
      </w:r>
      <w:r>
        <w:rPr>
          <w:rFonts w:ascii="Arial" w:cs="Arial" w:eastAsia="Arial" w:hAnsi="Arial"/>
          <w:sz w:val="17"/>
          <w:szCs w:val="17"/>
          <w:u w:val="single" w:color="auto"/>
          <w:color w:val="auto"/>
        </w:rPr>
        <w:t>2016 Replacement Term Loan Commitments</w:t>
      </w:r>
      <w:r>
        <w:rPr>
          <w:rFonts w:ascii="Arial" w:cs="Arial" w:eastAsia="Arial" w:hAnsi="Arial"/>
          <w:sz w:val="17"/>
          <w:szCs w:val="17"/>
          <w:color w:val="auto"/>
        </w:rPr>
        <w:t>”) from the Lenders providing the 2016 Replacement Term Loans (the “</w:t>
      </w:r>
      <w:r>
        <w:rPr>
          <w:rFonts w:ascii="Arial" w:cs="Arial" w:eastAsia="Arial" w:hAnsi="Arial"/>
          <w:sz w:val="17"/>
          <w:szCs w:val="17"/>
          <w:u w:val="single" w:color="auto"/>
          <w:color w:val="auto"/>
        </w:rPr>
        <w:t>2016 Replacement Term Lenders</w:t>
      </w:r>
      <w:r>
        <w:rPr>
          <w:rFonts w:ascii="Arial" w:cs="Arial" w:eastAsia="Arial" w:hAnsi="Arial"/>
          <w:sz w:val="17"/>
          <w:szCs w:val="17"/>
          <w:color w:val="auto"/>
        </w:rPr>
        <w:t>”). The Administrative Agent has notified each 2016 Replacement Term Lender of its allocated 2016 Replacement Term Loan Commitment, and each of the 2016 Replacement Term Lenders is listed as a signatory to this Second Amendment. On the Second Amendment Effective Date, all Existing Term Loans shall be refinanced in full as follows:</w:t>
      </w:r>
    </w:p>
    <w:p>
      <w:pPr>
        <w:spacing w:after="0" w:line="70" w:lineRule="exact"/>
        <w:rPr>
          <w:rFonts w:ascii="Arial" w:cs="Arial" w:eastAsia="Arial" w:hAnsi="Arial"/>
          <w:sz w:val="17"/>
          <w:szCs w:val="17"/>
          <w:color w:val="auto"/>
        </w:rPr>
      </w:pPr>
    </w:p>
    <w:p>
      <w:pPr>
        <w:ind w:left="920" w:right="280" w:firstLine="421"/>
        <w:spacing w:after="0" w:line="277" w:lineRule="auto"/>
        <w:tabs>
          <w:tab w:leader="none" w:pos="16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outstanding aggregate principal amount of Existing Term Loans of each Lender which does not have a 2016 Replacement Term Loan Commitment (each, a “</w:t>
      </w:r>
      <w:r>
        <w:rPr>
          <w:rFonts w:ascii="Arial" w:cs="Arial" w:eastAsia="Arial" w:hAnsi="Arial"/>
          <w:sz w:val="18"/>
          <w:szCs w:val="18"/>
          <w:u w:val="single" w:color="auto"/>
          <w:color w:val="auto"/>
        </w:rPr>
        <w:t>Non-Converting Term Lender</w:t>
      </w:r>
      <w:r>
        <w:rPr>
          <w:rFonts w:ascii="Arial" w:cs="Arial" w:eastAsia="Arial" w:hAnsi="Arial"/>
          <w:sz w:val="18"/>
          <w:szCs w:val="18"/>
          <w:color w:val="auto"/>
        </w:rPr>
        <w:t>”) shall be repaid in full in cash;</w:t>
      </w:r>
    </w:p>
    <w:p>
      <w:pPr>
        <w:spacing w:after="0" w:line="62" w:lineRule="exact"/>
        <w:rPr>
          <w:rFonts w:ascii="Arial" w:cs="Arial" w:eastAsia="Arial" w:hAnsi="Arial"/>
          <w:sz w:val="18"/>
          <w:szCs w:val="18"/>
          <w:color w:val="auto"/>
        </w:rPr>
      </w:pPr>
    </w:p>
    <w:p>
      <w:pPr>
        <w:ind w:left="920" w:right="360" w:firstLine="421"/>
        <w:spacing w:after="0" w:line="277" w:lineRule="auto"/>
        <w:tabs>
          <w:tab w:leader="none" w:pos="159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to the extent any Lender has a 2016 Replacement Term Loan Commitment that is less than the full outstanding aggregate principal amount of Existing Term Loans of such Lender, such Lender shall be repaid in cash in an</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84" w:name="page85"/>
    <w:bookmarkEnd w:id="84"/>
    <w:p>
      <w:pPr>
        <w:ind w:left="880"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 equal to the difference between the outstanding aggregate principal amount of Existing Term Loans of such Lender and such Lender’s 2016 Replacement Term Loan Commitment (the “</w:t>
      </w:r>
      <w:r>
        <w:rPr>
          <w:rFonts w:ascii="Arial" w:cs="Arial" w:eastAsia="Arial" w:hAnsi="Arial"/>
          <w:sz w:val="18"/>
          <w:szCs w:val="18"/>
          <w:u w:val="single" w:color="auto"/>
          <w:color w:val="auto"/>
        </w:rPr>
        <w:t>Non-Converting Term Portion</w:t>
      </w:r>
      <w:r>
        <w:rPr>
          <w:rFonts w:ascii="Arial" w:cs="Arial" w:eastAsia="Arial" w:hAnsi="Arial"/>
          <w:sz w:val="18"/>
          <w:szCs w:val="18"/>
          <w:color w:val="auto"/>
        </w:rPr>
        <w:t>”);</w:t>
      </w:r>
    </w:p>
    <w:p>
      <w:pPr>
        <w:spacing w:after="0" w:line="62" w:lineRule="exact"/>
        <w:rPr>
          <w:sz w:val="20"/>
          <w:szCs w:val="20"/>
          <w:color w:val="auto"/>
        </w:rPr>
      </w:pPr>
    </w:p>
    <w:p>
      <w:pPr>
        <w:ind w:left="880" w:right="280" w:firstLine="421"/>
        <w:spacing w:after="0" w:line="276" w:lineRule="auto"/>
        <w:tabs>
          <w:tab w:leader="none" w:pos="1555"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the outstanding aggregate principal amount of Existing Term Loans of each Lender which has a 2016 Replacement Term Loan Commitment (each, a “</w:t>
      </w:r>
      <w:r>
        <w:rPr>
          <w:rFonts w:ascii="Arial" w:cs="Arial" w:eastAsia="Arial" w:hAnsi="Arial"/>
          <w:sz w:val="17"/>
          <w:szCs w:val="17"/>
          <w:u w:val="single" w:color="auto"/>
          <w:color w:val="auto"/>
        </w:rPr>
        <w:t>Converting Term Lender</w:t>
      </w:r>
      <w:r>
        <w:rPr>
          <w:rFonts w:ascii="Arial" w:cs="Arial" w:eastAsia="Arial" w:hAnsi="Arial"/>
          <w:sz w:val="17"/>
          <w:szCs w:val="17"/>
          <w:color w:val="auto"/>
        </w:rPr>
        <w:t>,” and, together with the Non-Converting Term Lenders, the “</w:t>
      </w:r>
      <w:r>
        <w:rPr>
          <w:rFonts w:ascii="Arial" w:cs="Arial" w:eastAsia="Arial" w:hAnsi="Arial"/>
          <w:sz w:val="17"/>
          <w:szCs w:val="17"/>
          <w:u w:val="single" w:color="auto"/>
          <w:color w:val="auto"/>
        </w:rPr>
        <w:t>Existing Term Lenders</w:t>
      </w:r>
      <w:r>
        <w:rPr>
          <w:rFonts w:ascii="Arial" w:cs="Arial" w:eastAsia="Arial" w:hAnsi="Arial"/>
          <w:sz w:val="17"/>
          <w:szCs w:val="17"/>
          <w:color w:val="auto"/>
        </w:rPr>
        <w:t>”) shall automatically be converted into 2016 Replacement Term Loans (a “</w:t>
      </w:r>
      <w:r>
        <w:rPr>
          <w:rFonts w:ascii="Arial" w:cs="Arial" w:eastAsia="Arial" w:hAnsi="Arial"/>
          <w:sz w:val="17"/>
          <w:szCs w:val="17"/>
          <w:u w:val="single" w:color="auto"/>
          <w:color w:val="auto"/>
        </w:rPr>
        <w:t>Converted 2016 Replacement Term Loan</w:t>
      </w:r>
      <w:r>
        <w:rPr>
          <w:rFonts w:ascii="Arial" w:cs="Arial" w:eastAsia="Arial" w:hAnsi="Arial"/>
          <w:sz w:val="17"/>
          <w:szCs w:val="17"/>
          <w:color w:val="auto"/>
        </w:rPr>
        <w:t>”) in a principal amount equal to such Converting Term Lender’s Existing Term Loans outstanding on the Second Amendment Effective Date immediately prior to such conversion, less an amount equal to any Non-Converting Term Portion; and</w:t>
      </w:r>
    </w:p>
    <w:p>
      <w:pPr>
        <w:spacing w:after="0" w:line="64" w:lineRule="exact"/>
        <w:rPr>
          <w:rFonts w:ascii="Arial" w:cs="Arial" w:eastAsia="Arial" w:hAnsi="Arial"/>
          <w:sz w:val="17"/>
          <w:szCs w:val="17"/>
          <w:color w:val="auto"/>
        </w:rPr>
      </w:pPr>
    </w:p>
    <w:p>
      <w:pPr>
        <w:ind w:left="880" w:right="60" w:firstLine="421"/>
        <w:spacing w:after="0" w:line="272" w:lineRule="auto"/>
        <w:tabs>
          <w:tab w:leader="none" w:pos="1545" w:val="left"/>
        </w:tabs>
        <w:numPr>
          <w:ilvl w:val="1"/>
          <w:numId w:val="61"/>
        </w:numPr>
        <w:rPr>
          <w:rFonts w:ascii="Arial" w:cs="Arial" w:eastAsia="Arial" w:hAnsi="Arial"/>
          <w:sz w:val="17"/>
          <w:szCs w:val="17"/>
          <w:color w:val="auto"/>
        </w:rPr>
      </w:pPr>
      <w:r>
        <w:rPr>
          <w:rFonts w:ascii="Arial" w:cs="Arial" w:eastAsia="Arial" w:hAnsi="Arial"/>
          <w:sz w:val="17"/>
          <w:szCs w:val="17"/>
          <w:color w:val="auto"/>
        </w:rPr>
        <w:t>(1) each 2016 Replacement Term Lender that is not an Existing Term Lender (each, a “</w:t>
      </w:r>
      <w:r>
        <w:rPr>
          <w:rFonts w:ascii="Arial" w:cs="Arial" w:eastAsia="Arial" w:hAnsi="Arial"/>
          <w:sz w:val="17"/>
          <w:szCs w:val="17"/>
          <w:u w:val="single" w:color="auto"/>
          <w:color w:val="auto"/>
        </w:rPr>
        <w:t>New Term Lender</w:t>
      </w:r>
      <w:r>
        <w:rPr>
          <w:rFonts w:ascii="Arial" w:cs="Arial" w:eastAsia="Arial" w:hAnsi="Arial"/>
          <w:sz w:val="17"/>
          <w:szCs w:val="17"/>
          <w:color w:val="auto"/>
        </w:rPr>
        <w:t>”) and (2) each Converting Term Lender with a 2016 Replacement Term Loan Commitment in an amount in excess of the aggregate principal amount of Existing Term Loans of such Converting Term Lender (such difference, the “</w:t>
      </w:r>
      <w:r>
        <w:rPr>
          <w:rFonts w:ascii="Arial" w:cs="Arial" w:eastAsia="Arial" w:hAnsi="Arial"/>
          <w:sz w:val="17"/>
          <w:szCs w:val="17"/>
          <w:u w:val="single" w:color="auto"/>
          <w:color w:val="auto"/>
        </w:rPr>
        <w:t>New Term Commitment</w:t>
      </w:r>
      <w:r>
        <w:rPr>
          <w:rFonts w:ascii="Arial" w:cs="Arial" w:eastAsia="Arial" w:hAnsi="Arial"/>
          <w:sz w:val="17"/>
          <w:szCs w:val="17"/>
          <w:color w:val="auto"/>
        </w:rPr>
        <w:t>”), agrees to make to the Borrower a new Term Loan (each, a “</w:t>
      </w:r>
      <w:r>
        <w:rPr>
          <w:rFonts w:ascii="Arial" w:cs="Arial" w:eastAsia="Arial" w:hAnsi="Arial"/>
          <w:sz w:val="17"/>
          <w:szCs w:val="17"/>
          <w:u w:val="single" w:color="auto"/>
          <w:color w:val="auto"/>
        </w:rPr>
        <w:t>New Term Loan</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New Term Loans</w:t>
      </w:r>
      <w:r>
        <w:rPr>
          <w:rFonts w:ascii="Arial" w:cs="Arial" w:eastAsia="Arial" w:hAnsi="Arial"/>
          <w:sz w:val="17"/>
          <w:szCs w:val="17"/>
          <w:color w:val="auto"/>
        </w:rPr>
        <w:t>” and, together with the Converted 2016 Replacement Term Loans, the “</w:t>
      </w:r>
      <w:r>
        <w:rPr>
          <w:rFonts w:ascii="Arial" w:cs="Arial" w:eastAsia="Arial" w:hAnsi="Arial"/>
          <w:sz w:val="17"/>
          <w:szCs w:val="17"/>
          <w:u w:val="single" w:color="auto"/>
          <w:color w:val="auto"/>
        </w:rPr>
        <w:t>2016</w:t>
      </w:r>
      <w:r>
        <w:rPr>
          <w:rFonts w:ascii="Arial" w:cs="Arial" w:eastAsia="Arial" w:hAnsi="Arial"/>
          <w:sz w:val="17"/>
          <w:szCs w:val="17"/>
          <w:color w:val="auto"/>
        </w:rPr>
        <w:t xml:space="preserve"> </w:t>
      </w:r>
      <w:r>
        <w:rPr>
          <w:rFonts w:ascii="Arial" w:cs="Arial" w:eastAsia="Arial" w:hAnsi="Arial"/>
          <w:sz w:val="17"/>
          <w:szCs w:val="17"/>
          <w:u w:val="single" w:color="auto"/>
          <w:color w:val="auto"/>
        </w:rPr>
        <w:t>Replacement Term Loans</w:t>
      </w:r>
      <w:r>
        <w:rPr>
          <w:rFonts w:ascii="Arial" w:cs="Arial" w:eastAsia="Arial" w:hAnsi="Arial"/>
          <w:sz w:val="17"/>
          <w:szCs w:val="17"/>
          <w:color w:val="auto"/>
        </w:rPr>
        <w:t>”) in a principal amount equal to such Converting Term Lender’s New Term Commitment or such New Term Lender’s 2016 Replacement Term Loan Commitment, as the case may be, on the Second Amendment Effective Date, which 2016 Replacement Term Loans shall be subject to the terms of the Credit Agreement after giving effect to this Second Amendment.</w:t>
      </w:r>
    </w:p>
    <w:p>
      <w:pPr>
        <w:spacing w:after="0" w:line="177" w:lineRule="exact"/>
        <w:rPr>
          <w:rFonts w:ascii="Arial" w:cs="Arial" w:eastAsia="Arial" w:hAnsi="Arial"/>
          <w:sz w:val="17"/>
          <w:szCs w:val="17"/>
          <w:color w:val="auto"/>
        </w:rPr>
      </w:pPr>
    </w:p>
    <w:p>
      <w:pPr>
        <w:ind w:left="-40" w:firstLine="921"/>
        <w:spacing w:after="0" w:line="271" w:lineRule="auto"/>
        <w:tabs>
          <w:tab w:leader="none" w:pos="1188" w:val="left"/>
        </w:tabs>
        <w:numPr>
          <w:ilvl w:val="0"/>
          <w:numId w:val="62"/>
        </w:numPr>
        <w:rPr>
          <w:rFonts w:ascii="Arial" w:cs="Arial" w:eastAsia="Arial" w:hAnsi="Arial"/>
          <w:sz w:val="17"/>
          <w:szCs w:val="17"/>
          <w:color w:val="auto"/>
        </w:rPr>
      </w:pPr>
      <w:r>
        <w:rPr>
          <w:rFonts w:ascii="Arial" w:cs="Arial" w:eastAsia="Arial" w:hAnsi="Arial"/>
          <w:sz w:val="17"/>
          <w:szCs w:val="17"/>
          <w:color w:val="auto"/>
        </w:rPr>
        <w:t>On the Second Amendment Effective Date, each 2016 Replacement Term Lender hereby agrees to fund its 2016 Replacement Term Loans in an aggregate principal amount equal to such 2016 Replacement Term Lender’s 2016 Replacement Term Loan Commitment as follows: (x) each Converting Term Lender shall fund its 2016 Replacement Term Loans to the Borrower by converting its then outstanding principal amount of Existing Term Loans into 2016 Replacement Term Loans in an equal principal amount as provided in clause (ii)(y) above, (y) (1) each Converting Term Lender with a New Term Commitment shall fund in cash an amount equal to its New Term Commitment to the Designated 2016 Replacement Term Lender and (2) each New Term Lender shall fund in cash an amount equal to its 2016 Replacement Term Loan Commitment to the Designated 2016 Replacement Term Lender, and (z) the Designated 2016 Replacement Term Lender shall fund in cash to the Borrower an amount equal to the New Term Commitment of each Converting Term Lender and the 2016 Replacement Term Loan Commitment of each New Term Lender.</w:t>
      </w:r>
    </w:p>
    <w:p>
      <w:pPr>
        <w:spacing w:after="0" w:line="178" w:lineRule="exact"/>
        <w:rPr>
          <w:rFonts w:ascii="Arial" w:cs="Arial" w:eastAsia="Arial" w:hAnsi="Arial"/>
          <w:sz w:val="17"/>
          <w:szCs w:val="17"/>
          <w:color w:val="auto"/>
        </w:rPr>
      </w:pPr>
    </w:p>
    <w:p>
      <w:pPr>
        <w:ind w:left="-40" w:right="40" w:firstLine="921"/>
        <w:spacing w:after="0" w:line="259" w:lineRule="auto"/>
        <w:tabs>
          <w:tab w:leader="none" w:pos="117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outstanding Borrowings of Existing Term Loans shall continue in effect for the equivalent principal amount of 2016 Replacement Term Loans after the Second Amendment Effective Date and each resulting “borrowing” of 2016 Replacement Term Loans shall be deemed to constitute a new deemed “borrowing” under the Credit Agreement and be subject to the same Interest Period (and the same LIBO Rate) applicable to the Existing Term Loans to which it relates immediately prior to the Second Amendment Effective Date, which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80" w:top="274" w:right="259" w:bottom="1440" w:gutter="0" w:footer="0" w:header="0"/>
        </w:sectPr>
      </w:pPr>
    </w:p>
    <w:bookmarkStart w:id="85" w:name="page86"/>
    <w:bookmarkEnd w:id="85"/>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Period shall continue in effect (until such Interest Periods expire, at which time subsequent Interest Periods shall be determined in accordance with the provisions of Section 2.05 of the Credit Agreement). New Term Loans shall be initially incurred as Eurodollar Loans and shall be allocated ratably to the outstanding deemed “borrowings” of 2016 Replacement Term Loans on the Second Amendment Effective Date. Each such Borrowing of New Term Loans shall be subject to (x) an Interest Period which commences on the Second Amendment Effective Date and ends on the last day of the Interest Period applicable to the Existing Term Loans and (y) the same LIBO Rate applicable to the 2016 Replacement Term Loans. The 2016 Replacement Term Loans of each 2016 Replacement Term Lender shall be allocated ratably to such Interest Periods (based upon the relative principal amounts of Borrowings of Existing Term Loans subject to such Interest Periods immediately prior to the Second Amendment Effective Date), with the effect being that Existing Term Loans which are converted into Converted 2016 Replacement Term Loans hereunder shall continue to be subject to the same Interest Periods and any 2016 Replacement Term Loans that are funded in cash on the Second Amendment Effective Date shall be ratably allocated to the various Interest Periods as described above.</w:t>
      </w:r>
    </w:p>
    <w:p>
      <w:pPr>
        <w:spacing w:after="0" w:line="178" w:lineRule="exact"/>
        <w:rPr>
          <w:sz w:val="20"/>
          <w:szCs w:val="20"/>
          <w:color w:val="auto"/>
        </w:rPr>
      </w:pPr>
    </w:p>
    <w:p>
      <w:pPr>
        <w:ind w:right="140" w:firstLine="921"/>
        <w:spacing w:after="0" w:line="272" w:lineRule="auto"/>
        <w:tabs>
          <w:tab w:leader="none" w:pos="1168" w:val="left"/>
        </w:tabs>
        <w:numPr>
          <w:ilvl w:val="0"/>
          <w:numId w:val="63"/>
        </w:numPr>
        <w:rPr>
          <w:rFonts w:ascii="Arial" w:cs="Arial" w:eastAsia="Arial" w:hAnsi="Arial"/>
          <w:sz w:val="17"/>
          <w:szCs w:val="17"/>
          <w:color w:val="auto"/>
        </w:rPr>
      </w:pPr>
      <w:r>
        <w:rPr>
          <w:rFonts w:ascii="Arial" w:cs="Arial" w:eastAsia="Arial" w:hAnsi="Arial"/>
          <w:sz w:val="17"/>
          <w:szCs w:val="17"/>
          <w:color w:val="auto"/>
        </w:rPr>
        <w:t>On the Second Amendment Effective Date, the Borrower shall pay in cash (a) all interest accrued on the Existing Term Loans through the Second Amendment Effective Date and (b) to each Non-Converting Term Lender and each Converting Term Lender with a Non-Converting Term Portion, any breakage loss or expenses due under Section 2.15 of the Credit Agreement (it being understood that existing Interest Periods of the Existing Term Loans held by 2016 Replacement Term Lenders prior to the Second Amendment Effective Date shall continue on and after the Second Amendment Effective Date and shall accrue interest in accordance with Section 2.07 of the Credit Agreement on and after the Second Amendment Effective Date). Each Converting Term Lender hereby waives any entitlement to any breakage loss or expenses due under Section 3.15 of the Credit Agreement with respect to the repayment of that portion of its Existing Term Loans with the proceeds of Converted 2016 Replacement Term Loans.</w:t>
      </w:r>
    </w:p>
    <w:p>
      <w:pPr>
        <w:spacing w:after="0" w:line="177" w:lineRule="exact"/>
        <w:rPr>
          <w:rFonts w:ascii="Arial" w:cs="Arial" w:eastAsia="Arial" w:hAnsi="Arial"/>
          <w:sz w:val="17"/>
          <w:szCs w:val="17"/>
          <w:color w:val="auto"/>
        </w:rPr>
      </w:pPr>
    </w:p>
    <w:p>
      <w:pPr>
        <w:ind w:right="740" w:firstLine="921"/>
        <w:spacing w:after="0" w:line="264" w:lineRule="auto"/>
        <w:tabs>
          <w:tab w:leader="none" w:pos="1218"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the Second Amendment Effective Date, all promissory notes, if any, evidencing the Existing Term Loans shall be automatically cancelled, and any 2016 Replacement Term Lender may request that its 2016 Replacement Term Loan be evidenced by a promissory pursuant to Section 2.10(f) of the Credit Agreement.</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u w:val="single" w:color="auto"/>
          <w:color w:val="auto"/>
        </w:rPr>
        <w:t>SECTION TWO - Titles and Roles</w:t>
      </w:r>
      <w:r>
        <w:rPr>
          <w:rFonts w:ascii="Arial" w:cs="Arial" w:eastAsia="Arial" w:hAnsi="Arial"/>
          <w:sz w:val="18"/>
          <w:szCs w:val="18"/>
          <w:color w:val="auto"/>
        </w:rPr>
        <w:t>. The parties hereto agree that, as of the Second Amendment Effective Date and in connection with the Second Amendment:</w:t>
      </w:r>
    </w:p>
    <w:p>
      <w:pPr>
        <w:spacing w:after="0" w:line="170" w:lineRule="exact"/>
        <w:rPr>
          <w:sz w:val="20"/>
          <w:szCs w:val="20"/>
          <w:color w:val="auto"/>
        </w:rPr>
      </w:pPr>
    </w:p>
    <w:p>
      <w:pPr>
        <w:ind w:right="80" w:firstLine="921"/>
        <w:spacing w:after="0" w:line="308" w:lineRule="auto"/>
        <w:tabs>
          <w:tab w:leader="none" w:pos="1158" w:val="left"/>
        </w:tabs>
        <w:numPr>
          <w:ilvl w:val="0"/>
          <w:numId w:val="64"/>
        </w:numPr>
        <w:rPr>
          <w:rFonts w:ascii="Arial" w:cs="Arial" w:eastAsia="Arial" w:hAnsi="Arial"/>
          <w:sz w:val="17"/>
          <w:szCs w:val="17"/>
          <w:color w:val="auto"/>
        </w:rPr>
      </w:pPr>
      <w:r>
        <w:rPr>
          <w:rFonts w:ascii="Arial" w:cs="Arial" w:eastAsia="Arial" w:hAnsi="Arial"/>
          <w:sz w:val="17"/>
          <w:szCs w:val="17"/>
          <w:color w:val="auto"/>
        </w:rPr>
        <w:t>each of Citi, Barclays, CS Securities, DBSI, GSB, JPMS, ML, MS, BNP Securities, CA-CIB, ICBC and US Bank shall be designated as, and perform the roles associated with, a joint lead arranger and bookrunner (in such capacity, collectively, the “</w:t>
      </w:r>
      <w:r>
        <w:rPr>
          <w:rFonts w:ascii="Arial" w:cs="Arial" w:eastAsia="Arial" w:hAnsi="Arial"/>
          <w:sz w:val="17"/>
          <w:szCs w:val="17"/>
          <w:u w:val="single" w:color="auto"/>
          <w:color w:val="auto"/>
        </w:rPr>
        <w:t>Lead Arrangers</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620" w:firstLine="921"/>
        <w:spacing w:after="0" w:line="277" w:lineRule="auto"/>
        <w:tabs>
          <w:tab w:leader="none" w:pos="11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Citi, Barclays, CS Securities, DBSI, GSB, JPMS, ML and MS shall be designated as, and perform the roles associated with, a syndication agent; and</w:t>
      </w:r>
    </w:p>
    <w:p>
      <w:pPr>
        <w:spacing w:after="0" w:line="170" w:lineRule="exact"/>
        <w:rPr>
          <w:rFonts w:ascii="Arial" w:cs="Arial" w:eastAsia="Arial" w:hAnsi="Arial"/>
          <w:sz w:val="18"/>
          <w:szCs w:val="18"/>
          <w:color w:val="auto"/>
        </w:rPr>
      </w:pPr>
    </w:p>
    <w:p>
      <w:pPr>
        <w:ind w:left="1160" w:hanging="239"/>
        <w:spacing w:after="0"/>
        <w:tabs>
          <w:tab w:leader="none" w:pos="11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of CA-CIB, ICBC and US Bank shall be designated as, and perform the roles associated with, a documentation agent.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86" w:name="page87"/>
    <w:bookmarkEnd w:id="86"/>
    <w:p>
      <w:pPr>
        <w:ind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the avoidance of doubt, the provisions of Section 10.04 of the Credit Agreement shall apply to, and inure to the benefit of, each Lead Arranger, each Syndication Agent and each Documentation Agent in connection with their respective roles hereunder.</w:t>
      </w:r>
    </w:p>
    <w:p>
      <w:pPr>
        <w:spacing w:after="0" w:line="170"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u w:val="single" w:color="auto"/>
          <w:color w:val="auto"/>
        </w:rPr>
        <w:t>SECTION THREE - Conditions to Effectiveness</w:t>
      </w:r>
      <w:r>
        <w:rPr>
          <w:rFonts w:ascii="Arial" w:cs="Arial" w:eastAsia="Arial" w:hAnsi="Arial"/>
          <w:sz w:val="17"/>
          <w:szCs w:val="17"/>
          <w:color w:val="auto"/>
        </w:rPr>
        <w:t>. The provisions of Section One of this Second Amendment shall become effective on the date (the “</w:t>
      </w:r>
      <w:r>
        <w:rPr>
          <w:rFonts w:ascii="Arial" w:cs="Arial" w:eastAsia="Arial" w:hAnsi="Arial"/>
          <w:sz w:val="17"/>
          <w:szCs w:val="17"/>
          <w:u w:val="single" w:color="auto"/>
          <w:color w:val="auto"/>
        </w:rPr>
        <w:t>Second Amendment Effective Date</w:t>
      </w:r>
      <w:r>
        <w:rPr>
          <w:rFonts w:ascii="Arial" w:cs="Arial" w:eastAsia="Arial" w:hAnsi="Arial"/>
          <w:sz w:val="17"/>
          <w:szCs w:val="17"/>
          <w:color w:val="auto"/>
        </w:rPr>
        <w:t>”) when each of the following conditions specified below shall have been satisfied:</w:t>
      </w:r>
    </w:p>
    <w:p>
      <w:pPr>
        <w:spacing w:after="0" w:line="147" w:lineRule="exact"/>
        <w:rPr>
          <w:sz w:val="20"/>
          <w:szCs w:val="20"/>
          <w:color w:val="auto"/>
        </w:rPr>
      </w:pPr>
    </w:p>
    <w:p>
      <w:pPr>
        <w:jc w:val="both"/>
        <w:ind w:right="340" w:firstLine="921"/>
        <w:spacing w:after="0" w:line="264" w:lineRule="auto"/>
        <w:tabs>
          <w:tab w:leader="none" w:pos="1158"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Borrower, the Guarantor, the Administrative Agent, the 2016 Designated Replacement Term Lender and the 2016 Replacement Term Lenders shall have signed a counterpart hereof (whether the same or different counterparts) and shall have delivered the same to White &amp; Case LLP, 1155 Avenue of the Americas, New York, NY 10036, attention: Peixuan Wu;</w:t>
      </w:r>
    </w:p>
    <w:p>
      <w:pPr>
        <w:spacing w:after="0" w:line="181" w:lineRule="exact"/>
        <w:rPr>
          <w:rFonts w:ascii="Arial" w:cs="Arial" w:eastAsia="Arial" w:hAnsi="Arial"/>
          <w:sz w:val="18"/>
          <w:szCs w:val="18"/>
          <w:color w:val="auto"/>
        </w:rPr>
      </w:pPr>
    </w:p>
    <w:p>
      <w:pPr>
        <w:ind w:right="80" w:firstLine="921"/>
        <w:spacing w:after="0" w:line="257" w:lineRule="auto"/>
        <w:tabs>
          <w:tab w:leader="none" w:pos="11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all reasonable invoiced out-of-pocket expenses incurred by the Lenders and the Administrative Agent pursuant to Section 10.04 of the Credit Agreement or the Engagement Letter, dated as of September 14, 2016, by and between, </w:t>
      </w:r>
      <w:r>
        <w:rPr>
          <w:rFonts w:ascii="Arial" w:cs="Arial" w:eastAsia="Arial" w:hAnsi="Arial"/>
          <w:sz w:val="18"/>
          <w:szCs w:val="18"/>
          <w:i w:val="1"/>
          <w:iCs w:val="1"/>
          <w:color w:val="auto"/>
        </w:rPr>
        <w:t>inter alios</w:t>
      </w:r>
      <w:r>
        <w:rPr>
          <w:rFonts w:ascii="Arial" w:cs="Arial" w:eastAsia="Arial" w:hAnsi="Arial"/>
          <w:sz w:val="18"/>
          <w:szCs w:val="18"/>
          <w:color w:val="auto"/>
        </w:rPr>
        <w:t>, the Borrower and the Lead Arrangers (including the reasonable and documented fees, charges and disbursements of counsel) and all accrued and unpaid fees, owing and payable (including any fees agreed to in connection with this Second Amendment) shall have been paid to the extent invoiced at least two (2) Business Days prior to the Second Amendment Effective Date (or such shorter period as may be agreed by the Borrower);</w:t>
      </w:r>
    </w:p>
    <w:p>
      <w:pPr>
        <w:spacing w:after="0" w:line="188" w:lineRule="exact"/>
        <w:rPr>
          <w:rFonts w:ascii="Arial" w:cs="Arial" w:eastAsia="Arial" w:hAnsi="Arial"/>
          <w:sz w:val="18"/>
          <w:szCs w:val="18"/>
          <w:color w:val="auto"/>
        </w:rPr>
      </w:pPr>
    </w:p>
    <w:p>
      <w:pPr>
        <w:ind w:right="580" w:firstLine="921"/>
        <w:spacing w:after="0" w:line="277" w:lineRule="auto"/>
        <w:tabs>
          <w:tab w:leader="none" w:pos="1158"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Administrative Agent shall have received an Officer’s Certificate certifying as to the Collateral Coverage Ratio in accordance with Section 4.02(d) of the Credit Agreement;</w:t>
      </w:r>
    </w:p>
    <w:p>
      <w:pPr>
        <w:spacing w:after="0" w:line="170" w:lineRule="exact"/>
        <w:rPr>
          <w:rFonts w:ascii="Arial" w:cs="Arial" w:eastAsia="Arial" w:hAnsi="Arial"/>
          <w:sz w:val="18"/>
          <w:szCs w:val="18"/>
          <w:color w:val="auto"/>
        </w:rPr>
      </w:pPr>
    </w:p>
    <w:p>
      <w:pPr>
        <w:ind w:firstLine="921"/>
        <w:spacing w:after="0" w:line="342" w:lineRule="auto"/>
        <w:tabs>
          <w:tab w:leader="none" w:pos="1168"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Administrative Agent shall have received a customary written opinion of Latham &amp; Watkins LLP, special counsel for the Borrower and the Guarantor addressed to the Administrative Agent and the 2016 Replacement Term Lenders party hereto, and dated the Second Amendment Effective Date;</w:t>
      </w:r>
    </w:p>
    <w:p>
      <w:pPr>
        <w:spacing w:after="0" w:line="123" w:lineRule="exact"/>
        <w:rPr>
          <w:rFonts w:ascii="Arial" w:cs="Arial" w:eastAsia="Arial" w:hAnsi="Arial"/>
          <w:sz w:val="16"/>
          <w:szCs w:val="16"/>
          <w:color w:val="auto"/>
        </w:rPr>
      </w:pPr>
    </w:p>
    <w:p>
      <w:pPr>
        <w:ind w:firstLine="921"/>
        <w:spacing w:after="0" w:line="286" w:lineRule="auto"/>
        <w:tabs>
          <w:tab w:leader="none" w:pos="1158"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the Administrative Agent shall have received a certificate of the Secretary or Assistant Secretary (or similar Responsible Officer), dated the Second Amendment Effective Date (i) certifying as to the incumbency and specimen signature of each Responsible Officer of the Borrower and the Guarantor executing this Second Amendment or any other document delivered by it in connection herewith (such certificate to contain a certification of another Responsible Officer of that entity as to the incumbency and signature of the Responsible Officer signing the certificate referred to in this </w:t>
      </w:r>
      <w:r>
        <w:rPr>
          <w:rFonts w:ascii="Arial" w:cs="Arial" w:eastAsia="Arial" w:hAnsi="Arial"/>
          <w:sz w:val="16"/>
          <w:szCs w:val="16"/>
          <w:u w:val="single" w:color="auto"/>
          <w:color w:val="auto"/>
        </w:rPr>
        <w:t>clause (e)</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80" w:firstLine="8"/>
        <w:spacing w:after="0" w:line="295" w:lineRule="auto"/>
        <w:tabs>
          <w:tab w:leader="none" w:pos="2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certifying that each constitutional document of each Loan Party previously delivered to the Administrative Agent has not been amended, supplemented, rescinded or otherwise modified and remains in full force and effect as of the date hereof, (iii) attaching resolutions of each Loan Party approving the transactions contemplated by the Second Amendment and (iv) attaching a certificate of good standing for the Borrower and the Guarantor of the state of such entity’s incorporation or formation, dated as of a recent date, as to the good standing of that entity (to the extent available in the applicable jurisdiction);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87" w:name="page88"/>
    <w:bookmarkEnd w:id="87"/>
    <w:p>
      <w:pPr>
        <w:ind w:right="40" w:firstLine="921"/>
        <w:spacing w:after="0" w:line="291" w:lineRule="auto"/>
        <w:tabs>
          <w:tab w:leader="none" w:pos="1138" w:val="left"/>
        </w:tabs>
        <w:numPr>
          <w:ilvl w:val="0"/>
          <w:numId w:val="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have received an Officer’s Certificate certifying (A) the truth in all material respects of the representations and warranties set forth in the Credit Agreement and the other Loan Documents (other than representations and warranties set forth in Sections 3.05(b), 3.06,</w:t>
      </w:r>
    </w:p>
    <w:p>
      <w:pPr>
        <w:spacing w:after="0" w:line="270" w:lineRule="auto"/>
        <w:rPr>
          <w:rFonts w:ascii="Arial" w:cs="Arial" w:eastAsia="Arial" w:hAnsi="Arial"/>
          <w:sz w:val="16"/>
          <w:szCs w:val="16"/>
          <w:color w:val="auto"/>
        </w:rPr>
      </w:pPr>
      <w:r>
        <w:rPr>
          <w:rFonts w:ascii="Arial" w:cs="Arial" w:eastAsia="Arial" w:hAnsi="Arial"/>
          <w:sz w:val="17"/>
          <w:szCs w:val="17"/>
          <w:color w:val="auto"/>
        </w:rPr>
        <w:t>3.09(a) and 3.19 of the Credit Agreement) as though made on the date hereof, or, in the case of any such representation and warranty that relates to a specified date, as though made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before and after giving effect to this Second Amendment) and (B) as to the absence of any event occurring and continuing, or resulting from this Second Amendment on, the Second Amendment Effective Date, that constitutes a Default or Event of Default; and</w:t>
      </w:r>
    </w:p>
    <w:p>
      <w:pPr>
        <w:spacing w:after="0" w:line="178" w:lineRule="exact"/>
        <w:rPr>
          <w:rFonts w:ascii="Arial" w:cs="Arial" w:eastAsia="Arial" w:hAnsi="Arial"/>
          <w:sz w:val="16"/>
          <w:szCs w:val="16"/>
          <w:color w:val="auto"/>
        </w:rPr>
      </w:pPr>
    </w:p>
    <w:p>
      <w:pPr>
        <w:ind w:right="80" w:firstLine="921"/>
        <w:spacing w:after="0" w:line="277" w:lineRule="auto"/>
        <w:tabs>
          <w:tab w:leader="none" w:pos="116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shall have received a Loan Request delivered in compliance with Section 2.03(b) of the Credit Agreement not later than 1:00 p.m. New York City time one (1) Business Day before the Second Amendment Effective Date.</w:t>
      </w:r>
    </w:p>
    <w:p>
      <w:pPr>
        <w:spacing w:after="0" w:line="170"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u w:val="single" w:color="auto"/>
          <w:color w:val="auto"/>
        </w:rPr>
        <w:t>SECTION FOUR - No Default; Representations and Warranties</w:t>
      </w:r>
      <w:r>
        <w:rPr>
          <w:rFonts w:ascii="Arial" w:cs="Arial" w:eastAsia="Arial" w:hAnsi="Arial"/>
          <w:sz w:val="17"/>
          <w:szCs w:val="17"/>
          <w:color w:val="auto"/>
        </w:rPr>
        <w:t xml:space="preserve">. In order to induce the 2016 Replacement Term Lenders and the Administrative Agent to enter into this Second Amendment, the Borrower represents and warrants to each of the 2016 Replacement Term Lenders and the Administrative Agent that, on and as of the date hereof after giving effect to this Second Amendment, (i) no Default or Event of Default has occurred and is continuing or would result from giving effect to this Second Amendment and (ii) the representations and warranties contained in the Credit Agreement and the other Loan Documents (other than representations and warranties set forth in Sections 3.05(b), 3.06, 3.09(a) and 3.19 of the Credit Agreement) are true and correct in all material respects on and as of the date hereof with the same effect as if made on and as of the date hereof or, in the case of any representations and warranties that expressly relate to an earlier date, as though made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that any representation or warranty that is qualified by materiality (it being understood that any representation or warranty that excludes circumstances that would not result in a “Material Adverse Change” or “Material Adverse Effect” shall not be considered (for purposes of this proviso) to be qualified by materiality) shall be true and correct in all respects as of the applicable date, before and after giving effect to this Second Amendment.</w:t>
      </w:r>
    </w:p>
    <w:p>
      <w:pPr>
        <w:spacing w:after="0" w:line="178"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u w:val="single" w:color="auto"/>
          <w:color w:val="auto"/>
        </w:rPr>
        <w:t>SECTION FIVE - Confirmation</w:t>
      </w:r>
      <w:r>
        <w:rPr>
          <w:rFonts w:ascii="Arial" w:cs="Arial" w:eastAsia="Arial" w:hAnsi="Arial"/>
          <w:sz w:val="17"/>
          <w:szCs w:val="17"/>
          <w:color w:val="auto"/>
        </w:rPr>
        <w:t>. The Borrower and the Guarantor hereby confirm that all of their obligations under the Credit Agreement (as amended hereby) are, and shall continue to be, in full force and effect. The parties hereto (i) confirm and agree that the term “Obligations” and “Guaranteed Obligations” as used in the Credit Agreement and the other Loan Documents shall include, without limitation, all obligations of the Borrower with respect to the 2016 Replacement Term Loans (after giving effect to this Second Amendment) and all obligations of the Guarantor with respect to the guarantee of such obligations, respectively, and (ii) reaffirm the grant of Liens on the Collateral to secure the Obligations (including the Obligations under the 2016 Replacement Term Loans incurred pursuant to this Second Amendment) pursuant to the Collateral Documents.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88" w:name="page89"/>
    <w:bookmarkEnd w:id="88"/>
    <w:p>
      <w:pPr>
        <w:ind w:right="100" w:firstLine="913"/>
        <w:spacing w:after="0" w:line="254"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SIX - Reference to and Effect on the Credit Agreement</w:t>
      </w:r>
      <w:r>
        <w:rPr>
          <w:rFonts w:ascii="Arial" w:cs="Arial" w:eastAsia="Arial" w:hAnsi="Arial"/>
          <w:sz w:val="18"/>
          <w:szCs w:val="18"/>
          <w:color w:val="auto"/>
        </w:rPr>
        <w:t>. On and after the Second Amendment Effective Date, each reference in the Credit Agreement to “this Agreement,” “hereunder,” “hereof” or words of like import referring to the Credit Agreement, shall mean and be a reference to the Credit Agreement as amended by this Second Amendment. The Credit Agreement and each of the other Loan Documents, as specifically amended by this Second Amendment, are and shall continue to be in full force and effect and are hereby in all respects ratified and confirmed. This Second Amendment shall be deemed to be a “Loan Document” for all purposes of the Credit Agreement (as amended hereby) and the other Loan Documents. The execution, delivery and effectiveness of this Second Amendment shall not, except as expressly provided herein, operate as an amendment or waiver of any right, power or remedy of any Lender or any Agent under any of the Loan Documents, nor constitute an amendment or waiver of any provision of any of the Loan Documents.</w:t>
      </w:r>
    </w:p>
    <w:p>
      <w:pPr>
        <w:spacing w:after="0" w:line="192" w:lineRule="exact"/>
        <w:rPr>
          <w:sz w:val="20"/>
          <w:szCs w:val="20"/>
          <w:color w:val="auto"/>
        </w:rPr>
      </w:pPr>
    </w:p>
    <w:p>
      <w:pPr>
        <w:ind w:right="280" w:firstLine="913"/>
        <w:spacing w:after="0" w:line="257" w:lineRule="auto"/>
        <w:rPr>
          <w:sz w:val="20"/>
          <w:szCs w:val="20"/>
          <w:color w:val="auto"/>
        </w:rPr>
      </w:pPr>
      <w:r>
        <w:rPr>
          <w:rFonts w:ascii="Arial" w:cs="Arial" w:eastAsia="Arial" w:hAnsi="Arial"/>
          <w:sz w:val="18"/>
          <w:szCs w:val="18"/>
          <w:u w:val="single" w:color="auto"/>
          <w:color w:val="auto"/>
        </w:rPr>
        <w:t>SECTION SEVEN - Execution in Counterparts</w:t>
      </w:r>
      <w:r>
        <w:rPr>
          <w:rFonts w:ascii="Arial" w:cs="Arial" w:eastAsia="Arial" w:hAnsi="Arial"/>
          <w:sz w:val="18"/>
          <w:szCs w:val="18"/>
          <w:color w:val="auto"/>
        </w:rPr>
        <w:t>. This Second Amendment may be executed in counterparts (and by different parties hereto on different counterparts), each of which shall constitute an original, but all of which when taken together shall constitute a single contract. This Second Amendment shall be binding upon and inure to the benefit of the parties hereto and their respective successors and assigns. Delivery of an executed counterpart of a signature page of this Second Amendment by facsimile or electronic .pdf copy shall be effective as delivery of a manually executed counterpart of this Second Amendment.</w:t>
      </w:r>
    </w:p>
    <w:p>
      <w:pPr>
        <w:spacing w:after="0" w:line="188"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u w:val="single" w:color="auto"/>
          <w:color w:val="auto"/>
        </w:rPr>
        <w:t>SECTION EIGHT - Governing Law</w:t>
      </w:r>
      <w:r>
        <w:rPr>
          <w:rFonts w:ascii="Arial" w:cs="Arial" w:eastAsia="Arial" w:hAnsi="Arial"/>
          <w:sz w:val="18"/>
          <w:szCs w:val="18"/>
          <w:color w:val="auto"/>
        </w:rPr>
        <w:t>. THIS SECOND AMENDMENT AND THE RIGHTS AND OBLIGATIONS OF THE PARTIES UNDER THIS SECOND AMENDMENT SHALL BE GOVERNED BY, AND CONSTRUED AND INTERPRETED IN ACCORDANCE WITH, THE LAWS OF THE STATE OF NEW YORK.</w:t>
      </w:r>
    </w:p>
    <w:p>
      <w:pPr>
        <w:spacing w:after="0" w:line="181"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u w:val="single" w:color="auto"/>
          <w:color w:val="auto"/>
        </w:rPr>
        <w:t>SECTION NINE - Miscellaneous</w:t>
      </w:r>
      <w:r>
        <w:rPr>
          <w:rFonts w:ascii="Arial" w:cs="Arial" w:eastAsia="Arial" w:hAnsi="Arial"/>
          <w:sz w:val="16"/>
          <w:szCs w:val="16"/>
          <w:color w:val="auto"/>
        </w:rPr>
        <w:t>. (a) The provisions set forth in Sections 10.03, 10.04, 10.05(b)-(d), 10.09, 10.10, 10.11, 10.13, 10.15, 10.16 and 10.17 of the Credit Agreement are hereby incorporated mutatis mutandis herein by reference thereto as fully and to the same extent as if set forth herein.</w:t>
      </w:r>
    </w:p>
    <w:p>
      <w:pPr>
        <w:spacing w:after="0" w:line="124" w:lineRule="exact"/>
        <w:rPr>
          <w:sz w:val="20"/>
          <w:szCs w:val="20"/>
          <w:color w:val="auto"/>
        </w:rPr>
      </w:pPr>
    </w:p>
    <w:p>
      <w:pPr>
        <w:ind w:firstLine="921"/>
        <w:spacing w:after="0" w:line="286" w:lineRule="auto"/>
        <w:tabs>
          <w:tab w:leader="none" w:pos="1168" w:val="left"/>
        </w:tabs>
        <w:numPr>
          <w:ilvl w:val="0"/>
          <w:numId w:val="68"/>
        </w:numPr>
        <w:rPr>
          <w:rFonts w:ascii="Arial" w:cs="Arial" w:eastAsia="Arial" w:hAnsi="Arial"/>
          <w:sz w:val="17"/>
          <w:szCs w:val="17"/>
          <w:color w:val="auto"/>
        </w:rPr>
      </w:pPr>
      <w:r>
        <w:rPr>
          <w:rFonts w:ascii="Arial" w:cs="Arial" w:eastAsia="Arial" w:hAnsi="Arial"/>
          <w:sz w:val="17"/>
          <w:szCs w:val="17"/>
          <w:color w:val="auto"/>
        </w:rPr>
        <w:t>For purposes of determining withholding Taxes imposed under FATCA, from and after the effective date of this Second Amendment, the Borrower and the Administrative Agent shall treat (and the Lenders party hereto hereby authorize the Administrative Agent to treat) the Term Loan Facility as not qualifying as a “grandfathered obligation” within the meaning of Treasury Regulation Section 1.1471-2(b)(2)(i).</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THIS PAGE IS LEFT BLANK INTENTIONALLY]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89" w:name="page90"/>
    <w:bookmarkEnd w:id="89"/>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Second Amendment to be duly executed and delivered as of the day and year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INC., as the Borrower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AIRLINES GROUP INC., as Parent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Guarantor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T. Weir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T. Weir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and Treasurer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20"/>
          </w:cols>
          <w:pgMar w:left="240" w:top="274" w:right="339" w:bottom="1440" w:gutter="0" w:footer="0" w:header="0"/>
        </w:sectPr>
      </w:pPr>
    </w:p>
    <w:bookmarkStart w:id="90" w:name="page91"/>
    <w:bookmarkEnd w:id="9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Matthew 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14605</wp:posOffset>
            </wp:positionV>
            <wp:extent cx="26930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jc w:val="right"/>
        <w:ind w:right="1119"/>
        <w:spacing w:after="0"/>
        <w:rPr>
          <w:sz w:val="20"/>
          <w:szCs w:val="20"/>
          <w:color w:val="auto"/>
        </w:rPr>
      </w:pPr>
      <w:r>
        <w:rPr>
          <w:rFonts w:ascii="Arial" w:cs="Arial" w:eastAsia="Arial" w:hAnsi="Arial"/>
          <w:sz w:val="18"/>
          <w:szCs w:val="18"/>
          <w:color w:val="auto"/>
        </w:rPr>
        <w:t>Name:  Matthew S. Butler</w:t>
      </w:r>
    </w:p>
    <w:p>
      <w:pPr>
        <w:spacing w:after="0" w:line="23" w:lineRule="exact"/>
        <w:rPr>
          <w:sz w:val="20"/>
          <w:szCs w:val="20"/>
          <w:color w:val="auto"/>
        </w:rPr>
      </w:pPr>
    </w:p>
    <w:p>
      <w:pPr>
        <w:ind w:left="5980"/>
        <w:spacing w:after="0"/>
        <w:tabs>
          <w:tab w:leader="none" w:pos="65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[Second Amendment to Amended and Restated Credit and Guaranty Agreement (LHR)]</w:t>
      </w:r>
    </w:p>
    <w:p>
      <w:pPr>
        <w:sectPr>
          <w:pgSz w:w="11900" w:h="16838" w:orient="portrait"/>
          <w:cols w:equalWidth="0" w:num="1">
            <w:col w:w="9019"/>
          </w:cols>
          <w:pgMar w:left="1440" w:top="274" w:right="1440" w:bottom="1440" w:gutter="0" w:footer="0" w:header="0"/>
        </w:sectPr>
      </w:pPr>
    </w:p>
    <w:bookmarkStart w:id="91" w:name="page92"/>
    <w:bookmarkEnd w:id="9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as the Designated 2016 Replacement Term Lender</w:t>
      </w:r>
    </w:p>
    <w:p>
      <w:pPr>
        <w:spacing w:after="0" w:line="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 2016 Replacement Term Lender</w:t>
      </w:r>
    </w:p>
    <w:p>
      <w:pPr>
        <w:spacing w:after="0" w:line="224"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S.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Matthew S. Butler</w:t>
      </w:r>
    </w:p>
    <w:p>
      <w:pPr>
        <w:spacing w:after="0" w:line="23" w:lineRule="exact"/>
        <w:rPr>
          <w:sz w:val="20"/>
          <w:szCs w:val="20"/>
          <w:color w:val="auto"/>
        </w:rPr>
      </w:pPr>
    </w:p>
    <w:p>
      <w:pPr>
        <w:ind w:left="5660"/>
        <w:spacing w:after="0"/>
        <w:tabs>
          <w:tab w:leader="none" w:pos="62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9300"/>
          </w:cols>
          <w:pgMar w:left="1440" w:top="274" w:right="1159" w:bottom="1440" w:gutter="0" w:footer="0" w:header="0"/>
        </w:sectPr>
      </w:pPr>
    </w:p>
    <w:bookmarkStart w:id="92" w:name="page93"/>
    <w:bookmarkEnd w:id="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Cedar Funding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Krystle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Krystle Walker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Associate Director - Settlements</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ALJ Global Bank Loan Fund 2015 A SERIES TRUST OF</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MULTI MANAGER GLOBAL INVESTMENT TRUST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Davis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4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Global-Loan SV S.A. r.l.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Executed by Alcentra Limited as Portfolio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Manager, and Alcentra NY, LLC as Sub-Manager, for and on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behalf of Global-Loan SV Sarl</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Davis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260"/>
          </w:cols>
          <w:pgMar w:left="240" w:top="274" w:right="39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Universal-Investment-Gesellschaft mBH for Orion ALloan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Davis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Shackleton 2013-III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Alcentra NY, LLC, as investment advisor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Davis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Shackleton 2014-IV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Alcentra NY, LLC as its Collateral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Davis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Shackleton 2014-V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Davis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Shackleton 2014-VI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Alcentra NY, LLC as its Collateral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Robert Davis</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Shackleton 2015-VII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Alcentra NY, LLC as its Collateral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Robert Davis</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Shackleton 2015-VIII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Davis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Shackleton I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Alcentra NY, LLC as investment advisor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Robert Davis</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Shackleton II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Alcentra NY, LLC as its Collateral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Davis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Dreyfus/Laurel Funds, Inc. – Dreyfus Floating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Rate Income Fund</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Alcentra NY, LLC, as its investment advisor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Davis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Loan SV S.a.r.l.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Davis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CBNA AlexCBNA Loan</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S. Broyles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S. Broyles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Attorney-In-Fact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West CLO 2014-1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Joanna Willars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Joanna Willars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West CLO 2014-2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Joanna Willars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Joanna Willars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 Analyst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ALLSTATE LIFE INSURANCE COMPANY</w:t>
      </w:r>
      <w:r>
        <w:rPr>
          <w:rFonts w:ascii="Arial" w:cs="Arial" w:eastAsia="Arial" w:hAnsi="Arial"/>
          <w:sz w:val="18"/>
          <w:szCs w:val="18"/>
          <w:color w:val="auto"/>
        </w:rPr>
        <w:t>,</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Chris Goergen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Chris Goergen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institutions requiring a second signature line: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D. Pittman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Mark D. Pittman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ACAS CLO 2015-2,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American Capital CLO Management, LLC,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Weiss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ACAS CLO IX,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William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William Weiss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AMMC CLO 15,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American Money Management Corp.,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P. Meyer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AMMC CLO 16,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American Money Management Corp.,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Collateral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P. Meyer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AMMC CLO XI,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American Money Management Corp.,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P. Meyer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AMMC CLO XII,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American Money Management Corp.,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P. Meyer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AMMC CLO XIII,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American Money Management Corp.,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P. Meyer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AMMC CLO XIV,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P. Meyer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ALM V,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Apollo Credit Management (CLO), LLC,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Joe Moroney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Joe Moroney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ALM VI.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Apollo Credit Management (CLO), LLC,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Joe Moroney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Joe Moroney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ALM VII.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Apollo Credit Management (CLO),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Collateral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Joe Moroney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Joe Moroney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ALM VII (R)-2,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Apollo Credit Management (CLO), LLC,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Joe Moroney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Joe Moroney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ALM VII (R),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Apollo Credit Management (CLO),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Collateral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Joe Moroney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Joe Moroney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ALM VIII,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Apollo Credit Management (CLO), LLC,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Joe Moroney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Joe Moroney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ALM X,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Apollo Credit Management (CLO), LLC,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Joe Moroney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Joe Moroney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ALM XII,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Apollo Credit Management (CLO),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Joe Moroney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Joe Moroney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ALM XIV,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Apollo Credit Management (CLO), LLC, as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Joe Moroney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Joe Moroney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ALM XVIII,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Apollo Credit Management (CLO),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collateral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Joe Moroney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Joe Moroney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APOLLO AF LOAN TRUST 2012</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Apollo Credit Management (Senior Loans) II,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LLC, as Portfolio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Joseph Glatt</w:t>
      </w:r>
    </w:p>
    <w:p>
      <w:pPr>
        <w:spacing w:after="0" w:line="23" w:lineRule="exact"/>
        <w:rPr>
          <w:sz w:val="20"/>
          <w:szCs w:val="20"/>
          <w:color w:val="auto"/>
        </w:rPr>
      </w:pPr>
    </w:p>
    <w:p>
      <w:pPr>
        <w:jc w:val="both"/>
        <w:ind w:left="7220"/>
        <w:spacing w:after="0"/>
        <w:tabs>
          <w:tab w:leader="none" w:pos="780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right"/>
        <w:ind w:right="222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Apollo Credit Funding III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Apollo ST Fund Management LLC,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Glatt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Joseph Glatt</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20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ARES XXIII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ARES CLO MANAGEMENT XXIII, L.P., ITS ASSET</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ARES CLO GP XXIII, LLC, ITS GENERAL PARTNER</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Hayward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Daniel Hayward</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20"/>
          </w:cols>
          <w:pgMar w:left="240" w:top="274"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8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ARES XXIV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ARES CLO MANAGEMENT XXIV, L.P., ITS ASSET</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ARES CLO GP XXIV, LLC, ITS GENERAL PARTNER</w:t>
      </w:r>
    </w:p>
    <w:p>
      <w:pPr>
        <w:spacing w:after="0" w:line="22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Hayward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Daniel Hayward</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00"/>
          </w:cols>
          <w:pgMar w:left="240" w:top="274"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National Pension Service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Ares Capital Management III LLC, its Investment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Hayward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Daniel Hayward</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30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tbl>
      <w:tblPr>
        <w:tblLayout w:type="fixed"/>
        <w:tblInd w:w="254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NAME OF INSTITUTION</w:t>
            </w:r>
          </w:p>
        </w:tc>
        <w:tc>
          <w:tcPr>
            <w:tcW w:w="1180" w:type="dxa"/>
            <w:vAlign w:val="bottom"/>
          </w:tcPr>
          <w:p>
            <w:pPr>
              <w:spacing w:after="0"/>
              <w:rPr>
                <w:sz w:val="20"/>
                <w:szCs w:val="20"/>
                <w:color w:val="auto"/>
              </w:rPr>
            </w:pPr>
          </w:p>
        </w:tc>
      </w:tr>
      <w:tr>
        <w:trPr>
          <w:trHeight w:val="392"/>
        </w:trPr>
        <w:tc>
          <w:tcPr>
            <w:tcW w:w="4320" w:type="dxa"/>
            <w:vAlign w:val="bottom"/>
          </w:tcPr>
          <w:p>
            <w:pPr>
              <w:spacing w:after="0"/>
              <w:rPr>
                <w:sz w:val="24"/>
                <w:szCs w:val="24"/>
                <w:color w:val="auto"/>
              </w:rPr>
            </w:pPr>
          </w:p>
        </w:tc>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Arrowpoint CLO 2014-2, LTD</w:t>
            </w:r>
          </w:p>
        </w:tc>
        <w:tc>
          <w:tcPr>
            <w:tcW w:w="1180" w:type="dxa"/>
            <w:vAlign w:val="bottom"/>
          </w:tcPr>
          <w:p>
            <w:pPr>
              <w:jc w:val="right"/>
              <w:ind w:right="1030"/>
              <w:spacing w:after="0"/>
              <w:rPr>
                <w:sz w:val="20"/>
                <w:szCs w:val="20"/>
                <w:color w:val="auto"/>
              </w:rPr>
            </w:pPr>
            <w:r>
              <w:rPr>
                <w:rFonts w:ascii="Arial" w:cs="Arial" w:eastAsia="Arial" w:hAnsi="Arial"/>
                <w:sz w:val="18"/>
                <w:szCs w:val="18"/>
                <w:color w:val="auto"/>
                <w:w w:val="78"/>
              </w:rPr>
              <w:t>,</w:t>
            </w:r>
          </w:p>
        </w:tc>
      </w:tr>
      <w:tr>
        <w:trPr>
          <w:trHeight w:val="237"/>
        </w:trPr>
        <w:tc>
          <w:tcPr>
            <w:tcW w:w="4320" w:type="dxa"/>
            <w:vAlign w:val="bottom"/>
          </w:tcPr>
          <w:p>
            <w:pPr>
              <w:spacing w:after="0"/>
              <w:rPr>
                <w:sz w:val="20"/>
                <w:szCs w:val="20"/>
                <w:color w:val="auto"/>
              </w:rPr>
            </w:pPr>
          </w:p>
        </w:tc>
        <w:tc>
          <w:tcPr>
            <w:tcW w:w="3380" w:type="dxa"/>
            <w:vAlign w:val="bottom"/>
            <w:gridSpan w:val="2"/>
          </w:tcPr>
          <w:p>
            <w:pPr>
              <w:ind w:left="180"/>
              <w:spacing w:after="0"/>
              <w:rPr>
                <w:sz w:val="20"/>
                <w:szCs w:val="20"/>
                <w:color w:val="auto"/>
              </w:rPr>
            </w:pPr>
            <w:r>
              <w:rPr>
                <w:rFonts w:ascii="Arial" w:cs="Arial" w:eastAsia="Arial" w:hAnsi="Arial"/>
                <w:sz w:val="18"/>
                <w:szCs w:val="18"/>
                <w:color w:val="auto"/>
              </w:rPr>
              <w:t>as a 2016 Replacement Term Lender</w:t>
            </w:r>
          </w:p>
        </w:tc>
        <w:tc>
          <w:tcPr>
            <w:tcW w:w="1180" w:type="dxa"/>
            <w:vAlign w:val="bottom"/>
          </w:tcPr>
          <w:p>
            <w:pPr>
              <w:spacing w:after="0"/>
              <w:rPr>
                <w:sz w:val="20"/>
                <w:szCs w:val="20"/>
                <w:color w:val="auto"/>
              </w:rPr>
            </w:pPr>
          </w:p>
        </w:tc>
      </w:tr>
      <w:tr>
        <w:trPr>
          <w:trHeight w:val="446"/>
        </w:trPr>
        <w:tc>
          <w:tcPr>
            <w:tcW w:w="4320" w:type="dxa"/>
            <w:vAlign w:val="bottom"/>
          </w:tcPr>
          <w:p>
            <w:pPr>
              <w:spacing w:after="0"/>
              <w:rPr>
                <w:sz w:val="24"/>
                <w:szCs w:val="24"/>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By: /s/ Colby Stilson</w:t>
            </w:r>
          </w:p>
        </w:tc>
        <w:tc>
          <w:tcPr>
            <w:tcW w:w="1180" w:type="dxa"/>
            <w:vAlign w:val="bottom"/>
          </w:tcPr>
          <w:p>
            <w:pPr>
              <w:spacing w:after="0"/>
              <w:rPr>
                <w:sz w:val="24"/>
                <w:szCs w:val="24"/>
                <w:color w:val="auto"/>
              </w:rPr>
            </w:pPr>
          </w:p>
        </w:tc>
      </w:tr>
      <w:tr>
        <w:trPr>
          <w:trHeight w:val="209"/>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Colby Stilson</w:t>
            </w:r>
          </w:p>
        </w:tc>
        <w:tc>
          <w:tcPr>
            <w:tcW w:w="1180" w:type="dxa"/>
            <w:vAlign w:val="bottom"/>
            <w:tcBorders>
              <w:top w:val="single" w:sz="8" w:color="auto"/>
            </w:tcBorders>
          </w:tcPr>
          <w:p>
            <w:pPr>
              <w:spacing w:after="0"/>
              <w:rPr>
                <w:sz w:val="18"/>
                <w:szCs w:val="18"/>
                <w:color w:val="auto"/>
              </w:rPr>
            </w:pPr>
          </w:p>
        </w:tc>
      </w:tr>
      <w:tr>
        <w:trPr>
          <w:trHeight w:val="230"/>
        </w:trPr>
        <w:tc>
          <w:tcPr>
            <w:tcW w:w="4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Title:   Portfolio Manager</w:t>
            </w:r>
          </w:p>
        </w:tc>
        <w:tc>
          <w:tcPr>
            <w:tcW w:w="1180" w:type="dxa"/>
            <w:vAlign w:val="bottom"/>
          </w:tcPr>
          <w:p>
            <w:pPr>
              <w:spacing w:after="0"/>
              <w:rPr>
                <w:sz w:val="20"/>
                <w:szCs w:val="20"/>
                <w:color w:val="auto"/>
              </w:rPr>
            </w:pPr>
          </w:p>
        </w:tc>
      </w:tr>
      <w:tr>
        <w:trPr>
          <w:trHeight w:val="365"/>
        </w:trPr>
        <w:tc>
          <w:tcPr>
            <w:tcW w:w="7700" w:type="dxa"/>
            <w:vAlign w:val="bottom"/>
            <w:gridSpan w:val="3"/>
          </w:tcPr>
          <w:p>
            <w:pPr>
              <w:spacing w:after="0"/>
              <w:rPr>
                <w:sz w:val="20"/>
                <w:szCs w:val="20"/>
                <w:color w:val="auto"/>
              </w:rPr>
            </w:pPr>
            <w:r>
              <w:rPr>
                <w:rFonts w:ascii="Arial" w:cs="Arial" w:eastAsia="Arial" w:hAnsi="Arial"/>
                <w:sz w:val="18"/>
                <w:szCs w:val="18"/>
                <w:color w:val="auto"/>
              </w:rPr>
              <w:t>[Second Amendment to Amended and Restated Credit and Guaranty Agreement (LHR)]</w:t>
            </w:r>
          </w:p>
        </w:tc>
        <w:tc>
          <w:tcPr>
            <w:tcW w:w="11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Arrowpoint CLO 2014-3,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17830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a 2016 Replacement Term Lender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Colby Stilson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Colby Stilson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Avery Point III CLO,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Bain Capital Credit, LP, as Portfolio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Viens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Andrew Viens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Executive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Avery Point IV CLO,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Bain Capital Credit, LP, as Portfolio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Viens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Andrew Viens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Executive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Avery Point VI CLO,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Bain Capital Credit, LP, as Portfolio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Viens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Andrew Viens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Executive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Blue Cross of California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Bain Capital Credit, LP, as Investment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Viens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Andrew Viens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Executive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Community Insurance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Bain Capital Credit, LP, as Investment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Viens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Andrew Viens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Executive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Google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Bain Capital Credit, LP, as Investment Adviser and</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Viens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Andrew Viens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Executive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Race Point IX CLO,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Bain Capital Credit, LP, as Portfolio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Viens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Andrew Viens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Executive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Barclays Bank PLC, as a 2016 Replacement Term Lender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Nicole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Nicole Webb</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24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55 Loan Strategy Fund a series Trust of Multi Manager Global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Trust</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BlackRock Financial Management Inc., Its Investment</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Gina Forziati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Gina Forziati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60"/>
          </w:cols>
          <w:pgMar w:left="240" w:top="274" w:right="29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55 Loan Strategy Fund Series 3 A Series Trust of Multi</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 Global Investment Trust</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BlackRock Financial Management Inc., Its Investment</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Gina Forziati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Gina Forziati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22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Houston Casualty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BlackRock Investment Management, LLC, its Investment</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Gina Forziati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Gina Forziati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40"/>
          </w:cols>
          <w:pgMar w:left="240" w:top="274" w:right="31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22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320" w:hanging="446"/>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U.S. Specialty Insurance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BlackRock Investment Management, LLC, its Investment</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Gina Forziati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Gina Forziati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40"/>
          </w:cols>
          <w:pgMar w:left="240" w:top="274" w:right="31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0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Bluemountain CLO 2013-3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BLUEMOUNTAIN CAPITAL MANAGEMENT, LLC.</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Meghan Fornshell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Meghan Fornshell</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Operations Analyst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220"/>
          </w:cols>
          <w:pgMar w:left="240" w:top="274" w:right="4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0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Bluemountain CLO 2013-4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BLUEMOUNTAIN CAPITAL MANAGEMENT, LLC.</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Meghan Fornshell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Meghan Fornshell</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Operations Analyst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220"/>
          </w:cols>
          <w:pgMar w:left="240" w:top="274" w:right="4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BlueMountain CLO 2014-2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Meghan Fornshell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Meghan Fornshell</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Operations Analyst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BlueMountain CLO 2014-3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BlueMountain Capital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Meghan Fornshell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Meghan Fornshell</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Operations Analyst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BlueMountain CLO 2014-4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BlueMountain Capital Management</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Meghan Fornshell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Meghan Fornshell</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Operations Analyst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BlueMountain CLO 2015-2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BlueMountain Capital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Meghan Fornshell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Meghan Fornshell</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Operations Analyst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BlueMountain CLO 2015-4,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BlueMountain Capital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Meghan Fornshell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Meghan Fornshell</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Operations Analyst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BlueMountain CLO 2016-1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BlueMountain Capital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Meghan Fornshell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Meghan Fornshell</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Operations Analyst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CALIFORNIA FIRST NATIONAL BANK,</w:t>
      </w:r>
    </w:p>
    <w:p>
      <w:pPr>
        <w:spacing w:after="0" w:line="2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D. Cross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Mark D. Cross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Chief Credit Officer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Canyon Capital CLO 2012-1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Canyon Capital Advisors, Its Asset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Jonathan M.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Jonathan M. Kaplan</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Canyon Capital CLO 2014-1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Canyon Capital Advisors LLC, Its Asset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Jonathan M.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Jonathan M. Kaplan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Canyon Capital CLO 2014-2,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Canyon Capital Advisors LLC, Its Asset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Jonathan M.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Jonathan M. Kaplan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Canyon Capital CLO 2015-1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Canyon Capital Advisors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Collateral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Jonathan M.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Jonathan M. Kaplan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Canyon Capital CLO 2016-1,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Canyon CLO Advisors LLC, its Collateral Manager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Jonathan M. Kaplan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Jonathan M. Kaplan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CATHEDRAL LAKE CLO 2013, LTD,</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Stanton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Stanton Ray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CATHEDRAL LAKE II, LTD,</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Stanton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Stanton Ray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u w:val="single" w:color="auto"/>
          <w:color w:val="auto"/>
        </w:rPr>
        <w:t>CATHEDRAL LAKE III, LTD,</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Stanton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Stanton Ray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2012-3,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2012-4,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2013-1,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2013-2,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2013-3,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2013-4,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2014-1,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2014-2,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2014-3,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2014-4,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2014-5,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2015-1,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2015-2,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2015-4,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Carlyle Global Market Strategies CLO 2015-3,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Linda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Linda Pace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Manager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CIFC Funding 2012-I,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CIFC Asset Management LLC, its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Ranocchia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Ranocchia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CIFC Funding 2012-III,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CIFC Asset Management LLC, its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Ranocchia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Ranocchia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CIFC Funding 2014-II,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CIFC Asset Management LLC, its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Ranocchia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Ranocchia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CIFC Funding 2014-III,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CIFC Asset Management LLC, its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Ranocchia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Ranocchia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CIFC Funding 2014-IV,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CIFC Asset Management LLC, its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Ranocchia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Ranocchia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CIFC Funding 2014,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CIFC Asset Management LLC, its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Ranocchia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Ranocchia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CIFC Funding 2014-V,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CIFC Asset Management LLC, its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Ranocchia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Ranocchia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CIFC Funding 2015-I,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CIFC Asset Management LLC, its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Ranocchia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Ranocchia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CIFC Funding 2015-III,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CIFC Asset Management LLC, its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 Ranocchia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Robert Ranocchia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Cent CLO 24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Columbia Management Investment Advisers, LLC</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B. Staver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Steven B. Staver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Assistant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80" w:hanging="446"/>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Columbia Strategic Income Fund, a series of Columbia Funds</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Series Trust I</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B. Staver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Steven B. Staver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Assistant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00"/>
          </w:cols>
          <w:pgMar w:left="240" w:top="274" w:right="35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Covenant Credit Partners CLO I, Ltd,</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Horton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Horton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MD</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jc w:val="right"/>
        <w:ind w:right="1500"/>
        <w:spacing w:after="0"/>
        <w:rPr>
          <w:sz w:val="20"/>
          <w:szCs w:val="20"/>
          <w:color w:val="auto"/>
        </w:rPr>
      </w:pPr>
      <w:r>
        <w:rPr>
          <w:rFonts w:ascii="Arial" w:cs="Arial" w:eastAsia="Arial" w:hAnsi="Arial"/>
          <w:sz w:val="18"/>
          <w:szCs w:val="18"/>
          <w:color w:val="auto"/>
        </w:rPr>
        <w:t>Covenant Credit Partners CLO II, Ltd,</w:t>
      </w:r>
    </w:p>
    <w:p>
      <w:pPr>
        <w:spacing w:after="0" w:line="23" w:lineRule="exact"/>
        <w:rPr>
          <w:sz w:val="20"/>
          <w:szCs w:val="20"/>
          <w:color w:val="auto"/>
        </w:rPr>
      </w:pPr>
    </w:p>
    <w:p>
      <w:pPr>
        <w:jc w:val="right"/>
        <w:ind w:right="144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Horton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Horton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MD</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ATRIUM VIII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Credit Suisse Asset Management, LLC, as portfolio</w:t>
      </w:r>
    </w:p>
    <w:p>
      <w:pPr>
        <w:spacing w:after="0" w:line="21" w:lineRule="exact"/>
        <w:rPr>
          <w:sz w:val="20"/>
          <w:szCs w:val="20"/>
          <w:color w:val="auto"/>
        </w:rPr>
      </w:pPr>
    </w:p>
    <w:p>
      <w:pPr>
        <w:ind w:left="7180"/>
        <w:spacing w:after="0"/>
        <w:rPr>
          <w:sz w:val="20"/>
          <w:szCs w:val="20"/>
          <w:color w:val="auto"/>
        </w:rPr>
      </w:pPr>
      <w:r>
        <w:rPr>
          <w:rFonts w:ascii="Arial" w:cs="Arial" w:eastAsia="Arial" w:hAnsi="Arial"/>
          <w:sz w:val="18"/>
          <w:szCs w:val="18"/>
          <w:u w:val="single" w:color="auto"/>
          <w:color w:val="auto"/>
        </w:rPr>
        <w:t>manager</w:t>
      </w:r>
      <w:r>
        <w:rPr>
          <w:rFonts w:ascii="Arial" w:cs="Arial" w:eastAsia="Arial" w:hAnsi="Arial"/>
          <w:sz w:val="18"/>
          <w:szCs w:val="18"/>
          <w:color w:val="auto"/>
        </w:rPr>
        <w: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Farano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Louis Farano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9/16/2016</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ATRIUM XI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Credit Suisse Asset Management, LLC, as portfolio</w:t>
      </w:r>
    </w:p>
    <w:p>
      <w:pPr>
        <w:spacing w:after="0" w:line="21" w:lineRule="exact"/>
        <w:rPr>
          <w:sz w:val="20"/>
          <w:szCs w:val="20"/>
          <w:color w:val="auto"/>
        </w:rPr>
      </w:pPr>
    </w:p>
    <w:p>
      <w:pPr>
        <w:ind w:left="7180"/>
        <w:spacing w:after="0"/>
        <w:rPr>
          <w:sz w:val="20"/>
          <w:szCs w:val="20"/>
          <w:color w:val="auto"/>
        </w:rPr>
      </w:pPr>
      <w:r>
        <w:rPr>
          <w:rFonts w:ascii="Arial" w:cs="Arial" w:eastAsia="Arial" w:hAnsi="Arial"/>
          <w:sz w:val="18"/>
          <w:szCs w:val="18"/>
          <w:u w:val="single" w:color="auto"/>
          <w:color w:val="auto"/>
        </w:rPr>
        <w:t>manager</w:t>
      </w:r>
      <w:r>
        <w:rPr>
          <w:rFonts w:ascii="Arial" w:cs="Arial" w:eastAsia="Arial" w:hAnsi="Arial"/>
          <w:sz w:val="18"/>
          <w:szCs w:val="18"/>
          <w:color w:val="auto"/>
        </w:rPr>
        <w: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Farano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Louis Farano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9/16/2016</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CALIFORNIA STATE TEACHERS’ RETIREMENT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SYSTEM</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Credit Suisse Asset Management, LLC, as investment</w:t>
      </w:r>
    </w:p>
    <w:p>
      <w:pPr>
        <w:spacing w:after="0" w:line="32" w:lineRule="exact"/>
        <w:rPr>
          <w:sz w:val="20"/>
          <w:szCs w:val="20"/>
          <w:color w:val="auto"/>
        </w:rPr>
      </w:pPr>
    </w:p>
    <w:p>
      <w:pPr>
        <w:ind w:left="7180"/>
        <w:spacing w:after="0"/>
        <w:rPr>
          <w:sz w:val="20"/>
          <w:szCs w:val="20"/>
          <w:color w:val="auto"/>
        </w:rPr>
      </w:pPr>
      <w:r>
        <w:rPr>
          <w:rFonts w:ascii="Arial" w:cs="Arial" w:eastAsia="Arial" w:hAnsi="Arial"/>
          <w:sz w:val="18"/>
          <w:szCs w:val="18"/>
          <w:u w:val="single" w:color="auto"/>
          <w:color w:val="auto"/>
        </w:rPr>
        <w:t>manager</w:t>
      </w:r>
      <w:r>
        <w:rPr>
          <w:rFonts w:ascii="Arial" w:cs="Arial" w:eastAsia="Arial" w:hAnsi="Arial"/>
          <w:sz w:val="18"/>
          <w:szCs w:val="18"/>
          <w:color w:val="auto"/>
        </w:rPr>
        <w: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 a 2016 Replacement Term Lender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Farano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Louis Farano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9/16/2016</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HYFI Loan Fund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Credit Suisse Asset Management, LLC, as investment</w:t>
      </w:r>
    </w:p>
    <w:p>
      <w:pPr>
        <w:spacing w:after="0" w:line="32" w:lineRule="exact"/>
        <w:rPr>
          <w:sz w:val="20"/>
          <w:szCs w:val="20"/>
          <w:color w:val="auto"/>
        </w:rPr>
      </w:pPr>
    </w:p>
    <w:p>
      <w:pPr>
        <w:ind w:left="7180"/>
        <w:spacing w:after="0"/>
        <w:rPr>
          <w:sz w:val="20"/>
          <w:szCs w:val="20"/>
          <w:color w:val="auto"/>
        </w:rPr>
      </w:pPr>
      <w:r>
        <w:rPr>
          <w:rFonts w:ascii="Arial" w:cs="Arial" w:eastAsia="Arial" w:hAnsi="Arial"/>
          <w:sz w:val="18"/>
          <w:szCs w:val="18"/>
          <w:u w:val="single" w:color="auto"/>
          <w:color w:val="auto"/>
        </w:rPr>
        <w:t>manager</w:t>
      </w:r>
      <w:r>
        <w:rPr>
          <w:rFonts w:ascii="Arial" w:cs="Arial" w:eastAsia="Arial" w:hAnsi="Arial"/>
          <w:sz w:val="18"/>
          <w:szCs w:val="18"/>
          <w:color w:val="auto"/>
        </w:rPr>
        <w: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 a 2016 Replacement Term Lender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Farano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Louis Farano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9/16/2016</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96" w:name="page197"/>
    <w:bookmarkEnd w:id="1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MADISON PARK FUNDING IX,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Credit Suisse Asset Management, LLC, as portfolio</w:t>
      </w:r>
    </w:p>
    <w:p>
      <w:pPr>
        <w:spacing w:after="0" w:line="21" w:lineRule="exact"/>
        <w:rPr>
          <w:sz w:val="20"/>
          <w:szCs w:val="20"/>
          <w:color w:val="auto"/>
        </w:rPr>
      </w:pPr>
    </w:p>
    <w:p>
      <w:pPr>
        <w:ind w:left="7180"/>
        <w:spacing w:after="0"/>
        <w:rPr>
          <w:sz w:val="20"/>
          <w:szCs w:val="20"/>
          <w:color w:val="auto"/>
        </w:rPr>
      </w:pPr>
      <w:r>
        <w:rPr>
          <w:rFonts w:ascii="Arial" w:cs="Arial" w:eastAsia="Arial" w:hAnsi="Arial"/>
          <w:sz w:val="18"/>
          <w:szCs w:val="18"/>
          <w:u w:val="single" w:color="auto"/>
          <w:color w:val="auto"/>
        </w:rPr>
        <w:t>manager</w:t>
      </w:r>
      <w:r>
        <w:rPr>
          <w:rFonts w:ascii="Arial" w:cs="Arial" w:eastAsia="Arial" w:hAnsi="Arial"/>
          <w:sz w:val="18"/>
          <w:szCs w:val="18"/>
          <w:color w:val="auto"/>
        </w:rPr>
        <w: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Farano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Louis Farano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9/16/2016</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97" w:name="page198"/>
    <w:bookmarkEnd w:id="1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MADISON PARK FUNDING X,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Credit Suisse Asset Management, LLC, as portfolio</w:t>
      </w:r>
    </w:p>
    <w:p>
      <w:pPr>
        <w:spacing w:after="0" w:line="21" w:lineRule="exact"/>
        <w:rPr>
          <w:sz w:val="20"/>
          <w:szCs w:val="20"/>
          <w:color w:val="auto"/>
        </w:rPr>
      </w:pPr>
    </w:p>
    <w:p>
      <w:pPr>
        <w:ind w:left="7180"/>
        <w:spacing w:after="0"/>
        <w:rPr>
          <w:sz w:val="20"/>
          <w:szCs w:val="20"/>
          <w:color w:val="auto"/>
        </w:rPr>
      </w:pPr>
      <w:r>
        <w:rPr>
          <w:rFonts w:ascii="Arial" w:cs="Arial" w:eastAsia="Arial" w:hAnsi="Arial"/>
          <w:sz w:val="18"/>
          <w:szCs w:val="18"/>
          <w:u w:val="single" w:color="auto"/>
          <w:color w:val="auto"/>
        </w:rPr>
        <w:t>manager</w:t>
      </w:r>
      <w:r>
        <w:rPr>
          <w:rFonts w:ascii="Arial" w:cs="Arial" w:eastAsia="Arial" w:hAnsi="Arial"/>
          <w:sz w:val="18"/>
          <w:szCs w:val="18"/>
          <w:color w:val="auto"/>
        </w:rPr>
        <w: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 a 2016 Replacement Term Lender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Farano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Louis Farano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9/16/2016</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MADISON PARK FUNDING XV,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Credit Suisse Asset Management, LLC, as portfolio</w:t>
      </w:r>
    </w:p>
    <w:p>
      <w:pPr>
        <w:spacing w:after="0" w:line="21" w:lineRule="exact"/>
        <w:rPr>
          <w:sz w:val="20"/>
          <w:szCs w:val="20"/>
          <w:color w:val="auto"/>
        </w:rPr>
      </w:pPr>
    </w:p>
    <w:p>
      <w:pPr>
        <w:ind w:left="7180"/>
        <w:spacing w:after="0"/>
        <w:rPr>
          <w:sz w:val="20"/>
          <w:szCs w:val="20"/>
          <w:color w:val="auto"/>
        </w:rPr>
      </w:pPr>
      <w:r>
        <w:rPr>
          <w:rFonts w:ascii="Arial" w:cs="Arial" w:eastAsia="Arial" w:hAnsi="Arial"/>
          <w:sz w:val="18"/>
          <w:szCs w:val="18"/>
          <w:u w:val="single" w:color="auto"/>
          <w:color w:val="auto"/>
        </w:rPr>
        <w:t>manager</w:t>
      </w:r>
      <w:r>
        <w:rPr>
          <w:rFonts w:ascii="Arial" w:cs="Arial" w:eastAsia="Arial" w:hAnsi="Arial"/>
          <w:sz w:val="18"/>
          <w:szCs w:val="18"/>
          <w:color w:val="auto"/>
        </w:rPr>
        <w: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Farano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Louis Farano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9/16/2016</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199" w:name="page200"/>
    <w:bookmarkEnd w:id="1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Qualcomm Global Trading Pte.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Credit Suisse Asset Management, LLC, as investment</w:t>
      </w:r>
    </w:p>
    <w:p>
      <w:pPr>
        <w:spacing w:after="0" w:line="32" w:lineRule="exact"/>
        <w:rPr>
          <w:sz w:val="20"/>
          <w:szCs w:val="20"/>
          <w:color w:val="auto"/>
        </w:rPr>
      </w:pPr>
    </w:p>
    <w:p>
      <w:pPr>
        <w:ind w:left="7180"/>
        <w:spacing w:after="0"/>
        <w:rPr>
          <w:sz w:val="20"/>
          <w:szCs w:val="20"/>
          <w:color w:val="auto"/>
        </w:rPr>
      </w:pPr>
      <w:r>
        <w:rPr>
          <w:rFonts w:ascii="Arial" w:cs="Arial" w:eastAsia="Arial" w:hAnsi="Arial"/>
          <w:sz w:val="18"/>
          <w:szCs w:val="18"/>
          <w:u w:val="single" w:color="auto"/>
          <w:color w:val="auto"/>
        </w:rPr>
        <w:t>manager</w:t>
      </w:r>
      <w:r>
        <w:rPr>
          <w:rFonts w:ascii="Arial" w:cs="Arial" w:eastAsia="Arial" w:hAnsi="Arial"/>
          <w:sz w:val="18"/>
          <w:szCs w:val="18"/>
          <w:color w:val="auto"/>
        </w:rPr>
        <w: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Farano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Louis Farano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9/16/2016</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60" w:hanging="446"/>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State of New Mexico State Investment Council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authority delegated to the New Mexico State Investment</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Credit Suisse Asset Management, LLC, as investment</w:t>
      </w:r>
    </w:p>
    <w:p>
      <w:pPr>
        <w:spacing w:after="0" w:line="32" w:lineRule="exact"/>
        <w:rPr>
          <w:sz w:val="20"/>
          <w:szCs w:val="20"/>
          <w:color w:val="auto"/>
        </w:rPr>
      </w:pPr>
    </w:p>
    <w:p>
      <w:pPr>
        <w:ind w:left="7180"/>
        <w:spacing w:after="0"/>
        <w:rPr>
          <w:sz w:val="20"/>
          <w:szCs w:val="20"/>
          <w:color w:val="auto"/>
        </w:rPr>
      </w:pPr>
      <w:r>
        <w:rPr>
          <w:rFonts w:ascii="Arial" w:cs="Arial" w:eastAsia="Arial" w:hAnsi="Arial"/>
          <w:sz w:val="18"/>
          <w:szCs w:val="18"/>
          <w:u w:val="single" w:color="auto"/>
          <w:color w:val="auto"/>
        </w:rPr>
        <w:t>manager</w:t>
      </w:r>
      <w:r>
        <w:rPr>
          <w:rFonts w:ascii="Arial" w:cs="Arial" w:eastAsia="Arial" w:hAnsi="Arial"/>
          <w:sz w:val="18"/>
          <w:szCs w:val="18"/>
          <w:color w:val="auto"/>
        </w:rPr>
        <w:t>,</w:t>
      </w:r>
    </w:p>
    <w:p>
      <w:pPr>
        <w:spacing w:after="0" w:line="9"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Farano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Louis Farano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9/16/2016</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80"/>
          </w:cols>
          <w:pgMar w:left="240" w:top="274" w:right="47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40" w:hanging="446"/>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CITY OF NEW YORK GROUP TRUST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Credit Suisse Asset Management, LLC, as its manager</w:t>
      </w:r>
      <w:r>
        <w:rPr>
          <w:rFonts w:ascii="Arial" w:cs="Arial" w:eastAsia="Arial" w:hAnsi="Arial"/>
          <w:sz w:val="16"/>
          <w:szCs w:val="16"/>
          <w:color w:val="auto"/>
        </w:rPr>
        <w:t>,</w:t>
      </w:r>
    </w:p>
    <w:p>
      <w:pPr>
        <w:spacing w:after="0" w:line="32"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Farano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Louis Farano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9/16/2016</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60"/>
          </w:cols>
          <w:pgMar w:left="240" w:top="274" w:right="49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60" w:hanging="446"/>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BOARD OF PENSION AND HEALTH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BENEFITS OF THE UNITED METHODIST CHURCH</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Credit Suisse Asset Management, LLC, the investment</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advisor for UMC Benefit Board Inc., the trustee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6"/>
          <w:szCs w:val="16"/>
          <w:u w:val="single" w:color="auto"/>
          <w:color w:val="auto"/>
        </w:rPr>
        <w:t>investment manager for Wespath Investment Management, a</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6"/>
          <w:szCs w:val="16"/>
          <w:u w:val="single" w:color="auto"/>
          <w:color w:val="auto"/>
        </w:rPr>
        <w:t>division of the General Board of Pension and Health Benefits</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of the United Methodist Church</w:t>
      </w:r>
      <w:r>
        <w:rPr>
          <w:rFonts w:ascii="Arial" w:cs="Arial" w:eastAsia="Arial" w:hAnsi="Arial"/>
          <w:sz w:val="18"/>
          <w:szCs w:val="18"/>
          <w:color w:val="auto"/>
        </w:rPr>
        <w:t>,</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Farano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Louis Farano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9/16/2016</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280"/>
          </w:cols>
          <w:pgMar w:left="240" w:top="274" w:right="37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ATLAS SENIOR LOAN FUND 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Crescent Capital Group LP, its adviser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McKeon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institutions requiring a second signature line: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John Hwang</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ATLAS SENIOR LOAN FUND III,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Crescent Capital Group LP, its adviser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McKeon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institutions requiring a second signature line: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John Hwang</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ATLAS SENIOR LOAN FUND IV,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Crescent Capital Group LP, its adviser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McKeon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institutions requiring a second signature line: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John Hwang</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ATLAS SENIOR LOAN FUND V,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Crescent Capital Group LP, its adviser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McKeon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institutions requiring a second signature line: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John Hwang</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ATLAS SENIOR LOAN FUND VI,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Crescent Capital Group LP, its adviser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McKeon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institutions requiring a second signature line: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John Hwang</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ILLINOIS STATE BOARD OF INVESTMENT,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Crescent Capital Group LP, its adviser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McKeon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institutions requiring a second signature line: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John Hwang</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Trustmark Insurance Company,</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Crescent Capital Group LP, its adviser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McKeon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institutions requiring a second signature line: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Hwang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John Hwang</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Apidos CLO IX</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Collateral Manager CVC Credit Partners,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Gretchen Bergstresser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Gretchen Bergstresser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APIDOS CLO X</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Collateral Manager CVC Credit Partners,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Gretchen Bergstresser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Gretchen Bergstresser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APIDOS CLO XI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Collateral Manager CVC Credit Partners,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Gretchen Bergstresser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Gretchen Bergstresser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APIDOS CLO XII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Collateral Manager CVC Credit Partners,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Gretchen Bergstresser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Gretchen Bergstresser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APIDOS CLO XIV</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Collateral Manager CVC Credit Partners,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Gretchen Bergstresser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Gretchen Bergstresser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Apidos CLO XIX</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Collateral Manager CVC Credit Partners,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Gretchen Bergstresser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Gretchen Bergstresser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APIDOS CLO XV</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Collateral Manager CVC Credit Partners,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Gretchen Bergstresser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Gretchen Bergstresser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APIDOS CLO XVI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Collateral Manager CVC Credit Partners,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Gretchen Bergstresser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Gretchen Bergstresser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APIDOS CLO XVII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Collateral Manager CVC Credit Partners,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Gretchen Bergstresser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Gretchen Bergstresser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APIDOS CLO XVIII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Collateral Manager CVC Credit Partners,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Gretchen Bergstresser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Gretchen Bergstresser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APIDOS CLO XX</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Collateral Manager CVC Credit Partners,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Gretchen Bergstresser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Gretchen Bergstresser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DENALI CAPITAL CLO XI,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Crestline Denali Capital, L.P., collateral manager for</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DENALI CAPITAL CLO XI, LTD.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Kelli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Kelli Marti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Vibrant CLO IV,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DFG Investment Advisers, Inc., as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Roberta Goss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Kelli Marti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FIAM High Yield Bond Commingled Pool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Fidelity Institutional Asset</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Management Trust Company as</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Trustee, as a 2016 Replacement Term</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Censorio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Censorio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Fidelity Central Investment Portfolios</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LLC: Fidelity High Income Central</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Fund 1, 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Colm Hogan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Fidelity Central Investment Portfolios</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LLC: Fidelity Specialized High</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Income Central Fund, as a 2016</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Colm Hogan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Fidelity Income Fund: Fidelity Total</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Bond Fund, as a 2016 Replacement</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Colm Hogan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Fidelity Summer Street Trust: Fidelity</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Short Duration High Income Fund, as</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Colm Hogan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Fidelity Summer Street Trust: Fidelity</w:t>
      </w:r>
    </w:p>
    <w:p>
      <w:pPr>
        <w:spacing w:after="0" w:line="23" w:lineRule="exact"/>
        <w:rPr>
          <w:sz w:val="20"/>
          <w:szCs w:val="20"/>
          <w:color w:val="auto"/>
        </w:rPr>
      </w:pPr>
    </w:p>
    <w:p>
      <w:pPr>
        <w:jc w:val="right"/>
        <w:ind w:right="1580"/>
        <w:spacing w:after="0"/>
        <w:rPr>
          <w:sz w:val="20"/>
          <w:szCs w:val="20"/>
          <w:color w:val="auto"/>
        </w:rPr>
      </w:pPr>
      <w:r>
        <w:rPr>
          <w:rFonts w:ascii="Arial" w:cs="Arial" w:eastAsia="Arial" w:hAnsi="Arial"/>
          <w:sz w:val="18"/>
          <w:szCs w:val="18"/>
          <w:color w:val="auto"/>
        </w:rPr>
        <w:t>Focused High Income Fund, as a</w:t>
      </w:r>
    </w:p>
    <w:p>
      <w:pPr>
        <w:spacing w:after="0" w:line="9" w:lineRule="exact"/>
        <w:rPr>
          <w:sz w:val="20"/>
          <w:szCs w:val="20"/>
          <w:color w:val="auto"/>
        </w:rPr>
      </w:pPr>
    </w:p>
    <w:p>
      <w:pPr>
        <w:jc w:val="right"/>
        <w:ind w:right="1620"/>
        <w:spacing w:after="0"/>
        <w:rPr>
          <w:sz w:val="20"/>
          <w:szCs w:val="20"/>
          <w:color w:val="auto"/>
        </w:rPr>
      </w:pPr>
      <w:r>
        <w:rPr>
          <w:rFonts w:ascii="Arial" w:cs="Arial" w:eastAsia="Arial" w:hAnsi="Arial"/>
          <w:sz w:val="18"/>
          <w:szCs w:val="18"/>
          <w:color w:val="auto"/>
        </w:rPr>
        <w:t>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Colm Hogan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Colm Hogan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Adirondack Park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GSO / Blackstone Debt Funds Management LLC as</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Iannarone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Iannarone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Maps CLO Fund 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GSO / Blackstone Debt Funds Management LLC as</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Iannarone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Iannarone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Sheridan Square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GSO / Blackstone Debt Funds Management LLC as</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Iannarone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Thomas Iannarone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Halcyon Loan Advisors Funding 2013-1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Martino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Controller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Halcyon Loan Advisors Funding 2013-2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Martino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Controller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280" w:hanging="446"/>
        <w:spacing w:after="0" w:line="277"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Halcyon Loan Advisors Funding 2014-1,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Halcyon Loan Advisors 2014-1 LLC as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Martino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Controller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400"/>
          </w:cols>
          <w:pgMar w:left="240" w:top="274" w:right="25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280" w:hanging="446"/>
        <w:spacing w:after="0" w:line="277" w:lineRule="auto"/>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Halcyon Loan Advisors Funding 2014-2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Halcyon Loan Advisors 2014-2 LLC as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Martino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Controller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400"/>
          </w:cols>
          <w:pgMar w:left="240" w:top="274" w:right="25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Halcyon Loan Advisors Funding 2014-3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Halcyon Loan Advisors 2014-3 LLC as Collateral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Martino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Controller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Halcyon Loan Advisors Funding 2015-3,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Halcyon Loan Advisors 2015-3 LLC as Collateral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Martino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Controller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280" w:hanging="446"/>
        <w:spacing w:after="0" w:line="277"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380" w:hanging="446"/>
        <w:spacing w:after="0" w:line="277" w:lineRule="auto"/>
        <w:tabs>
          <w:tab w:leader="none" w:pos="9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Halcyon Loan Advisors Funding 2012-1,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Halcyon Loan Advisors 2012-1 LLC as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Martino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Controller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400"/>
          </w:cols>
          <w:pgMar w:left="240" w:top="274" w:right="25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300" w:hanging="446"/>
        <w:spacing w:after="0" w:line="277"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Halcyon Loan Advisors Funding 2012-2,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Halcyon Loan Advisors 2012-2 LLC as collateral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Martino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Controller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420"/>
          </w:cols>
          <w:pgMar w:left="240" w:top="274" w:right="239" w:bottom="1440" w:gutter="0" w:footer="0" w:header="0"/>
        </w:sectPr>
      </w:pPr>
    </w:p>
    <w:bookmarkStart w:id="240" w:name="page241"/>
    <w:bookmarkEnd w:id="2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Halcyon Loan Advisors Funding 2015-2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Martino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Controller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41" w:name="page242"/>
    <w:bookmarkEnd w:id="2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Halcyon Loan Advisors Funding 2015-1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Halcyon Loan Advisors 2015-1 LLC as Collateral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Martino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Controller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42" w:name="page243"/>
    <w:bookmarkEnd w:id="2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Highland Funds I, on behalf of its Series, Highland/ iBoxx</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Loan ETF</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Mitts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Mitts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Senior Fund Analyst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43" w:name="page244"/>
    <w:bookmarkEnd w:id="2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Industrial &amp; Commercial Bank of China Ltd.,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York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McKeon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McKeon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Executive Director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institutions requiring a second signature line: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Xinyue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Xinyue Guo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Assistant General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44" w:name="page245"/>
    <w:bookmarkEnd w:id="2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40" w:hanging="446"/>
        <w:spacing w:after="0" w:line="277"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Voce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Invesco Senior Secured Management, Inc. as Collateral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60"/>
          </w:cols>
          <w:pgMar w:left="240" w:top="274" w:right="49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20" w:hanging="446"/>
        <w:spacing w:after="0" w:line="277"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American Home Assurance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Invesco Senior Secured Management, Inc. as Investment</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240"/>
          </w:cols>
          <w:pgMar w:left="240" w:top="274" w:right="419" w:bottom="1440" w:gutter="0" w:footer="0" w:header="0"/>
        </w:sectPr>
      </w:pPr>
    </w:p>
    <w:bookmarkStart w:id="246" w:name="page247"/>
    <w:bookmarkEnd w:id="2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40" w:hanging="446"/>
        <w:spacing w:after="0" w:line="277"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Annisa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Invesco Senior Secured Management, Inc. as Collateral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60"/>
          </w:cols>
          <w:pgMar w:left="240" w:top="274" w:right="499" w:bottom="1440" w:gutter="0" w:footer="0" w:header="0"/>
        </w:sectPr>
      </w:pPr>
    </w:p>
    <w:bookmarkStart w:id="247" w:name="page248"/>
    <w:bookmarkEnd w:id="2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40" w:hanging="446"/>
        <w:spacing w:after="0" w:line="277" w:lineRule="auto"/>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Betony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Invesco Senior Secured Management, Inc. as Collateral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60"/>
          </w:cols>
          <w:pgMar w:left="240" w:top="274" w:right="499" w:bottom="1440" w:gutter="0" w:footer="0" w:header="0"/>
        </w:sectPr>
      </w:pPr>
    </w:p>
    <w:bookmarkStart w:id="248" w:name="page249"/>
    <w:bookmarkEnd w:id="2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40" w:hanging="446"/>
        <w:spacing w:after="0" w:line="277" w:lineRule="auto"/>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Blue Hill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Invesco Senior Secured Management, Inc. as Collateral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60"/>
          </w:cols>
          <w:pgMar w:left="240" w:top="274" w:right="49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60" w:hanging="446"/>
        <w:spacing w:after="0" w:line="277"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60" w:hanging="446"/>
        <w:spacing w:after="0" w:line="277" w:lineRule="auto"/>
        <w:tabs>
          <w:tab w:leader="none" w:pos="9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BOC Pension Investment Fund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Invesco Senior Secured Management, Inc. as Attorney in</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Fact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280"/>
          </w:cols>
          <w:pgMar w:left="240" w:top="274" w:right="379" w:bottom="1440" w:gutter="0" w:footer="0" w:header="0"/>
        </w:sectPr>
      </w:pPr>
    </w:p>
    <w:bookmarkStart w:id="250" w:name="page251"/>
    <w:bookmarkEnd w:id="2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20" w:hanging="446"/>
        <w:spacing w:after="0" w:line="277" w:lineRule="auto"/>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Invesco Bank Loan Fund A Series Trust of Multi Manager</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Investment Trust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Invesco Senior Secured Management, Inc. as Investment</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240"/>
          </w:cols>
          <w:pgMar w:left="240" w:top="274" w:right="419" w:bottom="1440" w:gutter="0" w:footer="0" w:header="0"/>
        </w:sectPr>
      </w:pPr>
    </w:p>
    <w:bookmarkStart w:id="251" w:name="page252"/>
    <w:bookmarkEnd w:id="2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20" w:hanging="446"/>
        <w:spacing w:after="0" w:line="277"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Invesco Bank Loan Fund Series 2 A Trust of Multi Manager</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Investment Trust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Invesco Senior Secured Management, Inc. as Investment</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240"/>
          </w:cols>
          <w:pgMar w:left="240" w:top="274" w:right="419" w:bottom="1440" w:gutter="0" w:footer="0" w:header="0"/>
        </w:sectPr>
      </w:pPr>
    </w:p>
    <w:bookmarkStart w:id="252" w:name="page253"/>
    <w:bookmarkEnd w:id="2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Invesco BL Fund,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Invesco Management S.A. As Investment Manager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53" w:name="page254"/>
    <w:bookmarkEnd w:id="2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260" w:hanging="446"/>
        <w:spacing w:after="0" w:line="277" w:lineRule="auto"/>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Invesco Floating Rate Fund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Invesco Senior Secured Management, Inc. as Sub-Adviser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80"/>
          </w:cols>
          <w:pgMar w:left="240" w:top="274" w:right="279" w:bottom="1440" w:gutter="0" w:footer="0" w:header="0"/>
        </w:sectPr>
      </w:pPr>
    </w:p>
    <w:bookmarkStart w:id="254" w:name="page255"/>
    <w:bookmarkEnd w:id="2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20" w:hanging="446"/>
        <w:spacing w:after="0" w:line="277" w:lineRule="auto"/>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20" w:hanging="446"/>
        <w:spacing w:after="0" w:line="277" w:lineRule="auto"/>
        <w:tabs>
          <w:tab w:leader="none" w:pos="9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Invesco Polaris US Bank Loan Fund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Invesco Senior Secured Management, Inc. as Investment</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240"/>
          </w:cols>
          <w:pgMar w:left="240" w:top="274" w:right="41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INVESCO SSL FUND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Senior Secured Management, Inc.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Lexington Insurance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Senior Secured Management, Inc.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Limerock CLO 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Senior Secured Management, Inc.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Limerock CLO III,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Senior Secured Management, Inc.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Linde Pension Plan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Senior Secured Management, Inc.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Marea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Senior Secured Management, Inc.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Medical Liability Mutual Insurance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Advisers, Inc. as Investment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Nomad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Secured Management, Inc.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North End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Secured Management, Inc.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Recette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Secured Management, Inc.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Collateral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Sentry Insurance a Mutual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Secured Management, Inc. as Sub-</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Advisor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City of New York Group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Secured Management, Inc.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260" w:hanging="446"/>
        <w:spacing w:after="0" w:line="277" w:lineRule="auto"/>
        <w:tabs>
          <w:tab w:leader="none" w:pos="9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United States Life Insurance Company In the City of New</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York</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Secured Management, Inc.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80"/>
          </w:cols>
          <w:pgMar w:left="240" w:top="274" w:right="27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Variable Annuity Life Insurance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Secured Management, Inc.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Wasatch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Invesco Secured Management, Inc. as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Portfolio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Kevin Egan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Individual</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KVK CLO 2013-1,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Cifonelli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Cifonelli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KVK CLO 2013-2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Cifonelli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Cifonelli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KVK CLO 2015-1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Cifonelli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David Cifonelli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LCM XIV Limited Partnership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LCM Asset Management LLC</w:t>
      </w:r>
    </w:p>
    <w:p>
      <w:pPr>
        <w:spacing w:after="0" w:line="23" w:lineRule="exact"/>
        <w:rPr>
          <w:sz w:val="20"/>
          <w:szCs w:val="20"/>
          <w:color w:val="auto"/>
        </w:rPr>
      </w:pPr>
    </w:p>
    <w:p>
      <w:pPr>
        <w:ind w:left="7180"/>
        <w:spacing w:after="0"/>
        <w:tabs>
          <w:tab w:leader="none" w:pos="10680" w:val="left"/>
        </w:tabs>
        <w:rPr>
          <w:sz w:val="20"/>
          <w:szCs w:val="20"/>
          <w:color w:val="auto"/>
        </w:rPr>
      </w:pPr>
      <w:r>
        <w:rPr>
          <w:rFonts w:ascii="Arial" w:cs="Arial" w:eastAsia="Arial" w:hAnsi="Arial"/>
          <w:sz w:val="18"/>
          <w:szCs w:val="18"/>
          <w:color w:val="auto"/>
        </w:rPr>
        <w:t>As Collateral Manager</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-19050</wp:posOffset>
            </wp:positionV>
            <wp:extent cx="224091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2240915"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as a 2016 Replacement Term Lender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Alexander B. 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Alexander B. Kenna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LCM Asset Management LLC</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LCM XV Limited Partnership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LCM Asset Management LLC</w:t>
      </w:r>
    </w:p>
    <w:p>
      <w:pPr>
        <w:spacing w:after="0" w:line="23" w:lineRule="exact"/>
        <w:rPr>
          <w:sz w:val="20"/>
          <w:szCs w:val="20"/>
          <w:color w:val="auto"/>
        </w:rPr>
      </w:pPr>
    </w:p>
    <w:p>
      <w:pPr>
        <w:ind w:left="7180"/>
        <w:spacing w:after="0"/>
        <w:tabs>
          <w:tab w:leader="none" w:pos="10680" w:val="left"/>
        </w:tabs>
        <w:rPr>
          <w:sz w:val="20"/>
          <w:szCs w:val="20"/>
          <w:color w:val="auto"/>
        </w:rPr>
      </w:pPr>
      <w:r>
        <w:rPr>
          <w:rFonts w:ascii="Arial" w:cs="Arial" w:eastAsia="Arial" w:hAnsi="Arial"/>
          <w:sz w:val="18"/>
          <w:szCs w:val="18"/>
          <w:color w:val="auto"/>
        </w:rPr>
        <w:t>As Collateral Manager</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4552950</wp:posOffset>
            </wp:positionH>
            <wp:positionV relativeFrom="paragraph">
              <wp:posOffset>-19050</wp:posOffset>
            </wp:positionV>
            <wp:extent cx="224091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240915"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as a 2016 Replacement Term Lender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Alexander B. 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Alexander B. Kenna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LCM Asset Management LLC</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LCM XVI Limited Partnership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LCM Asset Management LLC</w:t>
      </w:r>
    </w:p>
    <w:p>
      <w:pPr>
        <w:spacing w:after="0" w:line="23" w:lineRule="exact"/>
        <w:rPr>
          <w:sz w:val="20"/>
          <w:szCs w:val="20"/>
          <w:color w:val="auto"/>
        </w:rPr>
      </w:pPr>
    </w:p>
    <w:p>
      <w:pPr>
        <w:ind w:left="6860"/>
        <w:spacing w:after="0"/>
        <w:tabs>
          <w:tab w:leader="none" w:pos="10320" w:val="left"/>
        </w:tabs>
        <w:rPr>
          <w:sz w:val="20"/>
          <w:szCs w:val="20"/>
          <w:color w:val="auto"/>
        </w:rPr>
      </w:pPr>
      <w:r>
        <w:rPr>
          <w:rFonts w:ascii="Arial" w:cs="Arial" w:eastAsia="Arial" w:hAnsi="Arial"/>
          <w:sz w:val="18"/>
          <w:szCs w:val="18"/>
          <w:color w:val="auto"/>
        </w:rPr>
        <w:t>As Collateral Manager</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-19050</wp:posOffset>
            </wp:positionV>
            <wp:extent cx="221234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as a 2016 Replacement Term Lender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Alexander B. 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Alexander B. Kenna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LCM Asset Management LLC</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LCM XVII Limited Partnership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LCM Asset Management LLC</w:t>
      </w:r>
    </w:p>
    <w:p>
      <w:pPr>
        <w:spacing w:after="0" w:line="23" w:lineRule="exact"/>
        <w:rPr>
          <w:sz w:val="20"/>
          <w:szCs w:val="20"/>
          <w:color w:val="auto"/>
        </w:rPr>
      </w:pPr>
    </w:p>
    <w:p>
      <w:pPr>
        <w:ind w:left="6860"/>
        <w:spacing w:after="0"/>
        <w:tabs>
          <w:tab w:leader="none" w:pos="10280" w:val="left"/>
        </w:tabs>
        <w:rPr>
          <w:sz w:val="20"/>
          <w:szCs w:val="20"/>
          <w:color w:val="auto"/>
        </w:rPr>
      </w:pPr>
      <w:r>
        <w:rPr>
          <w:rFonts w:ascii="Arial" w:cs="Arial" w:eastAsia="Arial" w:hAnsi="Arial"/>
          <w:sz w:val="18"/>
          <w:szCs w:val="18"/>
          <w:color w:val="auto"/>
        </w:rPr>
        <w:t>As Collateral Manager</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-19050</wp:posOffset>
            </wp:positionV>
            <wp:extent cx="218376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183765"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as a 2016 Replacement Term Lender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Alexander B. 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Alexander B. Kenna</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LCM Asset Management LLC</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Shell Pension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Logan Circle Partners, LP as Investment Manager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Fullowan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Matthew Fullowan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Analyst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00" w:hanging="446"/>
        <w:spacing w:after="0" w:line="277" w:lineRule="auto"/>
        <w:tabs>
          <w:tab w:leader="none" w:pos="9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Stichting Bedrijfstakpensioenfonds voor het Beroepsvervoer</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over de Weg (LP-BL-VBL)</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Logan Circle Partners, LP as Investment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 Fullowan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Matthew Fullowan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Analyst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220"/>
          </w:cols>
          <w:pgMar w:left="240" w:top="274" w:right="4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Lord Abbett Investment Trust - Lord Abbett Floating Rate</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Fund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Lord Abbett &amp; Co LLC, As Investment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Jeffrey Lapin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Jeffrey Lapin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Portfolio Manager, Taxable Fixed Income</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Venture XI CLO,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its investment advisor, MJX Asset Management LLC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Ostmann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Kenneth Ostmann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VENTURE XII CLO,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investment advisor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MJX Asset Management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Ostmann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Kenneth Ostmann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VENTURE XIII CLO,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Investment Advisor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MJX Asset Management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Ostmann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Kenneth Ostmann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VENTURE XIV CLO,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investment advisor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MJX Asset Management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Ostmann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Kenneth Ostmann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VENTURE XIX CLO,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investment advisor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MJX Asset Management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Ostmann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Kenneth Ostmann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85" w:name="page286"/>
    <w:bookmarkEnd w:id="28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VENTURE XV CLO,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investment advisor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MJX Asset Management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Ostmann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Kenneth Ostmann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86" w:name="page287"/>
    <w:bookmarkEnd w:id="2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VENTURE XX CLO,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its investment advisor,</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MJX Asset Management LLC</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Ostmann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Kenneth Ostmann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240" w:hanging="446"/>
        <w:spacing w:after="0" w:line="277" w:lineRule="auto"/>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Maryland State Retirement and Pension System</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Neuberger Berman Investment Advisers LLC as collateral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Colin Donlan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60"/>
          </w:cols>
          <w:pgMar w:left="240" w:top="274" w:right="29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 Global Floating Rate Income Fund Limited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Colin Donlan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Neuberger Berman Strategic Income Fund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Colin Donlan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80" w:hanging="446"/>
        <w:spacing w:after="0" w:line="277" w:lineRule="auto"/>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Neuberger Berman CLO XVI,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Neuberger Berman Investment Advisers LLC as collateral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Colin Donlan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00"/>
          </w:cols>
          <w:pgMar w:left="240" w:top="274" w:right="35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80" w:hanging="446"/>
        <w:spacing w:after="0" w:line="277" w:lineRule="auto"/>
        <w:tabs>
          <w:tab w:leader="none" w:pos="9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Neuberger Berman CLO XVII,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Neuberger Berman Investment Advisers LLC as collateral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Colin Donlan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00"/>
          </w:cols>
          <w:pgMar w:left="240" w:top="274" w:right="359" w:bottom="1440" w:gutter="0" w:footer="0" w:header="0"/>
        </w:sectPr>
      </w:pPr>
    </w:p>
    <w:bookmarkStart w:id="292" w:name="page293"/>
    <w:bookmarkEnd w:id="29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80" w:hanging="446"/>
        <w:spacing w:after="0" w:line="277" w:lineRule="auto"/>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Neuberger Berman CLO XVIII,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Neuberger Berman Investment Advisers LLC as collateral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Colin Donlan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00"/>
          </w:cols>
          <w:pgMar w:left="240" w:top="274" w:right="359" w:bottom="1440" w:gutter="0" w:footer="0" w:header="0"/>
        </w:sectPr>
      </w:pPr>
    </w:p>
    <w:bookmarkStart w:id="293" w:name="page294"/>
    <w:bookmarkEnd w:id="29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Neuberger Berman - Floating Rate Income Fund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Colin Donlan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94" w:name="page295"/>
    <w:bookmarkEnd w:id="2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Neuberger Berman Investment Funds II Plc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Colin Donlan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95" w:name="page296"/>
    <w:bookmarkEnd w:id="2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Neuberger Berman Investment Funds II PLC - Neuberger</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Berman US/European Senior Floating Rate Income Fund</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Colin Donlan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96" w:name="page297"/>
    <w:bookmarkEnd w:id="29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20" w:hanging="446"/>
        <w:spacing w:after="0" w:line="277" w:lineRule="auto"/>
        <w:tabs>
          <w:tab w:leader="none" w:pos="9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20" w:hanging="446"/>
        <w:spacing w:after="0" w:line="277" w:lineRule="auto"/>
        <w:tabs>
          <w:tab w:leader="none" w:pos="90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Neuberger Berman Senior Floating Rate Income Fund LLC</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Colin Donlan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40"/>
          </w:cols>
          <w:pgMar w:left="240" w:top="274" w:right="519" w:bottom="1440" w:gutter="0" w:footer="0" w:header="0"/>
        </w:sectPr>
      </w:pPr>
    </w:p>
    <w:bookmarkStart w:id="297" w:name="page298"/>
    <w:bookmarkEnd w:id="2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00" w:hanging="446"/>
        <w:spacing w:after="0" w:line="277" w:lineRule="auto"/>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NJP Bank Loan Fund 2015 A Series Trust of Multi Manager</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Investment Trust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Colin Donlan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Colin Donlan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220"/>
          </w:cols>
          <w:pgMar w:left="240" w:top="274" w:right="439" w:bottom="1440" w:gutter="0" w:footer="0" w:header="0"/>
        </w:sectPr>
      </w:pPr>
    </w:p>
    <w:bookmarkStart w:id="298" w:name="page299"/>
    <w:bookmarkEnd w:id="2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Newfleet Multi-Sector Income ETF</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Kyle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Kyle Jennings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299" w:name="page300"/>
    <w:bookmarkEnd w:id="29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300" w:hanging="446"/>
        <w:spacing w:after="0" w:line="277"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SunAmerica Income Funds - SunAmerica Flexible Credit Fund</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Kyle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Kyle Jennings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420"/>
          </w:cols>
          <w:pgMar w:left="240" w:top="274" w:right="239" w:bottom="1440" w:gutter="0" w:footer="0" w:header="0"/>
        </w:sectPr>
      </w:pPr>
    </w:p>
    <w:bookmarkStart w:id="300" w:name="page301"/>
    <w:bookmarkEnd w:id="3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Virtus Multi-Sector Short Term Bond Fund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Kyle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Kyle Jennings</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NewMark Capital Funding 2013-1 CLO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NewMark Capital LLC, its Collateral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Mark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Mark Gold</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CEO</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02" w:name="page303"/>
    <w:bookmarkEnd w:id="3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300" w:hanging="446"/>
        <w:spacing w:after="0" w:line="277" w:lineRule="auto"/>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tbl>
      <w:tblPr>
        <w:tblLayout w:type="fixed"/>
        <w:tblInd w:w="2540"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NAME OF INSTITUTION</w:t>
            </w:r>
          </w:p>
        </w:tc>
        <w:tc>
          <w:tcPr>
            <w:tcW w:w="700" w:type="dxa"/>
            <w:vAlign w:val="bottom"/>
          </w:tcPr>
          <w:p>
            <w:pPr>
              <w:spacing w:after="0"/>
              <w:rPr>
                <w:sz w:val="20"/>
                <w:szCs w:val="20"/>
                <w:color w:val="auto"/>
              </w:rPr>
            </w:pPr>
          </w:p>
        </w:tc>
      </w:tr>
      <w:tr>
        <w:trPr>
          <w:trHeight w:val="392"/>
        </w:trPr>
        <w:tc>
          <w:tcPr>
            <w:tcW w:w="4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Northwest Bank</w:t>
            </w:r>
          </w:p>
        </w:tc>
        <w:tc>
          <w:tcPr>
            <w:tcW w:w="700" w:type="dxa"/>
            <w:vAlign w:val="bottom"/>
          </w:tcPr>
          <w:p>
            <w:pPr>
              <w:jc w:val="right"/>
              <w:ind w:right="550"/>
              <w:spacing w:after="0"/>
              <w:rPr>
                <w:sz w:val="20"/>
                <w:szCs w:val="20"/>
                <w:color w:val="auto"/>
              </w:rPr>
            </w:pPr>
            <w:r>
              <w:rPr>
                <w:rFonts w:ascii="Arial" w:cs="Arial" w:eastAsia="Arial" w:hAnsi="Arial"/>
                <w:sz w:val="18"/>
                <w:szCs w:val="18"/>
                <w:color w:val="auto"/>
                <w:w w:val="78"/>
              </w:rPr>
              <w:t>,</w:t>
            </w:r>
          </w:p>
        </w:tc>
      </w:tr>
      <w:tr>
        <w:trPr>
          <w:trHeight w:val="237"/>
        </w:trPr>
        <w:tc>
          <w:tcPr>
            <w:tcW w:w="4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tcPr>
          <w:p>
            <w:pPr>
              <w:ind w:left="80"/>
              <w:spacing w:after="0"/>
              <w:rPr>
                <w:sz w:val="20"/>
                <w:szCs w:val="20"/>
                <w:color w:val="auto"/>
              </w:rPr>
            </w:pPr>
            <w:r>
              <w:rPr>
                <w:rFonts w:ascii="Arial" w:cs="Arial" w:eastAsia="Arial" w:hAnsi="Arial"/>
                <w:sz w:val="18"/>
                <w:szCs w:val="18"/>
                <w:color w:val="auto"/>
              </w:rPr>
              <w:t>as a 2016 Replacement Term Lender</w:t>
            </w:r>
          </w:p>
        </w:tc>
        <w:tc>
          <w:tcPr>
            <w:tcW w:w="700" w:type="dxa"/>
            <w:vAlign w:val="bottom"/>
          </w:tcPr>
          <w:p>
            <w:pPr>
              <w:spacing w:after="0"/>
              <w:rPr>
                <w:sz w:val="20"/>
                <w:szCs w:val="20"/>
                <w:color w:val="auto"/>
              </w:rPr>
            </w:pPr>
          </w:p>
        </w:tc>
      </w:tr>
      <w:tr>
        <w:trPr>
          <w:trHeight w:val="432"/>
        </w:trPr>
        <w:tc>
          <w:tcPr>
            <w:tcW w:w="432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By: /s/ Tom Vander Ploeg</w:t>
            </w:r>
          </w:p>
        </w:tc>
        <w:tc>
          <w:tcPr>
            <w:tcW w:w="700" w:type="dxa"/>
            <w:vAlign w:val="bottom"/>
          </w:tcPr>
          <w:p>
            <w:pPr>
              <w:spacing w:after="0"/>
              <w:rPr>
                <w:sz w:val="24"/>
                <w:szCs w:val="24"/>
                <w:color w:val="auto"/>
              </w:rPr>
            </w:pPr>
          </w:p>
        </w:tc>
      </w:tr>
      <w:tr>
        <w:trPr>
          <w:trHeight w:val="209"/>
        </w:trPr>
        <w:tc>
          <w:tcPr>
            <w:tcW w:w="4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Tom Vander Ploeg</w:t>
            </w:r>
          </w:p>
        </w:tc>
        <w:tc>
          <w:tcPr>
            <w:tcW w:w="700" w:type="dxa"/>
            <w:vAlign w:val="bottom"/>
            <w:tcBorders>
              <w:top w:val="single" w:sz="8" w:color="auto"/>
            </w:tcBorders>
          </w:tcPr>
          <w:p>
            <w:pPr>
              <w:spacing w:after="0"/>
              <w:rPr>
                <w:sz w:val="18"/>
                <w:szCs w:val="18"/>
                <w:color w:val="auto"/>
              </w:rPr>
            </w:pPr>
          </w:p>
        </w:tc>
      </w:tr>
      <w:tr>
        <w:trPr>
          <w:trHeight w:val="230"/>
        </w:trPr>
        <w:tc>
          <w:tcPr>
            <w:tcW w:w="4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Title:   SVP, Chief Credit Officer</w:t>
            </w:r>
          </w:p>
        </w:tc>
        <w:tc>
          <w:tcPr>
            <w:tcW w:w="700" w:type="dxa"/>
            <w:vAlign w:val="bottom"/>
          </w:tcPr>
          <w:p>
            <w:pPr>
              <w:spacing w:after="0"/>
              <w:rPr>
                <w:sz w:val="20"/>
                <w:szCs w:val="20"/>
                <w:color w:val="auto"/>
              </w:rPr>
            </w:pPr>
          </w:p>
        </w:tc>
      </w:tr>
      <w:tr>
        <w:trPr>
          <w:trHeight w:val="365"/>
        </w:trPr>
        <w:tc>
          <w:tcPr>
            <w:tcW w:w="8180" w:type="dxa"/>
            <w:vAlign w:val="bottom"/>
            <w:gridSpan w:val="3"/>
          </w:tcPr>
          <w:p>
            <w:pPr>
              <w:spacing w:after="0"/>
              <w:rPr>
                <w:sz w:val="20"/>
                <w:szCs w:val="20"/>
                <w:color w:val="auto"/>
              </w:rPr>
            </w:pPr>
            <w:r>
              <w:rPr>
                <w:rFonts w:ascii="Arial" w:cs="Arial" w:eastAsia="Arial" w:hAnsi="Arial"/>
                <w:sz w:val="18"/>
                <w:szCs w:val="18"/>
                <w:color w:val="auto"/>
              </w:rPr>
              <w:t>[Second Amendment to Amended and Restated Credit and Guaranty Agreement (LHR)]</w:t>
            </w:r>
          </w:p>
        </w:tc>
        <w:tc>
          <w:tcPr>
            <w:tcW w:w="7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UNISUPER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Oak Hill Advisors, 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its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Glenn August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Glenn August</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US Bank N.A., solely as trustee of the DOLL Trust (for</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Qualified Institutional Investors only), (and not in its</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individual capacity)</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Octagon Credit Investors,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Portfolio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Kimberly Wong Lem</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Director of Portfolio Administration</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05" w:name="page306"/>
    <w:bookmarkEnd w:id="3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Octagon Delaware 2011</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Octagon Credit Investors,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Portfolio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Kimberly Wong Lem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Director of Portfolio Administration</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06" w:name="page307"/>
    <w:bookmarkEnd w:id="3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Octagon Investment Partners XVII,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Octagon Credit Investors,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Collateral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Kimberly Wong Lem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Director of Portfolio Administration</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Octagon Investment Partners XVIII,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Octagon Credit Investors, LLC</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as Collateral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Kimberly Wong Lem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Director of Portfolio Administration</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08" w:name="page309"/>
    <w:bookmarkEnd w:id="3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Octagon Investment Partners XV,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Octagon Credit Investors,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Collateral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Kimberly Wong Lem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Director of Portfolio Administration</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09" w:name="page310"/>
    <w:bookmarkEnd w:id="3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Octagon Investment Partners XXII,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Octagon Credit Investors, LLC</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as Collateral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Kimberly Wong Lem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Director of Portfolio Administration</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10" w:name="page311"/>
    <w:bookmarkEnd w:id="3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8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Octagon Investment Partners 26,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Octagon Credit Investors, LLC as Portfolio Manager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Kimberly Wong 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Kimberly Wong Lem</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Director of Portfolio Administration</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11" w:name="page312"/>
    <w:bookmarkEnd w:id="3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300" w:hanging="446"/>
        <w:spacing w:after="0" w:line="277" w:lineRule="auto"/>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OFSI Fund V, Ltd.</w:t>
      </w:r>
    </w:p>
    <w:p>
      <w:pPr>
        <w:spacing w:after="0" w:line="18" w:lineRule="exact"/>
        <w:rPr>
          <w:sz w:val="20"/>
          <w:szCs w:val="20"/>
          <w:color w:val="auto"/>
        </w:rPr>
      </w:pPr>
    </w:p>
    <w:tbl>
      <w:tblPr>
        <w:tblLayout w:type="fixed"/>
        <w:tblInd w:w="744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spacing w:after="0"/>
              <w:rPr>
                <w:sz w:val="20"/>
                <w:szCs w:val="20"/>
                <w:color w:val="auto"/>
              </w:rPr>
            </w:pPr>
            <w:r>
              <w:rPr>
                <w:rFonts w:ascii="Arial" w:cs="Arial" w:eastAsia="Arial" w:hAnsi="Arial"/>
                <w:sz w:val="18"/>
                <w:szCs w:val="18"/>
                <w:color w:val="auto"/>
              </w:rPr>
              <w:t>OFS Capital Management, LLC</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Its:</w:t>
            </w:r>
          </w:p>
        </w:tc>
        <w:tc>
          <w:tcPr>
            <w:tcW w:w="3380" w:type="dxa"/>
            <w:vAlign w:val="bottom"/>
          </w:tcPr>
          <w:p>
            <w:pPr>
              <w:spacing w:after="0"/>
              <w:rPr>
                <w:sz w:val="20"/>
                <w:szCs w:val="20"/>
                <w:color w:val="auto"/>
              </w:rPr>
            </w:pPr>
            <w:r>
              <w:rPr>
                <w:rFonts w:ascii="Arial" w:cs="Arial" w:eastAsia="Arial" w:hAnsi="Arial"/>
                <w:sz w:val="18"/>
                <w:szCs w:val="18"/>
                <w:color w:val="auto"/>
              </w:rPr>
              <w:t>Collateral Manager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C. Kelley</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380" w:type="dxa"/>
            <w:vAlign w:val="bottom"/>
          </w:tcPr>
          <w:p>
            <w:pPr>
              <w:spacing w:after="0"/>
              <w:rPr>
                <w:sz w:val="20"/>
                <w:szCs w:val="20"/>
                <w:color w:val="auto"/>
              </w:rPr>
            </w:pPr>
            <w:r>
              <w:rPr>
                <w:rFonts w:ascii="Arial" w:cs="Arial" w:eastAsia="Arial" w:hAnsi="Arial"/>
                <w:sz w:val="18"/>
                <w:szCs w:val="18"/>
                <w:color w:val="auto"/>
              </w:rPr>
              <w:t>Sean C. Kelley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420"/>
          </w:cols>
          <w:pgMar w:left="240" w:top="274" w:right="239" w:bottom="1440" w:gutter="0" w:footer="0" w:header="0"/>
        </w:sectPr>
      </w:pPr>
    </w:p>
    <w:bookmarkStart w:id="312" w:name="page313"/>
    <w:bookmarkEnd w:id="3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300" w:hanging="446"/>
        <w:spacing w:after="0" w:line="277" w:lineRule="auto"/>
        <w:tabs>
          <w:tab w:leader="none" w:pos="9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400" w:hanging="446"/>
        <w:spacing w:after="0" w:line="277" w:lineRule="auto"/>
        <w:tabs>
          <w:tab w:leader="none" w:pos="9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OZLM FUNDING IV, LTD., as a 2016 Replacement Lender</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Och-Ziff Loan Management L.P., its portfolio manager</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Och-Ziff Loan Management LLC, its general partner</w:t>
      </w:r>
    </w:p>
    <w:p>
      <w:pPr>
        <w:spacing w:after="0" w:line="9"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Frank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Joel Frank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420"/>
          </w:cols>
          <w:pgMar w:left="240" w:top="273" w:right="239" w:bottom="1440" w:gutter="0" w:footer="0" w:header="0"/>
        </w:sectPr>
      </w:pPr>
    </w:p>
    <w:bookmarkStart w:id="313" w:name="page314"/>
    <w:bookmarkEnd w:id="3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TRALEE CLO 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Par-Four Investment Management, LLC</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 Collateral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Gorczyca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Dennis Gorczyca</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PBI BANK,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C. Seiler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Joseph C. Seiler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Executive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15" w:name="page316"/>
    <w:bookmarkEnd w:id="3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Advocate Health Care Network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PineBridge Investments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Investment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Steven Oh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16" w:name="page317"/>
    <w:bookmarkEnd w:id="3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Arch Investment Holdings III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PineBridge Investments LLC As Collateral Manager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Steven Oh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17" w:name="page318"/>
    <w:bookmarkEnd w:id="3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Endurance Investment Holdings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PineBridge Investments LLC Its Investment Manager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Steven Oh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18" w:name="page319"/>
    <w:bookmarkEnd w:id="3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Galaxy XIX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PineBridge Investments LLC, as Collateral Manager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Steven Oh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19" w:name="page320"/>
    <w:bookmarkEnd w:id="3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Galaxy XVIII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PineBridge Investments LLC, as Collateral Manager</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Steven Oh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20" w:name="page321"/>
    <w:bookmarkEnd w:id="3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Galaxy XXI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PineBridge Investments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Collateral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Steven Oh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21" w:name="page322"/>
    <w:bookmarkEnd w:id="3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80" w:hanging="446"/>
        <w:spacing w:after="0" w:line="277" w:lineRule="auto"/>
        <w:tabs>
          <w:tab w:leader="none" w:pos="9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PBI Stable Loan Fund a series trust of MYL Investment Trust</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PineBridge Investments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Investment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Steven Oh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00"/>
          </w:cols>
          <w:pgMar w:left="240" w:top="274" w:right="359" w:bottom="1440" w:gutter="0" w:footer="0" w:header="0"/>
        </w:sectPr>
      </w:pPr>
    </w:p>
    <w:bookmarkStart w:id="322" w:name="page323"/>
    <w:bookmarkEnd w:id="3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Pinnacol Assurance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PineBridge Investments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Its Investment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Steven 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Steven Oh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Benefit Street Partners CLO V,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Todd Marsh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Todd Marsh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Signer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9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NAME OF INSTITUTION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RAYMOND JAMES BANK, N.A.</w:t>
      </w:r>
      <w:r>
        <w:rPr>
          <w:rFonts w:ascii="Arial" w:cs="Arial" w:eastAsia="Arial" w:hAnsi="Arial"/>
          <w:sz w:val="18"/>
          <w:szCs w:val="18"/>
          <w:color w:val="auto"/>
        </w:rPr>
        <w: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A. Ciccolini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Joseph A. Ciccolini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7"/>
          <w:szCs w:val="17"/>
          <w:color w:val="auto"/>
        </w:rPr>
        <w:t>Title:</w:t>
        <w:tab/>
        <w:t>Vice President – Senior Corporate Banker</w:t>
      </w:r>
    </w:p>
    <w:p>
      <w:pPr>
        <w:spacing w:after="0" w:line="155"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Mountain View CLO 2013-1 Ltd.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Seix Investment Advisors LLC, as Collateral 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George Goudelias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George Goudelias</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26" w:name="page327"/>
    <w:bookmarkEnd w:id="3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SOMERSET TRUST COMPANY,</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Parke Kreinbrook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Parke Kreinbrook</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AVP</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27" w:name="page328"/>
    <w:bookmarkEnd w:id="3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Sound Harbor Loan Fund 2014-1 Ltd.</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Sound Harbor Partners LLC, as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E. Bancroft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Thomas E. Bancroft</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Sound Point CLO VII,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Sound Point Capital Management, LP as Collateral</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Misha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Misha Shah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CLO Operations Associate</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Bighorn River Trading,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SunTrust Bank, as manager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Karen Weich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Karen Weich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Diversified Real Asset CIT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Menard,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Municipal Employees’ Annuity and Benefit Fund of</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Chicago</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33" w:name="page334"/>
    <w:bookmarkEnd w:id="3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Nomura Multi Managers Fund - Global Bond GBD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SYM Account</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Nuveen Floating Rate Income Fund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Nuveen Floating Rate Income Opportunity Fund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Nuveen Senior Income Fund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37" w:name="page338"/>
    <w:bookmarkEnd w:id="3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Nuveen Short Duration Credit Opportunities Fund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38" w:name="page339"/>
    <w:bookmarkEnd w:id="3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Funds Inc. - Diversified Real Asset Fund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39" w:name="page340"/>
    <w:bookmarkEnd w:id="3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SSF-1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40" w:name="page341"/>
    <w:bookmarkEnd w:id="3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Symphony Alternative Investment Funds SICAV-SIF -</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Symphony US Senior Loan Fund</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Symphony CLO XI Limited Partnership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42" w:name="page343"/>
    <w:bookmarkEnd w:id="3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Symphony CLO XII,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43" w:name="page344"/>
    <w:bookmarkEnd w:id="3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Symphony CLO XIV,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Symphony CLO XV,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45" w:name="page346"/>
    <w:bookmarkEnd w:id="3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Symphony Senior Loan Master Fund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Symphony Asset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Caraher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14605</wp:posOffset>
            </wp:positionV>
            <wp:extent cx="26670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Scott Caraher</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46" w:name="page347"/>
    <w:bookmarkEnd w:id="3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ACE American Insurance Company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T. Rowe Price Associates, Inc. as investment advisor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Rubin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47" w:name="page348"/>
    <w:bookmarkEnd w:id="3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180" w:hanging="446"/>
        <w:spacing w:after="0" w:line="277" w:lineRule="auto"/>
        <w:tabs>
          <w:tab w:leader="none" w:pos="9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Hancock Funds II - Spectrum Income Fund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T. Rowe Price Associates, Inc. as investment sub-advisor</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Brian Rubin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00"/>
          </w:cols>
          <w:pgMar w:left="240" w:top="273" w:right="35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TIAA CLO I,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TIAA-CREF SHORT TERM BOND FUND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TIAA STABLE VALUE</w:t>
      </w:r>
    </w:p>
    <w:p>
      <w:pPr>
        <w:spacing w:after="0" w:line="224" w:lineRule="exact"/>
        <w:rPr>
          <w:sz w:val="20"/>
          <w:szCs w:val="20"/>
          <w:color w:val="auto"/>
        </w:rPr>
      </w:pPr>
    </w:p>
    <w:p>
      <w:pPr>
        <w:jc w:val="right"/>
        <w:ind w:right="10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-10160</wp:posOffset>
            </wp:positionV>
            <wp:extent cx="202882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3" w:lineRule="exact"/>
        <w:rPr>
          <w:sz w:val="20"/>
          <w:szCs w:val="20"/>
          <w:color w:val="auto"/>
        </w:rPr>
      </w:pPr>
    </w:p>
    <w:p>
      <w:pPr>
        <w:jc w:val="right"/>
        <w:ind w:right="1020"/>
        <w:spacing w:after="0"/>
        <w:rPr>
          <w:sz w:val="20"/>
          <w:szCs w:val="20"/>
          <w:color w:val="auto"/>
        </w:rPr>
      </w:pPr>
      <w:r>
        <w:rPr>
          <w:rFonts w:ascii="Arial" w:cs="Arial" w:eastAsia="Arial" w:hAnsi="Arial"/>
          <w:sz w:val="18"/>
          <w:szCs w:val="18"/>
          <w:color w:val="auto"/>
        </w:rPr>
        <w:t>each as a 2016 Replacement Term Lender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Anders Persson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Anders Persson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Crown Point CLO II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D’Angelo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John D’Angelo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Sr.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50" w:name="page351"/>
    <w:bookmarkEnd w:id="3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Crown Point CLO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D’Angelo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John D’Angelo</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Sr. Portfolio Manager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240" w:hanging="446"/>
        <w:spacing w:after="0" w:line="277" w:lineRule="auto"/>
        <w:tabs>
          <w:tab w:leader="none" w:pos="9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340" w:hanging="446"/>
        <w:spacing w:after="0" w:line="277" w:lineRule="auto"/>
        <w:tabs>
          <w:tab w:leader="none" w:pos="90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NEW MEXICO STATE INVESTMENT COUNCIL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Voya Investment Management Co. LLC, as its investment</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Kelly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Kelly Byrne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VP</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60"/>
          </w:cols>
          <w:pgMar w:left="240" w:top="274" w:right="29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Voya CLO 2014-4,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Voya Alternative Asset Management LLC, as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manager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Kelly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Kelly Byrne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VP</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Voya CLO 2015-3, Ltd.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Voya Alternative Asset Management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its investment manager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Kelly 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Kelly Byrne</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VP</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54" w:name="page355"/>
    <w:bookmarkEnd w:id="35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Sun Life Assurance Company of Canada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Wellington Management Company LLP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its Investment Adviser</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Donna Sirianni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Donna Sirianni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55" w:name="page356"/>
    <w:bookmarkEnd w:id="3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Hartford Short Duration Fund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Wellington Management Company, LLP as its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Investment Adviser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Donna Sirianni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Donna Sirianni</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3" w:right="539" w:bottom="1440" w:gutter="0" w:footer="0" w:header="0"/>
        </w:sectPr>
      </w:pPr>
    </w:p>
    <w:bookmarkStart w:id="356" w:name="page357"/>
    <w:bookmarkEnd w:id="3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Jill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Jill Hamilton</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Wells Fargo Principal Lending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Sanjay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Sanjay Ray</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58" w:name="page359"/>
    <w:bookmarkEnd w:id="35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York CLO-1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Rizwan Akhter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Rizwan Akhter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hanging="446"/>
        <w:spacing w:after="0" w:line="277" w:lineRule="auto"/>
        <w:tabs>
          <w:tab w:leader="none" w:pos="9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100" w:hanging="446"/>
        <w:spacing w:after="0" w:line="277" w:lineRule="auto"/>
        <w:tabs>
          <w:tab w:leader="none" w:pos="90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York CLO-2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Rizwan Akhter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Rizwan Akhter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120"/>
          </w:cols>
          <w:pgMar w:left="240" w:top="274" w:right="53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its execution of this signature page, the undersigned hereby</w:t>
      </w:r>
    </w:p>
    <w:p>
      <w:pPr>
        <w:spacing w:after="0" w:line="131" w:lineRule="exact"/>
        <w:rPr>
          <w:sz w:val="20"/>
          <w:szCs w:val="20"/>
          <w:color w:val="auto"/>
        </w:rPr>
      </w:pPr>
    </w:p>
    <w:p>
      <w:pPr>
        <w:ind w:left="900" w:right="260" w:hanging="446"/>
        <w:spacing w:after="0" w:line="277" w:lineRule="auto"/>
        <w:tabs>
          <w:tab w:leader="none" w:pos="9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requests to convert the full principal amount of its Existing Term Loans into 2016 Replacement Term Loans pursuant to, and on the terms and conditions set forth in, this Second Amendment; and</w:t>
      </w:r>
    </w:p>
    <w:p>
      <w:pPr>
        <w:spacing w:after="0" w:line="75" w:lineRule="exact"/>
        <w:rPr>
          <w:rFonts w:ascii="Arial" w:cs="Arial" w:eastAsia="Arial" w:hAnsi="Arial"/>
          <w:sz w:val="18"/>
          <w:szCs w:val="18"/>
          <w:color w:val="auto"/>
        </w:rPr>
      </w:pPr>
    </w:p>
    <w:p>
      <w:pPr>
        <w:ind w:left="900" w:right="360" w:hanging="446"/>
        <w:spacing w:after="0" w:line="277" w:lineRule="auto"/>
        <w:tabs>
          <w:tab w:leader="none" w:pos="900" w:val="left"/>
        </w:tabs>
        <w:numPr>
          <w:ilvl w:val="0"/>
          <w:numId w:val="337"/>
        </w:numPr>
        <w:rPr>
          <w:rFonts w:ascii="Arial" w:cs="Arial" w:eastAsia="Arial" w:hAnsi="Arial"/>
          <w:sz w:val="18"/>
          <w:szCs w:val="18"/>
          <w:color w:val="auto"/>
        </w:rPr>
      </w:pPr>
      <w:r>
        <w:rPr>
          <w:rFonts w:ascii="Arial" w:cs="Arial" w:eastAsia="Arial" w:hAnsi="Arial"/>
          <w:sz w:val="18"/>
          <w:szCs w:val="18"/>
          <w:color w:val="auto"/>
        </w:rPr>
        <w:t>acknowledges and agrees that its 2016 Replacement Term Loan Commitment may be less than the full principal amount of its Existing Term Loans which it requests to convert hereunder.</w:t>
      </w:r>
    </w:p>
    <w:p>
      <w:pPr>
        <w:spacing w:after="0" w:line="10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INSTITUTION</w:t>
      </w:r>
    </w:p>
    <w:p>
      <w:pPr>
        <w:spacing w:after="0" w:line="225" w:lineRule="exact"/>
        <w:rPr>
          <w:sz w:val="20"/>
          <w:szCs w:val="20"/>
          <w:color w:val="auto"/>
        </w:rPr>
      </w:pPr>
    </w:p>
    <w:p>
      <w:pPr>
        <w:jc w:val="center"/>
        <w:ind w:left="5320"/>
        <w:spacing w:after="0"/>
        <w:rPr>
          <w:sz w:val="20"/>
          <w:szCs w:val="20"/>
          <w:color w:val="auto"/>
        </w:rPr>
      </w:pPr>
      <w:r>
        <w:rPr>
          <w:rFonts w:ascii="Arial" w:cs="Arial" w:eastAsia="Arial" w:hAnsi="Arial"/>
          <w:sz w:val="18"/>
          <w:szCs w:val="18"/>
          <w:color w:val="auto"/>
        </w:rPr>
        <w:t>Z Capital Credit Partners CLO 2015-1Ltd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center"/>
        <w:ind w:left="5300"/>
        <w:spacing w:after="0"/>
        <w:rPr>
          <w:sz w:val="20"/>
          <w:szCs w:val="20"/>
          <w:color w:val="auto"/>
        </w:rPr>
      </w:pPr>
      <w:r>
        <w:rPr>
          <w:rFonts w:ascii="Arial" w:cs="Arial" w:eastAsia="Arial" w:hAnsi="Arial"/>
          <w:sz w:val="18"/>
          <w:szCs w:val="18"/>
          <w:color w:val="auto"/>
        </w:rPr>
        <w:t>as a 2016 Replacement Term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Z Capital CLO Management L.L.C., its Portfolio Manager</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Z Capital Group, L.L.C., its Managing Member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James J. Zenni, Jr., its President and CEO</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James J. Zenni,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James J. Zenni, Jr.</w:t>
      </w:r>
    </w:p>
    <w:p>
      <w:pPr>
        <w:spacing w:after="0" w:line="23" w:lineRule="exact"/>
        <w:rPr>
          <w:sz w:val="20"/>
          <w:szCs w:val="20"/>
          <w:color w:val="auto"/>
        </w:rPr>
      </w:pPr>
    </w:p>
    <w:p>
      <w:pPr>
        <w:ind w:left="7180"/>
        <w:spacing w:after="0"/>
        <w:tabs>
          <w:tab w:leader="none" w:pos="7760" w:val="left"/>
        </w:tabs>
        <w:rPr>
          <w:sz w:val="20"/>
          <w:szCs w:val="20"/>
          <w:color w:val="auto"/>
        </w:rPr>
      </w:pPr>
      <w:r>
        <w:rPr>
          <w:rFonts w:ascii="Arial" w:cs="Arial" w:eastAsia="Arial" w:hAnsi="Arial"/>
          <w:sz w:val="18"/>
          <w:szCs w:val="18"/>
          <w:color w:val="auto"/>
        </w:rPr>
        <w:t>Title:</w:t>
        <w:tab/>
        <w:t>President &amp; CEO</w:t>
      </w:r>
    </w:p>
    <w:p>
      <w:pPr>
        <w:spacing w:after="0" w:line="143"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[Second Amendment to Amended and Restated Credit and Guaranty Agreement (LHR)]</w:t>
      </w:r>
    </w:p>
    <w:p>
      <w:pPr>
        <w:sectPr>
          <w:pgSz w:w="11900" w:h="16838" w:orient="portrait"/>
          <w:cols w:equalWidth="0" w:num="1">
            <w:col w:w="11380"/>
          </w:cols>
          <w:pgMar w:left="240" w:top="273" w:right="27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AGREEMENT NO.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No. 03735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Boeing Model 737 MAX Aircraft</w:t>
      </w:r>
    </w:p>
    <w:p>
      <w:pPr>
        <w:spacing w:after="0" w:line="22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This SUPPLEMENTAL AGREEMENT No. 5 (</w:t>
      </w:r>
      <w:r>
        <w:rPr>
          <w:rFonts w:ascii="Arial" w:cs="Arial" w:eastAsia="Arial" w:hAnsi="Arial"/>
          <w:sz w:val="18"/>
          <w:szCs w:val="18"/>
          <w:b w:val="1"/>
          <w:bCs w:val="1"/>
          <w:i w:val="1"/>
          <w:iCs w:val="1"/>
          <w:color w:val="auto"/>
        </w:rPr>
        <w:t>SA-5</w:t>
      </w:r>
      <w:r>
        <w:rPr>
          <w:rFonts w:ascii="Arial" w:cs="Arial" w:eastAsia="Arial" w:hAnsi="Arial"/>
          <w:sz w:val="18"/>
          <w:szCs w:val="18"/>
          <w:i w:val="1"/>
          <w:iCs w:val="1"/>
          <w:color w:val="auto"/>
        </w:rPr>
        <w:t>)</w:t>
      </w:r>
      <w:r>
        <w:rPr>
          <w:rFonts w:ascii="Arial" w:cs="Arial" w:eastAsia="Arial" w:hAnsi="Arial"/>
          <w:sz w:val="18"/>
          <w:szCs w:val="18"/>
          <w:color w:val="auto"/>
        </w:rPr>
        <w:t>, entered into as of August 8 , 2016 (</w:t>
      </w:r>
      <w:r>
        <w:rPr>
          <w:rFonts w:ascii="Arial" w:cs="Arial" w:eastAsia="Arial" w:hAnsi="Arial"/>
          <w:sz w:val="18"/>
          <w:szCs w:val="18"/>
          <w:b w:val="1"/>
          <w:bCs w:val="1"/>
          <w:i w:val="1"/>
          <w:iCs w:val="1"/>
          <w:color w:val="auto"/>
        </w:rPr>
        <w:t>SA-5 Effective Date</w:t>
      </w:r>
      <w:r>
        <w:rPr>
          <w:rFonts w:ascii="Arial" w:cs="Arial" w:eastAsia="Arial" w:hAnsi="Arial"/>
          <w:sz w:val="18"/>
          <w:szCs w:val="18"/>
          <w:color w:val="auto"/>
        </w:rPr>
        <w:t>), by and between THE BOEING COMPANY, a Delaware corporation with offices in Washington state (</w:t>
      </w:r>
      <w:r>
        <w:rPr>
          <w:rFonts w:ascii="Arial" w:cs="Arial" w:eastAsia="Arial" w:hAnsi="Arial"/>
          <w:sz w:val="18"/>
          <w:szCs w:val="18"/>
          <w:b w:val="1"/>
          <w:bCs w:val="1"/>
          <w:i w:val="1"/>
          <w:iCs w:val="1"/>
          <w:color w:val="auto"/>
        </w:rPr>
        <w:t>Boeing</w:t>
      </w:r>
      <w:r>
        <w:rPr>
          <w:rFonts w:ascii="Arial" w:cs="Arial" w:eastAsia="Arial" w:hAnsi="Arial"/>
          <w:sz w:val="18"/>
          <w:szCs w:val="18"/>
          <w:color w:val="auto"/>
        </w:rPr>
        <w:t>) and AMERICAN AIRLINES, INC. a Delaware corporation with offices in Fort Worth, Texas, together with its successors and permitted assigns (</w:t>
      </w:r>
      <w:r>
        <w:rPr>
          <w:rFonts w:ascii="Arial" w:cs="Arial" w:eastAsia="Arial" w:hAnsi="Arial"/>
          <w:sz w:val="18"/>
          <w:szCs w:val="18"/>
          <w:b w:val="1"/>
          <w:bCs w:val="1"/>
          <w:i w:val="1"/>
          <w:iCs w:val="1"/>
          <w:color w:val="auto"/>
        </w:rPr>
        <w:t>Customer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3996690</wp:posOffset>
            </wp:positionH>
            <wp:positionV relativeFrom="paragraph">
              <wp:posOffset>-312420</wp:posOffset>
            </wp:positionV>
            <wp:extent cx="5715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16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WHEREAS, Boeing and Customer entered into Purchase Agreement No. 03735 dated February 1, 2013 relating to Boeing Model 737 MAX Aircraft, as amended and supplemented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and capitalized terms used herein without definitions shall have the meanings specified therefore in such Purchase Agreement;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Customer and Boeing desire to add Letter Agreement AAL-PA-03735-LA-1600852 entitled “[*CTR]”;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Customer and Boeing desire to add Letter Agreement AAL-PA-03735-LA-1603773 entitled “[*CTR]”; and</w:t>
      </w:r>
    </w:p>
    <w:p>
      <w:pPr>
        <w:spacing w:after="0" w:line="158" w:lineRule="exact"/>
        <w:rPr>
          <w:sz w:val="20"/>
          <w:szCs w:val="20"/>
          <w:color w:val="auto"/>
        </w:rPr>
      </w:pPr>
    </w:p>
    <w:p>
      <w:pPr>
        <w:spacing w:after="0"/>
        <w:tabs>
          <w:tab w:leader="none" w:pos="10440" w:val="left"/>
        </w:tabs>
        <w:rPr>
          <w:sz w:val="20"/>
          <w:szCs w:val="20"/>
          <w:color w:val="auto"/>
        </w:rPr>
      </w:pPr>
      <w:r>
        <w:rPr>
          <w:rFonts w:ascii="Arial" w:cs="Arial" w:eastAsia="Arial" w:hAnsi="Arial"/>
          <w:sz w:val="18"/>
          <w:szCs w:val="18"/>
          <w:color w:val="auto"/>
        </w:rPr>
        <w:t>PA 03735</w:t>
      </w:r>
      <w:r>
        <w:rPr>
          <w:sz w:val="20"/>
          <w:szCs w:val="20"/>
          <w:color w:val="auto"/>
        </w:rPr>
        <w:tab/>
      </w:r>
      <w:r>
        <w:rPr>
          <w:rFonts w:ascii="Arial" w:cs="Arial" w:eastAsia="Arial" w:hAnsi="Arial"/>
          <w:sz w:val="16"/>
          <w:szCs w:val="16"/>
          <w:color w:val="auto"/>
        </w:rPr>
        <w:t>SA-5, Page 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362" w:name="page363"/>
    <w:bookmarkEnd w:id="36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the parties agree that the Purchase Agreement is amended as set forth below and otherwise agree as follows:</w:t>
      </w:r>
    </w:p>
    <w:p>
      <w:pPr>
        <w:spacing w:after="0" w:line="374" w:lineRule="exact"/>
        <w:rPr>
          <w:sz w:val="20"/>
          <w:szCs w:val="20"/>
          <w:color w:val="auto"/>
        </w:rPr>
      </w:pPr>
    </w:p>
    <w:p>
      <w:pPr>
        <w:ind w:left="460" w:hanging="452"/>
        <w:spacing w:after="0"/>
        <w:tabs>
          <w:tab w:leader="none" w:pos="46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Table of Contents</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Table Of Contents</w:t>
      </w:r>
      <w:r>
        <w:rPr>
          <w:rFonts w:ascii="Arial" w:cs="Arial" w:eastAsia="Arial" w:hAnsi="Arial"/>
          <w:sz w:val="18"/>
          <w:szCs w:val="18"/>
          <w:color w:val="auto"/>
        </w:rPr>
        <w:t>” to the Purchase Agreement referencing SA-4 in the footer is deleted in its entirety and is replaced with the new “</w:t>
      </w:r>
      <w:r>
        <w:rPr>
          <w:rFonts w:ascii="Arial" w:cs="Arial" w:eastAsia="Arial" w:hAnsi="Arial"/>
          <w:sz w:val="18"/>
          <w:szCs w:val="18"/>
          <w:u w:val="single" w:color="auto"/>
          <w:color w:val="auto"/>
        </w:rPr>
        <w:t>Table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Contents</w:t>
      </w:r>
      <w:r>
        <w:rPr>
          <w:rFonts w:ascii="Arial" w:cs="Arial" w:eastAsia="Arial" w:hAnsi="Arial"/>
          <w:sz w:val="18"/>
          <w:szCs w:val="18"/>
          <w:color w:val="auto"/>
        </w:rPr>
        <w:t>” (attached hereto) referencing SA-5 in the footer to reflect changes made to the Purchase Agreement by this SA-5. Such new Table of Contents is hereby incorporated into the Purchase Agreement in replacement of its predecessor.</w:t>
      </w:r>
    </w:p>
    <w:p>
      <w:pPr>
        <w:spacing w:after="0" w:line="330" w:lineRule="exact"/>
        <w:rPr>
          <w:sz w:val="20"/>
          <w:szCs w:val="20"/>
          <w:color w:val="auto"/>
        </w:rPr>
      </w:pPr>
    </w:p>
    <w:p>
      <w:pPr>
        <w:ind w:left="460" w:hanging="452"/>
        <w:spacing w:after="0"/>
        <w:tabs>
          <w:tab w:leader="none" w:pos="460"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Letter Agreement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4.1 Letter Agreement No. AAL-PA-03735-LA1600852 entitled “[*CTR]” is hereby incorporated into the Purchase Agreement (</w:t>
      </w:r>
      <w:r>
        <w:rPr>
          <w:rFonts w:ascii="Arial" w:cs="Arial" w:eastAsia="Arial" w:hAnsi="Arial"/>
          <w:sz w:val="16"/>
          <w:szCs w:val="16"/>
          <w:b w:val="1"/>
          <w:bCs w:val="1"/>
          <w:i w:val="1"/>
          <w:iCs w:val="1"/>
          <w:color w:val="auto"/>
        </w:rPr>
        <w:t>New Letter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1600852</w:t>
      </w:r>
      <w:r>
        <w:rPr>
          <w:rFonts w:ascii="Arial" w:cs="Arial" w:eastAsia="Arial" w:hAnsi="Arial"/>
          <w:sz w:val="18"/>
          <w:szCs w:val="18"/>
          <w:color w:val="auto"/>
        </w:rPr>
        <w: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4.2 Letter Agreement No. AAL-PA-03735-LA-1603773 entitled “[*CTR]” is hereby incorporated into the Purchase Agreement (</w:t>
      </w:r>
      <w:r>
        <w:rPr>
          <w:rFonts w:ascii="Arial" w:cs="Arial" w:eastAsia="Arial" w:hAnsi="Arial"/>
          <w:sz w:val="16"/>
          <w:szCs w:val="16"/>
          <w:b w:val="1"/>
          <w:bCs w:val="1"/>
          <w:i w:val="1"/>
          <w:iCs w:val="1"/>
          <w:color w:val="auto"/>
        </w:rPr>
        <w:t>New Letter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1603773</w:t>
      </w:r>
      <w:r>
        <w:rPr>
          <w:rFonts w:ascii="Arial" w:cs="Arial" w:eastAsia="Arial" w:hAnsi="Arial"/>
          <w:sz w:val="18"/>
          <w:szCs w:val="18"/>
          <w:color w:val="auto"/>
        </w:rPr>
        <w:t>).</w:t>
      </w:r>
    </w:p>
    <w:p>
      <w:pPr>
        <w:spacing w:after="0" w:line="359" w:lineRule="exact"/>
        <w:rPr>
          <w:sz w:val="20"/>
          <w:szCs w:val="20"/>
          <w:color w:val="auto"/>
        </w:rPr>
      </w:pPr>
    </w:p>
    <w:p>
      <w:pPr>
        <w:ind w:left="460" w:hanging="452"/>
        <w:spacing w:after="0"/>
        <w:tabs>
          <w:tab w:leader="none" w:pos="460"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3.1 The Purchase Agreement is amended as set forth above, by the revised Table of Contents, the New Letter Agreement 1600852, and the New Letter Agreement 1603773. All other terms and conditions of the Purchase Agreement remain unchanged and are in full force and effect.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[This space intentionally left blank]</w:t>
      </w:r>
    </w:p>
    <w:p>
      <w:pPr>
        <w:spacing w:after="0" w:line="158" w:lineRule="exact"/>
        <w:rPr>
          <w:sz w:val="20"/>
          <w:szCs w:val="20"/>
          <w:color w:val="auto"/>
        </w:rPr>
      </w:pPr>
    </w:p>
    <w:p>
      <w:pPr>
        <w:spacing w:after="0"/>
        <w:tabs>
          <w:tab w:leader="none" w:pos="10440" w:val="left"/>
        </w:tabs>
        <w:rPr>
          <w:sz w:val="20"/>
          <w:szCs w:val="20"/>
          <w:color w:val="auto"/>
        </w:rPr>
      </w:pPr>
      <w:r>
        <w:rPr>
          <w:rFonts w:ascii="Arial" w:cs="Arial" w:eastAsia="Arial" w:hAnsi="Arial"/>
          <w:sz w:val="18"/>
          <w:szCs w:val="18"/>
          <w:color w:val="auto"/>
        </w:rPr>
        <w:t>PA 03735</w:t>
      </w:r>
      <w:r>
        <w:rPr>
          <w:sz w:val="20"/>
          <w:szCs w:val="20"/>
          <w:color w:val="auto"/>
        </w:rPr>
        <w:tab/>
      </w:r>
      <w:r>
        <w:rPr>
          <w:rFonts w:ascii="Arial" w:cs="Arial" w:eastAsia="Arial" w:hAnsi="Arial"/>
          <w:sz w:val="16"/>
          <w:szCs w:val="16"/>
          <w:color w:val="auto"/>
        </w:rPr>
        <w:t>SA-5, Page 2</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AGREED AND ACCEPTED this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b w:val="1"/>
          <w:bCs w:val="1"/>
          <w:color w:val="auto"/>
        </w:rPr>
        <w:t>THE BOEING COMPANY</w:t>
      </w:r>
      <w:r>
        <w:rPr>
          <w:sz w:val="20"/>
          <w:szCs w:val="20"/>
          <w:color w:val="auto"/>
        </w:rPr>
        <w:tab/>
      </w:r>
      <w:r>
        <w:rPr>
          <w:rFonts w:ascii="Arial" w:cs="Arial" w:eastAsia="Arial" w:hAnsi="Arial"/>
          <w:sz w:val="18"/>
          <w:szCs w:val="18"/>
          <w:b w:val="1"/>
          <w:bCs w:val="1"/>
          <w:color w:val="auto"/>
        </w:rPr>
        <w:t>AMERICAN AIRLINES, INC.</w:t>
      </w:r>
    </w:p>
    <w:p>
      <w:pPr>
        <w:sectPr>
          <w:pgSz w:w="11900" w:h="16838" w:orient="portrait"/>
          <w:cols w:equalWidth="0" w:num="1">
            <w:col w:w="11420"/>
          </w:cols>
          <w:pgMar w:left="240" w:top="27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41312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PA 03735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40487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SA-5, Page 3</w:t>
      </w:r>
    </w:p>
    <w:p>
      <w:pPr>
        <w:spacing w:after="0" w:line="113"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7"/>
          <w:szCs w:val="17"/>
          <w:b w:val="1"/>
          <w:bCs w:val="1"/>
          <w:color w:val="auto"/>
        </w:rPr>
        <w:t>BOEING PROPRIETARY</w:t>
      </w:r>
    </w:p>
    <w:p>
      <w:pPr>
        <w:sectPr>
          <w:pgSz w:w="11900" w:h="16838" w:orient="portrait"/>
          <w:cols w:equalWidth="0" w:num="1">
            <w:col w:w="11420"/>
          </w:cols>
          <w:pgMar w:left="240" w:top="274" w:right="239" w:bottom="1440" w:gutter="0" w:footer="0" w:header="0"/>
          <w:type w:val="continuous"/>
        </w:sectPr>
      </w:pPr>
    </w:p>
    <w:bookmarkStart w:id="364" w:name="page365"/>
    <w:bookmarkEnd w:id="364"/>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80" w:type="dxa"/>
            <w:vAlign w:val="bottom"/>
          </w:tcPr>
          <w:p>
            <w:pPr>
              <w:ind w:left="236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SA</w:t>
            </w:r>
          </w:p>
        </w:tc>
        <w:tc>
          <w:tcPr>
            <w:tcW w:w="0" w:type="dxa"/>
            <w:vAlign w:val="bottom"/>
          </w:tcPr>
          <w:p>
            <w:pPr>
              <w:spacing w:after="0"/>
              <w:rPr>
                <w:sz w:val="1"/>
                <w:szCs w:val="1"/>
                <w:color w:val="auto"/>
              </w:rPr>
            </w:pPr>
          </w:p>
        </w:tc>
      </w:tr>
      <w:tr>
        <w:trPr>
          <w:trHeight w:val="171"/>
        </w:trPr>
        <w:tc>
          <w:tcPr>
            <w:tcW w:w="22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ARTICLES</w:t>
            </w:r>
          </w:p>
        </w:tc>
        <w:tc>
          <w:tcPr>
            <w:tcW w:w="18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56"/>
        </w:trPr>
        <w:tc>
          <w:tcPr>
            <w:tcW w:w="222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828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Article 1.</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Quantity, Model and Description</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Article 2.</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Delivery Schedule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Article 3.</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Price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Article 4.</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Payment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Article 5.</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Additional Terms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Article 6.</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Confidentiality</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220" w:type="dxa"/>
            <w:vAlign w:val="bottom"/>
            <w:gridSpan w:val="4"/>
          </w:tcPr>
          <w:p>
            <w:pPr>
              <w:spacing w:after="0"/>
              <w:rPr>
                <w:sz w:val="20"/>
                <w:szCs w:val="20"/>
                <w:color w:val="auto"/>
              </w:rPr>
            </w:pPr>
            <w:r>
              <w:rPr>
                <w:rFonts w:ascii="Arial" w:cs="Arial" w:eastAsia="Arial" w:hAnsi="Arial"/>
                <w:sz w:val="18"/>
                <w:szCs w:val="18"/>
                <w:b w:val="1"/>
                <w:bCs w:val="1"/>
                <w:color w:val="auto"/>
              </w:rPr>
              <w:t>TABLE</w:t>
            </w:r>
          </w:p>
        </w:tc>
        <w:tc>
          <w:tcPr>
            <w:tcW w:w="1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1R2.</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Aircraft Information Table</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84"/>
        </w:trPr>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EXHIBITS</w:t>
            </w:r>
          </w:p>
        </w:tc>
        <w:tc>
          <w:tcPr>
            <w:tcW w:w="13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A.</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Aircraft Configuration</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B.</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Aircraft Delivery Requirements and Responsibilities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C.</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Definitions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4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SUPPLEMENTAL EXHIBITS</w:t>
            </w:r>
          </w:p>
        </w:tc>
        <w:tc>
          <w:tcPr>
            <w:tcW w:w="8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AE1.</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BFE1.</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BFE Variables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CS1R1.</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Customer Support Variables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EE1.</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gridSpan w:val="4"/>
          </w:tcPr>
          <w:p>
            <w:pPr>
              <w:ind w:left="360"/>
              <w:spacing w:after="0"/>
              <w:rPr>
                <w:sz w:val="20"/>
                <w:szCs w:val="20"/>
                <w:color w:val="auto"/>
              </w:rPr>
            </w:pPr>
            <w:r>
              <w:rPr>
                <w:rFonts w:ascii="Arial" w:cs="Arial" w:eastAsia="Arial" w:hAnsi="Arial"/>
                <w:sz w:val="18"/>
                <w:szCs w:val="18"/>
                <w:color w:val="auto"/>
              </w:rPr>
              <w:t>SLP1.</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220" w:type="dxa"/>
            <w:vAlign w:val="bottom"/>
            <w:gridSpan w:val="4"/>
          </w:tcPr>
          <w:p>
            <w:pPr>
              <w:spacing w:after="0"/>
              <w:rPr>
                <w:sz w:val="20"/>
                <w:szCs w:val="20"/>
                <w:color w:val="auto"/>
              </w:rPr>
            </w:pPr>
            <w:r>
              <w:rPr>
                <w:rFonts w:ascii="Arial" w:cs="Arial" w:eastAsia="Arial" w:hAnsi="Arial"/>
                <w:sz w:val="18"/>
                <w:szCs w:val="18"/>
                <w:b w:val="1"/>
                <w:bCs w:val="1"/>
                <w:color w:val="auto"/>
              </w:rPr>
              <w:t>LETTER AGREEMENTS</w:t>
            </w:r>
          </w:p>
        </w:tc>
        <w:tc>
          <w:tcPr>
            <w:tcW w:w="1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LA-1106648</w:t>
            </w:r>
          </w:p>
        </w:tc>
        <w:tc>
          <w:tcPr>
            <w:tcW w:w="160" w:type="dxa"/>
            <w:vAlign w:val="bottom"/>
          </w:tcPr>
          <w:p>
            <w:pPr>
              <w:spacing w:after="0"/>
              <w:rPr>
                <w:sz w:val="24"/>
                <w:szCs w:val="24"/>
                <w:color w:val="auto"/>
              </w:rPr>
            </w:pP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Special Matters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spacing w:after="0"/>
              <w:rPr>
                <w:sz w:val="20"/>
                <w:szCs w:val="20"/>
                <w:color w:val="auto"/>
              </w:rPr>
            </w:pPr>
            <w:r>
              <w:rPr>
                <w:rFonts w:ascii="Arial" w:cs="Arial" w:eastAsia="Arial" w:hAnsi="Arial"/>
                <w:sz w:val="18"/>
                <w:szCs w:val="18"/>
                <w:color w:val="auto"/>
              </w:rPr>
              <w:t>LA-1106649</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spacing w:after="0"/>
              <w:rPr>
                <w:sz w:val="20"/>
                <w:szCs w:val="20"/>
                <w:color w:val="auto"/>
              </w:rPr>
            </w:pPr>
            <w:r>
              <w:rPr>
                <w:rFonts w:ascii="Arial" w:cs="Arial" w:eastAsia="Arial" w:hAnsi="Arial"/>
                <w:sz w:val="18"/>
                <w:szCs w:val="18"/>
                <w:color w:val="auto"/>
              </w:rPr>
              <w:t>LA-1106650R2</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220" w:type="dxa"/>
            <w:vAlign w:val="bottom"/>
            <w:gridSpan w:val="4"/>
          </w:tcPr>
          <w:p>
            <w:pPr>
              <w:spacing w:after="0"/>
              <w:rPr>
                <w:sz w:val="20"/>
                <w:szCs w:val="20"/>
                <w:color w:val="auto"/>
              </w:rPr>
            </w:pPr>
            <w:r>
              <w:rPr>
                <w:rFonts w:ascii="Arial" w:cs="Arial" w:eastAsia="Arial" w:hAnsi="Arial"/>
                <w:sz w:val="18"/>
                <w:szCs w:val="18"/>
                <w:color w:val="auto"/>
              </w:rPr>
              <w:t>LA-1106651</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spacing w:after="0"/>
              <w:rPr>
                <w:sz w:val="20"/>
                <w:szCs w:val="20"/>
                <w:color w:val="auto"/>
              </w:rPr>
            </w:pPr>
            <w:r>
              <w:rPr>
                <w:rFonts w:ascii="Arial" w:cs="Arial" w:eastAsia="Arial" w:hAnsi="Arial"/>
                <w:sz w:val="18"/>
                <w:szCs w:val="18"/>
                <w:color w:val="auto"/>
              </w:rPr>
              <w:t>LA-1106652</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Aircraft Model Substitution</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spacing w:after="0"/>
              <w:rPr>
                <w:sz w:val="20"/>
                <w:szCs w:val="20"/>
                <w:color w:val="auto"/>
              </w:rPr>
            </w:pPr>
            <w:r>
              <w:rPr>
                <w:rFonts w:ascii="Arial" w:cs="Arial" w:eastAsia="Arial" w:hAnsi="Arial"/>
                <w:sz w:val="18"/>
                <w:szCs w:val="18"/>
                <w:color w:val="auto"/>
              </w:rPr>
              <w:t>LA-1106654</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AGTA Terms Revisions for MAX</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spacing w:after="0"/>
              <w:rPr>
                <w:sz w:val="20"/>
                <w:szCs w:val="20"/>
                <w:color w:val="auto"/>
              </w:rPr>
            </w:pPr>
            <w:r>
              <w:rPr>
                <w:rFonts w:ascii="Arial" w:cs="Arial" w:eastAsia="Arial" w:hAnsi="Arial"/>
                <w:sz w:val="18"/>
                <w:szCs w:val="18"/>
                <w:color w:val="auto"/>
              </w:rPr>
              <w:t>LA-1106655</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Open Matters – 737 MAX</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spacing w:after="0"/>
              <w:rPr>
                <w:sz w:val="20"/>
                <w:szCs w:val="20"/>
                <w:color w:val="auto"/>
              </w:rPr>
            </w:pPr>
            <w:r>
              <w:rPr>
                <w:rFonts w:ascii="Arial" w:cs="Arial" w:eastAsia="Arial" w:hAnsi="Arial"/>
                <w:sz w:val="18"/>
                <w:szCs w:val="18"/>
                <w:color w:val="auto"/>
              </w:rPr>
              <w:t>LA-1106656R1</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220" w:type="dxa"/>
            <w:vAlign w:val="bottom"/>
            <w:gridSpan w:val="4"/>
          </w:tcPr>
          <w:p>
            <w:pPr>
              <w:spacing w:after="0"/>
              <w:rPr>
                <w:sz w:val="20"/>
                <w:szCs w:val="20"/>
                <w:color w:val="auto"/>
              </w:rPr>
            </w:pPr>
            <w:r>
              <w:rPr>
                <w:rFonts w:ascii="Arial" w:cs="Arial" w:eastAsia="Arial" w:hAnsi="Arial"/>
                <w:sz w:val="18"/>
                <w:szCs w:val="18"/>
                <w:color w:val="auto"/>
              </w:rPr>
              <w:t>LA-1106657R1</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220" w:type="dxa"/>
            <w:vAlign w:val="bottom"/>
            <w:gridSpan w:val="4"/>
          </w:tcPr>
          <w:p>
            <w:pPr>
              <w:spacing w:after="0"/>
              <w:rPr>
                <w:sz w:val="20"/>
                <w:szCs w:val="20"/>
                <w:color w:val="auto"/>
              </w:rPr>
            </w:pPr>
            <w:r>
              <w:rPr>
                <w:rFonts w:ascii="Arial" w:cs="Arial" w:eastAsia="Arial" w:hAnsi="Arial"/>
                <w:sz w:val="18"/>
                <w:szCs w:val="18"/>
                <w:color w:val="auto"/>
              </w:rPr>
              <w:t>LA-1106663 R1</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220" w:type="dxa"/>
            <w:vAlign w:val="bottom"/>
            <w:gridSpan w:val="4"/>
          </w:tcPr>
          <w:p>
            <w:pPr>
              <w:spacing w:after="0"/>
              <w:rPr>
                <w:sz w:val="20"/>
                <w:szCs w:val="20"/>
                <w:color w:val="auto"/>
              </w:rPr>
            </w:pPr>
            <w:r>
              <w:rPr>
                <w:rFonts w:ascii="Arial" w:cs="Arial" w:eastAsia="Arial" w:hAnsi="Arial"/>
                <w:sz w:val="18"/>
                <w:szCs w:val="18"/>
                <w:color w:val="auto"/>
              </w:rPr>
              <w:t>LA-1106664 R1</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220" w:type="dxa"/>
            <w:vAlign w:val="bottom"/>
            <w:gridSpan w:val="4"/>
          </w:tcPr>
          <w:p>
            <w:pPr>
              <w:spacing w:after="0"/>
              <w:rPr>
                <w:sz w:val="20"/>
                <w:szCs w:val="20"/>
                <w:color w:val="auto"/>
              </w:rPr>
            </w:pPr>
            <w:r>
              <w:rPr>
                <w:rFonts w:ascii="Arial" w:cs="Arial" w:eastAsia="Arial" w:hAnsi="Arial"/>
                <w:sz w:val="18"/>
                <w:szCs w:val="18"/>
                <w:color w:val="auto"/>
              </w:rPr>
              <w:t>LA-1106658</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gridSpan w:val="4"/>
          </w:tcPr>
          <w:p>
            <w:pPr>
              <w:spacing w:after="0"/>
              <w:rPr>
                <w:sz w:val="20"/>
                <w:szCs w:val="20"/>
                <w:color w:val="auto"/>
              </w:rPr>
            </w:pPr>
            <w:r>
              <w:rPr>
                <w:rFonts w:ascii="Arial" w:cs="Arial" w:eastAsia="Arial" w:hAnsi="Arial"/>
                <w:sz w:val="18"/>
                <w:szCs w:val="18"/>
                <w:color w:val="auto"/>
              </w:rPr>
              <w:t>LA-1106659R1</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[*CTR]</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220" w:type="dxa"/>
            <w:vAlign w:val="bottom"/>
            <w:gridSpan w:val="4"/>
          </w:tcPr>
          <w:p>
            <w:pPr>
              <w:spacing w:after="0"/>
              <w:rPr>
                <w:sz w:val="20"/>
                <w:szCs w:val="20"/>
                <w:color w:val="auto"/>
              </w:rPr>
            </w:pPr>
            <w:r>
              <w:rPr>
                <w:rFonts w:ascii="Arial" w:cs="Arial" w:eastAsia="Arial" w:hAnsi="Arial"/>
                <w:sz w:val="18"/>
                <w:szCs w:val="18"/>
                <w:color w:val="auto"/>
              </w:rPr>
              <w:t>LA-1106660</w:t>
            </w:r>
          </w:p>
        </w:tc>
        <w:tc>
          <w:tcPr>
            <w:tcW w:w="8460" w:type="dxa"/>
            <w:vAlign w:val="bottom"/>
            <w:gridSpan w:val="2"/>
          </w:tcPr>
          <w:p>
            <w:pPr>
              <w:ind w:left="160"/>
              <w:spacing w:after="0"/>
              <w:rPr>
                <w:sz w:val="20"/>
                <w:szCs w:val="20"/>
                <w:color w:val="auto"/>
              </w:rPr>
            </w:pPr>
            <w:r>
              <w:rPr>
                <w:rFonts w:ascii="Arial" w:cs="Arial" w:eastAsia="Arial" w:hAnsi="Arial"/>
                <w:sz w:val="18"/>
                <w:szCs w:val="18"/>
                <w:color w:val="auto"/>
              </w:rPr>
              <w:t>Spare Parts Initial Provisioning</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220" w:type="dxa"/>
            <w:vAlign w:val="bottom"/>
            <w:gridSpan w:val="4"/>
          </w:tcPr>
          <w:p>
            <w:pPr>
              <w:spacing w:after="0"/>
              <w:rPr>
                <w:sz w:val="20"/>
                <w:szCs w:val="20"/>
                <w:color w:val="auto"/>
              </w:rPr>
            </w:pPr>
            <w:r>
              <w:rPr>
                <w:rFonts w:ascii="Arial" w:cs="Arial" w:eastAsia="Arial" w:hAnsi="Arial"/>
                <w:sz w:val="18"/>
                <w:szCs w:val="18"/>
                <w:color w:val="auto"/>
              </w:rPr>
              <w:t>PA-03735</w:t>
            </w:r>
          </w:p>
        </w:tc>
        <w:tc>
          <w:tcPr>
            <w:tcW w:w="180" w:type="dxa"/>
            <w:vAlign w:val="bottom"/>
          </w:tcPr>
          <w:p>
            <w:pPr>
              <w:spacing w:after="0"/>
              <w:rPr>
                <w:sz w:val="24"/>
                <w:szCs w:val="24"/>
                <w:color w:val="auto"/>
              </w:rPr>
            </w:pPr>
          </w:p>
        </w:tc>
        <w:tc>
          <w:tcPr>
            <w:tcW w:w="8280" w:type="dxa"/>
            <w:vAlign w:val="bottom"/>
          </w:tcPr>
          <w:p>
            <w:pPr>
              <w:ind w:left="1500"/>
              <w:spacing w:after="0"/>
              <w:rPr>
                <w:sz w:val="20"/>
                <w:szCs w:val="20"/>
                <w:color w:val="auto"/>
              </w:rPr>
            </w:pPr>
            <w:r>
              <w:rPr>
                <w:rFonts w:ascii="Arial" w:cs="Arial" w:eastAsia="Arial" w:hAnsi="Arial"/>
                <w:sz w:val="18"/>
                <w:szCs w:val="18"/>
                <w:color w:val="auto"/>
              </w:rPr>
              <w:t>TABLE OF CONTENTS, Page 1 of 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SA-5</w:t>
            </w:r>
          </w:p>
        </w:tc>
        <w:tc>
          <w:tcPr>
            <w:tcW w:w="0" w:type="dxa"/>
            <w:vAlign w:val="bottom"/>
          </w:tcPr>
          <w:p>
            <w:pPr>
              <w:spacing w:after="0"/>
              <w:rPr>
                <w:sz w:val="1"/>
                <w:szCs w:val="1"/>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365" w:name="page366"/>
    <w:bookmarkEnd w:id="365"/>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760" w:type="dxa"/>
            <w:vAlign w:val="bottom"/>
          </w:tcPr>
          <w:p>
            <w:pPr>
              <w:ind w:left="1400"/>
              <w:spacing w:after="0"/>
              <w:rPr>
                <w:sz w:val="20"/>
                <w:szCs w:val="20"/>
                <w:color w:val="auto"/>
              </w:rPr>
            </w:pPr>
            <w:r>
              <w:rPr>
                <w:rFonts w:ascii="Arial" w:cs="Arial" w:eastAsia="Arial" w:hAnsi="Arial"/>
                <w:sz w:val="18"/>
                <w:szCs w:val="18"/>
                <w:b w:val="1"/>
                <w:bCs w:val="1"/>
                <w:color w:val="auto"/>
              </w:rPr>
              <w:t>TABLE OF CONTENTS, continued</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8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760" w:type="dxa"/>
            <w:vAlign w:val="bottom"/>
          </w:tcPr>
          <w:p>
            <w:pPr>
              <w:spacing w:after="0"/>
              <w:rPr>
                <w:sz w:val="23"/>
                <w:szCs w:val="23"/>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SA</w:t>
            </w:r>
          </w:p>
        </w:tc>
        <w:tc>
          <w:tcPr>
            <w:tcW w:w="0" w:type="dxa"/>
            <w:vAlign w:val="bottom"/>
          </w:tcPr>
          <w:p>
            <w:pPr>
              <w:spacing w:after="0"/>
              <w:rPr>
                <w:sz w:val="1"/>
                <w:szCs w:val="1"/>
                <w:color w:val="auto"/>
              </w:rPr>
            </w:pPr>
          </w:p>
        </w:tc>
      </w:tr>
      <w:tr>
        <w:trPr>
          <w:trHeight w:val="171"/>
        </w:trPr>
        <w:tc>
          <w:tcPr>
            <w:tcW w:w="292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LETTER AGREEMENTS, continued</w:t>
            </w:r>
          </w:p>
        </w:tc>
        <w:tc>
          <w:tcPr>
            <w:tcW w:w="7760" w:type="dxa"/>
            <w:vAlign w:val="bottom"/>
            <w:vMerge w:val="restart"/>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1"/>
        </w:trPr>
        <w:tc>
          <w:tcPr>
            <w:tcW w:w="2920" w:type="dxa"/>
            <w:vAlign w:val="bottom"/>
            <w:tcBorders>
              <w:bottom w:val="single" w:sz="8" w:color="auto"/>
            </w:tcBorders>
            <w:gridSpan w:val="2"/>
            <w:vMerge w:val="continue"/>
          </w:tcPr>
          <w:p>
            <w:pPr>
              <w:spacing w:after="0"/>
              <w:rPr>
                <w:sz w:val="13"/>
                <w:szCs w:val="13"/>
                <w:color w:val="auto"/>
              </w:rPr>
            </w:pPr>
          </w:p>
        </w:tc>
        <w:tc>
          <w:tcPr>
            <w:tcW w:w="77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1820" w:type="dxa"/>
            <w:vAlign w:val="bottom"/>
          </w:tcPr>
          <w:p>
            <w:pPr>
              <w:spacing w:after="0"/>
              <w:rPr>
                <w:sz w:val="20"/>
                <w:szCs w:val="20"/>
                <w:color w:val="auto"/>
              </w:rPr>
            </w:pPr>
            <w:r>
              <w:rPr>
                <w:rFonts w:ascii="Arial" w:cs="Arial" w:eastAsia="Arial" w:hAnsi="Arial"/>
                <w:sz w:val="18"/>
                <w:szCs w:val="18"/>
                <w:color w:val="auto"/>
              </w:rPr>
              <w:t>LA-1106661R2</w:t>
            </w:r>
          </w:p>
        </w:tc>
        <w:tc>
          <w:tcPr>
            <w:tcW w:w="8860" w:type="dxa"/>
            <w:vAlign w:val="bottom"/>
            <w:gridSpan w:val="2"/>
          </w:tcPr>
          <w:p>
            <w:pPr>
              <w:ind w:left="580"/>
              <w:spacing w:after="0"/>
              <w:rPr>
                <w:sz w:val="20"/>
                <w:szCs w:val="20"/>
                <w:color w:val="auto"/>
              </w:rPr>
            </w:pPr>
            <w:r>
              <w:rPr>
                <w:rFonts w:ascii="Arial" w:cs="Arial" w:eastAsia="Arial" w:hAnsi="Arial"/>
                <w:sz w:val="18"/>
                <w:szCs w:val="18"/>
                <w:color w:val="auto"/>
              </w:rPr>
              <w:t>[*CTR]</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LA-1106667</w:t>
            </w:r>
          </w:p>
        </w:tc>
        <w:tc>
          <w:tcPr>
            <w:tcW w:w="8860" w:type="dxa"/>
            <w:vAlign w:val="bottom"/>
            <w:gridSpan w:val="2"/>
          </w:tcPr>
          <w:p>
            <w:pPr>
              <w:ind w:left="58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LA-1106668</w:t>
            </w:r>
          </w:p>
        </w:tc>
        <w:tc>
          <w:tcPr>
            <w:tcW w:w="8860" w:type="dxa"/>
            <w:vAlign w:val="bottom"/>
            <w:gridSpan w:val="2"/>
          </w:tcPr>
          <w:p>
            <w:pPr>
              <w:ind w:left="58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LA-1106669</w:t>
            </w:r>
          </w:p>
        </w:tc>
        <w:tc>
          <w:tcPr>
            <w:tcW w:w="8860" w:type="dxa"/>
            <w:vAlign w:val="bottom"/>
            <w:gridSpan w:val="2"/>
          </w:tcPr>
          <w:p>
            <w:pPr>
              <w:ind w:left="58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LA-1106670</w:t>
            </w:r>
          </w:p>
        </w:tc>
        <w:tc>
          <w:tcPr>
            <w:tcW w:w="8860" w:type="dxa"/>
            <w:vAlign w:val="bottom"/>
            <w:gridSpan w:val="2"/>
          </w:tcPr>
          <w:p>
            <w:pPr>
              <w:ind w:left="580"/>
              <w:spacing w:after="0"/>
              <w:rPr>
                <w:sz w:val="20"/>
                <w:szCs w:val="20"/>
                <w:color w:val="auto"/>
              </w:rPr>
            </w:pPr>
            <w:r>
              <w:rPr>
                <w:rFonts w:ascii="Arial" w:cs="Arial" w:eastAsia="Arial" w:hAnsi="Arial"/>
                <w:sz w:val="18"/>
                <w:szCs w:val="18"/>
                <w:color w:val="auto"/>
              </w:rPr>
              <w:t>Confidentiality</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LA-1106671R1</w:t>
            </w:r>
          </w:p>
        </w:tc>
        <w:tc>
          <w:tcPr>
            <w:tcW w:w="8860" w:type="dxa"/>
            <w:vAlign w:val="bottom"/>
            <w:gridSpan w:val="2"/>
          </w:tcPr>
          <w:p>
            <w:pPr>
              <w:ind w:left="580"/>
              <w:spacing w:after="0"/>
              <w:rPr>
                <w:sz w:val="20"/>
                <w:szCs w:val="20"/>
                <w:color w:val="auto"/>
              </w:rPr>
            </w:pPr>
            <w:r>
              <w:rPr>
                <w:rFonts w:ascii="Arial" w:cs="Arial" w:eastAsia="Arial" w:hAnsi="Arial"/>
                <w:sz w:val="18"/>
                <w:szCs w:val="18"/>
                <w:color w:val="auto"/>
              </w:rPr>
              <w:t>Miscellaneous Commitments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LA-1106672</w:t>
            </w:r>
          </w:p>
        </w:tc>
        <w:tc>
          <w:tcPr>
            <w:tcW w:w="8860" w:type="dxa"/>
            <w:vAlign w:val="bottom"/>
            <w:gridSpan w:val="2"/>
          </w:tcPr>
          <w:p>
            <w:pPr>
              <w:ind w:left="58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LA-1106673R1*</w:t>
            </w:r>
          </w:p>
        </w:tc>
        <w:tc>
          <w:tcPr>
            <w:tcW w:w="8860" w:type="dxa"/>
            <w:vAlign w:val="bottom"/>
            <w:gridSpan w:val="2"/>
          </w:tcPr>
          <w:p>
            <w:pPr>
              <w:ind w:left="580"/>
              <w:spacing w:after="0"/>
              <w:rPr>
                <w:sz w:val="20"/>
                <w:szCs w:val="20"/>
                <w:color w:val="auto"/>
              </w:rPr>
            </w:pPr>
            <w:r>
              <w:rPr>
                <w:rFonts w:ascii="Arial" w:cs="Arial" w:eastAsia="Arial" w:hAnsi="Arial"/>
                <w:sz w:val="18"/>
                <w:szCs w:val="18"/>
                <w:color w:val="auto"/>
              </w:rPr>
              <w:t>CS1 Special Matters</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LA-1106677</w:t>
            </w:r>
          </w:p>
        </w:tc>
        <w:tc>
          <w:tcPr>
            <w:tcW w:w="8860" w:type="dxa"/>
            <w:vAlign w:val="bottom"/>
            <w:gridSpan w:val="2"/>
          </w:tcPr>
          <w:p>
            <w:pPr>
              <w:ind w:left="580"/>
              <w:spacing w:after="0"/>
              <w:rPr>
                <w:sz w:val="20"/>
                <w:szCs w:val="20"/>
                <w:color w:val="auto"/>
              </w:rPr>
            </w:pPr>
            <w:r>
              <w:rPr>
                <w:rFonts w:ascii="Arial" w:cs="Arial" w:eastAsia="Arial" w:hAnsi="Arial"/>
                <w:sz w:val="18"/>
                <w:szCs w:val="18"/>
                <w:color w:val="auto"/>
              </w:rPr>
              <w:t>[*CTR]</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LA-1600073</w:t>
            </w:r>
          </w:p>
        </w:tc>
        <w:tc>
          <w:tcPr>
            <w:tcW w:w="8860" w:type="dxa"/>
            <w:vAlign w:val="bottom"/>
            <w:gridSpan w:val="2"/>
          </w:tcPr>
          <w:p>
            <w:pPr>
              <w:ind w:left="580"/>
              <w:spacing w:after="0"/>
              <w:rPr>
                <w:sz w:val="20"/>
                <w:szCs w:val="20"/>
                <w:color w:val="auto"/>
              </w:rPr>
            </w:pPr>
            <w:r>
              <w:rPr>
                <w:rFonts w:ascii="Arial" w:cs="Arial" w:eastAsia="Arial" w:hAnsi="Arial"/>
                <w:sz w:val="18"/>
                <w:szCs w:val="18"/>
                <w:color w:val="auto"/>
              </w:rPr>
              <w:t>[*CTR]</w:t>
            </w: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6"/>
        </w:trPr>
        <w:tc>
          <w:tcPr>
            <w:tcW w:w="1820" w:type="dxa"/>
            <w:vAlign w:val="bottom"/>
          </w:tcPr>
          <w:p>
            <w:pPr>
              <w:spacing w:after="0"/>
              <w:rPr>
                <w:sz w:val="20"/>
                <w:szCs w:val="20"/>
                <w:color w:val="auto"/>
              </w:rPr>
            </w:pPr>
            <w:r>
              <w:rPr>
                <w:rFonts w:ascii="Arial" w:cs="Arial" w:eastAsia="Arial" w:hAnsi="Arial"/>
                <w:sz w:val="18"/>
                <w:szCs w:val="18"/>
                <w:b w:val="1"/>
                <w:bCs w:val="1"/>
                <w:color w:val="auto"/>
              </w:rPr>
              <w:t>LA-1600852</w:t>
            </w:r>
          </w:p>
        </w:tc>
        <w:tc>
          <w:tcPr>
            <w:tcW w:w="8860" w:type="dxa"/>
            <w:vAlign w:val="bottom"/>
            <w:gridSpan w:val="2"/>
          </w:tcPr>
          <w:p>
            <w:pPr>
              <w:ind w:left="580"/>
              <w:spacing w:after="0"/>
              <w:rPr>
                <w:sz w:val="20"/>
                <w:szCs w:val="20"/>
                <w:color w:val="auto"/>
              </w:rPr>
            </w:pPr>
            <w:r>
              <w:rPr>
                <w:rFonts w:ascii="Arial" w:cs="Arial" w:eastAsia="Arial" w:hAnsi="Arial"/>
                <w:sz w:val="18"/>
                <w:szCs w:val="18"/>
                <w:color w:val="auto"/>
              </w:rPr>
              <w:t>[*CTR]</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r>
              <w:rPr>
                <w:rFonts w:ascii="Arial" w:cs="Arial" w:eastAsia="Arial" w:hAnsi="Arial"/>
                <w:sz w:val="18"/>
                <w:szCs w:val="18"/>
                <w:b w:val="1"/>
                <w:bCs w:val="1"/>
                <w:color w:val="auto"/>
              </w:rPr>
              <w:t>LA-1603773</w:t>
            </w:r>
          </w:p>
        </w:tc>
        <w:tc>
          <w:tcPr>
            <w:tcW w:w="8860" w:type="dxa"/>
            <w:vAlign w:val="bottom"/>
            <w:gridSpan w:val="2"/>
          </w:tcPr>
          <w:p>
            <w:pPr>
              <w:ind w:left="580"/>
              <w:spacing w:after="0"/>
              <w:rPr>
                <w:sz w:val="20"/>
                <w:szCs w:val="20"/>
                <w:color w:val="auto"/>
              </w:rPr>
            </w:pPr>
            <w:r>
              <w:rPr>
                <w:rFonts w:ascii="Arial" w:cs="Arial" w:eastAsia="Arial" w:hAnsi="Arial"/>
                <w:sz w:val="18"/>
                <w:szCs w:val="18"/>
                <w:color w:val="auto"/>
              </w:rPr>
              <w:t>[*CTR]</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tabs>
          <w:tab w:leader="none" w:pos="560" w:val="left"/>
        </w:tabs>
        <w:rPr>
          <w:sz w:val="20"/>
          <w:szCs w:val="20"/>
          <w:color w:val="auto"/>
        </w:rPr>
      </w:pPr>
      <w:r>
        <w:rPr>
          <w:rFonts w:ascii="Arial" w:cs="Arial" w:eastAsia="Arial" w:hAnsi="Arial"/>
          <w:sz w:val="18"/>
          <w:szCs w:val="18"/>
          <w:b w:val="1"/>
          <w:bCs w:val="1"/>
          <w:color w:val="auto"/>
        </w:rPr>
        <w:t>* -</w:t>
      </w:r>
      <w:r>
        <w:rPr>
          <w:sz w:val="20"/>
          <w:szCs w:val="20"/>
          <w:color w:val="auto"/>
        </w:rPr>
        <w:tab/>
      </w:r>
      <w:r>
        <w:rPr>
          <w:rFonts w:ascii="Arial" w:cs="Arial" w:eastAsia="Arial" w:hAnsi="Arial"/>
          <w:sz w:val="16"/>
          <w:szCs w:val="16"/>
          <w:b w:val="1"/>
          <w:bCs w:val="1"/>
          <w:color w:val="auto"/>
        </w:rPr>
        <w:t>This is an intended gap as there are no Letter Agreements LA-1106674 through LA-1106676 incorporated by the Purchase Agreement.</w:t>
      </w:r>
    </w:p>
    <w:p>
      <w:pPr>
        <w:spacing w:after="0" w:line="162" w:lineRule="exact"/>
        <w:rPr>
          <w:sz w:val="20"/>
          <w:szCs w:val="20"/>
          <w:color w:val="auto"/>
        </w:rPr>
      </w:pPr>
    </w:p>
    <w:p>
      <w:pPr>
        <w:spacing w:after="0"/>
        <w:tabs>
          <w:tab w:leader="none" w:pos="3880" w:val="left"/>
          <w:tab w:leader="none" w:pos="11020" w:val="left"/>
        </w:tabs>
        <w:rPr>
          <w:sz w:val="20"/>
          <w:szCs w:val="20"/>
          <w:color w:val="auto"/>
        </w:rPr>
      </w:pPr>
      <w:r>
        <w:rPr>
          <w:rFonts w:ascii="Arial" w:cs="Arial" w:eastAsia="Arial" w:hAnsi="Arial"/>
          <w:sz w:val="18"/>
          <w:szCs w:val="18"/>
          <w:color w:val="auto"/>
        </w:rPr>
        <w:t>PA-03735</w:t>
      </w:r>
      <w:r>
        <w:rPr>
          <w:sz w:val="20"/>
          <w:szCs w:val="20"/>
          <w:color w:val="auto"/>
        </w:rPr>
        <w:tab/>
      </w:r>
      <w:r>
        <w:rPr>
          <w:rFonts w:ascii="Arial" w:cs="Arial" w:eastAsia="Arial" w:hAnsi="Arial"/>
          <w:sz w:val="18"/>
          <w:szCs w:val="18"/>
          <w:color w:val="auto"/>
        </w:rPr>
        <w:t>TABLE OF CONTENTS, Page 2 of 2</w:t>
      </w:r>
      <w:r>
        <w:rPr>
          <w:sz w:val="20"/>
          <w:szCs w:val="20"/>
          <w:color w:val="auto"/>
        </w:rPr>
        <w:tab/>
      </w:r>
      <w:r>
        <w:rPr>
          <w:rFonts w:ascii="Arial" w:cs="Arial" w:eastAsia="Arial" w:hAnsi="Arial"/>
          <w:sz w:val="17"/>
          <w:szCs w:val="17"/>
          <w:color w:val="auto"/>
        </w:rPr>
        <w:t>SA-5</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69" w:right="239" w:bottom="1440" w:gutter="0" w:footer="0" w:header="0"/>
        </w:sectPr>
      </w:pPr>
    </w:p>
    <w:bookmarkStart w:id="366" w:name="page367"/>
    <w:bookmarkEnd w:id="366"/>
    <w:p>
      <w:pPr>
        <w:ind w:left="85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629410" cy="42037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629410" cy="420370"/>
                    </a:xfrm>
                    <a:prstGeom prst="rect">
                      <a:avLst/>
                    </a:prstGeom>
                    <a:noFill/>
                  </pic:spPr>
                </pic:pic>
              </a:graphicData>
            </a:graphic>
          </wp:anchor>
        </w:drawing>
      </w:r>
    </w:p>
    <w:p>
      <w:pPr>
        <w:spacing w:after="0" w:line="3"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AAL-PA-03735-LA-1600852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619616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Dallas-Fort Worth Airport, Texas 75261-9616</w:t>
      </w:r>
    </w:p>
    <w:p>
      <w:pPr>
        <w:sectPr>
          <w:pgSz w:w="11900" w:h="16838" w:orient="portrait"/>
          <w:cols w:equalWidth="0" w:num="1">
            <w:col w:w="11420"/>
          </w:cols>
          <w:pgMar w:left="240" w:top="273"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27" w:lineRule="exact"/>
        <w:rPr>
          <w:sz w:val="20"/>
          <w:szCs w:val="20"/>
          <w:color w:val="auto"/>
        </w:rPr>
      </w:pPr>
    </w:p>
    <w:p>
      <w:pPr>
        <w:sectPr>
          <w:pgSz w:w="11900" w:h="16838" w:orient="portrait"/>
          <w:cols w:equalWidth="0" w:num="2">
            <w:col w:w="660" w:space="720"/>
            <w:col w:w="10040"/>
          </w:cols>
          <w:pgMar w:left="240" w:top="273" w:right="2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5"/>
          <w:szCs w:val="15"/>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Purchase Agreement No. 03735 (</w:t>
      </w:r>
      <w:r>
        <w:rPr>
          <w:rFonts w:ascii="Arial" w:cs="Arial" w:eastAsia="Arial" w:hAnsi="Arial"/>
          <w:sz w:val="16"/>
          <w:szCs w:val="16"/>
          <w:b w:val="1"/>
          <w:bCs w:val="1"/>
          <w:color w:val="auto"/>
        </w:rPr>
        <w:t>Purchase Agreement</w:t>
      </w:r>
      <w:r>
        <w:rPr>
          <w:rFonts w:ascii="Arial" w:cs="Arial" w:eastAsia="Arial" w:hAnsi="Arial"/>
          <w:sz w:val="16"/>
          <w:szCs w:val="16"/>
          <w:color w:val="auto"/>
        </w:rPr>
        <w:t>) between The Boeing Company (</w:t>
      </w:r>
      <w:r>
        <w:rPr>
          <w:rFonts w:ascii="Arial" w:cs="Arial" w:eastAsia="Arial" w:hAnsi="Arial"/>
          <w:sz w:val="16"/>
          <w:szCs w:val="16"/>
          <w:b w:val="1"/>
          <w:bCs w:val="1"/>
          <w:color w:val="auto"/>
        </w:rPr>
        <w:t>Boeing</w:t>
      </w:r>
      <w:r>
        <w:rPr>
          <w:rFonts w:ascii="Arial" w:cs="Arial" w:eastAsia="Arial" w:hAnsi="Arial"/>
          <w:sz w:val="16"/>
          <w:szCs w:val="16"/>
          <w:color w:val="auto"/>
        </w:rPr>
        <w:t>) and American Airlines, Inc. (</w:t>
      </w:r>
      <w:r>
        <w:rPr>
          <w:rFonts w:ascii="Arial" w:cs="Arial" w:eastAsia="Arial" w:hAnsi="Arial"/>
          <w:sz w:val="16"/>
          <w:szCs w:val="16"/>
          <w:b w:val="1"/>
          <w:bCs w:val="1"/>
          <w:color w:val="auto"/>
        </w:rPr>
        <w:t>Customer</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relating to Model 737-8 MAX aircraft (</w:t>
      </w:r>
      <w:r>
        <w:rPr>
          <w:rFonts w:ascii="Arial" w:cs="Arial" w:eastAsia="Arial" w:hAnsi="Arial"/>
          <w:sz w:val="18"/>
          <w:szCs w:val="18"/>
          <w:b w:val="1"/>
          <w:bCs w:val="1"/>
          <w:color w:val="auto"/>
        </w:rPr>
        <w:t>Aircraft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80" w:space="600"/>
            <w:col w:w="10040"/>
          </w:cols>
          <w:pgMar w:left="240" w:top="273" w:right="239" w:bottom="1440" w:gutter="0" w:footer="0" w:header="0"/>
          <w:type w:val="continuous"/>
        </w:sectPr>
      </w:pPr>
    </w:p>
    <w:p>
      <w:pPr>
        <w:spacing w:after="0" w:line="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letter agreement (</w:t>
      </w:r>
      <w:r>
        <w:rPr>
          <w:rFonts w:ascii="Arial" w:cs="Arial" w:eastAsia="Arial" w:hAnsi="Arial"/>
          <w:sz w:val="16"/>
          <w:szCs w:val="16"/>
          <w:b w:val="1"/>
          <w:bCs w:val="1"/>
          <w:color w:val="auto"/>
        </w:rPr>
        <w:t>Letter Agreement</w:t>
      </w:r>
      <w:r>
        <w:rPr>
          <w:rFonts w:ascii="Arial" w:cs="Arial" w:eastAsia="Arial" w:hAnsi="Arial"/>
          <w:sz w:val="16"/>
          <w:szCs w:val="16"/>
          <w:color w:val="auto"/>
        </w:rPr>
        <w:t>) is entered into on the date below and amends and supplements the Purchase Agreement referenced above.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in but not otherwise defined in this Letter Agreement shall have the same meaning as in the Purchase Agreement.</w:t>
      </w:r>
    </w:p>
    <w:p>
      <w:pPr>
        <w:spacing w:after="0" w:line="21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Customer has [*CTR] that Boeing [*CTR] in the Aircraft certain [*CTR] which is more fully described in the options listed in Attachment A to this Letter Agreement (collectively referred to as [</w:t>
      </w:r>
      <w:r>
        <w:rPr>
          <w:rFonts w:ascii="Arial" w:cs="Arial" w:eastAsia="Arial" w:hAnsi="Arial"/>
          <w:sz w:val="18"/>
          <w:szCs w:val="18"/>
          <w:b w:val="1"/>
          <w:bCs w:val="1"/>
          <w:color w:val="auto"/>
        </w:rPr>
        <w:t>*</w:t>
      </w:r>
      <w:r>
        <w:rPr>
          <w:rFonts w:ascii="Arial" w:cs="Arial" w:eastAsia="Arial" w:hAnsi="Arial"/>
          <w:sz w:val="18"/>
          <w:szCs w:val="18"/>
          <w:color w:val="auto"/>
        </w:rPr>
        <w:t>CTR]) in accordance with the terms and conditions of this Letter Agreement. [*CTR] that is identified in the Detail Specification for the Aircraft is [*CTR] that Boeing is [*CTR] in accordance with Section 2 below, but is otherwise [*CTR] for purposes of the Purchase Agreement.</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[*CTR] during the [*CTR] and manufacture of the Aircraft to [*CTR] at the time of delivery of the Aircraft. To achieve this, Boeing and Customer will [*CTR] in a manner consistent with (i) the terms and conditions [*CTR]; and (ii) [*CTR].</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10960" w:type="dxa"/>
            <w:vAlign w:val="bottom"/>
            <w:gridSpan w:val="5"/>
          </w:tcPr>
          <w:p>
            <w:pPr>
              <w:spacing w:after="0"/>
              <w:rPr>
                <w:sz w:val="20"/>
                <w:szCs w:val="20"/>
                <w:color w:val="auto"/>
              </w:rPr>
            </w:pPr>
            <w:r>
              <w:rPr>
                <w:rFonts w:ascii="Arial" w:cs="Arial" w:eastAsia="Arial" w:hAnsi="Arial"/>
                <w:sz w:val="18"/>
                <w:szCs w:val="18"/>
                <w:color w:val="auto"/>
              </w:rPr>
              <w:t>Customer Responsibilities.</w:t>
            </w:r>
          </w:p>
        </w:tc>
      </w:tr>
      <w:tr>
        <w:trPr>
          <w:trHeight w:val="20"/>
        </w:trPr>
        <w:tc>
          <w:tcPr>
            <w:tcW w:w="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304"/>
        </w:trPr>
        <w:tc>
          <w:tcPr>
            <w:tcW w:w="4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5"/>
              </w:rPr>
              <w:t>1.1</w:t>
            </w:r>
          </w:p>
        </w:tc>
        <w:tc>
          <w:tcPr>
            <w:tcW w:w="10700" w:type="dxa"/>
            <w:vAlign w:val="bottom"/>
            <w:gridSpan w:val="4"/>
          </w:tcPr>
          <w:p>
            <w:pPr>
              <w:ind w:left="20"/>
              <w:spacing w:after="0"/>
              <w:rPr>
                <w:sz w:val="20"/>
                <w:szCs w:val="20"/>
                <w:color w:val="auto"/>
              </w:rPr>
            </w:pPr>
            <w:r>
              <w:rPr>
                <w:rFonts w:ascii="Arial" w:cs="Arial" w:eastAsia="Arial" w:hAnsi="Arial"/>
                <w:sz w:val="18"/>
                <w:szCs w:val="18"/>
                <w:color w:val="auto"/>
              </w:rPr>
              <w:t>[*CTR]. Customer has [*CTR].</w:t>
            </w: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180" w:type="dxa"/>
            <w:vAlign w:val="bottom"/>
            <w:gridSpan w:val="2"/>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5"/>
              </w:rPr>
              <w:t>1.2</w:t>
            </w:r>
          </w:p>
        </w:tc>
        <w:tc>
          <w:tcPr>
            <w:tcW w:w="10700" w:type="dxa"/>
            <w:vAlign w:val="bottom"/>
            <w:gridSpan w:val="4"/>
          </w:tcPr>
          <w:p>
            <w:pPr>
              <w:ind w:left="20"/>
              <w:spacing w:after="0"/>
              <w:rPr>
                <w:sz w:val="20"/>
                <w:szCs w:val="20"/>
                <w:color w:val="auto"/>
              </w:rPr>
            </w:pPr>
            <w:r>
              <w:rPr>
                <w:rFonts w:ascii="Arial" w:cs="Arial" w:eastAsia="Arial" w:hAnsi="Arial"/>
                <w:sz w:val="18"/>
                <w:szCs w:val="18"/>
                <w:color w:val="auto"/>
              </w:rPr>
              <w:t>[*CTR]. Customer will provide [*CTR].</w:t>
            </w: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180" w:type="dxa"/>
            <w:vAlign w:val="bottom"/>
            <w:gridSpan w:val="2"/>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w w:val="95"/>
              </w:rPr>
              <w:t>1.3</w:t>
            </w:r>
          </w:p>
        </w:tc>
        <w:tc>
          <w:tcPr>
            <w:tcW w:w="10700" w:type="dxa"/>
            <w:vAlign w:val="bottom"/>
            <w:gridSpan w:val="4"/>
          </w:tcPr>
          <w:p>
            <w:pPr>
              <w:ind w:left="20"/>
              <w:spacing w:after="0"/>
              <w:rPr>
                <w:sz w:val="20"/>
                <w:szCs w:val="20"/>
                <w:color w:val="auto"/>
              </w:rPr>
            </w:pPr>
            <w:r>
              <w:rPr>
                <w:rFonts w:ascii="Arial" w:cs="Arial" w:eastAsia="Arial" w:hAnsi="Arial"/>
                <w:sz w:val="18"/>
                <w:szCs w:val="18"/>
                <w:color w:val="auto"/>
              </w:rPr>
              <w:t>[*CTR]. Customer will [*CTR]. Such [*CTR]:</w:t>
            </w:r>
          </w:p>
        </w:tc>
      </w:tr>
      <w:tr>
        <w:trPr>
          <w:trHeight w:val="20"/>
        </w:trPr>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180" w:type="dxa"/>
            <w:vAlign w:val="bottom"/>
            <w:gridSpan w:val="2"/>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20" w:type="dxa"/>
            <w:vAlign w:val="bottom"/>
            <w:gridSpan w:val="3"/>
          </w:tcPr>
          <w:p>
            <w:pPr>
              <w:ind w:left="100"/>
              <w:spacing w:after="0"/>
              <w:rPr>
                <w:sz w:val="20"/>
                <w:szCs w:val="20"/>
                <w:color w:val="auto"/>
              </w:rPr>
            </w:pPr>
            <w:r>
              <w:rPr>
                <w:rFonts w:ascii="Arial" w:cs="Arial" w:eastAsia="Arial" w:hAnsi="Arial"/>
                <w:sz w:val="18"/>
                <w:szCs w:val="18"/>
                <w:color w:val="auto"/>
              </w:rPr>
              <w:t>1.3.1 specify [*CTR];</w:t>
            </w:r>
          </w:p>
        </w:tc>
      </w:tr>
      <w:tr>
        <w:trPr>
          <w:trHeight w:val="324"/>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20" w:type="dxa"/>
            <w:vAlign w:val="bottom"/>
            <w:gridSpan w:val="3"/>
          </w:tcPr>
          <w:p>
            <w:pPr>
              <w:ind w:left="100"/>
              <w:spacing w:after="0"/>
              <w:rPr>
                <w:sz w:val="20"/>
                <w:szCs w:val="20"/>
                <w:color w:val="auto"/>
              </w:rPr>
            </w:pPr>
            <w:r>
              <w:rPr>
                <w:rFonts w:ascii="Arial" w:cs="Arial" w:eastAsia="Arial" w:hAnsi="Arial"/>
                <w:sz w:val="18"/>
                <w:szCs w:val="18"/>
                <w:color w:val="auto"/>
              </w:rPr>
              <w:t>1.3.2 specify that [*CTR];</w:t>
            </w:r>
          </w:p>
        </w:tc>
      </w:tr>
      <w:tr>
        <w:trPr>
          <w:trHeight w:val="324"/>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20" w:type="dxa"/>
            <w:vAlign w:val="bottom"/>
            <w:gridSpan w:val="3"/>
          </w:tcPr>
          <w:p>
            <w:pPr>
              <w:ind w:left="100"/>
              <w:spacing w:after="0"/>
              <w:rPr>
                <w:sz w:val="20"/>
                <w:szCs w:val="20"/>
                <w:color w:val="auto"/>
              </w:rPr>
            </w:pPr>
            <w:r>
              <w:rPr>
                <w:rFonts w:ascii="Arial" w:cs="Arial" w:eastAsia="Arial" w:hAnsi="Arial"/>
                <w:sz w:val="18"/>
                <w:szCs w:val="18"/>
                <w:color w:val="auto"/>
              </w:rPr>
              <w:t>1.3.3 specify the [*CTR];</w:t>
            </w:r>
          </w:p>
        </w:tc>
      </w:tr>
      <w:tr>
        <w:trPr>
          <w:trHeight w:val="324"/>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20" w:type="dxa"/>
            <w:vAlign w:val="bottom"/>
            <w:gridSpan w:val="3"/>
          </w:tcPr>
          <w:p>
            <w:pPr>
              <w:ind w:left="100"/>
              <w:spacing w:after="0"/>
              <w:rPr>
                <w:sz w:val="20"/>
                <w:szCs w:val="20"/>
                <w:color w:val="auto"/>
              </w:rPr>
            </w:pPr>
            <w:r>
              <w:rPr>
                <w:rFonts w:ascii="Arial" w:cs="Arial" w:eastAsia="Arial" w:hAnsi="Arial"/>
                <w:sz w:val="18"/>
                <w:szCs w:val="18"/>
                <w:color w:val="auto"/>
              </w:rPr>
              <w:t>1.3.4 require [*CTR]; and</w:t>
            </w:r>
          </w:p>
        </w:tc>
      </w:tr>
      <w:tr>
        <w:trPr>
          <w:trHeight w:val="324"/>
        </w:trPr>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20" w:type="dxa"/>
            <w:vAlign w:val="bottom"/>
            <w:gridSpan w:val="3"/>
          </w:tcPr>
          <w:p>
            <w:pPr>
              <w:ind w:left="100"/>
              <w:spacing w:after="0"/>
              <w:rPr>
                <w:sz w:val="20"/>
                <w:szCs w:val="20"/>
                <w:color w:val="auto"/>
              </w:rPr>
            </w:pPr>
            <w:r>
              <w:rPr>
                <w:rFonts w:ascii="Arial" w:cs="Arial" w:eastAsia="Arial" w:hAnsi="Arial"/>
                <w:sz w:val="18"/>
                <w:szCs w:val="18"/>
                <w:color w:val="auto"/>
              </w:rPr>
              <w:t>1.3.5 require [*CTR].</w:t>
            </w:r>
          </w:p>
        </w:tc>
      </w:tr>
      <w:tr>
        <w:trPr>
          <w:trHeight w:val="350"/>
        </w:trPr>
        <w:tc>
          <w:tcPr>
            <w:tcW w:w="11420" w:type="dxa"/>
            <w:vAlign w:val="bottom"/>
            <w:gridSpan w:val="6"/>
          </w:tcPr>
          <w:p>
            <w:pPr>
              <w:spacing w:after="0"/>
              <w:rPr>
                <w:sz w:val="20"/>
                <w:szCs w:val="20"/>
                <w:color w:val="auto"/>
              </w:rPr>
            </w:pPr>
            <w:r>
              <w:rPr>
                <w:rFonts w:ascii="Arial" w:cs="Arial" w:eastAsia="Arial" w:hAnsi="Arial"/>
                <w:sz w:val="18"/>
                <w:szCs w:val="18"/>
                <w:color w:val="auto"/>
              </w:rPr>
              <w:t>AAL-PA-03735-LA-1600852</w:t>
            </w:r>
          </w:p>
        </w:tc>
      </w:tr>
      <w:tr>
        <w:trPr>
          <w:trHeight w:val="230"/>
        </w:trPr>
        <w:tc>
          <w:tcPr>
            <w:tcW w:w="720" w:type="dxa"/>
            <w:vAlign w:val="bottom"/>
            <w:gridSpan w:val="2"/>
          </w:tcPr>
          <w:p>
            <w:pP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080" w:type="dxa"/>
            <w:vAlign w:val="bottom"/>
          </w:tcPr>
          <w:p>
            <w:pPr>
              <w:ind w:left="8320"/>
              <w:spacing w:after="0"/>
              <w:rPr>
                <w:sz w:val="20"/>
                <w:szCs w:val="20"/>
                <w:color w:val="auto"/>
              </w:rPr>
            </w:pPr>
            <w:r>
              <w:rPr>
                <w:rFonts w:ascii="Arial" w:cs="Arial" w:eastAsia="Arial" w:hAnsi="Arial"/>
                <w:sz w:val="18"/>
                <w:szCs w:val="18"/>
                <w:color w:val="auto"/>
                <w:w w:val="87"/>
              </w:rPr>
              <w:t>LA Page 1</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BOEING PROPRIETARY</w:t>
      </w:r>
    </w:p>
    <w:p>
      <w:pPr>
        <w:spacing w:after="0" w:line="2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type w:val="continuous"/>
        </w:sectPr>
      </w:pPr>
    </w:p>
    <w:bookmarkStart w:id="367" w:name="page368"/>
    <w:bookmarkEnd w:id="367"/>
    <w:p>
      <w:pPr>
        <w:ind w:left="460" w:hanging="452"/>
        <w:spacing w:after="0"/>
        <w:tabs>
          <w:tab w:leader="none" w:pos="460"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29410" cy="42037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clrChange>
                        <a:clrFrom>
                          <a:srgbClr val="FFFFFF"/>
                        </a:clrFrom>
                        <a:clrTo>
                          <a:srgbClr val="FFFFFF">
                            <a:alpha val="0"/>
                          </a:srgbClr>
                        </a:clrTo>
                      </a:clrChange>
                      <a:extLst>
                        <a:ext uri="{28A0092B-C50C-407E-A947-70E740481C1C}"/>
                      </a:extLst>
                    </a:blip>
                    <a:srcRect/>
                    <a:stretch>
                      <a:fillRect/>
                    </a:stretch>
                  </pic:blipFill>
                  <pic:spPr bwMode="auto">
                    <a:xfrm>
                      <a:off x="0" y="0"/>
                      <a:ext cx="1629410" cy="420370"/>
                    </a:xfrm>
                    <a:prstGeom prst="rect">
                      <a:avLst/>
                    </a:prstGeom>
                    <a:noFill/>
                  </pic:spPr>
                </pic:pic>
              </a:graphicData>
            </a:graphic>
          </wp:anchor>
        </w:drawing>
        <w:t>Boeing Responsibilities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2.1 Boeing shall:</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2.1.1 perform the [*CTR] described in Attachment B to this Letter Agreement;</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2.1.2 assist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2.1.3 approve the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2.1.4 place, [*CTR] and which shall also include a statement that [*CTR]; additionally the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2.1.5 notify Customer as soon as possible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2.1.6 manage all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2.1.7 coordinate [*CTR];</w:t>
      </w:r>
    </w:p>
    <w:p>
      <w:pPr>
        <w:spacing w:after="0" w:line="117"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2.1.8 provide Aircraft [*CTR];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2.1.9 ensure that the [*CTR];</w:t>
      </w:r>
    </w:p>
    <w:p>
      <w:pPr>
        <w:spacing w:after="0" w:line="117" w:lineRule="exact"/>
        <w:rPr>
          <w:sz w:val="20"/>
          <w:szCs w:val="20"/>
          <w:color w:val="auto"/>
        </w:rPr>
      </w:pPr>
    </w:p>
    <w:p>
      <w:pPr>
        <w:ind w:left="460" w:right="660" w:firstLine="438"/>
        <w:spacing w:after="0" w:line="277" w:lineRule="auto"/>
        <w:rPr>
          <w:sz w:val="20"/>
          <w:szCs w:val="20"/>
          <w:color w:val="auto"/>
        </w:rPr>
      </w:pPr>
      <w:r>
        <w:rPr>
          <w:rFonts w:ascii="Arial" w:cs="Arial" w:eastAsia="Arial" w:hAnsi="Arial"/>
          <w:sz w:val="18"/>
          <w:szCs w:val="18"/>
          <w:color w:val="auto"/>
        </w:rPr>
        <w:t>2.1.10 [*CTR] in the Aircraft, in accordance with the terms and conditions of the Purchase Agreement (including, without limitation, the [*CTR]) the [*CTR] identified in Section 3.1 of this Letter Agreement;</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2.1.11 ensure that at the time of Aircraft delivery, the [*CTR] referenced in Attachment A to this Letter Agreement;</w:t>
      </w:r>
    </w:p>
    <w:p>
      <w:pPr>
        <w:spacing w:after="0" w:line="117" w:lineRule="exact"/>
        <w:rPr>
          <w:sz w:val="20"/>
          <w:szCs w:val="20"/>
          <w:color w:val="auto"/>
        </w:rPr>
      </w:pPr>
    </w:p>
    <w:p>
      <w:pPr>
        <w:jc w:val="both"/>
        <w:ind w:left="460" w:right="260" w:firstLine="438"/>
        <w:spacing w:after="0" w:line="264" w:lineRule="auto"/>
        <w:rPr>
          <w:sz w:val="20"/>
          <w:szCs w:val="20"/>
          <w:color w:val="auto"/>
        </w:rPr>
      </w:pPr>
      <w:r>
        <w:rPr>
          <w:rFonts w:ascii="Arial" w:cs="Arial" w:eastAsia="Arial" w:hAnsi="Arial"/>
          <w:sz w:val="18"/>
          <w:szCs w:val="18"/>
          <w:color w:val="auto"/>
        </w:rPr>
        <w:t>2.1.12 if necessary, and upon request of Customer, use commercially [*CTR] to assist Customer in causing [*CTR] under the [*CTR] with the objective of delivery of the Aircraft on the delivery date (that is scheduled in accordance with Section 6.1 of the AGTA) with [*CTR] in the Aircraft and certified by the FAA; and</w:t>
      </w:r>
    </w:p>
    <w:p>
      <w:pPr>
        <w:spacing w:after="0" w:line="73" w:lineRule="exact"/>
        <w:rPr>
          <w:sz w:val="20"/>
          <w:szCs w:val="20"/>
          <w:color w:val="auto"/>
        </w:rPr>
      </w:pPr>
    </w:p>
    <w:p>
      <w:pPr>
        <w:ind w:left="460" w:right="200" w:firstLine="438"/>
        <w:spacing w:after="0" w:line="277" w:lineRule="auto"/>
        <w:rPr>
          <w:sz w:val="20"/>
          <w:szCs w:val="20"/>
          <w:color w:val="auto"/>
        </w:rPr>
      </w:pPr>
      <w:r>
        <w:rPr>
          <w:rFonts w:ascii="Arial" w:cs="Arial" w:eastAsia="Arial" w:hAnsi="Arial"/>
          <w:sz w:val="18"/>
          <w:szCs w:val="18"/>
          <w:color w:val="auto"/>
        </w:rPr>
        <w:t>2.1.13 prior to delivery of the applicable Aircraft, obtain [*CTR] of the Aircraft with [*CTR], including the [*CTR] identified in Section 3.1 of this Letter Agreement.</w:t>
      </w:r>
    </w:p>
    <w:p>
      <w:pPr>
        <w:spacing w:after="0" w:line="319" w:lineRule="exact"/>
        <w:rPr>
          <w:sz w:val="20"/>
          <w:szCs w:val="20"/>
          <w:color w:val="auto"/>
        </w:rPr>
      </w:pPr>
    </w:p>
    <w:p>
      <w:pPr>
        <w:ind w:left="460" w:hanging="452"/>
        <w:spacing w:after="0"/>
        <w:tabs>
          <w:tab w:leader="none" w:pos="46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*CTR</w:t>
      </w:r>
      <w:r>
        <w:rPr>
          <w:rFonts w:ascii="Arial" w:cs="Arial" w:eastAsia="Arial" w:hAnsi="Arial"/>
          <w:sz w:val="18"/>
          <w:szCs w:val="18"/>
          <w:color w:val="auto"/>
        </w:rPr>
        <w:t>]. [*CTR] may contain [*CTR] of the following two (2) types: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3.1 [</w:t>
      </w:r>
      <w:r>
        <w:rPr>
          <w:rFonts w:ascii="Arial" w:cs="Arial" w:eastAsia="Arial" w:hAnsi="Arial"/>
          <w:sz w:val="18"/>
          <w:szCs w:val="18"/>
          <w:u w:val="single" w:color="auto"/>
          <w:color w:val="auto"/>
        </w:rPr>
        <w:t>*CTR</w:t>
      </w:r>
      <w:r>
        <w:rPr>
          <w:rFonts w:ascii="Arial" w:cs="Arial" w:eastAsia="Arial" w:hAnsi="Arial"/>
          <w:sz w:val="18"/>
          <w:szCs w:val="18"/>
          <w:color w:val="auto"/>
        </w:rPr>
        <w:t>]. The [*CTR] required to [*CTR] on the Aircraft is the [*CTR] and is part of the [*CTR].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Customer’s [*CTR</w:t>
      </w:r>
      <w:r>
        <w:rPr>
          <w:rFonts w:ascii="Arial" w:cs="Arial" w:eastAsia="Arial" w:hAnsi="Arial"/>
          <w:sz w:val="18"/>
          <w:szCs w:val="18"/>
          <w:color w:val="auto"/>
        </w:rPr>
        <w:t>]. The [*CTR] to the Aircraft [*CTR] and is not part of the [*CTR].</w:t>
      </w:r>
    </w:p>
    <w:p>
      <w:pPr>
        <w:spacing w:after="0" w:line="117" w:lineRule="exact"/>
        <w:rPr>
          <w:sz w:val="20"/>
          <w:szCs w:val="20"/>
          <w:color w:val="auto"/>
        </w:rPr>
      </w:pPr>
    </w:p>
    <w:p>
      <w:pPr>
        <w:ind w:left="460" w:right="220" w:firstLine="438"/>
        <w:spacing w:after="0" w:line="308" w:lineRule="auto"/>
        <w:rPr>
          <w:sz w:val="20"/>
          <w:szCs w:val="20"/>
          <w:color w:val="auto"/>
        </w:rPr>
      </w:pPr>
      <w:r>
        <w:rPr>
          <w:rFonts w:ascii="Arial" w:cs="Arial" w:eastAsia="Arial" w:hAnsi="Arial"/>
          <w:sz w:val="17"/>
          <w:szCs w:val="17"/>
          <w:color w:val="auto"/>
        </w:rPr>
        <w:t>3.2.1 As between Customer and Boeing, Customer is solely responsible for specifying the [*CTR] and ensuring that Customer’s [*CTR] meets such [*CTR]. Customer and the [*CTR] Customer’s [*CTR] will have total responsibility for the [*CTR] of any of Customer’s [*CTR].</w:t>
      </w:r>
    </w:p>
    <w:p>
      <w:pPr>
        <w:sectPr>
          <w:pgSz w:w="11900" w:h="16838" w:orient="portrait"/>
          <w:cols w:equalWidth="0" w:num="1">
            <w:col w:w="11420"/>
          </w:cols>
          <w:pgMar w:left="240" w:top="1084" w:right="239" w:bottom="1440" w:gutter="0" w:footer="0" w:header="0"/>
        </w:sectPr>
      </w:pP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AAL-PA-03735-LA-1600852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LA Page 2</w:t>
      </w:r>
    </w:p>
    <w:p>
      <w:pPr>
        <w:spacing w:after="0" w:line="153" w:lineRule="exact"/>
        <w:rPr>
          <w:sz w:val="20"/>
          <w:szCs w:val="20"/>
          <w:color w:val="auto"/>
        </w:rPr>
      </w:pPr>
    </w:p>
    <w:p>
      <w:pPr>
        <w:sectPr>
          <w:pgSz w:w="11900" w:h="16838" w:orient="portrait"/>
          <w:cols w:equalWidth="0" w:num="2">
            <w:col w:w="9940" w:space="720"/>
            <w:col w:w="760"/>
          </w:cols>
          <w:pgMar w:left="240" w:top="108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BOEING PROPRIETARY</w:t>
      </w:r>
    </w:p>
    <w:p>
      <w:pPr>
        <w:spacing w:after="0" w:line="2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84" w:right="239" w:bottom="1440" w:gutter="0" w:footer="0" w:header="0"/>
          <w:type w:val="continuous"/>
        </w:sectPr>
      </w:pPr>
    </w:p>
    <w:bookmarkStart w:id="368" w:name="page369"/>
    <w:bookmarkEnd w:id="368"/>
    <w:p>
      <w:pPr>
        <w:ind w:left="460" w:right="540" w:firstLine="438"/>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29410" cy="42037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clrChange>
                        <a:clrFrom>
                          <a:srgbClr val="FFFFFF"/>
                        </a:clrFrom>
                        <a:clrTo>
                          <a:srgbClr val="FFFFFF">
                            <a:alpha val="0"/>
                          </a:srgbClr>
                        </a:clrTo>
                      </a:clrChange>
                      <a:extLst>
                        <a:ext uri="{28A0092B-C50C-407E-A947-70E740481C1C}"/>
                      </a:extLst>
                    </a:blip>
                    <a:srcRect/>
                    <a:stretch>
                      <a:fillRect/>
                    </a:stretch>
                  </pic:blipFill>
                  <pic:spPr bwMode="auto">
                    <a:xfrm>
                      <a:off x="0" y="0"/>
                      <a:ext cx="1629410" cy="420370"/>
                    </a:xfrm>
                    <a:prstGeom prst="rect">
                      <a:avLst/>
                    </a:prstGeom>
                    <a:noFill/>
                  </pic:spPr>
                </pic:pic>
              </a:graphicData>
            </a:graphic>
          </wp:anchor>
        </w:drawing>
        <w:t>3.2.2 The [*CTR] of any Customer’s [*CTR] or the lack of any [*CTR] will not be a valid condition for Customer’s [*CTR] at the time of Aircraft delivery.</w:t>
      </w:r>
    </w:p>
    <w:p>
      <w:pPr>
        <w:spacing w:after="0" w:line="62" w:lineRule="exact"/>
        <w:rPr>
          <w:sz w:val="20"/>
          <w:szCs w:val="20"/>
          <w:color w:val="auto"/>
        </w:rPr>
      </w:pPr>
    </w:p>
    <w:p>
      <w:pPr>
        <w:ind w:left="460" w:firstLine="438"/>
        <w:spacing w:after="0" w:line="277" w:lineRule="auto"/>
        <w:rPr>
          <w:sz w:val="20"/>
          <w:szCs w:val="20"/>
          <w:color w:val="auto"/>
        </w:rPr>
      </w:pPr>
      <w:r>
        <w:rPr>
          <w:rFonts w:ascii="Arial" w:cs="Arial" w:eastAsia="Arial" w:hAnsi="Arial"/>
          <w:sz w:val="18"/>
          <w:szCs w:val="18"/>
          <w:color w:val="auto"/>
        </w:rPr>
        <w:t>3.2.3 Boeing has no [*CTR] to support Customer’s [*CTR]. Boeing will only [*CTR] if in Boeing’s reasonable opinion such [*CTR] is necessary to [*CTR] on the Aircraft.</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3.2.4 Boeing shall not be responsible for [*CTR] for Customer’s [*CTR].</w:t>
      </w:r>
    </w:p>
    <w:p>
      <w:pPr>
        <w:spacing w:after="0" w:line="374" w:lineRule="exact"/>
        <w:rPr>
          <w:sz w:val="20"/>
          <w:szCs w:val="20"/>
          <w:color w:val="auto"/>
        </w:rPr>
      </w:pPr>
    </w:p>
    <w:p>
      <w:pPr>
        <w:ind w:left="460" w:hanging="452"/>
        <w:spacing w:after="0"/>
        <w:tabs>
          <w:tab w:leader="none" w:pos="460"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Changes</w:t>
      </w:r>
      <w:r>
        <w:rPr>
          <w:rFonts w:ascii="Arial" w:cs="Arial" w:eastAsia="Arial" w:hAnsi="Arial"/>
          <w:sz w:val="18"/>
          <w:szCs w:val="18"/>
          <w:color w:val="auto"/>
        </w:rPr>
        <w:t>.</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4.1 Customer and [*CTR] may change the [*CTR] of Boeing. Customer may [*CTR] at any time, and Boeing shall [*CTR] in a timely manner. Any [*CTR] that Boeing gives to a [*CTR] shall be subject to [*CTR] through Boeing’s [*CTR] of the Purchase Agreement.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 Boeing and Customer recognize that the [*CTR] nature of the [*CTR] in order to ensure (i) [*CTR] with the Aircraft and all [*CTR], and</w:t>
      </w:r>
    </w:p>
    <w:p>
      <w:pPr>
        <w:spacing w:after="0" w:line="23" w:lineRule="exact"/>
        <w:rPr>
          <w:sz w:val="20"/>
          <w:szCs w:val="20"/>
          <w:color w:val="auto"/>
        </w:rPr>
      </w:pPr>
    </w:p>
    <w:p>
      <w:pPr>
        <w:ind w:right="100" w:firstLine="8"/>
        <w:spacing w:after="0" w:line="254" w:lineRule="auto"/>
        <w:tabs>
          <w:tab w:leader="none" w:pos="26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[*CTR] of the Aircraft with the [*CTR] therein. In such event, Boeing will notify Customer and [*CTR]. If, within [*CTR] as may be mutually agreed in writing) after such notification, (i) Customer and Boeing [*CTR] or [*CTR] and (ii) so long as Boeing has [*CTR] with Customer to [*CTR], then any [*CTR] in delivery of the Aircraft will be [*CTR] and [*CTR]. The [*CTR] of any mutually agreed [*CTR] may result in Boeing [*CTR] contained in Attachment A to this Letter Agreement.</w:t>
      </w:r>
    </w:p>
    <w:p>
      <w:pPr>
        <w:spacing w:after="0" w:line="190"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4.3 Boeing’s [*CTR] of the Aircraft as it relates to [*CTR] as described in the options listed in Attachment A to this Letter Agreement, as such Attachment A may be amended from time to time.</w:t>
      </w:r>
    </w:p>
    <w:p>
      <w:pPr>
        <w:spacing w:after="0" w:line="319" w:lineRule="exact"/>
        <w:rPr>
          <w:sz w:val="20"/>
          <w:szCs w:val="20"/>
          <w:color w:val="auto"/>
        </w:rPr>
      </w:pPr>
    </w:p>
    <w:p>
      <w:pPr>
        <w:ind w:left="460" w:hanging="452"/>
        <w:spacing w:after="0"/>
        <w:tabs>
          <w:tab w:leader="none" w:pos="4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00" w:right="3760" w:hanging="438"/>
        <w:spacing w:after="0" w:line="375" w:lineRule="auto"/>
        <w:rPr>
          <w:rFonts w:ascii="Arial" w:cs="Arial" w:eastAsia="Arial" w:hAnsi="Arial"/>
          <w:sz w:val="18"/>
          <w:szCs w:val="18"/>
          <w:color w:val="auto"/>
        </w:rPr>
      </w:pPr>
      <w:r>
        <w:rPr>
          <w:rFonts w:ascii="Arial" w:cs="Arial" w:eastAsia="Arial" w:hAnsi="Arial"/>
          <w:sz w:val="18"/>
          <w:szCs w:val="18"/>
          <w:color w:val="auto"/>
        </w:rPr>
        <w:t>5.1 Boeing and Customer agree to follow the sequential steps identified in this Section 5 to [*CTR]: 5.1.1 Boeing shall [*CTR] with Boeing.</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5.1.2 Within [*CTR] Boeing and Customer shall [*CTR] or other course of action.</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5.2 If Boeing and Customer are [*CTR] on an alternate [*CTR] or course of action within such time, the [*CTR] to Boeing in Section 8 of this Letter Agreement shall apply.</w:t>
      </w:r>
    </w:p>
    <w:p>
      <w:pPr>
        <w:spacing w:after="0" w:line="319" w:lineRule="exact"/>
        <w:rPr>
          <w:sz w:val="20"/>
          <w:szCs w:val="20"/>
          <w:color w:val="auto"/>
        </w:rPr>
      </w:pPr>
    </w:p>
    <w:p>
      <w:pPr>
        <w:ind w:left="460" w:hanging="452"/>
        <w:spacing w:after="0"/>
        <w:tabs>
          <w:tab w:leader="none" w:pos="46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Proprietary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Boeing’s [*CTR] for the [*CTR] will not impose upon Boeing any [*CTR] Customer may have in the [*CTR].</w:t>
      </w:r>
    </w:p>
    <w:p>
      <w:pPr>
        <w:sectPr>
          <w:pgSz w:w="11900" w:h="16838" w:orient="portrait"/>
          <w:cols w:equalWidth="0" w:num="1">
            <w:col w:w="11420"/>
          </w:cols>
          <w:pgMar w:left="240" w:top="1084"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AAL-PA-03735-LA-1600852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LA Page 3</w:t>
      </w:r>
    </w:p>
    <w:p>
      <w:pPr>
        <w:spacing w:after="0" w:line="153" w:lineRule="exact"/>
        <w:rPr>
          <w:sz w:val="20"/>
          <w:szCs w:val="20"/>
          <w:color w:val="auto"/>
        </w:rPr>
      </w:pPr>
    </w:p>
    <w:p>
      <w:pPr>
        <w:sectPr>
          <w:pgSz w:w="11900" w:h="16838" w:orient="portrait"/>
          <w:cols w:equalWidth="0" w:num="2">
            <w:col w:w="9940" w:space="720"/>
            <w:col w:w="760"/>
          </w:cols>
          <w:pgMar w:left="240" w:top="108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BOEING PROPRIETARY</w:t>
      </w:r>
    </w:p>
    <w:p>
      <w:pPr>
        <w:spacing w:after="0" w:line="2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84" w:right="239" w:bottom="1440" w:gutter="0" w:footer="0" w:header="0"/>
          <w:type w:val="continuous"/>
        </w:sectPr>
      </w:pPr>
    </w:p>
    <w:bookmarkStart w:id="369" w:name="page370"/>
    <w:bookmarkEnd w:id="369"/>
    <w:p>
      <w:pPr>
        <w:ind w:left="460" w:hanging="452"/>
        <w:spacing w:after="0"/>
        <w:tabs>
          <w:tab w:leader="none" w:pos="460"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29410" cy="42037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clrChange>
                        <a:clrFrom>
                          <a:srgbClr val="FFFFFF"/>
                        </a:clrFrom>
                        <a:clrTo>
                          <a:srgbClr val="FFFFFF">
                            <a:alpha val="0"/>
                          </a:srgbClr>
                        </a:clrTo>
                      </a:clrChange>
                      <a:extLst>
                        <a:ext uri="{28A0092B-C50C-407E-A947-70E740481C1C}"/>
                      </a:extLst>
                    </a:blip>
                    <a:srcRect/>
                    <a:stretch>
                      <a:fillRect/>
                    </a:stretch>
                  </pic:blipFill>
                  <pic:spPr bwMode="auto">
                    <a:xfrm>
                      <a:off x="0" y="0"/>
                      <a:ext cx="1629410" cy="420370"/>
                    </a:xfrm>
                    <a:prstGeom prst="rect">
                      <a:avLst/>
                    </a:prstGeom>
                    <a:noFill/>
                  </pic:spPr>
                </pic:pic>
              </a:graphicData>
            </a:graphic>
          </wp:anchor>
        </w:drawing>
        <w:t>Exhibits B and C to the AGTA</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[*CTR] is deemed to be BFE for the purposes of Exhibit B to the AGTA, entitled “</w:t>
      </w:r>
      <w:r>
        <w:rPr>
          <w:rFonts w:ascii="Arial" w:cs="Arial" w:eastAsia="Arial" w:hAnsi="Arial"/>
          <w:sz w:val="18"/>
          <w:szCs w:val="18"/>
          <w:u w:val="single" w:color="auto"/>
          <w:color w:val="auto"/>
        </w:rPr>
        <w:t>Customer Support Document</w:t>
      </w:r>
      <w:r>
        <w:rPr>
          <w:rFonts w:ascii="Arial" w:cs="Arial" w:eastAsia="Arial" w:hAnsi="Arial"/>
          <w:sz w:val="18"/>
          <w:szCs w:val="18"/>
          <w:color w:val="auto"/>
        </w:rPr>
        <w:t>”, and Exhibit C to the AGTA, entitled “</w:t>
      </w:r>
      <w:r>
        <w:rPr>
          <w:rFonts w:ascii="Arial" w:cs="Arial" w:eastAsia="Arial" w:hAnsi="Arial"/>
          <w:sz w:val="18"/>
          <w:szCs w:val="18"/>
          <w:u w:val="single" w:color="auto"/>
          <w:color w:val="auto"/>
        </w:rPr>
        <w:t>Product Assurance Document</w:t>
      </w:r>
      <w:r>
        <w:rPr>
          <w:rFonts w:ascii="Arial" w:cs="Arial" w:eastAsia="Arial" w:hAnsi="Arial"/>
          <w:sz w:val="18"/>
          <w:szCs w:val="18"/>
          <w:color w:val="auto"/>
        </w:rPr>
        <w:t>”.</w:t>
      </w:r>
    </w:p>
    <w:p>
      <w:pPr>
        <w:spacing w:after="0" w:line="319" w:lineRule="exact"/>
        <w:rPr>
          <w:sz w:val="20"/>
          <w:szCs w:val="20"/>
          <w:color w:val="auto"/>
        </w:rPr>
      </w:pPr>
    </w:p>
    <w:p>
      <w:pPr>
        <w:ind w:left="460" w:hanging="452"/>
        <w:spacing w:after="0"/>
        <w:tabs>
          <w:tab w:leader="none" w:pos="46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Boeing [*CTR</w:t>
      </w:r>
      <w:r>
        <w:rPr>
          <w:rFonts w:ascii="Arial" w:cs="Arial" w:eastAsia="Arial" w:hAnsi="Arial"/>
          <w:sz w:val="18"/>
          <w:szCs w:val="18"/>
          <w:color w:val="auto"/>
        </w:rPr>
        <w:t>].</w:t>
      </w:r>
    </w:p>
    <w:p>
      <w:pPr>
        <w:spacing w:after="0" w:line="11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8.1 If Customer [*CTR] as provided in this Letter Agreement or if [*CTR] (for any reason [*CTR] under the purchase order terms) to [*CTR] in accordance with the [*CTR], then, in addition to [*CTR], Boeing will</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8.1.1 [*CTR] and</w:t>
      </w:r>
    </w:p>
    <w:p>
      <w:pPr>
        <w:spacing w:after="0" w:line="221" w:lineRule="exact"/>
        <w:rPr>
          <w:sz w:val="20"/>
          <w:szCs w:val="20"/>
          <w:color w:val="auto"/>
        </w:rPr>
      </w:pPr>
    </w:p>
    <w:p>
      <w:pPr>
        <w:ind w:right="140" w:firstLine="1484"/>
        <w:spacing w:after="0" w:line="282" w:lineRule="auto"/>
        <w:rPr>
          <w:sz w:val="20"/>
          <w:szCs w:val="20"/>
          <w:color w:val="auto"/>
        </w:rPr>
      </w:pPr>
      <w:r>
        <w:rPr>
          <w:rFonts w:ascii="Arial" w:cs="Arial" w:eastAsia="Arial" w:hAnsi="Arial"/>
          <w:sz w:val="18"/>
          <w:szCs w:val="18"/>
          <w:color w:val="auto"/>
        </w:rPr>
        <w:t>8.1.1.1 if the [*CTR] to Section 5.1 of the Exhibit A to the AGTA entitled “Buyer Furnished Equipment Provisions Document” (</w:t>
      </w:r>
      <w:r>
        <w:rPr>
          <w:rFonts w:ascii="Arial" w:cs="Arial" w:eastAsia="Arial" w:hAnsi="Arial"/>
          <w:sz w:val="18"/>
          <w:szCs w:val="18"/>
          <w:b w:val="1"/>
          <w:bCs w:val="1"/>
          <w:color w:val="auto"/>
        </w:rPr>
        <w:t>AGTA</w:t>
      </w:r>
      <w:r>
        <w:rPr>
          <w:rFonts w:ascii="Arial" w:cs="Arial" w:eastAsia="Arial" w:hAnsi="Arial"/>
          <w:sz w:val="18"/>
          <w:szCs w:val="18"/>
          <w:color w:val="auto"/>
        </w:rPr>
        <w:t xml:space="preserve"> </w:t>
      </w:r>
      <w:r>
        <w:rPr>
          <w:rFonts w:ascii="Arial" w:cs="Arial" w:eastAsia="Arial" w:hAnsi="Arial"/>
          <w:sz w:val="18"/>
          <w:szCs w:val="18"/>
          <w:b w:val="1"/>
          <w:bCs w:val="1"/>
          <w:color w:val="auto"/>
        </w:rPr>
        <w:t>Exhibit A BFE Provisions Document</w:t>
      </w:r>
      <w:r>
        <w:rPr>
          <w:rFonts w:ascii="Arial" w:cs="Arial" w:eastAsia="Arial" w:hAnsi="Arial"/>
          <w:sz w:val="18"/>
          <w:szCs w:val="18"/>
          <w:color w:val="auto"/>
        </w:rPr>
        <w:t>), then the provisions of [*CTR];</w:t>
      </w:r>
    </w:p>
    <w:p>
      <w:pPr>
        <w:spacing w:after="0" w:line="16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8.1.1.2 if the [*CTR] pursuant to Section 5.2 of the AGTA Exhibit A BFE Provisions Document, then Boeing will [*CTR];</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8.1.2 [*CTR]; and/or</w:t>
      </w:r>
    </w:p>
    <w:p>
      <w:pPr>
        <w:spacing w:after="0" w:line="117" w:lineRule="exact"/>
        <w:rPr>
          <w:sz w:val="20"/>
          <w:szCs w:val="20"/>
          <w:color w:val="auto"/>
        </w:rPr>
      </w:pPr>
    </w:p>
    <w:p>
      <w:pPr>
        <w:ind w:left="460" w:right="40" w:firstLine="438"/>
        <w:spacing w:after="0" w:line="277" w:lineRule="auto"/>
        <w:rPr>
          <w:sz w:val="20"/>
          <w:szCs w:val="20"/>
          <w:color w:val="auto"/>
        </w:rPr>
      </w:pPr>
      <w:r>
        <w:rPr>
          <w:rFonts w:ascii="Arial" w:cs="Arial" w:eastAsia="Arial" w:hAnsi="Arial"/>
          <w:sz w:val="18"/>
          <w:szCs w:val="18"/>
          <w:color w:val="auto"/>
        </w:rPr>
        <w:t>8.1.3 [*CTR] by the amount of Boeing’s [*CTR], including but not limited to, (i) [*CTR] by Boeing, (ii) any [*CTR] in accordance with [*CTR] as established by Boeing and agreed to by the [*CTR]; and (iii) [*CTR] and [*CTR] from any applicable [*CTR].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 Boeing will use [*CTR] described in Section 8.1.3. Notwithstanding the last clause of 8.1.3, Boeing has no [*CTR].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8.3 If Boeing [*CTR] set forth herein, then any [*CTR] of the Aircraft, to the [*CTR], will be the [*CTR] of Boeing.</w:t>
      </w:r>
    </w:p>
    <w:p>
      <w:pPr>
        <w:spacing w:after="0" w:line="374" w:lineRule="exact"/>
        <w:rPr>
          <w:sz w:val="20"/>
          <w:szCs w:val="20"/>
          <w:color w:val="auto"/>
        </w:rPr>
      </w:pPr>
    </w:p>
    <w:p>
      <w:pPr>
        <w:ind w:left="460" w:hanging="452"/>
        <w:spacing w:after="0"/>
        <w:tabs>
          <w:tab w:leader="none" w:pos="46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u w:val="single" w:color="auto"/>
          <w:color w:val="auto"/>
        </w:rPr>
        <w:t>Estimated [*CTR]</w:t>
      </w:r>
      <w:r>
        <w:rPr>
          <w:rFonts w:ascii="Arial" w:cs="Arial" w:eastAsia="Arial" w:hAnsi="Arial"/>
          <w:sz w:val="18"/>
          <w:szCs w:val="18"/>
          <w:color w:val="auto"/>
        </w:rPr>
        <w:t>. An [*CTR] by Boeing has been included in the Aircraft [*CTR] to establish the [*CTR] for each Aircraft. The [*CTR] in Table 1(R1) will be adjusted at time of execution of Supplemental Agreement SA-5 to [*CTR].</w:t>
      </w:r>
    </w:p>
    <w:p>
      <w:pPr>
        <w:spacing w:after="0" w:line="319" w:lineRule="exact"/>
        <w:rPr>
          <w:sz w:val="20"/>
          <w:szCs w:val="20"/>
          <w:color w:val="auto"/>
        </w:rPr>
      </w:pPr>
    </w:p>
    <w:p>
      <w:pPr>
        <w:ind w:left="460" w:hanging="452"/>
        <w:spacing w:after="0"/>
        <w:tabs>
          <w:tab w:leader="none" w:pos="46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[*CTR] will at all times [*CTR] with Customer [*CTR] and Boeing will have [*CTR] have, but will not be [*CTR].</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Confidential Treatment.</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Customer understands and agrees that 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ectPr>
          <w:pgSz w:w="11900" w:h="16838" w:orient="portrait"/>
          <w:cols w:equalWidth="0" w:num="1">
            <w:col w:w="11420"/>
          </w:cols>
          <w:pgMar w:left="240" w:top="1206" w:right="23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AAL-PA-03735-LA-1600852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LA Page 4</w:t>
      </w:r>
    </w:p>
    <w:p>
      <w:pPr>
        <w:spacing w:after="0" w:line="153" w:lineRule="exact"/>
        <w:rPr>
          <w:sz w:val="20"/>
          <w:szCs w:val="20"/>
          <w:color w:val="auto"/>
        </w:rPr>
      </w:pPr>
    </w:p>
    <w:p>
      <w:pPr>
        <w:sectPr>
          <w:pgSz w:w="11900" w:h="16838" w:orient="portrait"/>
          <w:cols w:equalWidth="0" w:num="2">
            <w:col w:w="9940" w:space="720"/>
            <w:col w:w="760"/>
          </w:cols>
          <w:pgMar w:left="240" w:top="1206"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BOEING PROPRIETARY</w:t>
      </w:r>
    </w:p>
    <w:p>
      <w:pPr>
        <w:spacing w:after="0" w:line="2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06" w:right="239" w:bottom="1440" w:gutter="0" w:footer="0" w:header="0"/>
          <w:type w:val="continuous"/>
        </w:sectPr>
      </w:pPr>
    </w:p>
    <w:bookmarkStart w:id="370" w:name="page371"/>
    <w:bookmarkEnd w:id="370"/>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629410" cy="42037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clrChange>
                        <a:clrFrom>
                          <a:srgbClr val="FFFFFF"/>
                        </a:clrFrom>
                        <a:clrTo>
                          <a:srgbClr val="FFFFFF">
                            <a:alpha val="0"/>
                          </a:srgbClr>
                        </a:clrTo>
                      </a:clrChange>
                      <a:extLst>
                        <a:ext uri="{28A0092B-C50C-407E-A947-70E740481C1C}"/>
                      </a:extLst>
                    </a:blip>
                    <a:srcRect/>
                    <a:stretch>
                      <a:fillRect/>
                    </a:stretch>
                  </pic:blipFill>
                  <pic:spPr bwMode="auto">
                    <a:xfrm>
                      <a:off x="0" y="0"/>
                      <a:ext cx="1629410" cy="420370"/>
                    </a:xfrm>
                    <a:prstGeom prst="rect">
                      <a:avLst/>
                    </a:prstGeom>
                    <a:noFill/>
                  </pic:spPr>
                </pic:pic>
              </a:graphicData>
            </a:graphic>
          </wp:anchor>
        </w:drawing>
        <w:t>Intentionally Left Blank</w:t>
      </w:r>
    </w:p>
    <w:p>
      <w:pPr>
        <w:sectPr>
          <w:pgSz w:w="11900" w:h="16838" w:orient="portrait"/>
          <w:cols w:equalWidth="0" w:num="1">
            <w:col w:w="11420"/>
          </w:cols>
          <w:pgMar w:left="240" w:top="1084" w:right="239" w:bottom="1440" w:gutter="0" w:footer="0" w:header="0"/>
        </w:sectPr>
      </w:pP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AAL-PA-03735-LA-1600852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LA Page 5</w:t>
      </w:r>
    </w:p>
    <w:p>
      <w:pPr>
        <w:spacing w:after="0" w:line="153" w:lineRule="exact"/>
        <w:rPr>
          <w:sz w:val="20"/>
          <w:szCs w:val="20"/>
          <w:color w:val="auto"/>
        </w:rPr>
      </w:pPr>
    </w:p>
    <w:p>
      <w:pPr>
        <w:sectPr>
          <w:pgSz w:w="11900" w:h="16838" w:orient="portrait"/>
          <w:cols w:equalWidth="0" w:num="2">
            <w:col w:w="9940" w:space="720"/>
            <w:col w:w="760"/>
          </w:cols>
          <w:pgMar w:left="240" w:top="1084"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BOEING PROPRIETARY</w:t>
      </w:r>
    </w:p>
    <w:p>
      <w:pPr>
        <w:spacing w:after="0" w:line="2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84" w:right="239" w:bottom="1440" w:gutter="0" w:footer="0" w:header="0"/>
          <w:type w:val="continuous"/>
        </w:sectPr>
      </w:pPr>
    </w:p>
    <w:bookmarkStart w:id="371" w:name="page372"/>
    <w:bookmarkEnd w:id="371"/>
    <w:p>
      <w:pPr>
        <w:spacing w:after="0" w:line="209" w:lineRule="auto"/>
        <w:framePr w:w="840" w:h="160" w:wrap="auto" w:vAnchor="page" w:hAnchor="page" w:x="10860" w:y="5949"/>
        <w:rPr>
          <w:rFonts w:ascii="Arial" w:cs="Arial" w:eastAsia="Arial" w:hAnsi="Arial"/>
          <w:sz w:val="16"/>
          <w:szCs w:val="16"/>
          <w:color w:val="auto"/>
        </w:rPr>
      </w:pPr>
      <w:r>
        <w:rPr>
          <w:rFonts w:ascii="Arial" w:cs="Arial" w:eastAsia="Arial" w:hAnsi="Arial"/>
          <w:sz w:val="16"/>
          <w:szCs w:val="16"/>
          <w:color w:val="auto"/>
        </w:rPr>
        <w:t>LA Page 6</w:t>
      </w:r>
    </w:p>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29410" cy="42037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clrChange>
                        <a:clrFrom>
                          <a:srgbClr val="FFFFFF"/>
                        </a:clrFrom>
                        <a:clrTo>
                          <a:srgbClr val="FFFFFF">
                            <a:alpha val="0"/>
                          </a:srgbClr>
                        </a:clrTo>
                      </a:clrChange>
                      <a:extLst>
                        <a:ext uri="{28A0092B-C50C-407E-A947-70E740481C1C}"/>
                      </a:extLst>
                    </a:blip>
                    <a:srcRect/>
                    <a:stretch>
                      <a:fillRect/>
                    </a:stretch>
                  </pic:blipFill>
                  <pic:spPr bwMode="auto">
                    <a:xfrm>
                      <a:off x="0" y="0"/>
                      <a:ext cx="1629410" cy="420370"/>
                    </a:xfrm>
                    <a:prstGeom prst="rect">
                      <a:avLst/>
                    </a:prstGeom>
                    <a:noFill/>
                  </pic:spPr>
                </pic:pic>
              </a:graphicData>
            </a:graphic>
          </wp:anchor>
        </w:drawing>
        <w:t>If the foregoing correctly sets forth your understanding of our agreement with respect to the matters treated above, please indicate your acceptance and approval below.</w:t>
      </w:r>
    </w:p>
    <w:p>
      <w:pPr>
        <w:spacing w:after="0" w:line="17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Very truly yours,</w:t>
      </w:r>
    </w:p>
    <w:p>
      <w:pPr>
        <w:spacing w:after="0" w:line="252"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THE BOEING COMPANY</w:t>
      </w:r>
    </w:p>
    <w:p>
      <w:pPr>
        <w:spacing w:after="0" w:line="225"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 Boeing Company</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r>
    </w:tbl>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August 8, 2016</w:t>
            </w:r>
          </w:p>
        </w:tc>
      </w:tr>
      <w:tr>
        <w:trPr>
          <w:trHeight w:val="439"/>
        </w:trPr>
        <w:tc>
          <w:tcPr>
            <w:tcW w:w="4580" w:type="dxa"/>
            <w:vAlign w:val="bottom"/>
            <w:gridSpan w:val="2"/>
          </w:tcPr>
          <w:p>
            <w:pPr>
              <w:spacing w:after="0"/>
              <w:rPr>
                <w:sz w:val="20"/>
                <w:szCs w:val="20"/>
                <w:color w:val="auto"/>
              </w:rPr>
            </w:pPr>
            <w:r>
              <w:rPr>
                <w:rFonts w:ascii="Arial" w:cs="Arial" w:eastAsia="Arial" w:hAnsi="Arial"/>
                <w:sz w:val="18"/>
                <w:szCs w:val="18"/>
                <w:color w:val="auto"/>
              </w:rPr>
              <w:t>AMERICAN AIRLINES,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&amp; Treasurer</w:t>
            </w:r>
          </w:p>
        </w:tc>
      </w:tr>
    </w:tbl>
    <w:p>
      <w:pPr>
        <w:spacing w:after="0" w:line="148" w:lineRule="exact"/>
        <w:rPr>
          <w:rFonts w:ascii="Arial" w:cs="Arial" w:eastAsia="Arial" w:hAnsi="Arial"/>
          <w:sz w:val="16"/>
          <w:szCs w:val="16"/>
          <w:color w:val="auto"/>
        </w:rPr>
      </w:pPr>
    </w:p>
    <w:p>
      <w:pPr>
        <w:ind w:right="8700"/>
        <w:spacing w:after="0" w:line="277" w:lineRule="auto"/>
        <w:rPr>
          <w:sz w:val="20"/>
          <w:szCs w:val="20"/>
          <w:color w:val="auto"/>
        </w:rPr>
      </w:pPr>
      <w:r>
        <w:rPr>
          <w:rFonts w:ascii="Arial" w:cs="Arial" w:eastAsia="Arial" w:hAnsi="Arial"/>
          <w:sz w:val="18"/>
          <w:szCs w:val="18"/>
          <w:color w:val="auto"/>
        </w:rPr>
        <w:t>AAL-PA-03735-LA-1600852 [*CTR]</w:t>
      </w:r>
    </w:p>
    <w:p>
      <w:pPr>
        <w:spacing w:after="0" w:line="76" w:lineRule="exact"/>
        <w:rPr>
          <w:rFonts w:ascii="Arial" w:cs="Arial" w:eastAsia="Arial" w:hAnsi="Arial"/>
          <w:sz w:val="16"/>
          <w:szCs w:val="16"/>
          <w:color w:val="auto"/>
        </w:rPr>
      </w:pPr>
    </w:p>
    <w:p>
      <w:pPr>
        <w:ind w:left="4740"/>
        <w:spacing w:after="0"/>
        <w:rPr>
          <w:sz w:val="20"/>
          <w:szCs w:val="20"/>
          <w:color w:val="auto"/>
        </w:rPr>
      </w:pPr>
      <w:r>
        <w:rPr>
          <w:rFonts w:ascii="Arial" w:cs="Arial" w:eastAsia="Arial" w:hAnsi="Arial"/>
          <w:sz w:val="18"/>
          <w:szCs w:val="18"/>
          <w:color w:val="auto"/>
        </w:rPr>
        <w:t>BOEING PROPRIETARY</w:t>
      </w:r>
    </w:p>
    <w:p>
      <w:pPr>
        <w:spacing w:after="0" w:line="23" w:lineRule="exact"/>
        <w:rPr>
          <w:rFonts w:ascii="Arial" w:cs="Arial" w:eastAsia="Arial" w:hAnsi="Arial"/>
          <w:sz w:val="16"/>
          <w:szCs w:val="16"/>
          <w:color w:val="auto"/>
        </w:rPr>
      </w:pPr>
    </w:p>
    <w:p>
      <w:pPr>
        <w:ind w:right="20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0860"/>
          </w:cols>
          <w:pgMar w:left="240" w:top="1084" w:right="79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29410" cy="42037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clrChange>
                        <a:clrFrom>
                          <a:srgbClr val="FFFFFF"/>
                        </a:clrFrom>
                        <a:clrTo>
                          <a:srgbClr val="FFFFFF">
                            <a:alpha val="0"/>
                          </a:srgbClr>
                        </a:clrTo>
                      </a:clrChange>
                      <a:extLst>
                        <a:ext uri="{28A0092B-C50C-407E-A947-70E740481C1C}"/>
                      </a:extLst>
                    </a:blip>
                    <a:srcRect/>
                    <a:stretch>
                      <a:fillRect/>
                    </a:stretch>
                  </pic:blipFill>
                  <pic:spPr bwMode="auto">
                    <a:xfrm>
                      <a:off x="0" y="0"/>
                      <a:ext cx="1629410" cy="420370"/>
                    </a:xfrm>
                    <a:prstGeom prst="rect">
                      <a:avLst/>
                    </a:prstGeom>
                    <a:noFill/>
                  </pic:spPr>
                </pic:pic>
              </a:graphicData>
            </a:graphic>
          </wp:anchor>
        </w:drawing>
        <w:t>Attachment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[*CTR]</w:t>
      </w:r>
    </w:p>
    <w:p>
      <w:pPr>
        <w:spacing w:after="0" w:line="21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following [*CTR] describe(s) the items of equipment that under the terms and conditions of this Letter Agreement are considered to be [*CTR]. Each such [*CTR] is fully described in the [*CTR] as described in Exhibit A to the Purchase Agreement. Final configuration will be based on Customer acceptance of any or all [*CTR] listed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[*CTR] Number and Title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CTR</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*CTR</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*CTR</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*CTR</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*CTR</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*CTR</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*CTR</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*CTR</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ectPr>
          <w:pgSz w:w="11900" w:h="16838" w:orient="portrait"/>
          <w:cols w:equalWidth="0" w:num="1">
            <w:col w:w="11420"/>
          </w:cols>
          <w:pgMar w:left="240" w:top="1080" w:right="23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AAL-PA-03735-LA-1600852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LA Page 7</w:t>
      </w:r>
    </w:p>
    <w:p>
      <w:pPr>
        <w:spacing w:after="0" w:line="153" w:lineRule="exact"/>
        <w:rPr>
          <w:sz w:val="20"/>
          <w:szCs w:val="20"/>
          <w:color w:val="auto"/>
        </w:rPr>
      </w:pPr>
    </w:p>
    <w:p>
      <w:pPr>
        <w:sectPr>
          <w:pgSz w:w="11900" w:h="16838" w:orient="portrait"/>
          <w:cols w:equalWidth="0" w:num="2">
            <w:col w:w="9940" w:space="720"/>
            <w:col w:w="760"/>
          </w:cols>
          <w:pgMar w:left="240" w:top="108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BOEING PROPRIETARY</w:t>
      </w:r>
    </w:p>
    <w:p>
      <w:pPr>
        <w:spacing w:after="0" w:line="2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80" w:right="239" w:bottom="1440" w:gutter="0" w:footer="0" w:header="0"/>
          <w:type w:val="continuous"/>
        </w:sectPr>
      </w:pPr>
    </w:p>
    <w:bookmarkStart w:id="373" w:name="page374"/>
    <w:bookmarkEnd w:id="3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29410" cy="42037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clrChange>
                        <a:clrFrom>
                          <a:srgbClr val="FFFFFF"/>
                        </a:clrFrom>
                        <a:clrTo>
                          <a:srgbClr val="FFFFFF">
                            <a:alpha val="0"/>
                          </a:srgbClr>
                        </a:clrTo>
                      </a:clrChange>
                      <a:extLst>
                        <a:ext uri="{28A0092B-C50C-407E-A947-70E740481C1C}"/>
                      </a:extLst>
                    </a:blip>
                    <a:srcRect/>
                    <a:stretch>
                      <a:fillRect/>
                    </a:stretch>
                  </pic:blipFill>
                  <pic:spPr bwMode="auto">
                    <a:xfrm>
                      <a:off x="0" y="0"/>
                      <a:ext cx="1629410" cy="420370"/>
                    </a:xfrm>
                    <a:prstGeom prst="rect">
                      <a:avLst/>
                    </a:prstGeom>
                    <a:noFill/>
                  </pic:spPr>
                </pic:pic>
              </a:graphicData>
            </a:graphic>
          </wp:anchor>
        </w:drawing>
        <w:t>Attachment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*CTR</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Attachment B describes the functions that Boeing will perform as [*CTR] to support (i) the [*CTR] and (ii) the [*CTR] on the Aircraft.</w:t>
      </w:r>
    </w:p>
    <w:p>
      <w:pPr>
        <w:spacing w:after="0" w:line="374" w:lineRule="exact"/>
        <w:rPr>
          <w:sz w:val="20"/>
          <w:szCs w:val="20"/>
          <w:color w:val="auto"/>
        </w:rPr>
      </w:pPr>
    </w:p>
    <w:p>
      <w:pPr>
        <w:ind w:left="460" w:hanging="452"/>
        <w:spacing w:after="0"/>
        <w:tabs>
          <w:tab w:leader="none" w:pos="46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Boeing will perform the following functions [*CTR]. Boeing will have [*CTR] which, in Boeing’s reasonable opinion, [*CTR]. Boeing will be [*CTR]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for:</w:t>
      </w:r>
    </w:p>
    <w:p>
      <w:pPr>
        <w:spacing w:after="0" w:line="116" w:lineRule="exact"/>
        <w:rPr>
          <w:sz w:val="20"/>
          <w:szCs w:val="20"/>
          <w:color w:val="auto"/>
        </w:rPr>
      </w:pPr>
    </w:p>
    <w:p>
      <w:pPr>
        <w:ind w:left="1480" w:hanging="567"/>
        <w:spacing w:after="0"/>
        <w:tabs>
          <w:tab w:leader="none" w:pos="14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[*CTR];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[*CTR].</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Boeing’s [*CTR] will include the functions of [*CTR]. As [*CTR], Boeing will perform the following functions: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as required, [*CTR];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[*CTR] Boeing, Customer and [*CTR];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[*CTR].</w:t>
      </w:r>
    </w:p>
    <w:p>
      <w:pPr>
        <w:spacing w:after="0" w:line="373" w:lineRule="exact"/>
        <w:rPr>
          <w:rFonts w:ascii="Arial" w:cs="Arial" w:eastAsia="Arial" w:hAnsi="Arial"/>
          <w:sz w:val="18"/>
          <w:szCs w:val="18"/>
          <w:color w:val="auto"/>
        </w:rPr>
      </w:pPr>
    </w:p>
    <w:p>
      <w:pPr>
        <w:ind w:left="460" w:hanging="452"/>
        <w:spacing w:after="0"/>
        <w:tabs>
          <w:tab w:leader="none" w:pos="46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Boeing will [*CTR].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The [*CTR] and Boeing.</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The [*CTR].</w:t>
      </w:r>
    </w:p>
    <w:p>
      <w:pPr>
        <w:sectPr>
          <w:pgSz w:w="11900" w:h="16838" w:orient="portrait"/>
          <w:cols w:equalWidth="0" w:num="1">
            <w:col w:w="11420"/>
          </w:cols>
          <w:pgMar w:left="240" w:top="1080" w:right="23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AAL-PA-03735-LA-1600852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color w:val="auto"/>
        </w:rPr>
        <w:t>LA Page 8</w:t>
      </w:r>
    </w:p>
    <w:p>
      <w:pPr>
        <w:spacing w:after="0" w:line="153" w:lineRule="exact"/>
        <w:rPr>
          <w:sz w:val="20"/>
          <w:szCs w:val="20"/>
          <w:color w:val="auto"/>
        </w:rPr>
      </w:pPr>
    </w:p>
    <w:p>
      <w:pPr>
        <w:sectPr>
          <w:pgSz w:w="11900" w:h="16838" w:orient="portrait"/>
          <w:cols w:equalWidth="0" w:num="2">
            <w:col w:w="9940" w:space="720"/>
            <w:col w:w="760"/>
          </w:cols>
          <w:pgMar w:left="240" w:top="108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color w:val="auto"/>
        </w:rPr>
        <w:t>BOEING PROPRIETARY</w:t>
      </w:r>
    </w:p>
    <w:p>
      <w:pPr>
        <w:spacing w:after="0" w:line="23"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80" w:right="239" w:bottom="1440" w:gutter="0" w:footer="0" w:header="0"/>
          <w:type w:val="continuous"/>
        </w:sectPr>
      </w:pPr>
    </w:p>
    <w:bookmarkStart w:id="374" w:name="page375"/>
    <w:bookmarkEnd w:id="374"/>
    <w:p>
      <w:pPr>
        <w:ind w:left="8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629410" cy="42037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629410" cy="420370"/>
                    </a:xfrm>
                    <a:prstGeom prst="rect">
                      <a:avLst/>
                    </a:prstGeom>
                    <a:noFill/>
                  </pic:spPr>
                </pic:pic>
              </a:graphicData>
            </a:graphic>
          </wp:anchor>
        </w:drawing>
      </w:r>
    </w:p>
    <w:p>
      <w:pPr>
        <w:spacing w:after="0" w:line="3"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P.O. Box 3707</w:t>
      </w:r>
    </w:p>
    <w:p>
      <w:pPr>
        <w:spacing w:after="0" w:line="9" w:lineRule="exact"/>
        <w:rPr>
          <w:sz w:val="20"/>
          <w:szCs w:val="20"/>
          <w:color w:val="auto"/>
        </w:rPr>
      </w:pPr>
    </w:p>
    <w:p>
      <w:pPr>
        <w:ind w:left="8700"/>
        <w:spacing w:after="0"/>
        <w:rPr>
          <w:sz w:val="20"/>
          <w:szCs w:val="20"/>
          <w:color w:val="auto"/>
        </w:rPr>
      </w:pPr>
      <w:r>
        <w:rPr>
          <w:rFonts w:ascii="Arial" w:cs="Arial" w:eastAsia="Arial" w:hAnsi="Arial"/>
          <w:sz w:val="16"/>
          <w:szCs w:val="16"/>
          <w:color w:val="auto"/>
        </w:rPr>
        <w:t>Seattle, WA 98124-2207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AAL-PA-03735-LA-1603773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American Airlines,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619616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Dallas-Fort Worth Airport, Texas 75261-9616</w:t>
      </w:r>
    </w:p>
    <w:p>
      <w:pPr>
        <w:sectPr>
          <w:pgSz w:w="11900" w:h="16838" w:orient="portrait"/>
          <w:cols w:equalWidth="0" w:num="1">
            <w:col w:w="11420"/>
          </w:cols>
          <w:pgMar w:left="240" w:top="274" w:right="239" w:bottom="1440" w:gutter="0" w:footer="0" w:header="0"/>
        </w:sectPr>
      </w:pP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Subject: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131" w:lineRule="exact"/>
        <w:rPr>
          <w:sz w:val="20"/>
          <w:szCs w:val="20"/>
          <w:color w:val="auto"/>
        </w:rPr>
      </w:pPr>
    </w:p>
    <w:p>
      <w:pPr>
        <w:sectPr>
          <w:pgSz w:w="11900" w:h="16838" w:orient="portrait"/>
          <w:cols w:equalWidth="0" w:num="2">
            <w:col w:w="660" w:space="720"/>
            <w:col w:w="1004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Purchase Agreement No. 03735 (</w:t>
      </w:r>
      <w:r>
        <w:rPr>
          <w:rFonts w:ascii="Arial" w:cs="Arial" w:eastAsia="Arial" w:hAnsi="Arial"/>
          <w:sz w:val="16"/>
          <w:szCs w:val="16"/>
          <w:b w:val="1"/>
          <w:bCs w:val="1"/>
          <w:i w:val="1"/>
          <w:iCs w:val="1"/>
          <w:color w:val="auto"/>
        </w:rPr>
        <w:t>Purchase Agreement)</w:t>
      </w:r>
      <w:r>
        <w:rPr>
          <w:rFonts w:ascii="Arial" w:cs="Arial" w:eastAsia="Arial" w:hAnsi="Arial"/>
          <w:sz w:val="16"/>
          <w:szCs w:val="16"/>
          <w:color w:val="auto"/>
        </w:rPr>
        <w:t xml:space="preserve"> between The Boeing Company (</w:t>
      </w:r>
      <w:r>
        <w:rPr>
          <w:rFonts w:ascii="Arial" w:cs="Arial" w:eastAsia="Arial" w:hAnsi="Arial"/>
          <w:sz w:val="16"/>
          <w:szCs w:val="16"/>
          <w:b w:val="1"/>
          <w:bCs w:val="1"/>
          <w:i w:val="1"/>
          <w:iCs w:val="1"/>
          <w:color w:val="auto"/>
        </w:rPr>
        <w:t>Boeing</w:t>
      </w:r>
      <w:r>
        <w:rPr>
          <w:rFonts w:ascii="Arial" w:cs="Arial" w:eastAsia="Arial" w:hAnsi="Arial"/>
          <w:sz w:val="16"/>
          <w:szCs w:val="16"/>
          <w:color w:val="auto"/>
        </w:rPr>
        <w:t>) and American Airlines, Inc. (</w:t>
      </w:r>
      <w:r>
        <w:rPr>
          <w:rFonts w:ascii="Arial" w:cs="Arial" w:eastAsia="Arial" w:hAnsi="Arial"/>
          <w:sz w:val="16"/>
          <w:szCs w:val="16"/>
          <w:b w:val="1"/>
          <w:bCs w:val="1"/>
          <w:i w:val="1"/>
          <w:iCs w:val="1"/>
          <w:color w:val="auto"/>
        </w:rPr>
        <w:t>Customer</w:t>
      </w:r>
      <w:r>
        <w:rPr>
          <w:rFonts w:ascii="Arial" w:cs="Arial" w:eastAsia="Arial" w:hAnsi="Arial"/>
          <w:sz w:val="16"/>
          <w:szCs w:val="16"/>
          <w:color w:val="auto"/>
        </w:rPr>
        <w: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relating to Model 737 MAX aircraft (</w:t>
      </w:r>
      <w:r>
        <w:rPr>
          <w:rFonts w:ascii="Arial" w:cs="Arial" w:eastAsia="Arial" w:hAnsi="Arial"/>
          <w:sz w:val="18"/>
          <w:szCs w:val="18"/>
          <w:b w:val="1"/>
          <w:bCs w:val="1"/>
          <w:i w:val="1"/>
          <w:iCs w:val="1"/>
          <w:color w:val="auto"/>
        </w:rPr>
        <w:t>Aircraft</w:t>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80" w:space="600"/>
            <w:col w:w="10040"/>
          </w:cols>
          <w:pgMar w:left="240" w:top="274" w:right="239" w:bottom="1440" w:gutter="0" w:footer="0" w:header="0"/>
          <w:type w:val="continuous"/>
        </w:sectPr>
      </w:pPr>
    </w:p>
    <w:p>
      <w:pPr>
        <w:spacing w:after="0" w:line="11"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letter agreement (</w:t>
      </w:r>
      <w:r>
        <w:rPr>
          <w:rFonts w:ascii="Arial" w:cs="Arial" w:eastAsia="Arial" w:hAnsi="Arial"/>
          <w:sz w:val="18"/>
          <w:szCs w:val="18"/>
          <w:b w:val="1"/>
          <w:bCs w:val="1"/>
          <w:i w:val="1"/>
          <w:iCs w:val="1"/>
          <w:color w:val="auto"/>
        </w:rPr>
        <w:t>Letter Agreement)</w:t>
      </w:r>
      <w:r>
        <w:rPr>
          <w:rFonts w:ascii="Arial" w:cs="Arial" w:eastAsia="Arial" w:hAnsi="Arial"/>
          <w:sz w:val="18"/>
          <w:szCs w:val="18"/>
          <w:color w:val="auto"/>
        </w:rPr>
        <w:t xml:space="preserve"> amends and supplements the Purchase Agreement. All terms used but not defined in this Letter Agreement shall have the same meaning as in the Purchase Agreement.</w:t>
      </w:r>
    </w:p>
    <w:p>
      <w:pPr>
        <w:spacing w:after="0" w:line="319" w:lineRule="exact"/>
        <w:rPr>
          <w:sz w:val="20"/>
          <w:szCs w:val="20"/>
          <w:color w:val="auto"/>
        </w:rPr>
      </w:pPr>
    </w:p>
    <w:p>
      <w:pPr>
        <w:ind w:left="460" w:hanging="452"/>
        <w:spacing w:after="0"/>
        <w:tabs>
          <w:tab w:leader="none" w:pos="46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1.1 In consideration of Customer [*CTR] on the 737 MAX aircraft, at the time of delivery of each Boeing Model 737-8 MAX aircraft [*CTR] in which Customer [*CTR] to Letter Agreement No. AAL-PA-03735-LA-110651 entitled “[</w:t>
      </w:r>
      <w:r>
        <w:rPr>
          <w:rFonts w:ascii="Arial" w:cs="Arial" w:eastAsia="Arial" w:hAnsi="Arial"/>
          <w:sz w:val="18"/>
          <w:szCs w:val="18"/>
          <w:u w:val="single" w:color="auto"/>
          <w:color w:val="auto"/>
        </w:rPr>
        <w:t>*CTR]</w:t>
      </w:r>
      <w:r>
        <w:rPr>
          <w:rFonts w:ascii="Arial" w:cs="Arial" w:eastAsia="Arial" w:hAnsi="Arial"/>
          <w:sz w:val="18"/>
          <w:szCs w:val="18"/>
          <w:color w:val="auto"/>
        </w:rPr>
        <w:t>”, if Customer [*CTR] contained in MP [*CTR] entitled [*CTR] and more particularly identified in the table below, Boeing [*CTR].</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40" w:type="dxa"/>
            <w:vAlign w:val="bottom"/>
            <w:gridSpan w:val="2"/>
          </w:tcPr>
          <w:p>
            <w:pPr>
              <w:ind w:left="1220"/>
              <w:spacing w:after="0"/>
              <w:rPr>
                <w:sz w:val="20"/>
                <w:szCs w:val="20"/>
                <w:color w:val="auto"/>
              </w:rPr>
            </w:pPr>
            <w:r>
              <w:rPr>
                <w:rFonts w:ascii="Arial" w:cs="Arial" w:eastAsia="Arial" w:hAnsi="Arial"/>
                <w:sz w:val="14"/>
                <w:szCs w:val="14"/>
                <w:color w:val="auto"/>
              </w:rPr>
              <w:t>[*CTR]</w:t>
            </w:r>
          </w:p>
        </w:tc>
        <w:tc>
          <w:tcPr>
            <w:tcW w:w="0" w:type="dxa"/>
            <w:vAlign w:val="bottom"/>
          </w:tcPr>
          <w:p>
            <w:pPr>
              <w:spacing w:after="0"/>
              <w:rPr>
                <w:sz w:val="1"/>
                <w:szCs w:val="1"/>
                <w:color w:val="auto"/>
              </w:rPr>
            </w:pPr>
          </w:p>
        </w:tc>
      </w:tr>
      <w:tr>
        <w:trPr>
          <w:trHeight w:val="156"/>
        </w:trPr>
        <w:tc>
          <w:tcPr>
            <w:tcW w:w="720" w:type="dxa"/>
            <w:vAlign w:val="bottom"/>
          </w:tcPr>
          <w:p>
            <w:pPr>
              <w:spacing w:after="0"/>
              <w:rPr>
                <w:sz w:val="13"/>
                <w:szCs w:val="13"/>
                <w:color w:val="auto"/>
              </w:rPr>
            </w:pPr>
          </w:p>
        </w:tc>
        <w:tc>
          <w:tcPr>
            <w:tcW w:w="1020" w:type="dxa"/>
            <w:vAlign w:val="bottom"/>
            <w:vMerge w:val="restart"/>
          </w:tcPr>
          <w:p>
            <w:pPr>
              <w:jc w:val="right"/>
              <w:ind w:right="19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920" w:type="dxa"/>
            <w:vAlign w:val="bottom"/>
            <w:tcBorders>
              <w:top w:val="single" w:sz="8" w:color="auto"/>
            </w:tcBorders>
            <w:gridSpan w:val="3"/>
          </w:tcPr>
          <w:p>
            <w:pPr>
              <w:jc w:val="right"/>
              <w:ind w:right="1080"/>
              <w:spacing w:after="0" w:line="155" w:lineRule="exact"/>
              <w:rPr>
                <w:sz w:val="20"/>
                <w:szCs w:val="20"/>
                <w:color w:val="auto"/>
              </w:rPr>
            </w:pPr>
            <w:r>
              <w:rPr>
                <w:rFonts w:ascii="Arial" w:cs="Arial" w:eastAsia="Arial" w:hAnsi="Arial"/>
                <w:sz w:val="14"/>
                <w:szCs w:val="14"/>
                <w:color w:val="auto"/>
              </w:rPr>
              <w:t>Description</w:t>
            </w:r>
          </w:p>
        </w:tc>
        <w:tc>
          <w:tcPr>
            <w:tcW w:w="5480" w:type="dxa"/>
            <w:vAlign w:val="bottom"/>
            <w:tcBorders>
              <w:top w:val="single" w:sz="8" w:color="auto"/>
            </w:tcBorders>
          </w:tcPr>
          <w:p>
            <w:pPr>
              <w:ind w:left="2340"/>
              <w:spacing w:after="0" w:line="155" w:lineRule="exact"/>
              <w:rPr>
                <w:sz w:val="20"/>
                <w:szCs w:val="20"/>
                <w:color w:val="auto"/>
              </w:rPr>
            </w:pPr>
            <w:r>
              <w:rPr>
                <w:rFonts w:ascii="Arial" w:cs="Arial" w:eastAsia="Arial" w:hAnsi="Arial"/>
                <w:sz w:val="14"/>
                <w:szCs w:val="14"/>
                <w:color w:val="auto"/>
              </w:rPr>
              <w:t>Workscope</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[*CTR]</w:t>
            </w:r>
          </w:p>
        </w:tc>
        <w:tc>
          <w:tcPr>
            <w:tcW w:w="15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54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[*CTR]</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[*CTR]</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3</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[*CTR]</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432"/>
        </w:trPr>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0700" w:type="dxa"/>
            <w:vAlign w:val="bottom"/>
            <w:gridSpan w:val="8"/>
          </w:tcPr>
          <w:p>
            <w:pPr>
              <w:ind w:left="20"/>
              <w:spacing w:after="0"/>
              <w:rPr>
                <w:sz w:val="20"/>
                <w:szCs w:val="20"/>
                <w:color w:val="auto"/>
              </w:rPr>
            </w:pPr>
            <w:r>
              <w:rPr>
                <w:rFonts w:ascii="Arial" w:cs="Arial" w:eastAsia="Arial" w:hAnsi="Arial"/>
                <w:sz w:val="18"/>
                <w:szCs w:val="18"/>
                <w:color w:val="auto"/>
              </w:rPr>
              <w:t>In order to [*CTR] set forth in paragraph 1.1., above, Customer [*CTR] on the applicable Aircraft.</w:t>
            </w:r>
          </w:p>
        </w:tc>
        <w:tc>
          <w:tcPr>
            <w:tcW w:w="0" w:type="dxa"/>
            <w:vAlign w:val="bottom"/>
          </w:tcPr>
          <w:p>
            <w:pPr>
              <w:spacing w:after="0"/>
              <w:rPr>
                <w:sz w:val="1"/>
                <w:szCs w:val="1"/>
                <w:color w:val="auto"/>
              </w:rPr>
            </w:pPr>
          </w:p>
        </w:tc>
      </w:tr>
      <w:tr>
        <w:trPr>
          <w:trHeight w:val="432"/>
        </w:trPr>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10700" w:type="dxa"/>
            <w:vAlign w:val="bottom"/>
            <w:gridSpan w:val="8"/>
          </w:tcPr>
          <w:p>
            <w:pPr>
              <w:ind w:left="20"/>
              <w:spacing w:after="0"/>
              <w:rPr>
                <w:sz w:val="20"/>
                <w:szCs w:val="20"/>
                <w:color w:val="auto"/>
              </w:rPr>
            </w:pPr>
            <w:r>
              <w:rPr>
                <w:rFonts w:ascii="Arial" w:cs="Arial" w:eastAsia="Arial" w:hAnsi="Arial"/>
                <w:sz w:val="18"/>
                <w:szCs w:val="18"/>
                <w:color w:val="auto"/>
              </w:rPr>
              <w:t>The [*CTR] will be [*CTR] set forth in Supplement Exhibit AE1 to the Purchase Agreement.</w:t>
            </w:r>
          </w:p>
        </w:tc>
        <w:tc>
          <w:tcPr>
            <w:tcW w:w="0" w:type="dxa"/>
            <w:vAlign w:val="bottom"/>
          </w:tcPr>
          <w:p>
            <w:pPr>
              <w:spacing w:after="0"/>
              <w:rPr>
                <w:sz w:val="1"/>
                <w:szCs w:val="1"/>
                <w:color w:val="auto"/>
              </w:rPr>
            </w:pPr>
          </w:p>
        </w:tc>
      </w:tr>
      <w:tr>
        <w:trPr>
          <w:trHeight w:val="432"/>
        </w:trPr>
        <w:tc>
          <w:tcPr>
            <w:tcW w:w="720" w:type="dxa"/>
            <w:vAlign w:val="bottom"/>
          </w:tcPr>
          <w:p>
            <w:pPr>
              <w:jc w:val="right"/>
              <w:spacing w:after="0"/>
              <w:rPr>
                <w:sz w:val="20"/>
                <w:szCs w:val="20"/>
                <w:color w:val="auto"/>
              </w:rPr>
            </w:pPr>
            <w:r>
              <w:rPr>
                <w:rFonts w:ascii="Arial" w:cs="Arial" w:eastAsia="Arial" w:hAnsi="Arial"/>
                <w:sz w:val="18"/>
                <w:szCs w:val="18"/>
                <w:color w:val="auto"/>
              </w:rPr>
              <w:t>1.4</w:t>
            </w:r>
          </w:p>
        </w:tc>
        <w:tc>
          <w:tcPr>
            <w:tcW w:w="10700" w:type="dxa"/>
            <w:vAlign w:val="bottom"/>
            <w:gridSpan w:val="8"/>
          </w:tcPr>
          <w:p>
            <w:pPr>
              <w:ind w:left="20"/>
              <w:spacing w:after="0"/>
              <w:rPr>
                <w:sz w:val="20"/>
                <w:szCs w:val="20"/>
                <w:color w:val="auto"/>
              </w:rPr>
            </w:pPr>
            <w:r>
              <w:rPr>
                <w:rFonts w:ascii="Arial" w:cs="Arial" w:eastAsia="Arial" w:hAnsi="Arial"/>
                <w:sz w:val="18"/>
                <w:szCs w:val="18"/>
                <w:color w:val="auto"/>
              </w:rPr>
              <w:t>Customer will be [*CTR], in whole or in part, (i) [*CTR], and/or (ii) [*CTR].</w:t>
            </w:r>
          </w:p>
        </w:tc>
        <w:tc>
          <w:tcPr>
            <w:tcW w:w="0" w:type="dxa"/>
            <w:vAlign w:val="bottom"/>
          </w:tcPr>
          <w:p>
            <w:pPr>
              <w:spacing w:after="0"/>
              <w:rPr>
                <w:sz w:val="1"/>
                <w:szCs w:val="1"/>
                <w:color w:val="auto"/>
              </w:rPr>
            </w:pPr>
          </w:p>
        </w:tc>
      </w:tr>
      <w:tr>
        <w:trPr>
          <w:trHeight w:val="350"/>
        </w:trPr>
        <w:tc>
          <w:tcPr>
            <w:tcW w:w="2660" w:type="dxa"/>
            <w:vAlign w:val="bottom"/>
            <w:gridSpan w:val="4"/>
          </w:tcPr>
          <w:p>
            <w:pPr>
              <w:spacing w:after="0"/>
              <w:rPr>
                <w:sz w:val="20"/>
                <w:szCs w:val="20"/>
                <w:color w:val="auto"/>
              </w:rPr>
            </w:pPr>
            <w:r>
              <w:rPr>
                <w:rFonts w:ascii="Arial" w:cs="Arial" w:eastAsia="Arial" w:hAnsi="Arial"/>
                <w:sz w:val="18"/>
                <w:szCs w:val="18"/>
                <w:color w:val="auto"/>
              </w:rPr>
              <w:t>AAL-PA-03735-LA-1603773</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SA-5</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[*CTR]</w:t>
            </w: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LA Page 1 of 3</w:t>
            </w: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type w:val="continuous"/>
        </w:sectPr>
      </w:pPr>
    </w:p>
    <w:bookmarkStart w:id="375" w:name="page376"/>
    <w:bookmarkEnd w:id="375"/>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182880</wp:posOffset>
            </wp:positionV>
            <wp:extent cx="1629410" cy="42037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clrChange>
                        <a:clrFrom>
                          <a:srgbClr val="FFFFFF"/>
                        </a:clrFrom>
                        <a:clrTo>
                          <a:srgbClr val="FFFFFF">
                            <a:alpha val="0"/>
                          </a:srgbClr>
                        </a:clrTo>
                      </a:clrChange>
                      <a:extLst>
                        <a:ext uri="{28A0092B-C50C-407E-A947-70E740481C1C}"/>
                      </a:extLst>
                    </a:blip>
                    <a:srcRect/>
                    <a:stretch>
                      <a:fillRect/>
                    </a:stretch>
                  </pic:blipFill>
                  <pic:spPr bwMode="auto">
                    <a:xfrm>
                      <a:off x="0" y="0"/>
                      <a:ext cx="1629410" cy="420370"/>
                    </a:xfrm>
                    <a:prstGeom prst="rect">
                      <a:avLst/>
                    </a:prstGeom>
                    <a:noFill/>
                  </pic:spPr>
                </pic:pic>
              </a:graphicData>
            </a:graphic>
          </wp:anchor>
        </w:drawing>
      </w:r>
    </w:p>
    <w:p>
      <w:pPr>
        <w:ind w:left="460" w:hanging="452"/>
        <w:spacing w:after="0"/>
        <w:tabs>
          <w:tab w:leader="none" w:pos="46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*CTR</w:t>
      </w:r>
      <w:r>
        <w:rPr>
          <w:rFonts w:ascii="Arial" w:cs="Arial" w:eastAsia="Arial" w:hAnsi="Arial"/>
          <w:sz w:val="18"/>
          <w:szCs w:val="18"/>
          <w:color w:val="auto"/>
        </w:rPr>
        <w:t>].</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Additionally, if Customer [*CTR], in the event the [*CTR], Boeing will [*CTR]. The [*CTR] purchased by Customer until the [*CTR] of the Aircraft at which [*CTR].</w:t>
      </w:r>
    </w:p>
    <w:p>
      <w:pPr>
        <w:spacing w:after="0" w:line="319" w:lineRule="exact"/>
        <w:rPr>
          <w:sz w:val="20"/>
          <w:szCs w:val="20"/>
          <w:color w:val="auto"/>
        </w:rPr>
      </w:pPr>
    </w:p>
    <w:p>
      <w:pPr>
        <w:ind w:left="460" w:hanging="452"/>
        <w:spacing w:after="0"/>
        <w:tabs>
          <w:tab w:leader="none" w:pos="46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Customer understands and agrees that the information contained herein represents confidential business information and has value precisely because it is not available generally or to other parties. This Letter Agreement shall be subject to the terms and conditions of Letter Agreement No. AAL-PA-03735-LA-1106670 entitled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330" w:lineRule="exact"/>
        <w:rPr>
          <w:sz w:val="20"/>
          <w:szCs w:val="20"/>
          <w:color w:val="auto"/>
        </w:rPr>
      </w:pPr>
    </w:p>
    <w:p>
      <w:pPr>
        <w:ind w:left="460" w:hanging="452"/>
        <w:spacing w:after="0"/>
        <w:tabs>
          <w:tab w:leader="none" w:pos="46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Notwithstanding any other provisions of the Purchase Agreement, the rights and obligations described in this Letter Agreement are provided to Customer in consideration of Customer’s becoming the operator of the Aircraft and cannot be assigned, in whole or in part, without the prior written consent of Boeing, except to the extent permissible under the terms of the AGTA.</w:t>
      </w:r>
    </w:p>
    <w:p>
      <w:pPr>
        <w:sectPr>
          <w:pgSz w:w="11900" w:h="16838" w:orient="portrait"/>
          <w:cols w:equalWidth="0" w:num="1">
            <w:col w:w="11420"/>
          </w:cols>
          <w:pgMar w:left="240" w:top="1440" w:right="239" w:bottom="1440" w:gutter="0" w:footer="0" w:header="0"/>
        </w:sectPr>
      </w:pP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AAL-PA-03735-LA-1603773</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[*CTR]</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SA-5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LA Page 2 of 3</w:t>
      </w:r>
    </w:p>
    <w:p>
      <w:pPr>
        <w:spacing w:after="0" w:line="134" w:lineRule="exact"/>
        <w:rPr>
          <w:sz w:val="20"/>
          <w:szCs w:val="20"/>
          <w:color w:val="auto"/>
        </w:rPr>
      </w:pPr>
    </w:p>
    <w:p>
      <w:pPr>
        <w:sectPr>
          <w:pgSz w:w="11900" w:h="16838" w:orient="portrait"/>
          <w:cols w:equalWidth="0" w:num="2">
            <w:col w:w="9600" w:space="720"/>
            <w:col w:w="1100"/>
          </w:cols>
          <w:pgMar w:left="240" w:top="144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BOEING PROPRIETARY</w:t>
      </w:r>
    </w:p>
    <w:p>
      <w:pPr>
        <w:spacing w:after="0" w:line="2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440" w:right="239" w:bottom="1440" w:gutter="0" w:footer="0" w:header="0"/>
          <w:type w:val="continuous"/>
        </w:sectPr>
      </w:pPr>
    </w:p>
    <w:bookmarkStart w:id="376" w:name="page377"/>
    <w:bookmarkEnd w:id="376"/>
    <w:p>
      <w:pPr>
        <w:ind w:right="1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629410" cy="42037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clrChange>
                        <a:clrFrom>
                          <a:srgbClr val="FFFFFF"/>
                        </a:clrFrom>
                        <a:clrTo>
                          <a:srgbClr val="FFFFFF">
                            <a:alpha val="0"/>
                          </a:srgbClr>
                        </a:clrTo>
                      </a:clrChange>
                      <a:extLst>
                        <a:ext uri="{28A0092B-C50C-407E-A947-70E740481C1C}"/>
                      </a:extLst>
                    </a:blip>
                    <a:srcRect/>
                    <a:stretch>
                      <a:fillRect/>
                    </a:stretch>
                  </pic:blipFill>
                  <pic:spPr bwMode="auto">
                    <a:xfrm>
                      <a:off x="0" y="0"/>
                      <a:ext cx="1629410" cy="420370"/>
                    </a:xfrm>
                    <a:prstGeom prst="rect">
                      <a:avLst/>
                    </a:prstGeom>
                    <a:noFill/>
                  </pic:spPr>
                </pic:pic>
              </a:graphicData>
            </a:graphic>
          </wp:anchor>
        </w:drawing>
        <w:t>If the foregoing correctly sets forth your understanding of our agreement with respect to the matters treated above, please indicate your acceptance and approval below.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BOEING COMPANY</w:t>
      </w:r>
    </w:p>
    <w:p>
      <w:pPr>
        <w:spacing w:after="0" w:line="22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The Boeing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14605</wp:posOffset>
            </wp:positionV>
            <wp:extent cx="2546985"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AIRLINES,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c>
          <w:tcPr>
            <w:tcW w:w="6840" w:type="dxa"/>
            <w:vAlign w:val="bottom"/>
          </w:tcPr>
          <w:p>
            <w:pPr>
              <w:spacing w:after="0"/>
              <w:rPr>
                <w:sz w:val="20"/>
                <w:szCs w:val="20"/>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&amp; Treasurer</w:t>
            </w:r>
          </w:p>
        </w:tc>
        <w:tc>
          <w:tcPr>
            <w:tcW w:w="6840" w:type="dxa"/>
            <w:vAlign w:val="bottom"/>
          </w:tcPr>
          <w:p>
            <w:pPr>
              <w:spacing w:after="0"/>
              <w:rPr>
                <w:sz w:val="24"/>
                <w:szCs w:val="24"/>
                <w:color w:val="auto"/>
              </w:rPr>
            </w:pPr>
          </w:p>
        </w:tc>
      </w:tr>
      <w:tr>
        <w:trPr>
          <w:trHeight w:val="357"/>
        </w:trPr>
        <w:tc>
          <w:tcPr>
            <w:tcW w:w="4580" w:type="dxa"/>
            <w:vAlign w:val="bottom"/>
            <w:gridSpan w:val="2"/>
          </w:tcPr>
          <w:p>
            <w:pPr>
              <w:spacing w:after="0"/>
              <w:rPr>
                <w:sz w:val="20"/>
                <w:szCs w:val="20"/>
                <w:color w:val="auto"/>
              </w:rPr>
            </w:pPr>
            <w:r>
              <w:rPr>
                <w:rFonts w:ascii="Arial" w:cs="Arial" w:eastAsia="Arial" w:hAnsi="Arial"/>
                <w:sz w:val="18"/>
                <w:szCs w:val="18"/>
                <w:color w:val="auto"/>
              </w:rPr>
              <w:t>AAL-PA-03735-LA-1603773</w:t>
            </w:r>
          </w:p>
        </w:tc>
        <w:tc>
          <w:tcPr>
            <w:tcW w:w="6840" w:type="dxa"/>
            <w:vAlign w:val="bottom"/>
          </w:tcPr>
          <w:p>
            <w:pPr>
              <w:jc w:val="right"/>
              <w:spacing w:after="0"/>
              <w:rPr>
                <w:sz w:val="20"/>
                <w:szCs w:val="20"/>
                <w:color w:val="auto"/>
              </w:rPr>
            </w:pPr>
            <w:r>
              <w:rPr>
                <w:rFonts w:ascii="Arial" w:cs="Arial" w:eastAsia="Arial" w:hAnsi="Arial"/>
                <w:sz w:val="18"/>
                <w:szCs w:val="18"/>
                <w:color w:val="auto"/>
              </w:rPr>
              <w:t>SA-5</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[*CTR]</w:t>
            </w:r>
          </w:p>
        </w:tc>
        <w:tc>
          <w:tcPr>
            <w:tcW w:w="6840" w:type="dxa"/>
            <w:vAlign w:val="bottom"/>
          </w:tcPr>
          <w:p>
            <w:pPr>
              <w:jc w:val="right"/>
              <w:spacing w:after="0"/>
              <w:rPr>
                <w:sz w:val="20"/>
                <w:szCs w:val="20"/>
                <w:color w:val="auto"/>
              </w:rPr>
            </w:pPr>
            <w:r>
              <w:rPr>
                <w:rFonts w:ascii="Arial" w:cs="Arial" w:eastAsia="Arial" w:hAnsi="Arial"/>
                <w:sz w:val="18"/>
                <w:szCs w:val="18"/>
                <w:color w:val="auto"/>
              </w:rPr>
              <w:t>LA Page 3 of 3</w:t>
            </w:r>
          </w:p>
        </w:tc>
      </w:tr>
    </w:tbl>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BOEING PROPRIETARY</w:t>
      </w:r>
    </w:p>
    <w:p>
      <w:pPr>
        <w:spacing w:after="0" w:line="2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084" w:right="2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AGREEMENT NO.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Agreement No. 3219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BOEING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AIRLINES,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Relating to Boeing Model 787 Aircraft</w:t>
      </w:r>
    </w:p>
    <w:p>
      <w:pPr>
        <w:spacing w:after="0" w:line="229"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THIS SUPPLEMENTAL AGREEMENT No. 7 (</w:t>
      </w:r>
      <w:r>
        <w:rPr>
          <w:rFonts w:ascii="Arial" w:cs="Arial" w:eastAsia="Arial" w:hAnsi="Arial"/>
          <w:sz w:val="18"/>
          <w:szCs w:val="18"/>
          <w:b w:val="1"/>
          <w:bCs w:val="1"/>
          <w:i w:val="1"/>
          <w:iCs w:val="1"/>
          <w:color w:val="auto"/>
        </w:rPr>
        <w:t>SA-7</w:t>
      </w:r>
      <w:r>
        <w:rPr>
          <w:rFonts w:ascii="Arial" w:cs="Arial" w:eastAsia="Arial" w:hAnsi="Arial"/>
          <w:sz w:val="18"/>
          <w:szCs w:val="18"/>
          <w:color w:val="auto"/>
        </w:rPr>
        <w:t>) is made between THE BOEING COMPANY, a Delaware corporation with offices in Seattle, Washington (</w:t>
      </w:r>
      <w:r>
        <w:rPr>
          <w:rFonts w:ascii="Arial" w:cs="Arial" w:eastAsia="Arial" w:hAnsi="Arial"/>
          <w:sz w:val="18"/>
          <w:szCs w:val="18"/>
          <w:b w:val="1"/>
          <w:bCs w:val="1"/>
          <w:i w:val="1"/>
          <w:iCs w:val="1"/>
          <w:color w:val="auto"/>
        </w:rPr>
        <w:t>Boeing</w:t>
      </w:r>
      <w:r>
        <w:rPr>
          <w:rFonts w:ascii="Arial" w:cs="Arial" w:eastAsia="Arial" w:hAnsi="Arial"/>
          <w:sz w:val="18"/>
          <w:szCs w:val="18"/>
          <w:color w:val="auto"/>
        </w:rPr>
        <w:t>), and AMERICAN AIRLINES, INC, a Delaware corporation with offices in Fort Worth, Texas, together with its successors and permitted assigns (</w:t>
      </w:r>
      <w:r>
        <w:rPr>
          <w:rFonts w:ascii="Arial" w:cs="Arial" w:eastAsia="Arial" w:hAnsi="Arial"/>
          <w:sz w:val="18"/>
          <w:szCs w:val="18"/>
          <w:b w:val="1"/>
          <w:bCs w:val="1"/>
          <w:i w:val="1"/>
          <w:iCs w:val="1"/>
          <w:color w:val="auto"/>
        </w:rPr>
        <w:t>Customer</w:t>
      </w:r>
      <w:r>
        <w:rPr>
          <w:rFonts w:ascii="Arial" w:cs="Arial" w:eastAsia="Arial" w:hAnsi="Arial"/>
          <w:sz w:val="18"/>
          <w:szCs w:val="18"/>
          <w:color w:val="auto"/>
        </w:rPr>
        <w:t>);</w:t>
      </w:r>
    </w:p>
    <w:p>
      <w:pPr>
        <w:spacing w:after="0" w:line="181"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WHEREAS, Boeing and Customer entered into Purchase Agreement No. 3219 dated October 15, 2008, relating to Boeing Model 787 aircraft, as amended and supplemented (</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and capitalized terms used herein without definitions shall have the meanings specified in such Purchase Agreement;</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WHEREAS, Customer and Boeing have previously executed documents amending the Purchase Agreement to reflect Customer’s [*CTR]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Package A</w:t>
      </w:r>
      <w:r>
        <w:rPr>
          <w:rFonts w:ascii="Arial" w:cs="Arial" w:eastAsia="Arial" w:hAnsi="Arial"/>
          <w:sz w:val="17"/>
          <w:szCs w:val="17"/>
          <w:color w:val="auto"/>
        </w:rPr>
        <w:t>), [*CTR] (</w:t>
      </w:r>
      <w:r>
        <w:rPr>
          <w:rFonts w:ascii="Arial" w:cs="Arial" w:eastAsia="Arial" w:hAnsi="Arial"/>
          <w:sz w:val="17"/>
          <w:szCs w:val="17"/>
          <w:b w:val="1"/>
          <w:bCs w:val="1"/>
          <w:i w:val="1"/>
          <w:iCs w:val="1"/>
          <w:color w:val="auto"/>
        </w:rPr>
        <w:t>Package B</w:t>
      </w:r>
      <w:r>
        <w:rPr>
          <w:rFonts w:ascii="Arial" w:cs="Arial" w:eastAsia="Arial" w:hAnsi="Arial"/>
          <w:sz w:val="17"/>
          <w:szCs w:val="17"/>
          <w:color w:val="auto"/>
        </w:rPr>
        <w:t>), [*CTR] (</w:t>
      </w:r>
      <w:r>
        <w:rPr>
          <w:rFonts w:ascii="Arial" w:cs="Arial" w:eastAsia="Arial" w:hAnsi="Arial"/>
          <w:sz w:val="17"/>
          <w:szCs w:val="17"/>
          <w:b w:val="1"/>
          <w:bCs w:val="1"/>
          <w:i w:val="1"/>
          <w:iCs w:val="1"/>
          <w:color w:val="auto"/>
        </w:rPr>
        <w:t>Package C</w:t>
      </w:r>
      <w:r>
        <w:rPr>
          <w:rFonts w:ascii="Arial" w:cs="Arial" w:eastAsia="Arial" w:hAnsi="Arial"/>
          <w:sz w:val="17"/>
          <w:szCs w:val="17"/>
          <w:color w:val="auto"/>
        </w:rPr>
        <w:t>), [*CTR] (</w:t>
      </w:r>
      <w:r>
        <w:rPr>
          <w:rFonts w:ascii="Arial" w:cs="Arial" w:eastAsia="Arial" w:hAnsi="Arial"/>
          <w:sz w:val="17"/>
          <w:szCs w:val="17"/>
          <w:b w:val="1"/>
          <w:bCs w:val="1"/>
          <w:i w:val="1"/>
          <w:iCs w:val="1"/>
          <w:color w:val="auto"/>
        </w:rPr>
        <w:t>Package D</w:t>
      </w:r>
      <w:r>
        <w:rPr>
          <w:rFonts w:ascii="Arial" w:cs="Arial" w:eastAsia="Arial" w:hAnsi="Arial"/>
          <w:sz w:val="17"/>
          <w:szCs w:val="17"/>
          <w:color w:val="auto"/>
        </w:rPr>
        <w:t>), [*CTR] (</w:t>
      </w:r>
      <w:r>
        <w:rPr>
          <w:rFonts w:ascii="Arial" w:cs="Arial" w:eastAsia="Arial" w:hAnsi="Arial"/>
          <w:sz w:val="17"/>
          <w:szCs w:val="17"/>
          <w:b w:val="1"/>
          <w:bCs w:val="1"/>
          <w:i w:val="1"/>
          <w:iCs w:val="1"/>
          <w:color w:val="auto"/>
        </w:rPr>
        <w:t>Package E</w:t>
      </w:r>
      <w:r>
        <w:rPr>
          <w:rFonts w:ascii="Arial" w:cs="Arial" w:eastAsia="Arial" w:hAnsi="Arial"/>
          <w:sz w:val="17"/>
          <w:szCs w:val="17"/>
          <w:color w:val="auto"/>
        </w:rPr>
        <w:t>), [*CTR] (</w:t>
      </w:r>
      <w:r>
        <w:rPr>
          <w:rFonts w:ascii="Arial" w:cs="Arial" w:eastAsia="Arial" w:hAnsi="Arial"/>
          <w:sz w:val="17"/>
          <w:szCs w:val="17"/>
          <w:b w:val="1"/>
          <w:bCs w:val="1"/>
          <w:i w:val="1"/>
          <w:iCs w:val="1"/>
          <w:color w:val="auto"/>
        </w:rPr>
        <w:t>Package F</w:t>
      </w:r>
      <w:r>
        <w:rPr>
          <w:rFonts w:ascii="Arial" w:cs="Arial" w:eastAsia="Arial" w:hAnsi="Arial"/>
          <w:sz w:val="17"/>
          <w:szCs w:val="17"/>
          <w:color w:val="auto"/>
        </w:rPr>
        <w:t>), [*CTR] (</w:t>
      </w:r>
      <w:r>
        <w:rPr>
          <w:rFonts w:ascii="Arial" w:cs="Arial" w:eastAsia="Arial" w:hAnsi="Arial"/>
          <w:sz w:val="17"/>
          <w:szCs w:val="17"/>
          <w:b w:val="1"/>
          <w:bCs w:val="1"/>
          <w:i w:val="1"/>
          <w:iCs w:val="1"/>
          <w:color w:val="auto"/>
        </w:rPr>
        <w:t>Package G</w:t>
      </w:r>
      <w:r>
        <w:rPr>
          <w:rFonts w:ascii="Arial" w:cs="Arial" w:eastAsia="Arial" w:hAnsi="Arial"/>
          <w:sz w:val="17"/>
          <w:szCs w:val="17"/>
          <w:color w:val="auto"/>
        </w:rPr>
        <w:t>), [*CTR]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Package H</w:t>
      </w:r>
      <w:r>
        <w:rPr>
          <w:rFonts w:ascii="Arial" w:cs="Arial" w:eastAsia="Arial" w:hAnsi="Arial"/>
          <w:sz w:val="18"/>
          <w:szCs w:val="18"/>
          <w:color w:val="auto"/>
        </w:rPr>
        <w:t>), [*CTR] (</w:t>
      </w:r>
      <w:r>
        <w:rPr>
          <w:rFonts w:ascii="Arial" w:cs="Arial" w:eastAsia="Arial" w:hAnsi="Arial"/>
          <w:sz w:val="18"/>
          <w:szCs w:val="18"/>
          <w:b w:val="1"/>
          <w:bCs w:val="1"/>
          <w:i w:val="1"/>
          <w:iCs w:val="1"/>
          <w:color w:val="auto"/>
        </w:rPr>
        <w:t>Package I</w:t>
      </w:r>
      <w:r>
        <w:rPr>
          <w:rFonts w:ascii="Arial" w:cs="Arial" w:eastAsia="Arial" w:hAnsi="Arial"/>
          <w:sz w:val="18"/>
          <w:szCs w:val="18"/>
          <w:color w:val="auto"/>
        </w:rPr>
        <w:t>), [*CTR] (</w:t>
      </w:r>
      <w:r>
        <w:rPr>
          <w:rFonts w:ascii="Arial" w:cs="Arial" w:eastAsia="Arial" w:hAnsi="Arial"/>
          <w:sz w:val="18"/>
          <w:szCs w:val="18"/>
          <w:b w:val="1"/>
          <w:bCs w:val="1"/>
          <w:i w:val="1"/>
          <w:iCs w:val="1"/>
          <w:color w:val="auto"/>
        </w:rPr>
        <w:t>Package J</w:t>
      </w:r>
      <w:r>
        <w:rPr>
          <w:rFonts w:ascii="Arial" w:cs="Arial" w:eastAsia="Arial" w:hAnsi="Arial"/>
          <w:sz w:val="18"/>
          <w:szCs w:val="18"/>
          <w:color w:val="auto"/>
        </w:rPr>
        <w:t>), [*CTR] (</w:t>
      </w:r>
      <w:r>
        <w:rPr>
          <w:rFonts w:ascii="Arial" w:cs="Arial" w:eastAsia="Arial" w:hAnsi="Arial"/>
          <w:sz w:val="18"/>
          <w:szCs w:val="18"/>
          <w:b w:val="1"/>
          <w:bCs w:val="1"/>
          <w:i w:val="1"/>
          <w:iCs w:val="1"/>
          <w:color w:val="auto"/>
        </w:rPr>
        <w:t>Package K</w:t>
      </w:r>
      <w:r>
        <w:rPr>
          <w:rFonts w:ascii="Arial" w:cs="Arial" w:eastAsia="Arial" w:hAnsi="Arial"/>
          <w:sz w:val="18"/>
          <w:szCs w:val="18"/>
          <w:color w:val="auto"/>
        </w:rPr>
        <w:t>), [*CTR] (</w:t>
      </w:r>
      <w:r>
        <w:rPr>
          <w:rFonts w:ascii="Arial" w:cs="Arial" w:eastAsia="Arial" w:hAnsi="Arial"/>
          <w:sz w:val="18"/>
          <w:szCs w:val="18"/>
          <w:b w:val="1"/>
          <w:bCs w:val="1"/>
          <w:i w:val="1"/>
          <w:iCs w:val="1"/>
          <w:color w:val="auto"/>
        </w:rPr>
        <w:t>Package L</w:t>
      </w:r>
      <w:r>
        <w:rPr>
          <w:rFonts w:ascii="Arial" w:cs="Arial" w:eastAsia="Arial" w:hAnsi="Arial"/>
          <w:sz w:val="18"/>
          <w:szCs w:val="18"/>
          <w:color w:val="auto"/>
        </w:rPr>
        <w:t>), [*CTR] (</w:t>
      </w:r>
      <w:r>
        <w:rPr>
          <w:rFonts w:ascii="Arial" w:cs="Arial" w:eastAsia="Arial" w:hAnsi="Arial"/>
          <w:sz w:val="18"/>
          <w:szCs w:val="18"/>
          <w:b w:val="1"/>
          <w:bCs w:val="1"/>
          <w:i w:val="1"/>
          <w:iCs w:val="1"/>
          <w:color w:val="auto"/>
        </w:rPr>
        <w:t>Package M</w:t>
      </w:r>
      <w:r>
        <w:rPr>
          <w:rFonts w:ascii="Arial" w:cs="Arial" w:eastAsia="Arial" w:hAnsi="Arial"/>
          <w:sz w:val="18"/>
          <w:szCs w:val="18"/>
          <w:color w:val="auto"/>
        </w:rPr>
        <w:t>), and [*CTR] (</w:t>
      </w:r>
      <w:r>
        <w:rPr>
          <w:rFonts w:ascii="Arial" w:cs="Arial" w:eastAsia="Arial" w:hAnsi="Arial"/>
          <w:sz w:val="18"/>
          <w:szCs w:val="18"/>
          <w:b w:val="1"/>
          <w:bCs w:val="1"/>
          <w:i w:val="1"/>
          <w:iCs w:val="1"/>
          <w:color w:val="auto"/>
        </w:rPr>
        <w:t>Package</w:t>
      </w:r>
    </w:p>
    <w:p>
      <w:pPr>
        <w:spacing w:after="0" w:line="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N</w:t>
      </w:r>
      <w:r>
        <w:rPr>
          <w:rFonts w:ascii="Arial" w:cs="Arial" w:eastAsia="Arial" w:hAnsi="Arial"/>
          <w:sz w:val="17"/>
          <w:szCs w:val="17"/>
          <w:color w:val="auto"/>
        </w:rPr>
        <w:t>) [*CTR] Package A, Package B, Package C, Package D, Package E, Package F, Package G, Package H, Package I, Package J, Package L, Package M,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Package N, mutually agreed to comprise </w:t>
      </w:r>
      <w:r>
        <w:rPr>
          <w:rFonts w:ascii="Arial" w:cs="Arial" w:eastAsia="Arial" w:hAnsi="Arial"/>
          <w:sz w:val="17"/>
          <w:szCs w:val="17"/>
          <w:b w:val="1"/>
          <w:bCs w:val="1"/>
          <w:i w:val="1"/>
          <w:iCs w:val="1"/>
          <w:color w:val="auto"/>
        </w:rPr>
        <w:t>Customer</w:t>
      </w:r>
      <w:r>
        <w:rPr>
          <w:rFonts w:ascii="Arial" w:cs="Arial" w:eastAsia="Arial" w:hAnsi="Arial"/>
          <w:sz w:val="17"/>
          <w:szCs w:val="17"/>
          <w:color w:val="auto"/>
        </w:rPr>
        <w:t xml:space="preserve"> [*CTR] </w:t>
      </w:r>
      <w:r>
        <w:rPr>
          <w:rFonts w:ascii="Arial" w:cs="Arial" w:eastAsia="Arial" w:hAnsi="Arial"/>
          <w:sz w:val="17"/>
          <w:szCs w:val="17"/>
          <w:b w:val="1"/>
          <w:bCs w:val="1"/>
          <w:i w:val="1"/>
          <w:iCs w:val="1"/>
          <w:color w:val="auto"/>
        </w:rPr>
        <w:t>Changes</w:t>
      </w:r>
      <w:r>
        <w:rPr>
          <w:rFonts w:ascii="Arial" w:cs="Arial" w:eastAsia="Arial" w:hAnsi="Arial"/>
          <w:sz w:val="17"/>
          <w:szCs w:val="17"/>
          <w:color w:val="auto"/>
        </w:rPr>
        <w:t>) for [*CTR] aircraft (</w:t>
      </w:r>
      <w:r>
        <w:rPr>
          <w:rFonts w:ascii="Arial" w:cs="Arial" w:eastAsia="Arial" w:hAnsi="Arial"/>
          <w:sz w:val="17"/>
          <w:szCs w:val="17"/>
          <w:b w:val="1"/>
          <w:bCs w:val="1"/>
          <w:i w:val="1"/>
          <w:iCs w:val="1"/>
          <w:color w:val="auto"/>
        </w:rPr>
        <w:t>Customer</w:t>
      </w:r>
      <w:r>
        <w:rPr>
          <w:rFonts w:ascii="Arial" w:cs="Arial" w:eastAsia="Arial" w:hAnsi="Arial"/>
          <w:sz w:val="17"/>
          <w:szCs w:val="17"/>
          <w:color w:val="auto"/>
        </w:rPr>
        <w:t xml:space="preserve"> [*CTR] </w:t>
      </w:r>
      <w:r>
        <w:rPr>
          <w:rFonts w:ascii="Arial" w:cs="Arial" w:eastAsia="Arial" w:hAnsi="Arial"/>
          <w:sz w:val="17"/>
          <w:szCs w:val="17"/>
          <w:b w:val="1"/>
          <w:bCs w:val="1"/>
          <w:i w:val="1"/>
          <w:iCs w:val="1"/>
          <w:color w:val="auto"/>
        </w:rPr>
        <w:t>Aircraft</w:t>
      </w:r>
      <w:r>
        <w:rPr>
          <w:rFonts w:ascii="Arial" w:cs="Arial" w:eastAsia="Arial" w:hAnsi="Arial"/>
          <w:sz w:val="17"/>
          <w:szCs w:val="17"/>
          <w:color w:val="auto"/>
        </w:rPr>
        <w:t>). [*CTR] changes to any [*CTR] Aircraft will be undertaken in the ordinary course of business between Boeing and Customer. With respect to such Customer [*CTR] Changes, Customer and Boeing now agree to replace the existing Exhibit A(R1) with a revised Exhibit A(R2) [*CTR] aircraft.;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20" w:type="dxa"/>
            <w:vAlign w:val="bottom"/>
          </w:tcPr>
          <w:p>
            <w:pPr>
              <w:spacing w:after="0"/>
              <w:rPr>
                <w:sz w:val="20"/>
                <w:szCs w:val="20"/>
                <w:color w:val="auto"/>
              </w:rPr>
            </w:pPr>
            <w:r>
              <w:rPr>
                <w:rFonts w:ascii="Arial" w:cs="Arial" w:eastAsia="Arial" w:hAnsi="Arial"/>
                <w:sz w:val="18"/>
                <w:szCs w:val="18"/>
                <w:color w:val="auto"/>
              </w:rPr>
              <w:t>PA 3219</w:t>
            </w:r>
          </w:p>
        </w:tc>
        <w:tc>
          <w:tcPr>
            <w:tcW w:w="5400" w:type="dxa"/>
            <w:vAlign w:val="bottom"/>
          </w:tcPr>
          <w:p>
            <w:pPr>
              <w:jc w:val="center"/>
              <w:ind w:left="770"/>
              <w:spacing w:after="0"/>
              <w:rPr>
                <w:sz w:val="20"/>
                <w:szCs w:val="20"/>
                <w:color w:val="auto"/>
              </w:rPr>
            </w:pPr>
            <w:r>
              <w:rPr>
                <w:rFonts w:ascii="Arial" w:cs="Arial" w:eastAsia="Arial" w:hAnsi="Arial"/>
                <w:sz w:val="18"/>
                <w:szCs w:val="18"/>
                <w:color w:val="auto"/>
                <w:w w:val="94"/>
              </w:rPr>
              <w:t>SA-7</w:t>
            </w:r>
          </w:p>
        </w:tc>
        <w:tc>
          <w:tcPr>
            <w:tcW w:w="1720" w:type="dxa"/>
            <w:vAlign w:val="bottom"/>
          </w:tcPr>
          <w:p>
            <w:pPr>
              <w:ind w:left="1240"/>
              <w:spacing w:after="0"/>
              <w:rPr>
                <w:sz w:val="20"/>
                <w:szCs w:val="20"/>
                <w:color w:val="auto"/>
              </w:rPr>
            </w:pPr>
            <w:r>
              <w:rPr>
                <w:rFonts w:ascii="Arial" w:cs="Arial" w:eastAsia="Arial" w:hAnsi="Arial"/>
                <w:sz w:val="18"/>
                <w:szCs w:val="18"/>
                <w:color w:val="auto"/>
                <w:w w:val="80"/>
              </w:rPr>
              <w:t>Page 1</w:t>
            </w:r>
          </w:p>
        </w:tc>
      </w:tr>
      <w:tr>
        <w:trPr>
          <w:trHeight w:val="234"/>
        </w:trPr>
        <w:tc>
          <w:tcPr>
            <w:tcW w:w="2720" w:type="dxa"/>
            <w:vAlign w:val="bottom"/>
          </w:tcPr>
          <w:p>
            <w:pPr>
              <w:spacing w:after="0"/>
              <w:rPr>
                <w:sz w:val="20"/>
                <w:szCs w:val="20"/>
                <w:color w:val="auto"/>
              </w:rPr>
            </w:pPr>
          </w:p>
        </w:tc>
        <w:tc>
          <w:tcPr>
            <w:tcW w:w="5400" w:type="dxa"/>
            <w:vAlign w:val="bottom"/>
          </w:tcPr>
          <w:p>
            <w:pPr>
              <w:jc w:val="center"/>
              <w:ind w:left="750"/>
              <w:spacing w:after="0"/>
              <w:rPr>
                <w:sz w:val="20"/>
                <w:szCs w:val="20"/>
                <w:color w:val="auto"/>
              </w:rPr>
            </w:pPr>
            <w:r>
              <w:rPr>
                <w:rFonts w:ascii="Arial" w:cs="Arial" w:eastAsia="Arial" w:hAnsi="Arial"/>
                <w:sz w:val="18"/>
                <w:szCs w:val="18"/>
                <w:b w:val="1"/>
                <w:bCs w:val="1"/>
                <w:color w:val="auto"/>
              </w:rPr>
              <w:t>BOEING PROPRIETARY</w:t>
            </w:r>
          </w:p>
        </w:tc>
        <w:tc>
          <w:tcPr>
            <w:tcW w:w="1720" w:type="dxa"/>
            <w:vAlign w:val="bottom"/>
          </w:tcPr>
          <w:p>
            <w:pPr>
              <w:spacing w:after="0"/>
              <w:rPr>
                <w:sz w:val="20"/>
                <w:szCs w:val="20"/>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121" w:right="239" w:bottom="1440" w:gutter="0" w:footer="0" w:header="0"/>
        </w:sectPr>
      </w:pPr>
    </w:p>
    <w:bookmarkStart w:id="378" w:name="page379"/>
    <w:bookmarkEnd w:id="37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WHEREAS, Customer and Boeing understand that Exhibit A is required for the [*CTR] of 787 aircraft;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WHEREAS, Customer and Boeing agree to revise certain exhibits and letter agreements [*CTR] Changes for the Customer [*CTR] Aircraft; and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agree that the Purchase Agreement is amended as set forth below and otherwise agree as follows:</w:t>
      </w:r>
    </w:p>
    <w:p>
      <w:pPr>
        <w:spacing w:after="0" w:line="329" w:lineRule="exact"/>
        <w:rPr>
          <w:sz w:val="20"/>
          <w:szCs w:val="20"/>
          <w:color w:val="auto"/>
        </w:rPr>
      </w:pPr>
    </w:p>
    <w:p>
      <w:pPr>
        <w:ind w:left="320" w:hanging="312"/>
        <w:spacing w:after="0"/>
        <w:tabs>
          <w:tab w:leader="none" w:pos="320"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Table of Contents</w:t>
      </w:r>
      <w:r>
        <w:rPr>
          <w:rFonts w:ascii="Arial" w:cs="Arial" w:eastAsia="Arial" w:hAnsi="Arial"/>
          <w:sz w:val="18"/>
          <w:szCs w:val="18"/>
          <w:b w:val="1"/>
          <w:bCs w:val="1"/>
          <w:color w:val="auto"/>
        </w:rPr>
        <w:t>.</w:t>
      </w:r>
    </w:p>
    <w:p>
      <w:pPr>
        <w:spacing w:after="0" w:line="121" w:lineRule="exact"/>
        <w:rPr>
          <w:sz w:val="20"/>
          <w:szCs w:val="20"/>
          <w:color w:val="auto"/>
        </w:rPr>
      </w:pPr>
    </w:p>
    <w:p>
      <w:pPr>
        <w:ind w:right="740" w:firstLine="456"/>
        <w:spacing w:after="0" w:line="342" w:lineRule="auto"/>
        <w:rPr>
          <w:sz w:val="20"/>
          <w:szCs w:val="20"/>
          <w:color w:val="auto"/>
        </w:rPr>
      </w:pPr>
      <w:r>
        <w:rPr>
          <w:rFonts w:ascii="Arial" w:cs="Arial" w:eastAsia="Arial" w:hAnsi="Arial"/>
          <w:sz w:val="16"/>
          <w:szCs w:val="16"/>
          <w:color w:val="auto"/>
        </w:rPr>
        <w:t>The Table of Contents referencing SA-6 in the footer is deleted in its entirety and is replaced with the new Table of Contents (attached hereto) referencing SA-7 in the footer. Such new Table of Contents is hereby incorporated into the Purchase Agreement in replacement of its predecessor.</w:t>
      </w:r>
    </w:p>
    <w:p>
      <w:pPr>
        <w:spacing w:after="0" w:line="228" w:lineRule="exact"/>
        <w:rPr>
          <w:sz w:val="20"/>
          <w:szCs w:val="20"/>
          <w:color w:val="auto"/>
        </w:rPr>
      </w:pPr>
    </w:p>
    <w:p>
      <w:pPr>
        <w:ind w:left="320" w:hanging="312"/>
        <w:spacing w:after="0"/>
        <w:tabs>
          <w:tab w:leader="none" w:pos="320"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Tables</w:t>
      </w:r>
      <w:r>
        <w:rPr>
          <w:rFonts w:ascii="Arial" w:cs="Arial" w:eastAsia="Arial" w:hAnsi="Arial"/>
          <w:sz w:val="18"/>
          <w:szCs w:val="18"/>
          <w:b w:val="1"/>
          <w:bCs w:val="1"/>
          <w:color w:val="auto"/>
        </w:rPr>
        <w:t>.</w:t>
      </w:r>
    </w:p>
    <w:p>
      <w:pPr>
        <w:spacing w:after="0" w:line="12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u w:val="single" w:color="auto"/>
          <w:color w:val="auto"/>
        </w:rPr>
        <w:t>Table 1(R5)</w:t>
      </w:r>
      <w:r>
        <w:rPr>
          <w:rFonts w:ascii="Arial" w:cs="Arial" w:eastAsia="Arial" w:hAnsi="Arial"/>
          <w:sz w:val="18"/>
          <w:szCs w:val="18"/>
          <w:color w:val="auto"/>
        </w:rPr>
        <w:t>. Table 1(R4) entitled “</w:t>
      </w:r>
      <w:r>
        <w:rPr>
          <w:rFonts w:ascii="Arial" w:cs="Arial" w:eastAsia="Arial" w:hAnsi="Arial"/>
          <w:sz w:val="18"/>
          <w:szCs w:val="18"/>
          <w:u w:val="single" w:color="auto"/>
          <w:color w:val="auto"/>
        </w:rPr>
        <w:t>787-9 Aircraft –Delivery, Description, Price and Advance Payments</w:t>
      </w:r>
      <w:r>
        <w:rPr>
          <w:rFonts w:ascii="Arial" w:cs="Arial" w:eastAsia="Arial" w:hAnsi="Arial"/>
          <w:sz w:val="18"/>
          <w:szCs w:val="18"/>
          <w:color w:val="auto"/>
        </w:rPr>
        <w:t>” referencing SA-6 in the footer is deleted in its entirety and is replaced with the similarly titled Table 1(R5) (attached hereto) referencing SA-7 in the footer. Table 1 (R5) is hereby incorporated into the Purchase Agreement in replacement of Table 1(R4).</w:t>
      </w:r>
    </w:p>
    <w:p>
      <w:pPr>
        <w:spacing w:after="0" w:line="285" w:lineRule="exact"/>
        <w:rPr>
          <w:sz w:val="20"/>
          <w:szCs w:val="20"/>
          <w:color w:val="auto"/>
        </w:rPr>
      </w:pPr>
    </w:p>
    <w:p>
      <w:pPr>
        <w:ind w:left="320" w:hanging="312"/>
        <w:spacing w:after="0"/>
        <w:tabs>
          <w:tab w:leader="none" w:pos="320"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Exhibit</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Exhibit A(R1) entitled “</w:t>
      </w:r>
      <w:r>
        <w:rPr>
          <w:rFonts w:ascii="Arial" w:cs="Arial" w:eastAsia="Arial" w:hAnsi="Arial"/>
          <w:sz w:val="18"/>
          <w:szCs w:val="18"/>
          <w:u w:val="single" w:color="auto"/>
          <w:color w:val="auto"/>
        </w:rPr>
        <w:t>Aircraft Configuration relating to [*CTR] Aircraft</w:t>
      </w:r>
      <w:r>
        <w:rPr>
          <w:rFonts w:ascii="Arial" w:cs="Arial" w:eastAsia="Arial" w:hAnsi="Arial"/>
          <w:sz w:val="18"/>
          <w:szCs w:val="18"/>
          <w:color w:val="auto"/>
        </w:rPr>
        <w:t>” referencing SA-3 in the footer is deleted in its entirety and replaced with Exhibit A(R2) entitled “</w:t>
      </w:r>
      <w:r>
        <w:rPr>
          <w:rFonts w:ascii="Arial" w:cs="Arial" w:eastAsia="Arial" w:hAnsi="Arial"/>
          <w:sz w:val="18"/>
          <w:szCs w:val="18"/>
          <w:u w:val="single" w:color="auto"/>
          <w:color w:val="auto"/>
        </w:rPr>
        <w:t>Aircraft Configuration relating to [*CTR] Aircraft</w:t>
      </w:r>
      <w:r>
        <w:rPr>
          <w:rFonts w:ascii="Arial" w:cs="Arial" w:eastAsia="Arial" w:hAnsi="Arial"/>
          <w:sz w:val="18"/>
          <w:szCs w:val="18"/>
          <w:color w:val="auto"/>
        </w:rPr>
        <w:t>” (attached hereto) referencing SA-7 in the footer. Exhibit A(R2) is hereby incorporated into the Purchase Agreement in replacement of Exhibit A(R1).</w:t>
      </w:r>
    </w:p>
    <w:p>
      <w:pPr>
        <w:spacing w:after="0" w:line="285" w:lineRule="exact"/>
        <w:rPr>
          <w:sz w:val="20"/>
          <w:szCs w:val="20"/>
          <w:color w:val="auto"/>
        </w:rPr>
      </w:pPr>
    </w:p>
    <w:p>
      <w:pPr>
        <w:ind w:left="320" w:hanging="312"/>
        <w:spacing w:after="0"/>
        <w:tabs>
          <w:tab w:leader="none" w:pos="320"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on Purchase Agreement</w:t>
      </w:r>
      <w:r>
        <w:rPr>
          <w:rFonts w:ascii="Arial" w:cs="Arial" w:eastAsia="Arial" w:hAnsi="Arial"/>
          <w:sz w:val="18"/>
          <w:szCs w:val="18"/>
          <w:b w:val="1"/>
          <w:bCs w:val="1"/>
          <w:color w:val="auto"/>
        </w:rPr>
        <w:t>.</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4.1 Except as expressly set forth herein, all terms and provisions contained in the Purchase Agreement shall remain in full force and effect. This Agreement contains the entire agreement between the parties with respect to the subject matter hereof and supersedes all previous proposals, and agreements, understandings, commitments or representations whatsoever, oral or written, with respect to the subject matter hereof and may be changed only in writing signed by authorized representatives of the parties.</w:t>
      </w:r>
    </w:p>
    <w:p>
      <w:pPr>
        <w:spacing w:after="0" w:line="187"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color w:val="auto"/>
        </w:rPr>
        <w:t>4.2 Customer and Boeing are in [*CTR]. For avoidance of doubt, the [*CTR]. In executing SA-7, Customer and Boeing each [*CTR]; provided, however, that Customer and Boeing [*CTR] Aircraft.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20" w:type="dxa"/>
            <w:vAlign w:val="bottom"/>
          </w:tcPr>
          <w:p>
            <w:pPr>
              <w:spacing w:after="0"/>
              <w:rPr>
                <w:sz w:val="20"/>
                <w:szCs w:val="20"/>
                <w:color w:val="auto"/>
              </w:rPr>
            </w:pPr>
            <w:r>
              <w:rPr>
                <w:rFonts w:ascii="Arial" w:cs="Arial" w:eastAsia="Arial" w:hAnsi="Arial"/>
                <w:sz w:val="18"/>
                <w:szCs w:val="18"/>
                <w:color w:val="auto"/>
              </w:rPr>
              <w:t>PA 3219</w:t>
            </w:r>
          </w:p>
        </w:tc>
        <w:tc>
          <w:tcPr>
            <w:tcW w:w="5400" w:type="dxa"/>
            <w:vAlign w:val="bottom"/>
          </w:tcPr>
          <w:p>
            <w:pPr>
              <w:jc w:val="center"/>
              <w:ind w:left="770"/>
              <w:spacing w:after="0"/>
              <w:rPr>
                <w:sz w:val="20"/>
                <w:szCs w:val="20"/>
                <w:color w:val="auto"/>
              </w:rPr>
            </w:pPr>
            <w:r>
              <w:rPr>
                <w:rFonts w:ascii="Arial" w:cs="Arial" w:eastAsia="Arial" w:hAnsi="Arial"/>
                <w:sz w:val="18"/>
                <w:szCs w:val="18"/>
                <w:color w:val="auto"/>
                <w:w w:val="94"/>
              </w:rPr>
              <w:t>SA-7</w:t>
            </w:r>
          </w:p>
        </w:tc>
        <w:tc>
          <w:tcPr>
            <w:tcW w:w="1720" w:type="dxa"/>
            <w:vAlign w:val="bottom"/>
          </w:tcPr>
          <w:p>
            <w:pPr>
              <w:ind w:left="1240"/>
              <w:spacing w:after="0"/>
              <w:rPr>
                <w:sz w:val="20"/>
                <w:szCs w:val="20"/>
                <w:color w:val="auto"/>
              </w:rPr>
            </w:pPr>
            <w:r>
              <w:rPr>
                <w:rFonts w:ascii="Arial" w:cs="Arial" w:eastAsia="Arial" w:hAnsi="Arial"/>
                <w:sz w:val="18"/>
                <w:szCs w:val="18"/>
                <w:color w:val="auto"/>
                <w:w w:val="80"/>
              </w:rPr>
              <w:t>Page 2</w:t>
            </w:r>
          </w:p>
        </w:tc>
      </w:tr>
      <w:tr>
        <w:trPr>
          <w:trHeight w:val="234"/>
        </w:trPr>
        <w:tc>
          <w:tcPr>
            <w:tcW w:w="2720" w:type="dxa"/>
            <w:vAlign w:val="bottom"/>
          </w:tcPr>
          <w:p>
            <w:pPr>
              <w:spacing w:after="0"/>
              <w:rPr>
                <w:sz w:val="20"/>
                <w:szCs w:val="20"/>
                <w:color w:val="auto"/>
              </w:rPr>
            </w:pPr>
          </w:p>
        </w:tc>
        <w:tc>
          <w:tcPr>
            <w:tcW w:w="5400" w:type="dxa"/>
            <w:vAlign w:val="bottom"/>
          </w:tcPr>
          <w:p>
            <w:pPr>
              <w:jc w:val="center"/>
              <w:ind w:left="750"/>
              <w:spacing w:after="0"/>
              <w:rPr>
                <w:sz w:val="20"/>
                <w:szCs w:val="20"/>
                <w:color w:val="auto"/>
              </w:rPr>
            </w:pPr>
            <w:r>
              <w:rPr>
                <w:rFonts w:ascii="Arial" w:cs="Arial" w:eastAsia="Arial" w:hAnsi="Arial"/>
                <w:sz w:val="18"/>
                <w:szCs w:val="18"/>
                <w:b w:val="1"/>
                <w:bCs w:val="1"/>
                <w:color w:val="auto"/>
              </w:rPr>
              <w:t>BOEING PROPRIETARY</w:t>
            </w:r>
          </w:p>
        </w:tc>
        <w:tc>
          <w:tcPr>
            <w:tcW w:w="1720" w:type="dxa"/>
            <w:vAlign w:val="bottom"/>
          </w:tcPr>
          <w:p>
            <w:pPr>
              <w:spacing w:after="0"/>
              <w:rPr>
                <w:sz w:val="20"/>
                <w:szCs w:val="20"/>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79" w:name="page380"/>
    <w:bookmarkEnd w:id="379"/>
    <w:p>
      <w:pPr>
        <w:ind w:right="34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4.3 At time of execution of this SA-7 Customer will [*CTR] Customer and Boeing are in [*CTR]. For the purposes of (i) [*CTR] and (ii) [*CTR], Boeing will [*CTR]. In executing both the [*CTR] and this SA-7, Customer and Boeing each [*CTR].</w:t>
      </w:r>
    </w:p>
    <w:p>
      <w:pPr>
        <w:spacing w:after="0" w:line="170"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4.4 Boeing intends that [*CTR] shows all the [*CTR] that is referenced in Exhibit A(R2) of the Purchase Agreement, and that the [*CTR]. Notwithstanding the foregoing, Customer has [*CTR]. If, following its [*CTR], Boeing agrees to [*CTR] with the Purchase Agreement. If requested, a representative of [*CTR] under the Purchase Agreement.</w:t>
      </w:r>
    </w:p>
    <w:p>
      <w:pPr>
        <w:spacing w:after="0" w:line="181" w:lineRule="exact"/>
        <w:rPr>
          <w:sz w:val="20"/>
          <w:szCs w:val="20"/>
          <w:color w:val="auto"/>
        </w:rPr>
      </w:pPr>
    </w:p>
    <w:p>
      <w:pPr>
        <w:ind w:left="920"/>
        <w:spacing w:after="0"/>
        <w:tabs>
          <w:tab w:leader="none" w:pos="13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Table 1 Reference Clarifications</w:t>
      </w:r>
      <w:r>
        <w:rPr>
          <w:rFonts w:ascii="Arial" w:cs="Arial" w:eastAsia="Arial" w:hAnsi="Arial"/>
          <w:sz w:val="16"/>
          <w:szCs w:val="16"/>
          <w:color w:val="auto"/>
        </w:rPr>
        <w:t>.</w:t>
      </w:r>
    </w:p>
    <w:p>
      <w:pPr>
        <w:spacing w:after="0" w:line="225" w:lineRule="exact"/>
        <w:rPr>
          <w:sz w:val="20"/>
          <w:szCs w:val="20"/>
          <w:color w:val="auto"/>
        </w:rPr>
      </w:pPr>
    </w:p>
    <w:p>
      <w:pPr>
        <w:ind w:firstLine="1484"/>
        <w:spacing w:after="0" w:line="277" w:lineRule="auto"/>
        <w:rPr>
          <w:sz w:val="20"/>
          <w:szCs w:val="20"/>
          <w:color w:val="auto"/>
        </w:rPr>
      </w:pPr>
      <w:r>
        <w:rPr>
          <w:rFonts w:ascii="Arial" w:cs="Arial" w:eastAsia="Arial" w:hAnsi="Arial"/>
          <w:sz w:val="18"/>
          <w:szCs w:val="18"/>
          <w:color w:val="auto"/>
        </w:rPr>
        <w:t>4.5.1 The following references in the Purchase Agreement and the associated exhibits, supplemental exhibits, and letter agreements to the Purchase Agreement to “Table 1(R4)” is now deemed to refer to “Table 1(R5)”. Specifically:</w:t>
      </w:r>
    </w:p>
    <w:p>
      <w:pPr>
        <w:spacing w:after="0" w:line="193" w:lineRule="exact"/>
        <w:rPr>
          <w:sz w:val="20"/>
          <w:szCs w:val="20"/>
          <w:color w:val="auto"/>
        </w:rPr>
      </w:pPr>
    </w:p>
    <w:p>
      <w:pPr>
        <w:ind w:left="4800"/>
        <w:spacing w:after="0"/>
        <w:rPr>
          <w:sz w:val="20"/>
          <w:szCs w:val="20"/>
          <w:color w:val="auto"/>
        </w:rPr>
      </w:pPr>
      <w:r>
        <w:rPr>
          <w:rFonts w:ascii="Arial" w:cs="Arial" w:eastAsia="Arial" w:hAnsi="Arial"/>
          <w:sz w:val="18"/>
          <w:szCs w:val="18"/>
          <w:b w:val="1"/>
          <w:bCs w:val="1"/>
          <w:u w:val="single" w:color="auto"/>
          <w:color w:val="auto"/>
        </w:rPr>
        <w:t>Location of References</w:t>
      </w:r>
      <w:r>
        <w:rPr>
          <w:rFonts w:ascii="Arial" w:cs="Arial" w:eastAsia="Arial" w:hAnsi="Arial"/>
          <w:sz w:val="18"/>
          <w:szCs w:val="18"/>
          <w:b w:val="1"/>
          <w:bCs w:val="1"/>
          <w:color w:val="auto"/>
        </w:rPr>
        <w:t>*</w:t>
      </w:r>
    </w:p>
    <w:p>
      <w:pPr>
        <w:spacing w:after="0" w:line="121"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Articles 1, 2, 3 (all sections), 4 (all sections), and Section 5.1 of the Basic</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Articles</w:t>
      </w:r>
    </w:p>
    <w:p>
      <w:pPr>
        <w:spacing w:after="0" w:line="10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Exhibit C(R1), Definitions of “Aircraft” and “Engine”</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Section 1 of Supplemental Exhibit AE1</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Section 1 of Supplemental Exhibit EE1</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Section 1 (definition of “Firm Aircraft”) of Letter Agreement 6-1162-TRW-</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0664R1 entitled “</w:t>
      </w:r>
      <w:r>
        <w:rPr>
          <w:rFonts w:ascii="Arial" w:cs="Arial" w:eastAsia="Arial" w:hAnsi="Arial"/>
          <w:sz w:val="18"/>
          <w:szCs w:val="18"/>
          <w:u w:val="single" w:color="auto"/>
          <w:color w:val="auto"/>
        </w:rPr>
        <w:t>Aircraft Purchase Rights and Substitution Rights</w:t>
      </w:r>
      <w:r>
        <w:rPr>
          <w:rFonts w:ascii="Arial" w:cs="Arial" w:eastAsia="Arial" w:hAnsi="Arial"/>
          <w:sz w:val="18"/>
          <w:szCs w:val="18"/>
          <w:color w:val="auto"/>
        </w:rPr>
        <w:t>”</w:t>
      </w:r>
    </w:p>
    <w:p>
      <w:pPr>
        <w:spacing w:after="0" w:line="10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Section 1.1 of LA 6-1162-TRW-0672R1 entitled “[*CTR]”</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Section 3 of Letter Agreement 6-1162-TRW-0674R3 entitled “</w:t>
      </w:r>
      <w:r>
        <w:rPr>
          <w:rFonts w:ascii="Arial" w:cs="Arial" w:eastAsia="Arial" w:hAnsi="Arial"/>
          <w:sz w:val="18"/>
          <w:szCs w:val="18"/>
          <w:u w:val="single" w:color="auto"/>
          <w:color w:val="auto"/>
        </w:rPr>
        <w:t>Business</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u w:val="single" w:color="auto"/>
          <w:color w:val="auto"/>
        </w:rPr>
        <w:t>Considerations</w:t>
      </w:r>
      <w:r>
        <w:rPr>
          <w:rFonts w:ascii="Arial" w:cs="Arial" w:eastAsia="Arial" w:hAnsi="Arial"/>
          <w:sz w:val="18"/>
          <w:szCs w:val="18"/>
          <w:color w:val="auto"/>
        </w:rPr>
        <w:t>”</w:t>
      </w:r>
    </w:p>
    <w:p>
      <w:pPr>
        <w:spacing w:after="0" w:line="315" w:lineRule="exact"/>
        <w:rPr>
          <w:sz w:val="20"/>
          <w:szCs w:val="20"/>
          <w:color w:val="auto"/>
        </w:rPr>
      </w:pPr>
    </w:p>
    <w:p>
      <w:pPr>
        <w:ind w:left="320" w:hanging="312"/>
        <w:spacing w:after="0"/>
        <w:tabs>
          <w:tab w:leader="none" w:pos="32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Reimbursements of Advance Payments</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Upon execution of this SA-7, Boeing shall [*CTR] Customer the [*CTR] of Exhibit A(R1) with Exhibit A(R2) and the [*CTR]. Such [*CTR] Customer to Boeing at the time the next [*CTR] Boeing to Customer. The [*CTR].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6100" w:type="dxa"/>
            <w:vAlign w:val="bottom"/>
          </w:tcPr>
          <w:p>
            <w:pPr>
              <w:ind w:left="1680"/>
              <w:spacing w:after="0"/>
              <w:rPr>
                <w:sz w:val="20"/>
                <w:szCs w:val="20"/>
                <w:color w:val="auto"/>
              </w:rPr>
            </w:pPr>
            <w:r>
              <w:rPr>
                <w:rFonts w:ascii="Arial" w:cs="Arial" w:eastAsia="Arial" w:hAnsi="Arial"/>
                <w:sz w:val="18"/>
                <w:szCs w:val="18"/>
                <w:b w:val="1"/>
                <w:bCs w:val="1"/>
                <w:i w:val="1"/>
                <w:iCs w:val="1"/>
                <w:color w:val="auto"/>
              </w:rPr>
              <w:t>The rest of this page is left intentionally blank.</w:t>
            </w:r>
          </w:p>
        </w:tc>
        <w:tc>
          <w:tcPr>
            <w:tcW w:w="1440" w:type="dxa"/>
            <w:vAlign w:val="bottom"/>
          </w:tcPr>
          <w:p>
            <w:pPr>
              <w:spacing w:after="0"/>
              <w:rPr>
                <w:sz w:val="20"/>
                <w:szCs w:val="20"/>
                <w:color w:val="auto"/>
              </w:rPr>
            </w:pPr>
          </w:p>
        </w:tc>
      </w:tr>
      <w:tr>
        <w:trPr>
          <w:trHeight w:val="346"/>
        </w:trPr>
        <w:tc>
          <w:tcPr>
            <w:tcW w:w="2300" w:type="dxa"/>
            <w:vAlign w:val="bottom"/>
          </w:tcPr>
          <w:p>
            <w:pPr>
              <w:spacing w:after="0"/>
              <w:rPr>
                <w:sz w:val="20"/>
                <w:szCs w:val="20"/>
                <w:color w:val="auto"/>
              </w:rPr>
            </w:pPr>
            <w:r>
              <w:rPr>
                <w:rFonts w:ascii="Arial" w:cs="Arial" w:eastAsia="Arial" w:hAnsi="Arial"/>
                <w:sz w:val="18"/>
                <w:szCs w:val="18"/>
                <w:color w:val="auto"/>
              </w:rPr>
              <w:t>PA 3219</w:t>
            </w:r>
          </w:p>
        </w:tc>
        <w:tc>
          <w:tcPr>
            <w:tcW w:w="6100" w:type="dxa"/>
            <w:vAlign w:val="bottom"/>
          </w:tcPr>
          <w:p>
            <w:pPr>
              <w:jc w:val="center"/>
              <w:ind w:left="910"/>
              <w:spacing w:after="0"/>
              <w:rPr>
                <w:sz w:val="20"/>
                <w:szCs w:val="20"/>
                <w:color w:val="auto"/>
              </w:rPr>
            </w:pPr>
            <w:r>
              <w:rPr>
                <w:rFonts w:ascii="Arial" w:cs="Arial" w:eastAsia="Arial" w:hAnsi="Arial"/>
                <w:sz w:val="18"/>
                <w:szCs w:val="18"/>
                <w:color w:val="auto"/>
                <w:w w:val="94"/>
              </w:rPr>
              <w:t>SA-7</w:t>
            </w:r>
          </w:p>
        </w:tc>
        <w:tc>
          <w:tcPr>
            <w:tcW w:w="1440" w:type="dxa"/>
            <w:vAlign w:val="bottom"/>
          </w:tcPr>
          <w:p>
            <w:pPr>
              <w:ind w:left="960"/>
              <w:spacing w:after="0"/>
              <w:rPr>
                <w:sz w:val="20"/>
                <w:szCs w:val="20"/>
                <w:color w:val="auto"/>
              </w:rPr>
            </w:pPr>
            <w:r>
              <w:rPr>
                <w:rFonts w:ascii="Arial" w:cs="Arial" w:eastAsia="Arial" w:hAnsi="Arial"/>
                <w:sz w:val="18"/>
                <w:szCs w:val="18"/>
                <w:color w:val="auto"/>
                <w:w w:val="80"/>
              </w:rPr>
              <w:t>Page 3</w:t>
            </w:r>
          </w:p>
        </w:tc>
      </w:tr>
      <w:tr>
        <w:trPr>
          <w:trHeight w:val="234"/>
        </w:trPr>
        <w:tc>
          <w:tcPr>
            <w:tcW w:w="2300" w:type="dxa"/>
            <w:vAlign w:val="bottom"/>
          </w:tcPr>
          <w:p>
            <w:pPr>
              <w:spacing w:after="0"/>
              <w:rPr>
                <w:sz w:val="20"/>
                <w:szCs w:val="20"/>
                <w:color w:val="auto"/>
              </w:rPr>
            </w:pPr>
          </w:p>
        </w:tc>
        <w:tc>
          <w:tcPr>
            <w:tcW w:w="6100" w:type="dxa"/>
            <w:vAlign w:val="bottom"/>
          </w:tcPr>
          <w:p>
            <w:pPr>
              <w:jc w:val="center"/>
              <w:ind w:left="890"/>
              <w:spacing w:after="0"/>
              <w:rPr>
                <w:sz w:val="20"/>
                <w:szCs w:val="20"/>
                <w:color w:val="auto"/>
              </w:rPr>
            </w:pPr>
            <w:r>
              <w:rPr>
                <w:rFonts w:ascii="Arial" w:cs="Arial" w:eastAsia="Arial" w:hAnsi="Arial"/>
                <w:sz w:val="18"/>
                <w:szCs w:val="18"/>
                <w:b w:val="1"/>
                <w:bCs w:val="1"/>
                <w:color w:val="auto"/>
              </w:rPr>
              <w:t>BOEING PROPRIETARY</w:t>
            </w:r>
          </w:p>
        </w:tc>
        <w:tc>
          <w:tcPr>
            <w:tcW w:w="1440" w:type="dxa"/>
            <w:vAlign w:val="bottom"/>
          </w:tcPr>
          <w:p>
            <w:pPr>
              <w:spacing w:after="0"/>
              <w:rPr>
                <w:sz w:val="20"/>
                <w:szCs w:val="20"/>
                <w:color w:val="auto"/>
              </w:rPr>
            </w:pPr>
          </w:p>
        </w:tc>
      </w:tr>
    </w:tbl>
    <w:p>
      <w:pPr>
        <w:spacing w:after="0" w:line="20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280"/>
          </w:cols>
          <w:pgMar w:left="240" w:top="274" w:right="379" w:bottom="1440" w:gutter="0" w:footer="0" w:header="0"/>
        </w:sectPr>
      </w:pPr>
    </w:p>
    <w:bookmarkStart w:id="380" w:name="page381"/>
    <w:bookmarkEnd w:id="380"/>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r>
              <w:rPr>
                <w:rFonts w:ascii="Arial" w:cs="Arial" w:eastAsia="Arial" w:hAnsi="Arial"/>
                <w:sz w:val="18"/>
                <w:szCs w:val="18"/>
                <w:color w:val="auto"/>
              </w:rPr>
              <w:t>AGREED AND ACCEPTED</w:t>
            </w: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432"/>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12, 2016</w:t>
            </w:r>
          </w:p>
        </w:tc>
        <w:tc>
          <w:tcPr>
            <w:tcW w:w="2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Date</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580" w:type="dxa"/>
            <w:vAlign w:val="bottom"/>
          </w:tcPr>
          <w:p>
            <w:pPr>
              <w:spacing w:after="0"/>
              <w:rPr>
                <w:sz w:val="19"/>
                <w:szCs w:val="19"/>
                <w:color w:val="auto"/>
              </w:rPr>
            </w:pPr>
          </w:p>
        </w:tc>
      </w:tr>
      <w:tr>
        <w:trPr>
          <w:trHeight w:val="431"/>
        </w:trPr>
        <w:tc>
          <w:tcPr>
            <w:tcW w:w="3480" w:type="dxa"/>
            <w:vAlign w:val="bottom"/>
          </w:tcPr>
          <w:p>
            <w:pPr>
              <w:spacing w:after="0"/>
              <w:rPr>
                <w:sz w:val="20"/>
                <w:szCs w:val="20"/>
                <w:color w:val="auto"/>
              </w:rPr>
            </w:pPr>
            <w:r>
              <w:rPr>
                <w:rFonts w:ascii="Arial" w:cs="Arial" w:eastAsia="Arial" w:hAnsi="Arial"/>
                <w:sz w:val="18"/>
                <w:szCs w:val="18"/>
                <w:b w:val="1"/>
                <w:bCs w:val="1"/>
                <w:color w:val="auto"/>
              </w:rPr>
              <w:t>THE BOEING COMPANY</w:t>
            </w:r>
          </w:p>
        </w:tc>
        <w:tc>
          <w:tcPr>
            <w:tcW w:w="2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AMERICAN AIRLINES, INC.</w:t>
            </w:r>
          </w:p>
        </w:tc>
        <w:tc>
          <w:tcPr>
            <w:tcW w:w="2580" w:type="dxa"/>
            <w:vAlign w:val="bottom"/>
          </w:tcPr>
          <w:p>
            <w:pPr>
              <w:spacing w:after="0"/>
              <w:rPr>
                <w:sz w:val="24"/>
                <w:szCs w:val="24"/>
                <w:color w:val="auto"/>
              </w:rPr>
            </w:pPr>
          </w:p>
        </w:tc>
      </w:tr>
      <w:tr>
        <w:trPr>
          <w:trHeight w:val="432"/>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 Boeing Company</w:t>
            </w:r>
          </w:p>
        </w:tc>
        <w:tc>
          <w:tcPr>
            <w:tcW w:w="2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American Airlines, Inc.</w:t>
            </w:r>
          </w:p>
        </w:tc>
        <w:tc>
          <w:tcPr>
            <w:tcW w:w="2580" w:type="dxa"/>
            <w:vAlign w:val="bottom"/>
            <w:tcBorders>
              <w:bottom w:val="single" w:sz="8" w:color="auto"/>
            </w:tcBorders>
          </w:tcPr>
          <w:p>
            <w:pPr>
              <w:spacing w:after="0"/>
              <w:rPr>
                <w:sz w:val="24"/>
                <w:szCs w:val="24"/>
                <w:color w:val="auto"/>
              </w:rPr>
            </w:pP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Signature</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Signature</w:t>
            </w:r>
          </w:p>
        </w:tc>
        <w:tc>
          <w:tcPr>
            <w:tcW w:w="2580" w:type="dxa"/>
            <w:vAlign w:val="bottom"/>
          </w:tcPr>
          <w:p>
            <w:pPr>
              <w:spacing w:after="0"/>
              <w:rPr>
                <w:sz w:val="19"/>
                <w:szCs w:val="19"/>
                <w:color w:val="auto"/>
              </w:rPr>
            </w:pPr>
          </w:p>
        </w:tc>
      </w:tr>
      <w:tr>
        <w:trPr>
          <w:trHeight w:val="431"/>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 Boeing Company</w:t>
            </w:r>
          </w:p>
        </w:tc>
        <w:tc>
          <w:tcPr>
            <w:tcW w:w="2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American Airlines, Inc.</w:t>
            </w:r>
          </w:p>
        </w:tc>
        <w:tc>
          <w:tcPr>
            <w:tcW w:w="2580" w:type="dxa"/>
            <w:vAlign w:val="bottom"/>
            <w:tcBorders>
              <w:bottom w:val="single" w:sz="8" w:color="auto"/>
            </w:tcBorders>
          </w:tcPr>
          <w:p>
            <w:pPr>
              <w:spacing w:after="0"/>
              <w:rPr>
                <w:sz w:val="24"/>
                <w:szCs w:val="24"/>
                <w:color w:val="auto"/>
              </w:rPr>
            </w:pP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Printed name</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Printed name</w:t>
            </w:r>
          </w:p>
        </w:tc>
        <w:tc>
          <w:tcPr>
            <w:tcW w:w="2580" w:type="dxa"/>
            <w:vAlign w:val="bottom"/>
          </w:tcPr>
          <w:p>
            <w:pPr>
              <w:spacing w:after="0"/>
              <w:rPr>
                <w:sz w:val="19"/>
                <w:szCs w:val="19"/>
                <w:color w:val="auto"/>
              </w:rPr>
            </w:pPr>
          </w:p>
        </w:tc>
      </w:tr>
      <w:tr>
        <w:trPr>
          <w:trHeight w:val="431"/>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22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Vice President &amp; Treasurer</w:t>
            </w:r>
          </w:p>
        </w:tc>
        <w:tc>
          <w:tcPr>
            <w:tcW w:w="2580" w:type="dxa"/>
            <w:vAlign w:val="bottom"/>
            <w:tcBorders>
              <w:bottom w:val="single" w:sz="8" w:color="auto"/>
            </w:tcBorders>
          </w:tcPr>
          <w:p>
            <w:pPr>
              <w:spacing w:after="0"/>
              <w:rPr>
                <w:sz w:val="24"/>
                <w:szCs w:val="24"/>
                <w:color w:val="auto"/>
              </w:rPr>
            </w:pP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Title</w:t>
            </w:r>
          </w:p>
        </w:tc>
        <w:tc>
          <w:tcPr>
            <w:tcW w:w="2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Title</w:t>
            </w:r>
          </w:p>
        </w:tc>
        <w:tc>
          <w:tcPr>
            <w:tcW w:w="2580" w:type="dxa"/>
            <w:vAlign w:val="bottom"/>
          </w:tcPr>
          <w:p>
            <w:pPr>
              <w:spacing w:after="0"/>
              <w:rPr>
                <w:sz w:val="19"/>
                <w:szCs w:val="19"/>
                <w:color w:val="auto"/>
              </w:rPr>
            </w:pPr>
          </w:p>
        </w:tc>
      </w:tr>
      <w:tr>
        <w:trPr>
          <w:trHeight w:val="345"/>
        </w:trPr>
        <w:tc>
          <w:tcPr>
            <w:tcW w:w="3480" w:type="dxa"/>
            <w:vAlign w:val="bottom"/>
          </w:tcPr>
          <w:p>
            <w:pPr>
              <w:spacing w:after="0"/>
              <w:rPr>
                <w:sz w:val="20"/>
                <w:szCs w:val="20"/>
                <w:color w:val="auto"/>
              </w:rPr>
            </w:pPr>
            <w:r>
              <w:rPr>
                <w:rFonts w:ascii="Arial" w:cs="Arial" w:eastAsia="Arial" w:hAnsi="Arial"/>
                <w:sz w:val="18"/>
                <w:szCs w:val="18"/>
                <w:color w:val="auto"/>
              </w:rPr>
              <w:t>PA 3219</w:t>
            </w:r>
          </w:p>
        </w:tc>
        <w:tc>
          <w:tcPr>
            <w:tcW w:w="5360" w:type="dxa"/>
            <w:vAlign w:val="bottom"/>
            <w:gridSpan w:val="3"/>
          </w:tcPr>
          <w:p>
            <w:pPr>
              <w:jc w:val="center"/>
              <w:ind w:right="530"/>
              <w:spacing w:after="0"/>
              <w:rPr>
                <w:sz w:val="20"/>
                <w:szCs w:val="20"/>
                <w:color w:val="auto"/>
              </w:rPr>
            </w:pPr>
            <w:r>
              <w:rPr>
                <w:rFonts w:ascii="Arial" w:cs="Arial" w:eastAsia="Arial" w:hAnsi="Arial"/>
                <w:sz w:val="18"/>
                <w:szCs w:val="18"/>
                <w:color w:val="auto"/>
                <w:w w:val="94"/>
              </w:rPr>
              <w:t>SA-7</w:t>
            </w:r>
          </w:p>
        </w:tc>
        <w:tc>
          <w:tcPr>
            <w:tcW w:w="2580" w:type="dxa"/>
            <w:vAlign w:val="bottom"/>
          </w:tcPr>
          <w:p>
            <w:pPr>
              <w:ind w:left="520"/>
              <w:spacing w:after="0"/>
              <w:rPr>
                <w:sz w:val="20"/>
                <w:szCs w:val="20"/>
                <w:color w:val="auto"/>
              </w:rPr>
            </w:pPr>
            <w:r>
              <w:rPr>
                <w:rFonts w:ascii="Arial" w:cs="Arial" w:eastAsia="Arial" w:hAnsi="Arial"/>
                <w:sz w:val="18"/>
                <w:szCs w:val="18"/>
                <w:color w:val="auto"/>
              </w:rPr>
              <w:t>Page 4</w:t>
            </w:r>
          </w:p>
        </w:tc>
      </w:tr>
      <w:tr>
        <w:trPr>
          <w:trHeight w:val="234"/>
        </w:trPr>
        <w:tc>
          <w:tcPr>
            <w:tcW w:w="3480" w:type="dxa"/>
            <w:vAlign w:val="bottom"/>
          </w:tcPr>
          <w:p>
            <w:pPr>
              <w:spacing w:after="0"/>
              <w:rPr>
                <w:sz w:val="20"/>
                <w:szCs w:val="20"/>
                <w:color w:val="auto"/>
              </w:rPr>
            </w:pPr>
          </w:p>
        </w:tc>
        <w:tc>
          <w:tcPr>
            <w:tcW w:w="5360" w:type="dxa"/>
            <w:vAlign w:val="bottom"/>
            <w:gridSpan w:val="3"/>
          </w:tcPr>
          <w:p>
            <w:pPr>
              <w:jc w:val="center"/>
              <w:ind w:right="550"/>
              <w:spacing w:after="0"/>
              <w:rPr>
                <w:sz w:val="20"/>
                <w:szCs w:val="20"/>
                <w:color w:val="auto"/>
              </w:rPr>
            </w:pPr>
            <w:r>
              <w:rPr>
                <w:rFonts w:ascii="Arial" w:cs="Arial" w:eastAsia="Arial" w:hAnsi="Arial"/>
                <w:sz w:val="18"/>
                <w:szCs w:val="18"/>
                <w:b w:val="1"/>
                <w:bCs w:val="1"/>
                <w:color w:val="auto"/>
              </w:rPr>
              <w:t>BOEING PROPRIETARY</w:t>
            </w:r>
          </w:p>
        </w:tc>
        <w:tc>
          <w:tcPr>
            <w:tcW w:w="25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81" w:name="page382"/>
    <w:bookmarkEnd w:id="38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20" w:type="dxa"/>
            <w:vAlign w:val="bottom"/>
          </w:tcPr>
          <w:p>
            <w:pPr>
              <w:ind w:left="2220"/>
              <w:spacing w:after="0"/>
              <w:rPr>
                <w:sz w:val="20"/>
                <w:szCs w:val="20"/>
                <w:color w:val="auto"/>
              </w:rPr>
            </w:pPr>
            <w:r>
              <w:rPr>
                <w:rFonts w:ascii="Arial" w:cs="Arial" w:eastAsia="Arial" w:hAnsi="Arial"/>
                <w:sz w:val="18"/>
                <w:szCs w:val="18"/>
                <w:color w:val="auto"/>
              </w:rPr>
              <w:t>TABLE OF CONTENTS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SA</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0" w:type="dxa"/>
            <w:vAlign w:val="bottom"/>
            <w:gridSpan w:val="6"/>
          </w:tcPr>
          <w:p>
            <w:pPr>
              <w:jc w:val="center"/>
              <w:ind w:right="1020"/>
              <w:spacing w:after="0" w:line="190" w:lineRule="exact"/>
              <w:rPr>
                <w:sz w:val="20"/>
                <w:szCs w:val="20"/>
                <w:color w:val="auto"/>
              </w:rPr>
            </w:pPr>
            <w:r>
              <w:rPr>
                <w:rFonts w:ascii="Arial" w:cs="Arial" w:eastAsia="Arial" w:hAnsi="Arial"/>
                <w:sz w:val="18"/>
                <w:szCs w:val="18"/>
                <w:color w:val="auto"/>
                <w:w w:val="88"/>
              </w:rPr>
              <w:t>ARTICLES</w:t>
            </w:r>
          </w:p>
        </w:tc>
        <w:tc>
          <w:tcPr>
            <w:tcW w:w="7720" w:type="dxa"/>
            <w:vAlign w:val="bottom"/>
          </w:tcPr>
          <w:p>
            <w:pPr>
              <w:spacing w:after="0"/>
              <w:rPr>
                <w:sz w:val="16"/>
                <w:szCs w:val="16"/>
                <w:color w:val="auto"/>
              </w:rPr>
            </w:pPr>
          </w:p>
        </w:tc>
        <w:tc>
          <w:tcPr>
            <w:tcW w:w="1120" w:type="dxa"/>
            <w:vAlign w:val="bottom"/>
            <w:gridSpan w:val="3"/>
          </w:tcPr>
          <w:p>
            <w:pPr>
              <w:jc w:val="right"/>
              <w:ind w:right="100"/>
              <w:spacing w:after="0" w:line="190" w:lineRule="exact"/>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 w:type="dxa"/>
            <w:vAlign w:val="bottom"/>
            <w:gridSpan w:val="2"/>
          </w:tcPr>
          <w:p>
            <w:pPr>
              <w:spacing w:after="0"/>
              <w:rPr>
                <w:sz w:val="19"/>
                <w:szCs w:val="19"/>
                <w:color w:val="auto"/>
              </w:rPr>
            </w:pPr>
          </w:p>
        </w:tc>
        <w:tc>
          <w:tcPr>
            <w:tcW w:w="48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Quantity, Model and Description</w:t>
            </w: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260" w:type="dxa"/>
            <w:vAlign w:val="bottom"/>
            <w:gridSpan w:val="4"/>
          </w:tcPr>
          <w:p>
            <w:pPr>
              <w:jc w:val="center"/>
              <w:ind w:left="910"/>
              <w:spacing w:after="0"/>
              <w:rPr>
                <w:sz w:val="20"/>
                <w:szCs w:val="20"/>
                <w:color w:val="auto"/>
              </w:rPr>
            </w:pPr>
            <w:r>
              <w:rPr>
                <w:rFonts w:ascii="Arial" w:cs="Arial" w:eastAsia="Arial" w:hAnsi="Arial"/>
                <w:sz w:val="18"/>
                <w:szCs w:val="18"/>
                <w:color w:val="auto"/>
                <w:w w:val="92"/>
              </w:rPr>
              <w:t>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Delivery Schedule</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260" w:type="dxa"/>
            <w:vAlign w:val="bottom"/>
            <w:gridSpan w:val="4"/>
          </w:tcPr>
          <w:p>
            <w:pPr>
              <w:jc w:val="center"/>
              <w:ind w:left="910"/>
              <w:spacing w:after="0"/>
              <w:rPr>
                <w:sz w:val="20"/>
                <w:szCs w:val="20"/>
                <w:color w:val="auto"/>
              </w:rPr>
            </w:pPr>
            <w:r>
              <w:rPr>
                <w:rFonts w:ascii="Arial" w:cs="Arial" w:eastAsia="Arial" w:hAnsi="Arial"/>
                <w:sz w:val="18"/>
                <w:szCs w:val="18"/>
                <w:color w:val="auto"/>
                <w:w w:val="92"/>
              </w:rPr>
              <w:t>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Price</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260" w:type="dxa"/>
            <w:vAlign w:val="bottom"/>
            <w:gridSpan w:val="4"/>
          </w:tcPr>
          <w:p>
            <w:pPr>
              <w:jc w:val="center"/>
              <w:ind w:left="910"/>
              <w:spacing w:after="0"/>
              <w:rPr>
                <w:sz w:val="20"/>
                <w:szCs w:val="20"/>
                <w:color w:val="auto"/>
              </w:rPr>
            </w:pPr>
            <w:r>
              <w:rPr>
                <w:rFonts w:ascii="Arial" w:cs="Arial" w:eastAsia="Arial" w:hAnsi="Arial"/>
                <w:sz w:val="18"/>
                <w:szCs w:val="18"/>
                <w:color w:val="auto"/>
                <w:w w:val="92"/>
              </w:rPr>
              <w:t>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Payment</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260" w:type="dxa"/>
            <w:vAlign w:val="bottom"/>
            <w:gridSpan w:val="4"/>
          </w:tcPr>
          <w:p>
            <w:pPr>
              <w:jc w:val="center"/>
              <w:ind w:left="910"/>
              <w:spacing w:after="0"/>
              <w:rPr>
                <w:sz w:val="20"/>
                <w:szCs w:val="20"/>
                <w:color w:val="auto"/>
              </w:rPr>
            </w:pPr>
            <w:r>
              <w:rPr>
                <w:rFonts w:ascii="Arial" w:cs="Arial" w:eastAsia="Arial" w:hAnsi="Arial"/>
                <w:sz w:val="18"/>
                <w:szCs w:val="18"/>
                <w:color w:val="auto"/>
                <w:w w:val="92"/>
              </w:rPr>
              <w:t>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Miscellaneous</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1260" w:type="dxa"/>
            <w:vAlign w:val="bottom"/>
            <w:gridSpan w:val="4"/>
          </w:tcPr>
          <w:p>
            <w:pPr>
              <w:jc w:val="center"/>
              <w:ind w:left="910"/>
              <w:spacing w:after="0"/>
              <w:rPr>
                <w:sz w:val="20"/>
                <w:szCs w:val="20"/>
                <w:color w:val="auto"/>
              </w:rPr>
            </w:pPr>
            <w:r>
              <w:rPr>
                <w:rFonts w:ascii="Arial" w:cs="Arial" w:eastAsia="Arial" w:hAnsi="Arial"/>
                <w:sz w:val="18"/>
                <w:szCs w:val="18"/>
                <w:color w:val="auto"/>
                <w:w w:val="92"/>
              </w:rPr>
              <w:t>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Confidential Treatment</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color w:val="auto"/>
                <w:w w:val="98"/>
              </w:rPr>
              <w:t>TABLE</w:t>
            </w:r>
          </w:p>
        </w:tc>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top w:val="single" w:sz="8" w:color="auto"/>
            </w:tcBorders>
          </w:tcPr>
          <w:p>
            <w:pPr>
              <w:jc w:val="center"/>
              <w:ind w:left="50"/>
              <w:spacing w:after="0"/>
              <w:rPr>
                <w:sz w:val="20"/>
                <w:szCs w:val="20"/>
                <w:color w:val="auto"/>
              </w:rPr>
            </w:pPr>
            <w:r>
              <w:rPr>
                <w:rFonts w:ascii="Arial" w:cs="Arial" w:eastAsia="Arial" w:hAnsi="Arial"/>
                <w:sz w:val="18"/>
                <w:szCs w:val="18"/>
                <w:color w:val="auto"/>
                <w:strike w:val="1"/>
                <w:w w:val="92"/>
              </w:rPr>
              <w:t>1.</w:t>
            </w: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strike w:val="1"/>
              </w:rPr>
              <w:t>Aircraft Information Table – TRENT</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b w:val="1"/>
                <w:bCs w:val="1"/>
                <w:color w:val="auto"/>
                <w:w w:val="97"/>
              </w:rPr>
              <w:t>1(R5)</w:t>
            </w:r>
          </w:p>
        </w:tc>
        <w:tc>
          <w:tcPr>
            <w:tcW w:w="7720" w:type="dxa"/>
            <w:vAlign w:val="bottom"/>
          </w:tcPr>
          <w:p>
            <w:pPr>
              <w:spacing w:after="0"/>
              <w:rPr>
                <w:sz w:val="20"/>
                <w:szCs w:val="20"/>
                <w:color w:val="auto"/>
              </w:rPr>
            </w:pPr>
            <w:r>
              <w:rPr>
                <w:rFonts w:ascii="Arial" w:cs="Arial" w:eastAsia="Arial" w:hAnsi="Arial"/>
                <w:sz w:val="18"/>
                <w:szCs w:val="18"/>
                <w:b w:val="1"/>
                <w:bCs w:val="1"/>
                <w:color w:val="auto"/>
              </w:rPr>
              <w:t>787-9 Aircraft Information Table – GENX</w:t>
            </w: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SA-7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3"/>
              </w:rPr>
              <w:t>2(R1)</w:t>
            </w:r>
          </w:p>
        </w:tc>
        <w:tc>
          <w:tcPr>
            <w:tcW w:w="7720" w:type="dxa"/>
            <w:vAlign w:val="bottom"/>
          </w:tcPr>
          <w:p>
            <w:pPr>
              <w:spacing w:after="0"/>
              <w:rPr>
                <w:sz w:val="20"/>
                <w:szCs w:val="20"/>
                <w:color w:val="auto"/>
              </w:rPr>
            </w:pPr>
            <w:r>
              <w:rPr>
                <w:rFonts w:ascii="Arial" w:cs="Arial" w:eastAsia="Arial" w:hAnsi="Arial"/>
                <w:sz w:val="18"/>
                <w:szCs w:val="18"/>
                <w:color w:val="auto"/>
              </w:rPr>
              <w:t>787-8 Aircraft Information Table – GENX ([*CTR] (12) 787-8 Aircraft)</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3"/>
              </w:rPr>
              <w:t>3(R1)</w:t>
            </w:r>
          </w:p>
        </w:tc>
        <w:tc>
          <w:tcPr>
            <w:tcW w:w="7720" w:type="dxa"/>
            <w:vAlign w:val="bottom"/>
          </w:tcPr>
          <w:p>
            <w:pPr>
              <w:spacing w:after="0"/>
              <w:rPr>
                <w:sz w:val="20"/>
                <w:szCs w:val="20"/>
                <w:color w:val="auto"/>
              </w:rPr>
            </w:pPr>
            <w:r>
              <w:rPr>
                <w:rFonts w:ascii="Arial" w:cs="Arial" w:eastAsia="Arial" w:hAnsi="Arial"/>
                <w:sz w:val="18"/>
                <w:szCs w:val="18"/>
                <w:color w:val="auto"/>
                <w:w w:val="97"/>
              </w:rPr>
              <w:t>787-8 Aircraft Information Table – GENX ([*CTR] Eight (8) 787-8 Aircraft, yielding Twenty (20) 787-</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8 Aircraft)</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SA-5</w:t>
            </w:r>
          </w:p>
        </w:tc>
        <w:tc>
          <w:tcPr>
            <w:tcW w:w="0" w:type="dxa"/>
            <w:vAlign w:val="bottom"/>
          </w:tcPr>
          <w:p>
            <w:pPr>
              <w:spacing w:after="0"/>
              <w:rPr>
                <w:sz w:val="1"/>
                <w:szCs w:val="1"/>
                <w:color w:val="auto"/>
              </w:rPr>
            </w:pPr>
          </w:p>
        </w:tc>
      </w:tr>
      <w:tr>
        <w:trPr>
          <w:trHeight w:val="230"/>
        </w:trPr>
        <w:tc>
          <w:tcPr>
            <w:tcW w:w="1260" w:type="dxa"/>
            <w:vAlign w:val="bottom"/>
            <w:gridSpan w:val="4"/>
          </w:tcPr>
          <w:p>
            <w:pPr>
              <w:jc w:val="center"/>
              <w:ind w:left="930"/>
              <w:spacing w:after="0"/>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WITHDRAWN</w:t>
            </w:r>
          </w:p>
        </w:tc>
        <w:tc>
          <w:tcPr>
            <w:tcW w:w="2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color w:val="auto"/>
              </w:rPr>
              <w:t>EXHIBIT</w:t>
            </w:r>
          </w:p>
        </w:tc>
        <w:tc>
          <w:tcPr>
            <w:tcW w:w="1020" w:type="dxa"/>
            <w:vAlign w:val="bottom"/>
            <w:gridSpan w:val="2"/>
          </w:tcPr>
          <w:p>
            <w:pPr>
              <w:spacing w:after="0"/>
              <w:rPr>
                <w:sz w:val="24"/>
                <w:szCs w:val="24"/>
                <w:color w:val="auto"/>
              </w:rPr>
            </w:pPr>
          </w:p>
        </w:tc>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b w:val="1"/>
                <w:bCs w:val="1"/>
                <w:color w:val="auto"/>
                <w:w w:val="98"/>
              </w:rPr>
              <w:t>A(R2).</w:t>
            </w:r>
          </w:p>
        </w:tc>
        <w:tc>
          <w:tcPr>
            <w:tcW w:w="7720" w:type="dxa"/>
            <w:vAlign w:val="bottom"/>
          </w:tcPr>
          <w:p>
            <w:pPr>
              <w:spacing w:after="0"/>
              <w:rPr>
                <w:sz w:val="20"/>
                <w:szCs w:val="20"/>
                <w:color w:val="auto"/>
              </w:rPr>
            </w:pPr>
            <w:r>
              <w:rPr>
                <w:rFonts w:ascii="Arial" w:cs="Arial" w:eastAsia="Arial" w:hAnsi="Arial"/>
                <w:sz w:val="18"/>
                <w:szCs w:val="18"/>
                <w:b w:val="1"/>
                <w:bCs w:val="1"/>
                <w:color w:val="auto"/>
              </w:rPr>
              <w:t xml:space="preserve">Aircraft Configuration for </w:t>
            </w:r>
            <w:r>
              <w:rPr>
                <w:rFonts w:ascii="Arial" w:cs="Arial" w:eastAsia="Arial" w:hAnsi="Arial"/>
                <w:sz w:val="18"/>
                <w:szCs w:val="18"/>
                <w:color w:val="auto"/>
              </w:rPr>
              <w:t>[*CTR]</w:t>
            </w:r>
            <w:r>
              <w:rPr>
                <w:rFonts w:ascii="Arial" w:cs="Arial" w:eastAsia="Arial" w:hAnsi="Arial"/>
                <w:sz w:val="18"/>
                <w:szCs w:val="18"/>
                <w:b w:val="1"/>
                <w:bCs w:val="1"/>
                <w:color w:val="auto"/>
              </w:rPr>
              <w:t xml:space="preserve"> Aircraft</w:t>
            </w:r>
          </w:p>
        </w:tc>
        <w:tc>
          <w:tcPr>
            <w:tcW w:w="24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SA-7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color w:val="auto"/>
                <w:w w:val="98"/>
              </w:rPr>
              <w:t>A2(R3)</w:t>
            </w:r>
          </w:p>
        </w:tc>
        <w:tc>
          <w:tcPr>
            <w:tcW w:w="7720" w:type="dxa"/>
            <w:vAlign w:val="bottom"/>
          </w:tcPr>
          <w:p>
            <w:pPr>
              <w:spacing w:after="0"/>
              <w:rPr>
                <w:sz w:val="20"/>
                <w:szCs w:val="20"/>
                <w:color w:val="auto"/>
              </w:rPr>
            </w:pPr>
            <w:r>
              <w:rPr>
                <w:rFonts w:ascii="Arial" w:cs="Arial" w:eastAsia="Arial" w:hAnsi="Arial"/>
                <w:sz w:val="18"/>
                <w:szCs w:val="18"/>
                <w:color w:val="auto"/>
              </w:rPr>
              <w:t>Aircraft Configuration for [*CTR] Aircraft</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6"/>
              </w:rPr>
              <w:t>B(R1).</w:t>
            </w:r>
          </w:p>
        </w:tc>
        <w:tc>
          <w:tcPr>
            <w:tcW w:w="7720" w:type="dxa"/>
            <w:vAlign w:val="bottom"/>
          </w:tcPr>
          <w:p>
            <w:pPr>
              <w:spacing w:after="0"/>
              <w:rPr>
                <w:sz w:val="20"/>
                <w:szCs w:val="20"/>
                <w:color w:val="auto"/>
              </w:rPr>
            </w:pPr>
            <w:r>
              <w:rPr>
                <w:rFonts w:ascii="Arial" w:cs="Arial" w:eastAsia="Arial" w:hAnsi="Arial"/>
                <w:sz w:val="18"/>
                <w:szCs w:val="18"/>
                <w:color w:val="auto"/>
              </w:rPr>
              <w:t>Aircraft Delivery Requirements and Responsibilities</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4"/>
              </w:rPr>
              <w:t>C(R1).</w:t>
            </w:r>
          </w:p>
        </w:tc>
        <w:tc>
          <w:tcPr>
            <w:tcW w:w="7720" w:type="dxa"/>
            <w:vAlign w:val="bottom"/>
          </w:tcPr>
          <w:p>
            <w:pPr>
              <w:spacing w:after="0"/>
              <w:rPr>
                <w:sz w:val="20"/>
                <w:szCs w:val="20"/>
                <w:color w:val="auto"/>
              </w:rPr>
            </w:pPr>
            <w:r>
              <w:rPr>
                <w:rFonts w:ascii="Arial" w:cs="Arial" w:eastAsia="Arial" w:hAnsi="Arial"/>
                <w:sz w:val="18"/>
                <w:szCs w:val="18"/>
                <w:color w:val="auto"/>
              </w:rPr>
              <w:t>Defined Terms</w:t>
            </w:r>
          </w:p>
        </w:tc>
        <w:tc>
          <w:tcPr>
            <w:tcW w:w="2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2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6"/>
              </w:rPr>
              <w:t>SUPPLEMENTAL EXHIBITS</w:t>
            </w:r>
          </w:p>
        </w:tc>
        <w:tc>
          <w:tcPr>
            <w:tcW w:w="3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7"/>
              </w:rPr>
              <w:t>AE1.</w:t>
            </w:r>
          </w:p>
        </w:tc>
        <w:tc>
          <w:tcPr>
            <w:tcW w:w="7720" w:type="dxa"/>
            <w:vAlign w:val="bottom"/>
          </w:tcPr>
          <w:p>
            <w:pPr>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0" w:type="dxa"/>
            <w:vAlign w:val="bottom"/>
            <w:gridSpan w:val="6"/>
          </w:tcPr>
          <w:p>
            <w:pPr>
              <w:jc w:val="center"/>
              <w:ind w:right="1040"/>
              <w:spacing w:after="0"/>
              <w:rPr>
                <w:sz w:val="20"/>
                <w:szCs w:val="20"/>
                <w:color w:val="auto"/>
              </w:rPr>
            </w:pPr>
            <w:r>
              <w:rPr>
                <w:rFonts w:ascii="Arial" w:cs="Arial" w:eastAsia="Arial" w:hAnsi="Arial"/>
                <w:sz w:val="18"/>
                <w:szCs w:val="18"/>
                <w:color w:val="auto"/>
                <w:w w:val="89"/>
              </w:rPr>
              <w:t>BFE1(R1).</w:t>
            </w:r>
          </w:p>
        </w:tc>
        <w:tc>
          <w:tcPr>
            <w:tcW w:w="7720" w:type="dxa"/>
            <w:vAlign w:val="bottom"/>
          </w:tcPr>
          <w:p>
            <w:pPr>
              <w:spacing w:after="0"/>
              <w:rPr>
                <w:sz w:val="20"/>
                <w:szCs w:val="20"/>
                <w:color w:val="auto"/>
              </w:rPr>
            </w:pPr>
            <w:r>
              <w:rPr>
                <w:rFonts w:ascii="Arial" w:cs="Arial" w:eastAsia="Arial" w:hAnsi="Arial"/>
                <w:sz w:val="18"/>
                <w:szCs w:val="18"/>
                <w:color w:val="auto"/>
              </w:rPr>
              <w:t>Buyer Furnished Equipment Variables 787-9</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80"/>
              <w:spacing w:after="0"/>
              <w:rPr>
                <w:sz w:val="20"/>
                <w:szCs w:val="20"/>
                <w:color w:val="auto"/>
              </w:rPr>
            </w:pPr>
            <w:r>
              <w:rPr>
                <w:rFonts w:ascii="Arial" w:cs="Arial" w:eastAsia="Arial" w:hAnsi="Arial"/>
                <w:sz w:val="18"/>
                <w:szCs w:val="18"/>
                <w:color w:val="auto"/>
                <w:w w:val="91"/>
              </w:rPr>
              <w:t>BFE2.</w:t>
            </w:r>
          </w:p>
        </w:tc>
        <w:tc>
          <w:tcPr>
            <w:tcW w:w="7720" w:type="dxa"/>
            <w:vAlign w:val="bottom"/>
          </w:tcPr>
          <w:p>
            <w:pPr>
              <w:spacing w:after="0"/>
              <w:rPr>
                <w:sz w:val="20"/>
                <w:szCs w:val="20"/>
                <w:color w:val="auto"/>
              </w:rPr>
            </w:pPr>
            <w:r>
              <w:rPr>
                <w:rFonts w:ascii="Arial" w:cs="Arial" w:eastAsia="Arial" w:hAnsi="Arial"/>
                <w:sz w:val="18"/>
                <w:szCs w:val="18"/>
                <w:color w:val="auto"/>
              </w:rPr>
              <w:t>Buyer Furnished Equipment Variables 787-8</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color w:val="auto"/>
                <w:w w:val="89"/>
              </w:rPr>
              <w:t>CS1.</w:t>
            </w:r>
          </w:p>
        </w:tc>
        <w:tc>
          <w:tcPr>
            <w:tcW w:w="7720" w:type="dxa"/>
            <w:vAlign w:val="bottom"/>
          </w:tcPr>
          <w:p>
            <w:pPr>
              <w:spacing w:after="0"/>
              <w:rPr>
                <w:sz w:val="20"/>
                <w:szCs w:val="20"/>
                <w:color w:val="auto"/>
              </w:rPr>
            </w:pPr>
            <w:r>
              <w:rPr>
                <w:rFonts w:ascii="Arial" w:cs="Arial" w:eastAsia="Arial" w:hAnsi="Arial"/>
                <w:sz w:val="18"/>
                <w:szCs w:val="18"/>
                <w:color w:val="auto"/>
              </w:rPr>
              <w:t>787 Customer Support Document</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color w:val="auto"/>
                <w:w w:val="92"/>
              </w:rPr>
              <w:t>EE1.</w:t>
            </w:r>
          </w:p>
        </w:tc>
        <w:tc>
          <w:tcPr>
            <w:tcW w:w="7720" w:type="dxa"/>
            <w:vAlign w:val="bottom"/>
          </w:tcPr>
          <w:p>
            <w:pPr>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Arial" w:cs="Arial" w:eastAsia="Arial" w:hAnsi="Arial"/>
                <w:sz w:val="18"/>
                <w:szCs w:val="18"/>
                <w:color w:val="auto"/>
                <w:strike w:val="1"/>
                <w:w w:val="82"/>
              </w:rPr>
              <w:t>EE1</w:t>
            </w:r>
          </w:p>
        </w:tc>
        <w:tc>
          <w:tcPr>
            <w:tcW w:w="1320" w:type="dxa"/>
            <w:vAlign w:val="bottom"/>
            <w:gridSpan w:val="4"/>
          </w:tcPr>
          <w:p>
            <w:pPr>
              <w:jc w:val="right"/>
              <w:ind w:right="1260"/>
              <w:spacing w:after="0"/>
              <w:rPr>
                <w:sz w:val="20"/>
                <w:szCs w:val="20"/>
                <w:color w:val="auto"/>
              </w:rPr>
            </w:pPr>
            <w:r>
              <w:rPr>
                <w:rFonts w:ascii="Arial" w:cs="Arial" w:eastAsia="Arial" w:hAnsi="Arial"/>
                <w:sz w:val="18"/>
                <w:szCs w:val="18"/>
                <w:color w:val="auto"/>
                <w:w w:val="78"/>
              </w:rPr>
              <w:t>.</w:t>
            </w:r>
          </w:p>
        </w:tc>
        <w:tc>
          <w:tcPr>
            <w:tcW w:w="7720" w:type="dxa"/>
            <w:vAlign w:val="bottom"/>
          </w:tcPr>
          <w:p>
            <w:pPr>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color w:val="auto"/>
                <w:w w:val="92"/>
              </w:rPr>
              <w:t>EE2.</w:t>
            </w:r>
          </w:p>
        </w:tc>
        <w:tc>
          <w:tcPr>
            <w:tcW w:w="7720" w:type="dxa"/>
            <w:vAlign w:val="bottom"/>
          </w:tcPr>
          <w:p>
            <w:pPr>
              <w:spacing w:after="0"/>
              <w:rPr>
                <w:sz w:val="20"/>
                <w:szCs w:val="20"/>
                <w:color w:val="auto"/>
              </w:rPr>
            </w:pPr>
            <w:r>
              <w:rPr>
                <w:rFonts w:ascii="Arial" w:cs="Arial" w:eastAsia="Arial" w:hAnsi="Arial"/>
                <w:sz w:val="18"/>
                <w:szCs w:val="18"/>
                <w:color w:val="auto"/>
              </w:rPr>
              <w:t>[*CTR]</w:t>
            </w: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5"/>
          </w:tcPr>
          <w:p>
            <w:pPr>
              <w:jc w:val="center"/>
              <w:ind w:right="1160"/>
              <w:spacing w:after="0"/>
              <w:rPr>
                <w:sz w:val="20"/>
                <w:szCs w:val="20"/>
                <w:color w:val="auto"/>
              </w:rPr>
            </w:pPr>
            <w:r>
              <w:rPr>
                <w:rFonts w:ascii="Arial" w:cs="Arial" w:eastAsia="Arial" w:hAnsi="Arial"/>
                <w:sz w:val="18"/>
                <w:szCs w:val="18"/>
                <w:color w:val="auto"/>
                <w:w w:val="89"/>
              </w:rPr>
              <w:t>SLP1.</w:t>
            </w:r>
          </w:p>
        </w:tc>
        <w:tc>
          <w:tcPr>
            <w:tcW w:w="7720" w:type="dxa"/>
            <w:vAlign w:val="bottom"/>
          </w:tcPr>
          <w:p>
            <w:pPr>
              <w:spacing w:after="0"/>
              <w:rPr>
                <w:sz w:val="20"/>
                <w:szCs w:val="20"/>
                <w:color w:val="auto"/>
              </w:rPr>
            </w:pPr>
            <w:r>
              <w:rPr>
                <w:rFonts w:ascii="Arial" w:cs="Arial" w:eastAsia="Arial" w:hAnsi="Arial"/>
                <w:sz w:val="18"/>
                <w:szCs w:val="18"/>
                <w:color w:val="auto"/>
              </w:rPr>
              <w:t>Service Life Policy Components</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580" w:type="dxa"/>
            <w:vAlign w:val="bottom"/>
            <w:gridSpan w:val="8"/>
          </w:tcPr>
          <w:p>
            <w:pPr>
              <w:spacing w:after="0"/>
              <w:rPr>
                <w:sz w:val="20"/>
                <w:szCs w:val="20"/>
                <w:color w:val="auto"/>
              </w:rPr>
            </w:pPr>
            <w:r>
              <w:rPr>
                <w:rFonts w:ascii="Arial" w:cs="Arial" w:eastAsia="Arial" w:hAnsi="Arial"/>
                <w:sz w:val="18"/>
                <w:szCs w:val="18"/>
                <w:color w:val="auto"/>
              </w:rPr>
              <w:t>P.A. No. 3219</w:t>
            </w:r>
          </w:p>
        </w:tc>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30"/>
        </w:trPr>
        <w:tc>
          <w:tcPr>
            <w:tcW w:w="2580" w:type="dxa"/>
            <w:vAlign w:val="bottom"/>
            <w:gridSpan w:val="8"/>
          </w:tcPr>
          <w:p>
            <w:pPr>
              <w:spacing w:after="0"/>
              <w:rPr>
                <w:sz w:val="20"/>
                <w:szCs w:val="20"/>
                <w:color w:val="auto"/>
              </w:rPr>
            </w:pPr>
            <w:r>
              <w:rPr>
                <w:rFonts w:ascii="Arial" w:cs="Arial" w:eastAsia="Arial" w:hAnsi="Arial"/>
                <w:sz w:val="18"/>
                <w:szCs w:val="18"/>
                <w:color w:val="auto"/>
              </w:rPr>
              <w:t>Table of Contents</w:t>
            </w:r>
          </w:p>
        </w:tc>
        <w:tc>
          <w:tcPr>
            <w:tcW w:w="772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BOEING PROPRIETARY</w:t>
            </w: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Page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82" w:name="page383"/>
    <w:bookmarkEnd w:id="382"/>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220" w:type="dxa"/>
            <w:vAlign w:val="bottom"/>
            <w:gridSpan w:val="2"/>
          </w:tcPr>
          <w:p>
            <w:pPr>
              <w:jc w:val="right"/>
              <w:ind w:right="2670"/>
              <w:spacing w:after="0"/>
              <w:rPr>
                <w:sz w:val="20"/>
                <w:szCs w:val="20"/>
                <w:color w:val="auto"/>
              </w:rPr>
            </w:pPr>
            <w:r>
              <w:rPr>
                <w:rFonts w:ascii="Arial" w:cs="Arial" w:eastAsia="Arial" w:hAnsi="Arial"/>
                <w:sz w:val="18"/>
                <w:szCs w:val="18"/>
                <w:color w:val="auto"/>
              </w:rPr>
              <w:t>TABLE OF CONTENTS, continued</w:t>
            </w: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SA</w:t>
            </w:r>
          </w:p>
        </w:tc>
        <w:tc>
          <w:tcPr>
            <w:tcW w:w="0" w:type="dxa"/>
            <w:vAlign w:val="bottom"/>
          </w:tcPr>
          <w:p>
            <w:pPr>
              <w:spacing w:after="0"/>
              <w:rPr>
                <w:sz w:val="1"/>
                <w:szCs w:val="1"/>
                <w:color w:val="auto"/>
              </w:rPr>
            </w:pPr>
          </w:p>
        </w:tc>
      </w:tr>
      <w:tr>
        <w:trPr>
          <w:trHeight w:val="190"/>
        </w:trPr>
        <w:tc>
          <w:tcPr>
            <w:tcW w:w="1920" w:type="dxa"/>
            <w:vAlign w:val="bottom"/>
          </w:tcPr>
          <w:p>
            <w:pPr>
              <w:spacing w:after="0" w:line="190" w:lineRule="exact"/>
              <w:rPr>
                <w:sz w:val="20"/>
                <w:szCs w:val="20"/>
                <w:color w:val="auto"/>
              </w:rPr>
            </w:pPr>
            <w:r>
              <w:rPr>
                <w:rFonts w:ascii="Arial" w:cs="Arial" w:eastAsia="Arial" w:hAnsi="Arial"/>
                <w:sz w:val="18"/>
                <w:szCs w:val="18"/>
                <w:color w:val="auto"/>
                <w:w w:val="94"/>
              </w:rPr>
              <w:t>LETTER AGREEMENTS</w:t>
            </w:r>
          </w:p>
        </w:tc>
        <w:tc>
          <w:tcPr>
            <w:tcW w:w="160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80" w:type="dxa"/>
            <w:vAlign w:val="bottom"/>
            <w:gridSpan w:val="3"/>
          </w:tcPr>
          <w:p>
            <w:pPr>
              <w:jc w:val="right"/>
              <w:ind w:right="100"/>
              <w:spacing w:after="0" w:line="190" w:lineRule="exact"/>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222"/>
        </w:trPr>
        <w:tc>
          <w:tcPr>
            <w:tcW w:w="1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3219-01</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3219-02</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Special Terms – Seats and In-Flight Entertainment</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3219-04</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3219-05R1</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Spare Parts Commitments</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2"/>
        </w:trPr>
        <w:tc>
          <w:tcPr>
            <w:tcW w:w="1920" w:type="dxa"/>
            <w:vAlign w:val="bottom"/>
          </w:tcPr>
          <w:p>
            <w:pPr>
              <w:spacing w:after="0"/>
              <w:rPr>
                <w:sz w:val="20"/>
                <w:szCs w:val="20"/>
                <w:color w:val="auto"/>
              </w:rPr>
            </w:pPr>
            <w:r>
              <w:rPr>
                <w:rFonts w:ascii="Arial" w:cs="Arial" w:eastAsia="Arial" w:hAnsi="Arial"/>
                <w:sz w:val="18"/>
                <w:szCs w:val="18"/>
                <w:color w:val="auto"/>
              </w:rPr>
              <w:t>3219-06R1</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Spare Parts Initial Provisioning</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20"/>
        </w:trPr>
        <w:tc>
          <w:tcPr>
            <w:tcW w:w="1920" w:type="dxa"/>
            <w:vAlign w:val="bottom"/>
          </w:tcPr>
          <w:p>
            <w:pPr>
              <w:spacing w:after="0"/>
              <w:rPr>
                <w:sz w:val="20"/>
                <w:szCs w:val="20"/>
                <w:color w:val="auto"/>
              </w:rPr>
            </w:pPr>
            <w:r>
              <w:rPr>
                <w:rFonts w:ascii="Arial" w:cs="Arial" w:eastAsia="Arial" w:hAnsi="Arial"/>
                <w:sz w:val="18"/>
                <w:szCs w:val="18"/>
                <w:b w:val="1"/>
                <w:bCs w:val="1"/>
                <w:color w:val="auto"/>
              </w:rPr>
              <w:t>3219-08R2</w:t>
            </w:r>
          </w:p>
        </w:tc>
        <w:tc>
          <w:tcPr>
            <w:tcW w:w="7820" w:type="dxa"/>
            <w:vAlign w:val="bottom"/>
            <w:gridSpan w:val="3"/>
          </w:tcPr>
          <w:p>
            <w:pPr>
              <w:ind w:left="640"/>
              <w:spacing w:after="0"/>
              <w:rPr>
                <w:sz w:val="20"/>
                <w:szCs w:val="20"/>
                <w:color w:val="auto"/>
              </w:rPr>
            </w:pPr>
            <w:r>
              <w:rPr>
                <w:rFonts w:ascii="Arial" w:cs="Arial" w:eastAsia="Arial" w:hAnsi="Arial"/>
                <w:sz w:val="18"/>
                <w:szCs w:val="18"/>
                <w:b w:val="1"/>
                <w:bCs w:val="1"/>
                <w:color w:val="auto"/>
              </w:rPr>
              <w:t>Open Configuration Matters</w:t>
            </w:r>
          </w:p>
        </w:tc>
        <w:tc>
          <w:tcPr>
            <w:tcW w:w="8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SA-5</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strike w:val="1"/>
              </w:rPr>
              <w:t>6-1162-AKP-071R1</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[*CTR] Terminated per AAL-PA-1977-LA-1105595</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strike w:val="1"/>
              </w:rPr>
              <w:t>6-1162-AKP-072R2</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[*CTR] Terminated per AAL-PA-1977-LA-1105595</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6-1162-AKP-073R1</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Accident Claims and Litigation</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strike w:val="1"/>
              </w:rPr>
              <w:t>6-1162-CLO-1031R1</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WITHDRAWN</w:t>
            </w:r>
          </w:p>
        </w:tc>
        <w:tc>
          <w:tcPr>
            <w:tcW w:w="8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strike w:val="1"/>
              </w:rPr>
              <w:t>6-1162-CLO-1032R1</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[*CTR] Terminated</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6-1162-CLO-1039</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6-1162-CLO-1042</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6-1162-CLO-1043R1</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787 Inspection Process</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6-1162-CLO-1045R1</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strike w:val="1"/>
              </w:rPr>
              <w:t>6-1162-CLO-1046</w:t>
            </w:r>
          </w:p>
        </w:tc>
        <w:tc>
          <w:tcPr>
            <w:tcW w:w="6960" w:type="dxa"/>
            <w:vAlign w:val="bottom"/>
            <w:gridSpan w:val="2"/>
          </w:tcPr>
          <w:p>
            <w:pPr>
              <w:ind w:left="640"/>
              <w:spacing w:after="0"/>
              <w:rPr>
                <w:sz w:val="20"/>
                <w:szCs w:val="20"/>
                <w:color w:val="auto"/>
              </w:rPr>
            </w:pPr>
            <w:r>
              <w:rPr>
                <w:rFonts w:ascii="Arial" w:cs="Arial" w:eastAsia="Arial" w:hAnsi="Arial"/>
                <w:sz w:val="18"/>
                <w:szCs w:val="18"/>
                <w:color w:val="auto"/>
                <w:strike w:val="1"/>
              </w:rPr>
              <w:t>SA-eE, COTS Software and End User License Matters</w:t>
            </w: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WITHDRAWN</w:t>
            </w:r>
          </w:p>
        </w:tc>
        <w:tc>
          <w:tcPr>
            <w:tcW w:w="8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6-1162-CLO-1047R2</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[*CTR]</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strike w:val="1"/>
              </w:rPr>
              <w:t>6-1162-CLO-1048</w:t>
            </w:r>
          </w:p>
        </w:tc>
        <w:tc>
          <w:tcPr>
            <w:tcW w:w="1600" w:type="dxa"/>
            <w:vAlign w:val="bottom"/>
          </w:tcPr>
          <w:p>
            <w:pPr>
              <w:ind w:left="640"/>
              <w:spacing w:after="0"/>
              <w:rPr>
                <w:sz w:val="20"/>
                <w:szCs w:val="20"/>
                <w:color w:val="auto"/>
              </w:rPr>
            </w:pPr>
            <w:r>
              <w:rPr>
                <w:rFonts w:ascii="Arial" w:cs="Arial" w:eastAsia="Arial" w:hAnsi="Arial"/>
                <w:sz w:val="18"/>
                <w:szCs w:val="18"/>
                <w:color w:val="auto"/>
                <w:strike w:val="1"/>
                <w:w w:val="90"/>
              </w:rPr>
              <w:t>Final Matters</w:t>
            </w:r>
          </w:p>
        </w:tc>
        <w:tc>
          <w:tcPr>
            <w:tcW w:w="5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SA-2</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6-1162-CLO-1049R2</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CS1 Matters</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6-1162-TRW-0664R1</w:t>
            </w: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Aircraft Purchase Rights and Substitution Rights</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SA-4</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Attachment A(R2) – MADP Exercise Data</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Attachment B(R2) – QADP Exercise Data</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Attachment C(R3) – MADP &amp; QADP Rights Aircraft: Description/Price Data</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Attachment D – Form of Purchase Agreement Supplement</w:t>
            </w:r>
          </w:p>
        </w:tc>
        <w:tc>
          <w:tcPr>
            <w:tcW w:w="8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6960" w:type="dxa"/>
            <w:vAlign w:val="bottom"/>
            <w:gridSpan w:val="2"/>
          </w:tcPr>
          <w:p>
            <w:pPr>
              <w:ind w:left="640"/>
              <w:spacing w:after="0"/>
              <w:rPr>
                <w:sz w:val="20"/>
                <w:szCs w:val="20"/>
                <w:color w:val="auto"/>
              </w:rPr>
            </w:pPr>
            <w:r>
              <w:rPr>
                <w:rFonts w:ascii="Arial" w:cs="Arial" w:eastAsia="Arial" w:hAnsi="Arial"/>
                <w:sz w:val="18"/>
                <w:szCs w:val="18"/>
                <w:color w:val="auto"/>
                <w:strike w:val="1"/>
                <w:w w:val="90"/>
              </w:rPr>
              <w:t>Attachment E – Letter Agreements To Be Included In Purchase Agreement Supplement</w:t>
            </w:r>
          </w:p>
        </w:tc>
        <w:tc>
          <w:tcPr>
            <w:tcW w:w="860" w:type="dxa"/>
            <w:vAlign w:val="bottom"/>
          </w:tcPr>
          <w:p>
            <w:pPr>
              <w:jc w:val="right"/>
              <w:ind w:right="770"/>
              <w:spacing w:after="0"/>
              <w:rPr>
                <w:sz w:val="20"/>
                <w:szCs w:val="20"/>
                <w:color w:val="auto"/>
              </w:rPr>
            </w:pPr>
            <w:r>
              <w:rPr>
                <w:rFonts w:ascii="Arial" w:cs="Arial" w:eastAsia="Arial" w:hAnsi="Arial"/>
                <w:sz w:val="10"/>
                <w:szCs w:val="10"/>
                <w:color w:val="auto"/>
                <w:w w:val="70"/>
              </w:rPr>
              <w:t>:</w:t>
            </w: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7820" w:type="dxa"/>
            <w:vAlign w:val="bottom"/>
            <w:gridSpan w:val="3"/>
          </w:tcPr>
          <w:p>
            <w:pPr>
              <w:ind w:left="640"/>
              <w:spacing w:after="0"/>
              <w:rPr>
                <w:sz w:val="20"/>
                <w:szCs w:val="20"/>
                <w:color w:val="auto"/>
              </w:rPr>
            </w:pPr>
            <w:r>
              <w:rPr>
                <w:rFonts w:ascii="Arial" w:cs="Arial" w:eastAsia="Arial" w:hAnsi="Arial"/>
                <w:sz w:val="18"/>
                <w:szCs w:val="18"/>
                <w:color w:val="auto"/>
              </w:rPr>
              <w:t>WITHDRAWN</w:t>
            </w:r>
          </w:p>
        </w:tc>
        <w:tc>
          <w:tcPr>
            <w:tcW w:w="8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350"/>
        </w:trPr>
        <w:tc>
          <w:tcPr>
            <w:tcW w:w="1920" w:type="dxa"/>
            <w:vAlign w:val="bottom"/>
          </w:tcPr>
          <w:p>
            <w:pPr>
              <w:spacing w:after="0"/>
              <w:rPr>
                <w:sz w:val="20"/>
                <w:szCs w:val="20"/>
                <w:color w:val="auto"/>
              </w:rPr>
            </w:pPr>
            <w:r>
              <w:rPr>
                <w:rFonts w:ascii="Arial" w:cs="Arial" w:eastAsia="Arial" w:hAnsi="Arial"/>
                <w:sz w:val="18"/>
                <w:szCs w:val="18"/>
                <w:color w:val="auto"/>
              </w:rPr>
              <w:t>P.A. No. 3219</w:t>
            </w:r>
          </w:p>
        </w:tc>
        <w:tc>
          <w:tcPr>
            <w:tcW w:w="16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Table of Contents</w:t>
            </w:r>
          </w:p>
        </w:tc>
        <w:tc>
          <w:tcPr>
            <w:tcW w:w="1600" w:type="dxa"/>
            <w:vAlign w:val="bottom"/>
          </w:tcPr>
          <w:p>
            <w:pPr>
              <w:spacing w:after="0"/>
              <w:rPr>
                <w:sz w:val="20"/>
                <w:szCs w:val="20"/>
                <w:color w:val="auto"/>
              </w:rPr>
            </w:pPr>
          </w:p>
        </w:tc>
        <w:tc>
          <w:tcPr>
            <w:tcW w:w="6220" w:type="dxa"/>
            <w:vAlign w:val="bottom"/>
            <w:gridSpan w:val="2"/>
            <w:vMerge w:val="restart"/>
          </w:tcPr>
          <w:p>
            <w:pPr>
              <w:jc w:val="right"/>
              <w:ind w:right="2810"/>
              <w:spacing w:after="0"/>
              <w:rPr>
                <w:sz w:val="20"/>
                <w:szCs w:val="20"/>
                <w:color w:val="auto"/>
              </w:rPr>
            </w:pPr>
            <w:r>
              <w:rPr>
                <w:rFonts w:ascii="Arial" w:cs="Arial" w:eastAsia="Arial" w:hAnsi="Arial"/>
                <w:sz w:val="18"/>
                <w:szCs w:val="18"/>
                <w:b w:val="1"/>
                <w:bCs w:val="1"/>
                <w:color w:val="auto"/>
              </w:rPr>
              <w:t>BOEING PROPRIETARY</w:t>
            </w:r>
          </w:p>
        </w:tc>
        <w:tc>
          <w:tcPr>
            <w:tcW w:w="80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Page 2</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2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3" w:right="23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140" w:type="dxa"/>
            <w:vAlign w:val="bottom"/>
          </w:tcPr>
          <w:p>
            <w:pPr>
              <w:ind w:left="1760"/>
              <w:spacing w:after="0"/>
              <w:rPr>
                <w:sz w:val="20"/>
                <w:szCs w:val="20"/>
                <w:color w:val="auto"/>
              </w:rPr>
            </w:pPr>
            <w:r>
              <w:rPr>
                <w:rFonts w:ascii="Arial" w:cs="Arial" w:eastAsia="Arial" w:hAnsi="Arial"/>
                <w:sz w:val="18"/>
                <w:szCs w:val="18"/>
                <w:color w:val="auto"/>
              </w:rPr>
              <w:t>TABLE OF CONTENTS, continued</w:t>
            </w:r>
          </w:p>
        </w:tc>
        <w:tc>
          <w:tcPr>
            <w:tcW w:w="1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SA</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2300" w:type="dxa"/>
            <w:vAlign w:val="bottom"/>
            <w:gridSpan w:val="2"/>
          </w:tcPr>
          <w:p>
            <w:pPr>
              <w:spacing w:after="0" w:line="190" w:lineRule="exact"/>
              <w:rPr>
                <w:sz w:val="20"/>
                <w:szCs w:val="20"/>
                <w:color w:val="auto"/>
              </w:rPr>
            </w:pPr>
            <w:r>
              <w:rPr>
                <w:rFonts w:ascii="Arial" w:cs="Arial" w:eastAsia="Arial" w:hAnsi="Arial"/>
                <w:sz w:val="18"/>
                <w:szCs w:val="18"/>
                <w:color w:val="auto"/>
              </w:rPr>
              <w:t>LETTER AGREEMENTS</w:t>
            </w:r>
          </w:p>
        </w:tc>
        <w:tc>
          <w:tcPr>
            <w:tcW w:w="6140" w:type="dxa"/>
            <w:vAlign w:val="bottom"/>
          </w:tcPr>
          <w:p>
            <w:pPr>
              <w:spacing w:after="0"/>
              <w:rPr>
                <w:sz w:val="16"/>
                <w:szCs w:val="16"/>
                <w:color w:val="auto"/>
              </w:rPr>
            </w:pPr>
          </w:p>
        </w:tc>
        <w:tc>
          <w:tcPr>
            <w:tcW w:w="2640" w:type="dxa"/>
            <w:vAlign w:val="bottom"/>
            <w:gridSpan w:val="3"/>
          </w:tcPr>
          <w:p>
            <w:pPr>
              <w:jc w:val="right"/>
              <w:ind w:right="100"/>
              <w:spacing w:after="0" w:line="190" w:lineRule="exact"/>
              <w:rPr>
                <w:sz w:val="20"/>
                <w:szCs w:val="20"/>
                <w:color w:val="auto"/>
              </w:rPr>
            </w:pPr>
            <w:r>
              <w:rPr>
                <w:rFonts w:ascii="Arial" w:cs="Arial" w:eastAsia="Arial" w:hAnsi="Arial"/>
                <w:sz w:val="18"/>
                <w:szCs w:val="18"/>
                <w:color w:val="auto"/>
              </w:rPr>
              <w:t>NUMBER</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60" w:type="dxa"/>
            <w:vAlign w:val="bottom"/>
            <w:gridSpan w:val="2"/>
          </w:tcPr>
          <w:p>
            <w:pPr>
              <w:spacing w:after="0"/>
              <w:rPr>
                <w:sz w:val="20"/>
                <w:szCs w:val="20"/>
                <w:color w:val="auto"/>
              </w:rPr>
            </w:pPr>
            <w:r>
              <w:rPr>
                <w:rFonts w:ascii="Arial" w:cs="Arial" w:eastAsia="Arial" w:hAnsi="Arial"/>
                <w:sz w:val="18"/>
                <w:szCs w:val="18"/>
                <w:color w:val="auto"/>
                <w:strike w:val="1"/>
              </w:rPr>
              <w:t>6-1162-TRW-0665</w:t>
            </w:r>
          </w:p>
        </w:tc>
        <w:tc>
          <w:tcPr>
            <w:tcW w:w="380" w:type="dxa"/>
            <w:vAlign w:val="bottom"/>
          </w:tcPr>
          <w:p>
            <w:pPr>
              <w:spacing w:after="0"/>
              <w:rPr>
                <w:sz w:val="19"/>
                <w:szCs w:val="19"/>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[*CTR]</w:t>
            </w:r>
          </w:p>
        </w:tc>
        <w:tc>
          <w:tcPr>
            <w:tcW w:w="17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strike w:val="1"/>
              </w:rPr>
              <w:t>6-1162-TRW-0666</w:t>
            </w:r>
          </w:p>
        </w:tc>
        <w:tc>
          <w:tcPr>
            <w:tcW w:w="380" w:type="dxa"/>
            <w:vAlign w:val="bottom"/>
          </w:tcPr>
          <w:p>
            <w:pPr>
              <w:spacing w:after="0"/>
              <w:rPr>
                <w:sz w:val="18"/>
                <w:szCs w:val="18"/>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[*CTR]</w:t>
            </w:r>
          </w:p>
        </w:tc>
        <w:tc>
          <w:tcPr>
            <w:tcW w:w="17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6-1162-TRW-0667R2</w:t>
            </w:r>
          </w:p>
        </w:tc>
        <w:tc>
          <w:tcPr>
            <w:tcW w:w="6140" w:type="dxa"/>
            <w:vAlign w:val="bottom"/>
          </w:tcPr>
          <w:p>
            <w:pPr>
              <w:ind w:left="360"/>
              <w:spacing w:after="0"/>
              <w:rPr>
                <w:sz w:val="20"/>
                <w:szCs w:val="20"/>
                <w:color w:val="auto"/>
              </w:rPr>
            </w:pPr>
            <w:r>
              <w:rPr>
                <w:rFonts w:ascii="Arial" w:cs="Arial" w:eastAsia="Arial" w:hAnsi="Arial"/>
                <w:sz w:val="18"/>
                <w:szCs w:val="18"/>
                <w:color w:val="auto"/>
              </w:rPr>
              <w:t>[*CTR]</w:t>
            </w:r>
          </w:p>
        </w:tc>
        <w:tc>
          <w:tcPr>
            <w:tcW w:w="17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6-1162-TRW-0668R1</w:t>
            </w:r>
          </w:p>
        </w:tc>
        <w:tc>
          <w:tcPr>
            <w:tcW w:w="6140" w:type="dxa"/>
            <w:vAlign w:val="bottom"/>
          </w:tcPr>
          <w:p>
            <w:pPr>
              <w:ind w:left="360"/>
              <w:spacing w:after="0"/>
              <w:rPr>
                <w:sz w:val="20"/>
                <w:szCs w:val="20"/>
                <w:color w:val="auto"/>
              </w:rPr>
            </w:pPr>
            <w:r>
              <w:rPr>
                <w:rFonts w:ascii="Arial" w:cs="Arial" w:eastAsia="Arial" w:hAnsi="Arial"/>
                <w:sz w:val="18"/>
                <w:szCs w:val="18"/>
                <w:color w:val="auto"/>
              </w:rPr>
              <w:t>[*CTR]</w:t>
            </w:r>
          </w:p>
        </w:tc>
        <w:tc>
          <w:tcPr>
            <w:tcW w:w="17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6-1162-TRW-0670R1</w:t>
            </w:r>
          </w:p>
        </w:tc>
        <w:tc>
          <w:tcPr>
            <w:tcW w:w="6140" w:type="dxa"/>
            <w:vAlign w:val="bottom"/>
          </w:tcPr>
          <w:p>
            <w:pPr>
              <w:ind w:left="360"/>
              <w:spacing w:after="0"/>
              <w:rPr>
                <w:sz w:val="20"/>
                <w:szCs w:val="20"/>
                <w:color w:val="auto"/>
              </w:rPr>
            </w:pPr>
            <w:r>
              <w:rPr>
                <w:rFonts w:ascii="Arial" w:cs="Arial" w:eastAsia="Arial" w:hAnsi="Arial"/>
                <w:sz w:val="18"/>
                <w:szCs w:val="18"/>
                <w:color w:val="auto"/>
              </w:rPr>
              <w:t>Miscellaneous Commitments for Model 787 Aircraft</w:t>
            </w:r>
          </w:p>
        </w:tc>
        <w:tc>
          <w:tcPr>
            <w:tcW w:w="17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strike w:val="1"/>
              </w:rPr>
              <w:t>6-1162-TRW-0671</w:t>
            </w:r>
          </w:p>
        </w:tc>
        <w:tc>
          <w:tcPr>
            <w:tcW w:w="380" w:type="dxa"/>
            <w:vAlign w:val="bottom"/>
          </w:tcPr>
          <w:p>
            <w:pPr>
              <w:spacing w:after="0"/>
              <w:rPr>
                <w:sz w:val="18"/>
                <w:szCs w:val="18"/>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[*CTR]</w:t>
            </w:r>
          </w:p>
        </w:tc>
        <w:tc>
          <w:tcPr>
            <w:tcW w:w="17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140" w:type="dxa"/>
            <w:vAlign w:val="bottom"/>
          </w:tcPr>
          <w:p>
            <w:pPr>
              <w:ind w:left="640"/>
              <w:spacing w:after="0"/>
              <w:rPr>
                <w:sz w:val="20"/>
                <w:szCs w:val="20"/>
                <w:color w:val="auto"/>
              </w:rPr>
            </w:pPr>
            <w:r>
              <w:rPr>
                <w:rFonts w:ascii="Arial" w:cs="Arial" w:eastAsia="Arial" w:hAnsi="Arial"/>
                <w:sz w:val="18"/>
                <w:szCs w:val="18"/>
                <w:color w:val="auto"/>
              </w:rPr>
              <w:t>WITHDRAWN</w:t>
            </w:r>
          </w:p>
        </w:tc>
        <w:tc>
          <w:tcPr>
            <w:tcW w:w="1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6-1162-TRW-0672R1</w:t>
            </w:r>
          </w:p>
        </w:tc>
        <w:tc>
          <w:tcPr>
            <w:tcW w:w="6140" w:type="dxa"/>
            <w:vAlign w:val="bottom"/>
          </w:tcPr>
          <w:p>
            <w:pPr>
              <w:ind w:left="360"/>
              <w:spacing w:after="0"/>
              <w:rPr>
                <w:sz w:val="20"/>
                <w:szCs w:val="20"/>
                <w:color w:val="auto"/>
              </w:rPr>
            </w:pPr>
            <w:r>
              <w:rPr>
                <w:rFonts w:ascii="Arial" w:cs="Arial" w:eastAsia="Arial" w:hAnsi="Arial"/>
                <w:sz w:val="18"/>
                <w:szCs w:val="18"/>
                <w:color w:val="auto"/>
              </w:rPr>
              <w:t>[*CTR]</w:t>
            </w:r>
          </w:p>
        </w:tc>
        <w:tc>
          <w:tcPr>
            <w:tcW w:w="17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6-1162-TRW-0673R1</w:t>
            </w:r>
          </w:p>
        </w:tc>
        <w:tc>
          <w:tcPr>
            <w:tcW w:w="6140" w:type="dxa"/>
            <w:vAlign w:val="bottom"/>
          </w:tcPr>
          <w:p>
            <w:pPr>
              <w:ind w:left="360"/>
              <w:spacing w:after="0"/>
              <w:rPr>
                <w:sz w:val="20"/>
                <w:szCs w:val="20"/>
                <w:color w:val="auto"/>
              </w:rPr>
            </w:pPr>
            <w:r>
              <w:rPr>
                <w:rFonts w:ascii="Arial" w:cs="Arial" w:eastAsia="Arial" w:hAnsi="Arial"/>
                <w:sz w:val="18"/>
                <w:szCs w:val="18"/>
                <w:color w:val="auto"/>
              </w:rPr>
              <w:t>Confidentiality</w:t>
            </w:r>
          </w:p>
        </w:tc>
        <w:tc>
          <w:tcPr>
            <w:tcW w:w="17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6-1162-TRW-0674R3</w:t>
            </w:r>
          </w:p>
        </w:tc>
        <w:tc>
          <w:tcPr>
            <w:tcW w:w="6140" w:type="dxa"/>
            <w:vAlign w:val="bottom"/>
          </w:tcPr>
          <w:p>
            <w:pPr>
              <w:ind w:left="360"/>
              <w:spacing w:after="0"/>
              <w:rPr>
                <w:sz w:val="20"/>
                <w:szCs w:val="20"/>
                <w:color w:val="auto"/>
              </w:rPr>
            </w:pPr>
            <w:r>
              <w:rPr>
                <w:rFonts w:ascii="Arial" w:cs="Arial" w:eastAsia="Arial" w:hAnsi="Arial"/>
                <w:sz w:val="18"/>
                <w:szCs w:val="18"/>
                <w:color w:val="auto"/>
              </w:rPr>
              <w:t>Business Considerations</w:t>
            </w:r>
          </w:p>
        </w:tc>
        <w:tc>
          <w:tcPr>
            <w:tcW w:w="17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AAL-PA-3219-LA-08836R1</w:t>
            </w:r>
          </w:p>
        </w:tc>
        <w:tc>
          <w:tcPr>
            <w:tcW w:w="6140" w:type="dxa"/>
            <w:vAlign w:val="bottom"/>
          </w:tcPr>
          <w:p>
            <w:pPr>
              <w:ind w:left="360"/>
              <w:spacing w:after="0"/>
              <w:rPr>
                <w:sz w:val="20"/>
                <w:szCs w:val="20"/>
                <w:color w:val="auto"/>
              </w:rPr>
            </w:pPr>
            <w:r>
              <w:rPr>
                <w:rFonts w:ascii="Arial" w:cs="Arial" w:eastAsia="Arial" w:hAnsi="Arial"/>
                <w:sz w:val="18"/>
                <w:szCs w:val="18"/>
                <w:color w:val="auto"/>
              </w:rPr>
              <w:t>[*CTR]</w:t>
            </w:r>
          </w:p>
        </w:tc>
        <w:tc>
          <w:tcPr>
            <w:tcW w:w="17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AAL-PA-3219-LA-08837R1</w:t>
            </w:r>
          </w:p>
        </w:tc>
        <w:tc>
          <w:tcPr>
            <w:tcW w:w="6140" w:type="dxa"/>
            <w:vAlign w:val="bottom"/>
          </w:tcPr>
          <w:p>
            <w:pPr>
              <w:ind w:left="360"/>
              <w:spacing w:after="0"/>
              <w:rPr>
                <w:sz w:val="20"/>
                <w:szCs w:val="20"/>
                <w:color w:val="auto"/>
              </w:rPr>
            </w:pPr>
            <w:r>
              <w:rPr>
                <w:rFonts w:ascii="Arial" w:cs="Arial" w:eastAsia="Arial" w:hAnsi="Arial"/>
                <w:sz w:val="18"/>
                <w:szCs w:val="18"/>
                <w:color w:val="auto"/>
              </w:rPr>
              <w:t>[*CTR]</w:t>
            </w:r>
          </w:p>
        </w:tc>
        <w:tc>
          <w:tcPr>
            <w:tcW w:w="17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AAL-PA-3219-LA-08838</w:t>
            </w:r>
          </w:p>
        </w:tc>
        <w:tc>
          <w:tcPr>
            <w:tcW w:w="6140" w:type="dxa"/>
            <w:vAlign w:val="bottom"/>
          </w:tcPr>
          <w:p>
            <w:pPr>
              <w:ind w:left="360"/>
              <w:spacing w:after="0"/>
              <w:rPr>
                <w:sz w:val="20"/>
                <w:szCs w:val="20"/>
                <w:color w:val="auto"/>
              </w:rPr>
            </w:pPr>
            <w:r>
              <w:rPr>
                <w:rFonts w:ascii="Arial" w:cs="Arial" w:eastAsia="Arial" w:hAnsi="Arial"/>
                <w:sz w:val="18"/>
                <w:szCs w:val="18"/>
                <w:color w:val="auto"/>
              </w:rPr>
              <w:t>[*CTR]</w:t>
            </w:r>
          </w:p>
        </w:tc>
        <w:tc>
          <w:tcPr>
            <w:tcW w:w="17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16"/>
        </w:trPr>
        <w:tc>
          <w:tcPr>
            <w:tcW w:w="2640" w:type="dxa"/>
            <w:vAlign w:val="bottom"/>
            <w:gridSpan w:val="3"/>
          </w:tcPr>
          <w:p>
            <w:pPr>
              <w:spacing w:after="0"/>
              <w:rPr>
                <w:sz w:val="20"/>
                <w:szCs w:val="20"/>
                <w:color w:val="auto"/>
              </w:rPr>
            </w:pPr>
            <w:r>
              <w:rPr>
                <w:rFonts w:ascii="Arial" w:cs="Arial" w:eastAsia="Arial" w:hAnsi="Arial"/>
                <w:sz w:val="18"/>
                <w:szCs w:val="18"/>
                <w:color w:val="auto"/>
              </w:rPr>
              <w:t>AAL-LA-1106678</w:t>
            </w:r>
          </w:p>
        </w:tc>
        <w:tc>
          <w:tcPr>
            <w:tcW w:w="6140" w:type="dxa"/>
            <w:vAlign w:val="bottom"/>
          </w:tcPr>
          <w:p>
            <w:pPr>
              <w:ind w:left="360"/>
              <w:spacing w:after="0"/>
              <w:rPr>
                <w:sz w:val="20"/>
                <w:szCs w:val="20"/>
                <w:color w:val="auto"/>
              </w:rPr>
            </w:pPr>
            <w:r>
              <w:rPr>
                <w:rFonts w:ascii="Arial" w:cs="Arial" w:eastAsia="Arial" w:hAnsi="Arial"/>
                <w:sz w:val="18"/>
                <w:szCs w:val="18"/>
                <w:color w:val="auto"/>
              </w:rPr>
              <w:t>Assignment Matters</w:t>
            </w:r>
          </w:p>
        </w:tc>
        <w:tc>
          <w:tcPr>
            <w:tcW w:w="17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SA-3</w:t>
            </w:r>
          </w:p>
        </w:tc>
        <w:tc>
          <w:tcPr>
            <w:tcW w:w="0" w:type="dxa"/>
            <w:vAlign w:val="bottom"/>
          </w:tcPr>
          <w:p>
            <w:pPr>
              <w:spacing w:after="0"/>
              <w:rPr>
                <w:sz w:val="1"/>
                <w:szCs w:val="1"/>
                <w:color w:val="auto"/>
              </w:rPr>
            </w:pPr>
          </w:p>
        </w:tc>
      </w:tr>
      <w:tr>
        <w:trPr>
          <w:trHeight w:val="230"/>
        </w:trPr>
        <w:tc>
          <w:tcPr>
            <w:tcW w:w="2640" w:type="dxa"/>
            <w:vAlign w:val="bottom"/>
            <w:gridSpan w:val="3"/>
          </w:tcPr>
          <w:p>
            <w:pPr>
              <w:spacing w:after="0"/>
              <w:rPr>
                <w:sz w:val="20"/>
                <w:szCs w:val="20"/>
                <w:color w:val="auto"/>
              </w:rPr>
            </w:pPr>
            <w:r>
              <w:rPr>
                <w:rFonts w:ascii="Arial" w:cs="Arial" w:eastAsia="Arial" w:hAnsi="Arial"/>
                <w:sz w:val="18"/>
                <w:szCs w:val="18"/>
                <w:color w:val="auto"/>
              </w:rPr>
              <w:t>AAL-PA-3219-LA-1302236R1</w:t>
            </w:r>
          </w:p>
        </w:tc>
        <w:tc>
          <w:tcPr>
            <w:tcW w:w="6140" w:type="dxa"/>
            <w:vAlign w:val="bottom"/>
          </w:tcPr>
          <w:p>
            <w:pPr>
              <w:ind w:left="360"/>
              <w:spacing w:after="0"/>
              <w:rPr>
                <w:sz w:val="20"/>
                <w:szCs w:val="20"/>
                <w:color w:val="auto"/>
              </w:rPr>
            </w:pPr>
            <w:r>
              <w:rPr>
                <w:rFonts w:ascii="Arial" w:cs="Arial" w:eastAsia="Arial" w:hAnsi="Arial"/>
                <w:sz w:val="18"/>
                <w:szCs w:val="18"/>
                <w:color w:val="auto"/>
              </w:rPr>
              <w:t>[*CTR]</w:t>
            </w:r>
          </w:p>
        </w:tc>
        <w:tc>
          <w:tcPr>
            <w:tcW w:w="17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350"/>
        </w:trPr>
        <w:tc>
          <w:tcPr>
            <w:tcW w:w="2640" w:type="dxa"/>
            <w:vAlign w:val="bottom"/>
            <w:gridSpan w:val="3"/>
          </w:tcPr>
          <w:p>
            <w:pPr>
              <w:spacing w:after="0"/>
              <w:rPr>
                <w:sz w:val="20"/>
                <w:szCs w:val="20"/>
                <w:color w:val="auto"/>
              </w:rPr>
            </w:pPr>
            <w:r>
              <w:rPr>
                <w:rFonts w:ascii="Arial" w:cs="Arial" w:eastAsia="Arial" w:hAnsi="Arial"/>
                <w:sz w:val="18"/>
                <w:szCs w:val="18"/>
                <w:color w:val="auto"/>
              </w:rPr>
              <w:t>P.A. No. 3219</w:t>
            </w:r>
          </w:p>
        </w:tc>
        <w:tc>
          <w:tcPr>
            <w:tcW w:w="6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SA-6</w:t>
            </w:r>
          </w:p>
        </w:tc>
        <w:tc>
          <w:tcPr>
            <w:tcW w:w="0" w:type="dxa"/>
            <w:vAlign w:val="bottom"/>
          </w:tcPr>
          <w:p>
            <w:pPr>
              <w:spacing w:after="0"/>
              <w:rPr>
                <w:sz w:val="1"/>
                <w:szCs w:val="1"/>
                <w:color w:val="auto"/>
              </w:rPr>
            </w:pPr>
          </w:p>
        </w:tc>
      </w:tr>
      <w:tr>
        <w:trPr>
          <w:trHeight w:val="230"/>
        </w:trPr>
        <w:tc>
          <w:tcPr>
            <w:tcW w:w="2640" w:type="dxa"/>
            <w:vAlign w:val="bottom"/>
            <w:gridSpan w:val="3"/>
          </w:tcPr>
          <w:p>
            <w:pPr>
              <w:spacing w:after="0"/>
              <w:rPr>
                <w:sz w:val="20"/>
                <w:szCs w:val="20"/>
                <w:color w:val="auto"/>
              </w:rPr>
            </w:pPr>
            <w:r>
              <w:rPr>
                <w:rFonts w:ascii="Arial" w:cs="Arial" w:eastAsia="Arial" w:hAnsi="Arial"/>
                <w:sz w:val="18"/>
                <w:szCs w:val="18"/>
                <w:color w:val="auto"/>
              </w:rPr>
              <w:t>Table of Contents</w:t>
            </w:r>
          </w:p>
        </w:tc>
        <w:tc>
          <w:tcPr>
            <w:tcW w:w="6140" w:type="dxa"/>
            <w:vAlign w:val="bottom"/>
            <w:vMerge w:val="restart"/>
          </w:tcPr>
          <w:p>
            <w:pPr>
              <w:ind w:left="2160"/>
              <w:spacing w:after="0"/>
              <w:rPr>
                <w:sz w:val="20"/>
                <w:szCs w:val="20"/>
                <w:color w:val="auto"/>
              </w:rPr>
            </w:pPr>
            <w:r>
              <w:rPr>
                <w:rFonts w:ascii="Arial" w:cs="Arial" w:eastAsia="Arial" w:hAnsi="Arial"/>
                <w:sz w:val="18"/>
                <w:szCs w:val="18"/>
                <w:b w:val="1"/>
                <w:bCs w:val="1"/>
                <w:color w:val="auto"/>
              </w:rPr>
              <w:t>BOEING PROPRIETARY</w:t>
            </w:r>
          </w:p>
        </w:tc>
        <w:tc>
          <w:tcPr>
            <w:tcW w:w="17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Page 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4" w:right="239" w:bottom="1440" w:gutter="0" w:footer="0" w:header="0"/>
        </w:sectPr>
      </w:pPr>
    </w:p>
    <w:bookmarkStart w:id="384" w:name="page385"/>
    <w:bookmarkEnd w:id="3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1(R5) To Purchase Agreement No. PA-03219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787-9 Aircraft Delivery, Description, Price and Advance Payments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Airframe Model/MTOW:</w:t>
            </w:r>
          </w:p>
        </w:tc>
        <w:tc>
          <w:tcPr>
            <w:tcW w:w="1140" w:type="dxa"/>
            <w:vAlign w:val="bottom"/>
            <w:gridSpan w:val="3"/>
            <w:shd w:val="clear" w:color="auto" w:fill="CCEEFF"/>
          </w:tcPr>
          <w:p>
            <w:pPr>
              <w:jc w:val="right"/>
              <w:ind w:right="634"/>
              <w:spacing w:after="0"/>
              <w:rPr>
                <w:sz w:val="20"/>
                <w:szCs w:val="20"/>
                <w:color w:val="auto"/>
              </w:rPr>
            </w:pPr>
            <w:r>
              <w:rPr>
                <w:rFonts w:ascii="Arial" w:cs="Arial" w:eastAsia="Arial" w:hAnsi="Arial"/>
                <w:sz w:val="18"/>
                <w:szCs w:val="18"/>
                <w:color w:val="auto"/>
                <w:w w:val="86"/>
              </w:rPr>
              <w:t>787-9</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2"/>
              </w:rPr>
              <w:t>553,000 pounds</w:t>
            </w:r>
          </w:p>
        </w:tc>
        <w:tc>
          <w:tcPr>
            <w:tcW w:w="34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Detail Specification:</w:t>
            </w:r>
          </w:p>
        </w:tc>
        <w:tc>
          <w:tcPr>
            <w:tcW w:w="1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[*CTR]</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Engine Model/Thrust:   </w:t>
            </w:r>
            <w:r>
              <w:rPr>
                <w:rFonts w:ascii="Arial" w:cs="Arial" w:eastAsia="Arial" w:hAnsi="Arial"/>
                <w:sz w:val="18"/>
                <w:szCs w:val="18"/>
                <w:color w:val="auto"/>
              </w:rPr>
              <w:t>GENX-1B74/75</w:t>
            </w: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74100 pounds</w:t>
            </w:r>
          </w:p>
        </w:tc>
        <w:tc>
          <w:tcPr>
            <w:tcW w:w="340" w:type="dxa"/>
            <w:vAlign w:val="bottom"/>
          </w:tcPr>
          <w:p>
            <w:pPr>
              <w:spacing w:after="0"/>
              <w:rPr>
                <w:sz w:val="18"/>
                <w:szCs w:val="18"/>
                <w:color w:val="auto"/>
              </w:rPr>
            </w:pPr>
          </w:p>
        </w:tc>
        <w:tc>
          <w:tcPr>
            <w:tcW w:w="4160" w:type="dxa"/>
            <w:vAlign w:val="bottom"/>
            <w:gridSpan w:val="10"/>
          </w:tcPr>
          <w:p>
            <w:pPr>
              <w:spacing w:after="0"/>
              <w:rPr>
                <w:sz w:val="20"/>
                <w:szCs w:val="20"/>
                <w:color w:val="auto"/>
              </w:rPr>
            </w:pPr>
            <w:r>
              <w:rPr>
                <w:rFonts w:ascii="Arial" w:cs="Arial" w:eastAsia="Arial" w:hAnsi="Arial"/>
                <w:sz w:val="18"/>
                <w:szCs w:val="18"/>
                <w:b w:val="1"/>
                <w:bCs w:val="1"/>
                <w:color w:val="auto"/>
              </w:rPr>
              <w:t>Airframe Price Base Year/Escalation Formula:</w:t>
            </w:r>
          </w:p>
        </w:tc>
        <w:tc>
          <w:tcPr>
            <w:tcW w:w="1140" w:type="dxa"/>
            <w:vAlign w:val="bottom"/>
            <w:gridSpan w:val="3"/>
          </w:tcPr>
          <w:p>
            <w:pPr>
              <w:ind w:left="120"/>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Airframe Price:</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$[*CTR]</w:t>
            </w:r>
          </w:p>
        </w:tc>
        <w:tc>
          <w:tcPr>
            <w:tcW w:w="340" w:type="dxa"/>
            <w:vAlign w:val="bottom"/>
            <w:shd w:val="clear" w:color="auto" w:fill="CCEEFF"/>
          </w:tcPr>
          <w:p>
            <w:pPr>
              <w:spacing w:after="0"/>
              <w:rPr>
                <w:sz w:val="18"/>
                <w:szCs w:val="18"/>
                <w:color w:val="auto"/>
              </w:rPr>
            </w:pPr>
          </w:p>
        </w:tc>
        <w:tc>
          <w:tcPr>
            <w:tcW w:w="3440" w:type="dxa"/>
            <w:vAlign w:val="bottom"/>
            <w:gridSpan w:val="9"/>
            <w:shd w:val="clear" w:color="auto" w:fill="CCEEFF"/>
          </w:tcPr>
          <w:p>
            <w:pPr>
              <w:spacing w:after="0"/>
              <w:rPr>
                <w:sz w:val="20"/>
                <w:szCs w:val="20"/>
                <w:color w:val="auto"/>
              </w:rPr>
            </w:pPr>
            <w:r>
              <w:rPr>
                <w:rFonts w:ascii="Arial" w:cs="Arial" w:eastAsia="Arial" w:hAnsi="Arial"/>
                <w:sz w:val="18"/>
                <w:szCs w:val="18"/>
                <w:b w:val="1"/>
                <w:bCs w:val="1"/>
                <w:color w:val="auto"/>
                <w:w w:val="90"/>
              </w:rPr>
              <w:t>Engine Price Base Year/Escalation Formula:</w:t>
            </w:r>
          </w:p>
        </w:tc>
        <w:tc>
          <w:tcPr>
            <w:tcW w:w="7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0"/>
              </w:rPr>
              <w:t>Optional Features:</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2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Sub-Total of Airframe and Features:</w:t>
            </w: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$[*CTR]</w:t>
            </w:r>
          </w:p>
        </w:tc>
        <w:tc>
          <w:tcPr>
            <w:tcW w:w="340" w:type="dxa"/>
            <w:vAlign w:val="bottom"/>
            <w:shd w:val="clear" w:color="auto" w:fill="CCEEFF"/>
          </w:tcPr>
          <w:p>
            <w:pPr>
              <w:spacing w:after="0"/>
              <w:rPr>
                <w:sz w:val="17"/>
                <w:szCs w:val="17"/>
                <w:color w:val="auto"/>
              </w:rPr>
            </w:pPr>
          </w:p>
        </w:tc>
        <w:tc>
          <w:tcPr>
            <w:tcW w:w="212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95"/>
              </w:rPr>
              <w:t>Airframe Escalation Data:</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tcBorders>
              <w:top w:val="single" w:sz="8" w:color="CCEEFF"/>
            </w:tcBorders>
            <w:gridSpan w:val="4"/>
          </w:tcPr>
          <w:p>
            <w:pPr>
              <w:spacing w:after="0"/>
              <w:rPr>
                <w:sz w:val="20"/>
                <w:szCs w:val="20"/>
                <w:color w:val="auto"/>
              </w:rPr>
            </w:pPr>
            <w:r>
              <w:rPr>
                <w:rFonts w:ascii="Arial" w:cs="Arial" w:eastAsia="Arial" w:hAnsi="Arial"/>
                <w:sz w:val="18"/>
                <w:szCs w:val="18"/>
                <w:b w:val="1"/>
                <w:bCs w:val="1"/>
                <w:color w:val="auto"/>
                <w:w w:val="97"/>
              </w:rPr>
              <w:t>Engine Price (Per Aircraft):</w:t>
            </w: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$[*CTR]</w:t>
            </w:r>
          </w:p>
        </w:tc>
        <w:tc>
          <w:tcPr>
            <w:tcW w:w="340" w:type="dxa"/>
            <w:vAlign w:val="bottom"/>
            <w:tcBorders>
              <w:top w:val="single" w:sz="8" w:color="CCEEFF"/>
            </w:tcBorders>
          </w:tcPr>
          <w:p>
            <w:pPr>
              <w:spacing w:after="0"/>
              <w:rPr>
                <w:sz w:val="18"/>
                <w:szCs w:val="18"/>
                <w:color w:val="auto"/>
              </w:rPr>
            </w:pPr>
          </w:p>
        </w:tc>
        <w:tc>
          <w:tcPr>
            <w:tcW w:w="204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Base Year Index (ECI):</w:t>
            </w: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ind w:left="240"/>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w w:val="97"/>
              </w:rPr>
              <w:t>Aircraft Basic Price (Excluding BFE/SPE):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$[*CTR]</w:t>
            </w:r>
          </w:p>
        </w:tc>
        <w:tc>
          <w:tcPr>
            <w:tcW w:w="34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Base Year Index (CPI):</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540" w:type="dxa"/>
            <w:vAlign w:val="bottom"/>
            <w:gridSpan w:val="9"/>
          </w:tcPr>
          <w:p>
            <w:pPr>
              <w:spacing w:after="0" w:line="182" w:lineRule="exact"/>
              <w:rPr>
                <w:sz w:val="20"/>
                <w:szCs w:val="20"/>
                <w:color w:val="auto"/>
              </w:rPr>
            </w:pPr>
            <w:r>
              <w:rPr>
                <w:rFonts w:ascii="Arial" w:cs="Arial" w:eastAsia="Arial" w:hAnsi="Arial"/>
                <w:sz w:val="18"/>
                <w:szCs w:val="18"/>
                <w:b w:val="1"/>
                <w:bCs w:val="1"/>
                <w:color w:val="auto"/>
                <w:w w:val="92"/>
              </w:rPr>
              <w:t>Buyer Furnished Equipment (BFE) Estimate:</w:t>
            </w:r>
          </w:p>
        </w:tc>
        <w:tc>
          <w:tcPr>
            <w:tcW w:w="9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gridSpan w:val="6"/>
          </w:tcPr>
          <w:p>
            <w:pPr>
              <w:spacing w:after="0" w:line="182" w:lineRule="exact"/>
              <w:rPr>
                <w:sz w:val="20"/>
                <w:szCs w:val="20"/>
                <w:color w:val="auto"/>
              </w:rPr>
            </w:pPr>
            <w:r>
              <w:rPr>
                <w:rFonts w:ascii="Arial" w:cs="Arial" w:eastAsia="Arial" w:hAnsi="Arial"/>
                <w:sz w:val="18"/>
                <w:szCs w:val="18"/>
                <w:b w:val="1"/>
                <w:bCs w:val="1"/>
                <w:color w:val="auto"/>
              </w:rPr>
              <w:t>Engine Escalation Data:</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In-Flight Entertainment (IFE) Estimate:</w:t>
            </w: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$[*CTR]</w:t>
            </w:r>
          </w:p>
        </w:tc>
        <w:tc>
          <w:tcPr>
            <w:tcW w:w="340" w:type="dxa"/>
            <w:vAlign w:val="bottom"/>
            <w:shd w:val="clear" w:color="auto" w:fill="CCEEFF"/>
          </w:tcPr>
          <w:p>
            <w:pPr>
              <w:spacing w:after="0"/>
              <w:rPr>
                <w:sz w:val="18"/>
                <w:szCs w:val="18"/>
                <w:color w:val="auto"/>
              </w:rPr>
            </w:pPr>
          </w:p>
        </w:tc>
        <w:tc>
          <w:tcPr>
            <w:tcW w:w="212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Base Year Index (ECI):</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[*CTR]</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4"/>
          </w:tcPr>
          <w:p>
            <w:pPr>
              <w:spacing w:after="0"/>
              <w:rPr>
                <w:sz w:val="20"/>
                <w:szCs w:val="20"/>
                <w:color w:val="auto"/>
              </w:rPr>
            </w:pPr>
            <w:r>
              <w:rPr>
                <w:rFonts w:ascii="Arial" w:cs="Arial" w:eastAsia="Arial" w:hAnsi="Arial"/>
                <w:sz w:val="18"/>
                <w:szCs w:val="18"/>
                <w:b w:val="1"/>
                <w:bCs w:val="1"/>
                <w:color w:val="auto"/>
              </w:rPr>
              <w:t>Fixed Price Options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$[*CTR]</w:t>
            </w:r>
          </w:p>
        </w:tc>
        <w:tc>
          <w:tcPr>
            <w:tcW w:w="340" w:type="dxa"/>
            <w:vAlign w:val="bottom"/>
          </w:tcPr>
          <w:p>
            <w:pPr>
              <w:spacing w:after="0"/>
              <w:rPr>
                <w:sz w:val="18"/>
                <w:szCs w:val="18"/>
                <w:color w:val="auto"/>
              </w:rPr>
            </w:pPr>
          </w:p>
        </w:tc>
        <w:tc>
          <w:tcPr>
            <w:tcW w:w="2120" w:type="dxa"/>
            <w:vAlign w:val="bottom"/>
            <w:gridSpan w:val="6"/>
          </w:tcPr>
          <w:p>
            <w:pPr>
              <w:spacing w:after="0"/>
              <w:rPr>
                <w:sz w:val="20"/>
                <w:szCs w:val="20"/>
                <w:color w:val="auto"/>
              </w:rPr>
            </w:pPr>
            <w:r>
              <w:rPr>
                <w:rFonts w:ascii="Arial" w:cs="Arial" w:eastAsia="Arial" w:hAnsi="Arial"/>
                <w:sz w:val="18"/>
                <w:szCs w:val="18"/>
                <w:b w:val="1"/>
                <w:bCs w:val="1"/>
                <w:color w:val="auto"/>
              </w:rPr>
              <w:t>Base Year Index (CPI):</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[*CTR]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Deposit per Aircraft: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$[*CTR]</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Escalation</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Escalation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Escalation Estimate</w:t>
            </w:r>
          </w:p>
        </w:tc>
        <w:tc>
          <w:tcPr>
            <w:tcW w:w="4320" w:type="dxa"/>
            <w:vAlign w:val="bottom"/>
            <w:gridSpan w:val="12"/>
          </w:tcPr>
          <w:p>
            <w:pPr>
              <w:ind w:left="80"/>
              <w:spacing w:after="0"/>
              <w:rPr>
                <w:sz w:val="20"/>
                <w:szCs w:val="20"/>
                <w:color w:val="auto"/>
              </w:rPr>
            </w:pPr>
            <w:r>
              <w:rPr>
                <w:rFonts w:ascii="Arial" w:cs="Arial" w:eastAsia="Arial" w:hAnsi="Arial"/>
                <w:sz w:val="14"/>
                <w:szCs w:val="14"/>
                <w:b w:val="1"/>
                <w:bCs w:val="1"/>
                <w:color w:val="auto"/>
                <w:w w:val="96"/>
              </w:rPr>
              <w:t>Advance Payment Per Aircraft (Amts. Due/Mos. Prior to Delivery):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6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Delivery</w:t>
            </w:r>
          </w:p>
        </w:tc>
        <w:tc>
          <w:tcPr>
            <w:tcW w:w="800" w:type="dxa"/>
            <w:vAlign w:val="bottom"/>
          </w:tcPr>
          <w:p>
            <w:pPr>
              <w:jc w:val="center"/>
              <w:ind w:right="13"/>
              <w:spacing w:after="0" w:line="119" w:lineRule="exact"/>
              <w:rPr>
                <w:sz w:val="20"/>
                <w:szCs w:val="20"/>
                <w:color w:val="auto"/>
              </w:rPr>
            </w:pPr>
            <w:r>
              <w:rPr>
                <w:rFonts w:ascii="Arial" w:cs="Arial" w:eastAsia="Arial" w:hAnsi="Arial"/>
                <w:sz w:val="13"/>
                <w:szCs w:val="13"/>
                <w:b w:val="1"/>
                <w:bCs w:val="1"/>
                <w:color w:val="auto"/>
              </w:rPr>
              <w:t>Number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Factor</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Factor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Manufacturer</w:t>
            </w:r>
          </w:p>
        </w:tc>
        <w:tc>
          <w:tcPr>
            <w:tcW w:w="134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Adv Payment Base</w:t>
            </w:r>
          </w:p>
        </w:tc>
        <w:tc>
          <w:tcPr>
            <w:tcW w:w="1120" w:type="dxa"/>
            <w:vAlign w:val="bottom"/>
            <w:tcBorders>
              <w:top w:val="single" w:sz="8" w:color="auto"/>
            </w:tcBorders>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[*CTR]</w:t>
            </w:r>
          </w:p>
        </w:tc>
        <w:tc>
          <w:tcPr>
            <w:tcW w:w="132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[*CTR]</w:t>
            </w:r>
          </w:p>
        </w:tc>
        <w:tc>
          <w:tcPr>
            <w:tcW w:w="7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[*CTR]</w:t>
            </w: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4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Date</w:t>
            </w:r>
          </w:p>
        </w:tc>
        <w:tc>
          <w:tcPr>
            <w:tcW w:w="800" w:type="dxa"/>
            <w:vAlign w:val="bottom"/>
          </w:tcPr>
          <w:p>
            <w:pPr>
              <w:jc w:val="center"/>
              <w:ind w:right="13"/>
              <w:spacing w:after="0"/>
              <w:rPr>
                <w:sz w:val="20"/>
                <w:szCs w:val="20"/>
                <w:color w:val="auto"/>
              </w:rPr>
            </w:pPr>
            <w:r>
              <w:rPr>
                <w:rFonts w:ascii="Arial" w:cs="Arial" w:eastAsia="Arial" w:hAnsi="Arial"/>
                <w:sz w:val="14"/>
                <w:szCs w:val="14"/>
                <w:b w:val="1"/>
                <w:bCs w:val="1"/>
                <w:color w:val="auto"/>
              </w:rPr>
              <w:t>Aircraft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(Airframe)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6"/>
              </w:rPr>
              <w:t>(Engine)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Serial Number</w:t>
            </w:r>
          </w:p>
        </w:tc>
        <w:tc>
          <w:tcPr>
            <w:tcW w:w="1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Price Per A/P</w:t>
            </w:r>
          </w:p>
        </w:tc>
        <w:tc>
          <w:tcPr>
            <w:tcW w:w="1120" w:type="dxa"/>
            <w:vAlign w:val="bottom"/>
            <w:gridSpan w:val="4"/>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20" w:type="dxa"/>
            <w:vAlign w:val="bottom"/>
            <w:tcBorders>
              <w:top w:val="single" w:sz="8" w:color="auto"/>
            </w:tcBorders>
          </w:tcPr>
          <w:p>
            <w:pPr>
              <w:jc w:val="center"/>
              <w:ind w:left="32"/>
              <w:spacing w:after="0" w:line="195" w:lineRule="exact"/>
              <w:rPr>
                <w:sz w:val="20"/>
                <w:szCs w:val="20"/>
                <w:color w:val="auto"/>
              </w:rPr>
            </w:pPr>
            <w:r>
              <w:rPr>
                <w:rFonts w:ascii="Arial" w:cs="Arial" w:eastAsia="Arial" w:hAnsi="Arial"/>
                <w:sz w:val="18"/>
                <w:szCs w:val="18"/>
                <w:color w:val="auto"/>
                <w:w w:val="97"/>
              </w:rPr>
              <w:t>[*CTR]016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ind w:right="13"/>
              <w:spacing w:after="0" w:line="195" w:lineRule="exact"/>
              <w:rPr>
                <w:sz w:val="20"/>
                <w:szCs w:val="20"/>
                <w:color w:val="auto"/>
              </w:rPr>
            </w:pPr>
            <w:r>
              <w:rPr>
                <w:rFonts w:ascii="Arial" w:cs="Arial" w:eastAsia="Arial" w:hAnsi="Arial"/>
                <w:sz w:val="18"/>
                <w:szCs w:val="18"/>
                <w:color w:val="auto"/>
                <w:w w:val="99"/>
              </w:rPr>
              <w:t>1</w:t>
            </w:r>
          </w:p>
        </w:tc>
        <w:tc>
          <w:tcPr>
            <w:tcW w:w="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220" w:type="dxa"/>
            <w:vAlign w:val="bottom"/>
            <w:tcBorders>
              <w:top w:val="single" w:sz="8" w:color="auto"/>
            </w:tcBorders>
            <w:gridSpan w:val="2"/>
          </w:tcPr>
          <w:p>
            <w:pPr>
              <w:ind w:left="320"/>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020" w:type="dxa"/>
            <w:vAlign w:val="bottom"/>
            <w:tcBorders>
              <w:top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rPr>
              <w:t>[*CTR]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[*CTR]-2016</w:t>
            </w:r>
          </w:p>
        </w:tc>
        <w:tc>
          <w:tcPr>
            <w:tcW w:w="800" w:type="dxa"/>
            <w:vAlign w:val="bottom"/>
          </w:tcPr>
          <w:p>
            <w:pPr>
              <w:jc w:val="center"/>
              <w:ind w:right="13"/>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92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rPr>
              <w:t>[*CTR]</w:t>
            </w: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rPr>
              <w:t>[*CTR]</w:t>
            </w: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720" w:type="dxa"/>
            <w:vAlign w:val="bottom"/>
          </w:tcPr>
          <w:p>
            <w:pPr>
              <w:jc w:val="center"/>
              <w:spacing w:after="0"/>
              <w:rPr>
                <w:sz w:val="20"/>
                <w:szCs w:val="20"/>
                <w:color w:val="auto"/>
              </w:rPr>
            </w:pPr>
            <w:r>
              <w:rPr>
                <w:rFonts w:ascii="Arial" w:cs="Arial" w:eastAsia="Arial" w:hAnsi="Arial"/>
                <w:sz w:val="18"/>
                <w:szCs w:val="18"/>
                <w:color w:val="auto"/>
              </w:rPr>
              <w:t>[*CTR]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[*CTR]-2016</w:t>
            </w:r>
          </w:p>
        </w:tc>
        <w:tc>
          <w:tcPr>
            <w:tcW w:w="800" w:type="dxa"/>
            <w:vAlign w:val="bottom"/>
          </w:tcPr>
          <w:p>
            <w:pPr>
              <w:jc w:val="center"/>
              <w:ind w:right="13"/>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92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rPr>
              <w:t>[*CTR]</w:t>
            </w: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rPr>
              <w:t>[*CTR]</w:t>
            </w: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720" w:type="dxa"/>
            <w:vAlign w:val="bottom"/>
          </w:tcPr>
          <w:p>
            <w:pPr>
              <w:jc w:val="center"/>
              <w:spacing w:after="0"/>
              <w:rPr>
                <w:sz w:val="20"/>
                <w:szCs w:val="20"/>
                <w:color w:val="auto"/>
              </w:rPr>
            </w:pPr>
            <w:r>
              <w:rPr>
                <w:rFonts w:ascii="Arial" w:cs="Arial" w:eastAsia="Arial" w:hAnsi="Arial"/>
                <w:sz w:val="18"/>
                <w:szCs w:val="18"/>
                <w:color w:val="auto"/>
              </w:rPr>
              <w:t>[*CTR]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[*CTR]-2016</w:t>
            </w:r>
          </w:p>
        </w:tc>
        <w:tc>
          <w:tcPr>
            <w:tcW w:w="800" w:type="dxa"/>
            <w:vAlign w:val="bottom"/>
          </w:tcPr>
          <w:p>
            <w:pPr>
              <w:jc w:val="center"/>
              <w:ind w:right="13"/>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92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rPr>
              <w:t>[*CTR]</w:t>
            </w: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rPr>
              <w:t>[*CTR]</w:t>
            </w: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720" w:type="dxa"/>
            <w:vAlign w:val="bottom"/>
          </w:tcPr>
          <w:p>
            <w:pPr>
              <w:jc w:val="center"/>
              <w:spacing w:after="0"/>
              <w:rPr>
                <w:sz w:val="20"/>
                <w:szCs w:val="20"/>
                <w:color w:val="auto"/>
              </w:rPr>
            </w:pPr>
            <w:r>
              <w:rPr>
                <w:rFonts w:ascii="Arial" w:cs="Arial" w:eastAsia="Arial" w:hAnsi="Arial"/>
                <w:sz w:val="18"/>
                <w:szCs w:val="18"/>
                <w:color w:val="auto"/>
              </w:rPr>
              <w:t>[*CTR]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[*CTR]-2017</w:t>
            </w:r>
          </w:p>
        </w:tc>
        <w:tc>
          <w:tcPr>
            <w:tcW w:w="800" w:type="dxa"/>
            <w:vAlign w:val="bottom"/>
          </w:tcPr>
          <w:p>
            <w:pPr>
              <w:jc w:val="center"/>
              <w:ind w:right="13"/>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92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rPr>
              <w:t>[*CTR]</w:t>
            </w: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rPr>
              <w:t>[*CTR]</w:t>
            </w: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720" w:type="dxa"/>
            <w:vAlign w:val="bottom"/>
          </w:tcPr>
          <w:p>
            <w:pPr>
              <w:jc w:val="center"/>
              <w:spacing w:after="0"/>
              <w:rPr>
                <w:sz w:val="20"/>
                <w:szCs w:val="20"/>
                <w:color w:val="auto"/>
              </w:rPr>
            </w:pPr>
            <w:r>
              <w:rPr>
                <w:rFonts w:ascii="Arial" w:cs="Arial" w:eastAsia="Arial" w:hAnsi="Arial"/>
                <w:sz w:val="18"/>
                <w:szCs w:val="18"/>
                <w:color w:val="auto"/>
              </w:rPr>
              <w:t>[*CTR]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[*CTR]-2017</w:t>
            </w:r>
          </w:p>
        </w:tc>
        <w:tc>
          <w:tcPr>
            <w:tcW w:w="800" w:type="dxa"/>
            <w:vAlign w:val="bottom"/>
          </w:tcPr>
          <w:p>
            <w:pPr>
              <w:jc w:val="center"/>
              <w:ind w:right="13"/>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92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rPr>
              <w:t>[*CTR]</w:t>
            </w: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rPr>
              <w:t>[*CTR]</w:t>
            </w: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720" w:type="dxa"/>
            <w:vAlign w:val="bottom"/>
          </w:tcPr>
          <w:p>
            <w:pPr>
              <w:jc w:val="center"/>
              <w:spacing w:after="0"/>
              <w:rPr>
                <w:sz w:val="20"/>
                <w:szCs w:val="20"/>
                <w:color w:val="auto"/>
              </w:rPr>
            </w:pPr>
            <w:r>
              <w:rPr>
                <w:rFonts w:ascii="Arial" w:cs="Arial" w:eastAsia="Arial" w:hAnsi="Arial"/>
                <w:sz w:val="18"/>
                <w:szCs w:val="18"/>
                <w:color w:val="auto"/>
              </w:rPr>
              <w:t>[*CTR]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[*CTR]-2017</w:t>
            </w:r>
          </w:p>
        </w:tc>
        <w:tc>
          <w:tcPr>
            <w:tcW w:w="800" w:type="dxa"/>
            <w:vAlign w:val="bottom"/>
          </w:tcPr>
          <w:p>
            <w:pPr>
              <w:jc w:val="center"/>
              <w:ind w:right="13"/>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92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rPr>
              <w:t>[*CTR]</w:t>
            </w: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rPr>
              <w:t>[*CTR]</w:t>
            </w: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720" w:type="dxa"/>
            <w:vAlign w:val="bottom"/>
          </w:tcPr>
          <w:p>
            <w:pPr>
              <w:jc w:val="center"/>
              <w:spacing w:after="0"/>
              <w:rPr>
                <w:sz w:val="20"/>
                <w:szCs w:val="20"/>
                <w:color w:val="auto"/>
              </w:rPr>
            </w:pPr>
            <w:r>
              <w:rPr>
                <w:rFonts w:ascii="Arial" w:cs="Arial" w:eastAsia="Arial" w:hAnsi="Arial"/>
                <w:sz w:val="18"/>
                <w:szCs w:val="18"/>
                <w:color w:val="auto"/>
              </w:rPr>
              <w:t>[*CTR]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[*CTR]-2017</w:t>
            </w:r>
          </w:p>
        </w:tc>
        <w:tc>
          <w:tcPr>
            <w:tcW w:w="800" w:type="dxa"/>
            <w:vAlign w:val="bottom"/>
          </w:tcPr>
          <w:p>
            <w:pPr>
              <w:jc w:val="center"/>
              <w:ind w:right="13"/>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92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rPr>
              <w:t>[*CTR]</w:t>
            </w: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rPr>
              <w:t>[*CTR]</w:t>
            </w: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720" w:type="dxa"/>
            <w:vAlign w:val="bottom"/>
          </w:tcPr>
          <w:p>
            <w:pPr>
              <w:jc w:val="center"/>
              <w:spacing w:after="0"/>
              <w:rPr>
                <w:sz w:val="20"/>
                <w:szCs w:val="20"/>
                <w:color w:val="auto"/>
              </w:rPr>
            </w:pPr>
            <w:r>
              <w:rPr>
                <w:rFonts w:ascii="Arial" w:cs="Arial" w:eastAsia="Arial" w:hAnsi="Arial"/>
                <w:sz w:val="18"/>
                <w:szCs w:val="18"/>
                <w:color w:val="auto"/>
              </w:rPr>
              <w:t>[*CTR]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[*CTR]-2017</w:t>
            </w:r>
          </w:p>
        </w:tc>
        <w:tc>
          <w:tcPr>
            <w:tcW w:w="800" w:type="dxa"/>
            <w:vAlign w:val="bottom"/>
          </w:tcPr>
          <w:p>
            <w:pPr>
              <w:jc w:val="center"/>
              <w:ind w:right="13"/>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92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rPr>
              <w:t>[*CTR]</w:t>
            </w: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rPr>
              <w:t>[*CTR]</w:t>
            </w: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720" w:type="dxa"/>
            <w:vAlign w:val="bottom"/>
          </w:tcPr>
          <w:p>
            <w:pPr>
              <w:jc w:val="center"/>
              <w:spacing w:after="0"/>
              <w:rPr>
                <w:sz w:val="20"/>
                <w:szCs w:val="20"/>
                <w:color w:val="auto"/>
              </w:rPr>
            </w:pPr>
            <w:r>
              <w:rPr>
                <w:rFonts w:ascii="Arial" w:cs="Arial" w:eastAsia="Arial" w:hAnsi="Arial"/>
                <w:sz w:val="18"/>
                <w:szCs w:val="18"/>
                <w:color w:val="auto"/>
              </w:rPr>
              <w:t>[*CTR]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[*CTR]-2017</w:t>
            </w:r>
          </w:p>
        </w:tc>
        <w:tc>
          <w:tcPr>
            <w:tcW w:w="800" w:type="dxa"/>
            <w:vAlign w:val="bottom"/>
          </w:tcPr>
          <w:p>
            <w:pPr>
              <w:jc w:val="center"/>
              <w:ind w:right="13"/>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92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rPr>
              <w:t>[*CTR]</w:t>
            </w: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rPr>
              <w:t>[*CTR]</w:t>
            </w: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720" w:type="dxa"/>
            <w:vAlign w:val="bottom"/>
          </w:tcPr>
          <w:p>
            <w:pPr>
              <w:jc w:val="center"/>
              <w:spacing w:after="0"/>
              <w:rPr>
                <w:sz w:val="20"/>
                <w:szCs w:val="20"/>
                <w:color w:val="auto"/>
              </w:rPr>
            </w:pPr>
            <w:r>
              <w:rPr>
                <w:rFonts w:ascii="Arial" w:cs="Arial" w:eastAsia="Arial" w:hAnsi="Arial"/>
                <w:sz w:val="18"/>
                <w:szCs w:val="18"/>
                <w:color w:val="auto"/>
              </w:rPr>
              <w:t>[*CTR]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[*CTR]-2017</w:t>
            </w:r>
          </w:p>
        </w:tc>
        <w:tc>
          <w:tcPr>
            <w:tcW w:w="800" w:type="dxa"/>
            <w:vAlign w:val="bottom"/>
          </w:tcPr>
          <w:p>
            <w:pPr>
              <w:jc w:val="center"/>
              <w:ind w:right="13"/>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92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rPr>
              <w:t>[*CTR]</w:t>
            </w: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rPr>
              <w:t>[*CTR]</w:t>
            </w: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720" w:type="dxa"/>
            <w:vAlign w:val="bottom"/>
          </w:tcPr>
          <w:p>
            <w:pPr>
              <w:jc w:val="center"/>
              <w:spacing w:after="0"/>
              <w:rPr>
                <w:sz w:val="20"/>
                <w:szCs w:val="20"/>
                <w:color w:val="auto"/>
              </w:rPr>
            </w:pPr>
            <w:r>
              <w:rPr>
                <w:rFonts w:ascii="Arial" w:cs="Arial" w:eastAsia="Arial" w:hAnsi="Arial"/>
                <w:sz w:val="18"/>
                <w:szCs w:val="18"/>
                <w:color w:val="auto"/>
              </w:rPr>
              <w:t>[*CTR]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[*CTR]-2017</w:t>
            </w:r>
          </w:p>
        </w:tc>
        <w:tc>
          <w:tcPr>
            <w:tcW w:w="800" w:type="dxa"/>
            <w:vAlign w:val="bottom"/>
          </w:tcPr>
          <w:p>
            <w:pPr>
              <w:jc w:val="center"/>
              <w:ind w:right="13"/>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92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rPr>
              <w:t>[*CTR]</w:t>
            </w: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rPr>
              <w:t>[*CTR]</w:t>
            </w: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720" w:type="dxa"/>
            <w:vAlign w:val="bottom"/>
          </w:tcPr>
          <w:p>
            <w:pPr>
              <w:jc w:val="center"/>
              <w:spacing w:after="0"/>
              <w:rPr>
                <w:sz w:val="20"/>
                <w:szCs w:val="20"/>
                <w:color w:val="auto"/>
              </w:rPr>
            </w:pPr>
            <w:r>
              <w:rPr>
                <w:rFonts w:ascii="Arial" w:cs="Arial" w:eastAsia="Arial" w:hAnsi="Arial"/>
                <w:sz w:val="18"/>
                <w:szCs w:val="18"/>
                <w:color w:val="auto"/>
              </w:rPr>
              <w:t>[*CTR]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color w:val="auto"/>
                <w:w w:val="97"/>
              </w:rPr>
              <w:t>[*CTR]-2017</w:t>
            </w:r>
          </w:p>
        </w:tc>
        <w:tc>
          <w:tcPr>
            <w:tcW w:w="800" w:type="dxa"/>
            <w:vAlign w:val="bottom"/>
          </w:tcPr>
          <w:p>
            <w:pPr>
              <w:jc w:val="center"/>
              <w:ind w:right="13"/>
              <w:spacing w:after="0"/>
              <w:rPr>
                <w:sz w:val="20"/>
                <w:szCs w:val="20"/>
                <w:color w:val="auto"/>
              </w:rPr>
            </w:pPr>
            <w:r>
              <w:rPr>
                <w:rFonts w:ascii="Arial" w:cs="Arial" w:eastAsia="Arial" w:hAnsi="Arial"/>
                <w:sz w:val="18"/>
                <w:szCs w:val="18"/>
                <w:color w:val="auto"/>
                <w:w w:val="99"/>
              </w:rPr>
              <w:t>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920" w:type="dxa"/>
            <w:vAlign w:val="bottom"/>
          </w:tcPr>
          <w:p>
            <w:pPr>
              <w:jc w:val="center"/>
              <w:spacing w:after="0"/>
              <w:rPr>
                <w:sz w:val="20"/>
                <w:szCs w:val="20"/>
                <w:color w:val="auto"/>
              </w:rPr>
            </w:pPr>
            <w:r>
              <w:rPr>
                <w:rFonts w:ascii="Arial" w:cs="Arial" w:eastAsia="Arial" w:hAnsi="Arial"/>
                <w:sz w:val="18"/>
                <w:szCs w:val="18"/>
                <w:color w:val="auto"/>
              </w:rPr>
              <w:t>[*CTR]</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3"/>
          </w:tcPr>
          <w:p>
            <w:pPr>
              <w:ind w:left="320"/>
              <w:spacing w:after="0"/>
              <w:rPr>
                <w:sz w:val="20"/>
                <w:szCs w:val="20"/>
                <w:color w:val="auto"/>
              </w:rPr>
            </w:pPr>
            <w:r>
              <w:rPr>
                <w:rFonts w:ascii="Arial" w:cs="Arial" w:eastAsia="Arial" w:hAnsi="Arial"/>
                <w:sz w:val="18"/>
                <w:szCs w:val="18"/>
                <w:color w:val="auto"/>
              </w:rPr>
              <w:t>[*CTR]</w:t>
            </w:r>
          </w:p>
        </w:tc>
        <w:tc>
          <w:tcPr>
            <w:tcW w:w="1120" w:type="dxa"/>
            <w:vAlign w:val="bottom"/>
            <w:gridSpan w:val="4"/>
          </w:tcPr>
          <w:p>
            <w:pPr>
              <w:jc w:val="center"/>
              <w:ind w:right="120"/>
              <w:spacing w:after="0"/>
              <w:rPr>
                <w:sz w:val="20"/>
                <w:szCs w:val="20"/>
                <w:color w:val="auto"/>
              </w:rPr>
            </w:pPr>
            <w:r>
              <w:rPr>
                <w:rFonts w:ascii="Arial" w:cs="Arial" w:eastAsia="Arial" w:hAnsi="Arial"/>
                <w:sz w:val="18"/>
                <w:szCs w:val="18"/>
                <w:color w:val="auto"/>
              </w:rPr>
              <w:t>[*CTR]</w:t>
            </w:r>
          </w:p>
        </w:tc>
        <w:tc>
          <w:tcPr>
            <w:tcW w:w="1320" w:type="dxa"/>
            <w:vAlign w:val="bottom"/>
            <w:gridSpan w:val="3"/>
          </w:tcPr>
          <w:p>
            <w:pPr>
              <w:jc w:val="center"/>
              <w:ind w:right="280"/>
              <w:spacing w:after="0"/>
              <w:rPr>
                <w:sz w:val="20"/>
                <w:szCs w:val="20"/>
                <w:color w:val="auto"/>
              </w:rPr>
            </w:pPr>
            <w:r>
              <w:rPr>
                <w:rFonts w:ascii="Arial" w:cs="Arial" w:eastAsia="Arial" w:hAnsi="Arial"/>
                <w:sz w:val="18"/>
                <w:szCs w:val="18"/>
                <w:color w:val="auto"/>
              </w:rPr>
              <w:t>[*CTR]</w:t>
            </w:r>
          </w:p>
        </w:tc>
        <w:tc>
          <w:tcPr>
            <w:tcW w:w="720" w:type="dxa"/>
            <w:vAlign w:val="bottom"/>
          </w:tcPr>
          <w:p>
            <w:pPr>
              <w:jc w:val="center"/>
              <w:spacing w:after="0"/>
              <w:rPr>
                <w:sz w:val="20"/>
                <w:szCs w:val="20"/>
                <w:color w:val="auto"/>
              </w:rPr>
            </w:pPr>
            <w:r>
              <w:rPr>
                <w:rFonts w:ascii="Arial" w:cs="Arial" w:eastAsia="Arial" w:hAnsi="Arial"/>
                <w:sz w:val="18"/>
                <w:szCs w:val="18"/>
                <w:color w:val="auto"/>
              </w:rPr>
              <w:t>[*CTR]</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365"/>
        </w:trPr>
        <w:tc>
          <w:tcPr>
            <w:tcW w:w="2280" w:type="dxa"/>
            <w:vAlign w:val="bottom"/>
            <w:gridSpan w:val="5"/>
          </w:tcPr>
          <w:p>
            <w:pPr>
              <w:spacing w:after="0"/>
              <w:rPr>
                <w:sz w:val="20"/>
                <w:szCs w:val="20"/>
                <w:color w:val="auto"/>
              </w:rPr>
            </w:pPr>
            <w:r>
              <w:rPr>
                <w:rFonts w:ascii="Arial" w:cs="Arial" w:eastAsia="Arial" w:hAnsi="Arial"/>
                <w:sz w:val="18"/>
                <w:szCs w:val="18"/>
                <w:color w:val="auto"/>
                <w:w w:val="93"/>
              </w:rPr>
              <w:t>AAL-PA-03219 89114-1F.TXT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vMerge w:val="restart"/>
          </w:tcPr>
          <w:p>
            <w:pPr>
              <w:ind w:left="460"/>
              <w:spacing w:after="0"/>
              <w:rPr>
                <w:sz w:val="20"/>
                <w:szCs w:val="20"/>
                <w:color w:val="auto"/>
              </w:rPr>
            </w:pPr>
            <w:r>
              <w:rPr>
                <w:rFonts w:ascii="Arial" w:cs="Arial" w:eastAsia="Arial" w:hAnsi="Arial"/>
                <w:sz w:val="18"/>
                <w:szCs w:val="18"/>
                <w:b w:val="1"/>
                <w:bCs w:val="1"/>
                <w:color w:val="auto"/>
              </w:rPr>
              <w:t>Boeing Proprietary</w:t>
            </w: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5"/>
          </w:tcPr>
          <w:p>
            <w:pPr>
              <w:ind w:left="20"/>
              <w:spacing w:after="0"/>
              <w:rPr>
                <w:sz w:val="20"/>
                <w:szCs w:val="20"/>
                <w:color w:val="auto"/>
              </w:rPr>
            </w:pPr>
            <w:r>
              <w:rPr>
                <w:rFonts w:ascii="Arial" w:cs="Arial" w:eastAsia="Arial" w:hAnsi="Arial"/>
                <w:sz w:val="18"/>
                <w:szCs w:val="18"/>
                <w:color w:val="auto"/>
                <w:w w:val="91"/>
              </w:rPr>
              <w:t>SA-7, Table 1(R5) [Page]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5"/>
            <w:vMerge w:val="continue"/>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70" w:right="239" w:bottom="1440" w:gutter="0" w:footer="0" w:header="0"/>
        </w:sectPr>
      </w:pPr>
    </w:p>
    <w:bookmarkStart w:id="385" w:name="page386"/>
    <w:bookmarkEnd w:id="3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1(R5) To Purchase Agreement No. PA-03219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787-9 Aircraft Delivery, Description, Price and Advance Payments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Escalation</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Escalation</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Escalation Estimate</w:t>
            </w:r>
          </w:p>
        </w:tc>
        <w:tc>
          <w:tcPr>
            <w:tcW w:w="4320" w:type="dxa"/>
            <w:vAlign w:val="bottom"/>
            <w:gridSpan w:val="8"/>
          </w:tcPr>
          <w:p>
            <w:pPr>
              <w:ind w:left="80"/>
              <w:spacing w:after="0"/>
              <w:rPr>
                <w:sz w:val="20"/>
                <w:szCs w:val="20"/>
                <w:color w:val="auto"/>
              </w:rPr>
            </w:pPr>
            <w:r>
              <w:rPr>
                <w:rFonts w:ascii="Arial" w:cs="Arial" w:eastAsia="Arial" w:hAnsi="Arial"/>
                <w:sz w:val="14"/>
                <w:szCs w:val="14"/>
                <w:b w:val="1"/>
                <w:bCs w:val="1"/>
                <w:color w:val="auto"/>
                <w:w w:val="96"/>
              </w:rPr>
              <w:t>Advance Payment Per Aircraft (Amts. Due/Mos. Prior to Delivery):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2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Delivery</w:t>
            </w:r>
          </w:p>
        </w:tc>
        <w:tc>
          <w:tcPr>
            <w:tcW w:w="10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Number of</w:t>
            </w:r>
          </w:p>
        </w:tc>
        <w:tc>
          <w:tcPr>
            <w:tcW w:w="11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Factor</w:t>
            </w:r>
          </w:p>
        </w:tc>
        <w:tc>
          <w:tcPr>
            <w:tcW w:w="11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Factor</w:t>
            </w:r>
          </w:p>
        </w:tc>
        <w:tc>
          <w:tcPr>
            <w:tcW w:w="11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Manufacturer</w:t>
            </w:r>
          </w:p>
        </w:tc>
        <w:tc>
          <w:tcPr>
            <w:tcW w:w="134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Adv Payment Base</w:t>
            </w:r>
          </w:p>
        </w:tc>
        <w:tc>
          <w:tcPr>
            <w:tcW w:w="112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[*CTR]</w:t>
            </w:r>
          </w:p>
        </w:tc>
        <w:tc>
          <w:tcPr>
            <w:tcW w:w="114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[*CTR]</w:t>
            </w:r>
          </w:p>
        </w:tc>
        <w:tc>
          <w:tcPr>
            <w:tcW w:w="114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[*CTR]</w:t>
            </w: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Aircraft</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(Airframe)</w:t>
            </w: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(Engine)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Serial Number</w:t>
            </w: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Price Per A/P</w:t>
            </w:r>
          </w:p>
        </w:tc>
        <w:tc>
          <w:tcPr>
            <w:tcW w:w="112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[*CTR]</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[*CTR]-2017</w:t>
            </w:r>
          </w:p>
        </w:tc>
        <w:tc>
          <w:tcPr>
            <w:tcW w:w="10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00" w:type="dxa"/>
            <w:vAlign w:val="bottom"/>
          </w:tcPr>
          <w:p>
            <w:pPr>
              <w:spacing w:after="0"/>
              <w:rPr>
                <w:sz w:val="16"/>
                <w:szCs w:val="16"/>
                <w:color w:val="auto"/>
              </w:rPr>
            </w:pPr>
          </w:p>
        </w:tc>
        <w:tc>
          <w:tcPr>
            <w:tcW w:w="1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[*CTR]-2018</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[*CTR]-2018</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[*CTR]-2018</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[*CTR]-2018</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[*CTR]-2018</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[*CTR]-2018</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[*CTR]-2018</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[*CTR]-2018</w:t>
            </w: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color w:val="auto"/>
              </w:rPr>
              <w:t>[*CTR]</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[*CTR]</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rPr>
              <w:t>[*CTR]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2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Total:</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420" w:type="dxa"/>
            <w:vAlign w:val="bottom"/>
            <w:gridSpan w:val="5"/>
          </w:tcPr>
          <w:p>
            <w:pPr>
              <w:spacing w:after="0"/>
              <w:rPr>
                <w:sz w:val="20"/>
                <w:szCs w:val="20"/>
                <w:color w:val="auto"/>
              </w:rPr>
            </w:pPr>
            <w:r>
              <w:rPr>
                <w:rFonts w:ascii="Arial" w:cs="Arial" w:eastAsia="Arial" w:hAnsi="Arial"/>
                <w:sz w:val="18"/>
                <w:szCs w:val="18"/>
                <w:color w:val="auto"/>
                <w:w w:val="99"/>
              </w:rPr>
              <w:t>AAL-PA-03219 89114-1F.TXT</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vMerge w:val="restart"/>
          </w:tcPr>
          <w:p>
            <w:pPr>
              <w:ind w:left="460"/>
              <w:spacing w:after="0"/>
              <w:rPr>
                <w:sz w:val="20"/>
                <w:szCs w:val="20"/>
                <w:color w:val="auto"/>
              </w:rPr>
            </w:pPr>
            <w:r>
              <w:rPr>
                <w:rFonts w:ascii="Arial" w:cs="Arial" w:eastAsia="Arial" w:hAnsi="Arial"/>
                <w:sz w:val="18"/>
                <w:szCs w:val="18"/>
                <w:b w:val="1"/>
                <w:bCs w:val="1"/>
                <w:color w:val="auto"/>
              </w:rPr>
              <w:t>Boeing Proprietary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4"/>
          </w:tcPr>
          <w:p>
            <w:pPr>
              <w:ind w:left="200"/>
              <w:spacing w:after="0"/>
              <w:rPr>
                <w:sz w:val="20"/>
                <w:szCs w:val="20"/>
                <w:color w:val="auto"/>
              </w:rPr>
            </w:pPr>
            <w:r>
              <w:rPr>
                <w:rFonts w:ascii="Arial" w:cs="Arial" w:eastAsia="Arial" w:hAnsi="Arial"/>
                <w:sz w:val="18"/>
                <w:szCs w:val="18"/>
                <w:color w:val="auto"/>
                <w:w w:val="91"/>
              </w:rPr>
              <w:t>SA-7, Table 1(R5) [Page]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vMerge w:val="continue"/>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69" w:right="239" w:bottom="1440" w:gutter="0" w:footer="0" w:header="0"/>
        </w:sectPr>
      </w:pPr>
    </w:p>
    <w:bookmarkStart w:id="386" w:name="page387"/>
    <w:bookmarkEnd w:id="386"/>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AIRCRAFT CONFIGURATION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BOEING COMPANY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Exhibit A(R2) to Purchase Agreement Number 3219</w:t>
      </w:r>
    </w:p>
    <w:p>
      <w:pPr>
        <w:sectPr>
          <w:pgSz w:w="11900" w:h="16838" w:orient="portrait"/>
          <w:cols w:equalWidth="0" w:num="1">
            <w:col w:w="9019"/>
          </w:cols>
          <w:pgMar w:left="1440" w:top="274" w:right="1440" w:bottom="1440" w:gutter="0" w:footer="0" w:header="0"/>
        </w:sectPr>
      </w:pPr>
    </w:p>
    <w:p>
      <w:pPr>
        <w:spacing w:after="0" w:line="2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P.A. No. 3219</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1480"/>
        <w:spacing w:after="0"/>
        <w:rPr>
          <w:sz w:val="20"/>
          <w:szCs w:val="20"/>
          <w:color w:val="auto"/>
        </w:rPr>
      </w:pPr>
      <w:r>
        <w:rPr>
          <w:rFonts w:ascii="Arial" w:cs="Arial" w:eastAsia="Arial" w:hAnsi="Arial"/>
          <w:sz w:val="18"/>
          <w:szCs w:val="18"/>
          <w:color w:val="auto"/>
        </w:rPr>
        <w:t>SA-7</w:t>
      </w:r>
    </w:p>
    <w:p>
      <w:pPr>
        <w:spacing w:after="0" w:line="23" w:lineRule="exact"/>
        <w:rPr>
          <w:sz w:val="20"/>
          <w:szCs w:val="20"/>
          <w:color w:val="auto"/>
        </w:rPr>
      </w:pPr>
    </w:p>
    <w:p>
      <w:pPr>
        <w:jc w:val="center"/>
        <w:ind w:right="1480"/>
        <w:spacing w:after="0"/>
        <w:rPr>
          <w:sz w:val="20"/>
          <w:szCs w:val="20"/>
          <w:color w:val="auto"/>
        </w:rPr>
      </w:pPr>
      <w:r>
        <w:rPr>
          <w:rFonts w:ascii="Arial" w:cs="Arial" w:eastAsia="Arial" w:hAnsi="Arial"/>
          <w:sz w:val="18"/>
          <w:szCs w:val="18"/>
          <w:b w:val="1"/>
          <w:bCs w:val="1"/>
          <w:color w:val="auto"/>
        </w:rPr>
        <w:t>BOEING PROPRIETARY</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Exhibit A(R2)</w:t>
      </w:r>
    </w:p>
    <w:p>
      <w:pPr>
        <w:sectPr>
          <w:pgSz w:w="11900" w:h="16838" w:orient="portrait"/>
          <w:cols w:equalWidth="0" w:num="3">
            <w:col w:w="2880" w:space="720"/>
            <w:col w:w="3560" w:space="720"/>
            <w:col w:w="1139"/>
          </w:cols>
          <w:pgMar w:left="1440" w:top="274" w:right="1440" w:bottom="1440" w:gutter="0" w:footer="0" w:header="0"/>
          <w:type w:val="continuous"/>
        </w:sectPr>
      </w:pPr>
    </w:p>
    <w:bookmarkStart w:id="387" w:name="page388"/>
    <w:bookmarkEnd w:id="387"/>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A(R2)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AIRCRAFT CONFIGURATION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Dated as of the effective Date of SA-7</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relating to</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BOEING MODEL [*CTR] AIRCRAFT</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Detail Specification is Boeing Detail Specification [*CTR] (the [*CTR] due to the Detail Specification being [*CTR], e.g., for the [*CTR], the Detail Specification is [*CTR]). The Detail Specification provides [*CTR] set forth in this Exhibit A. Such Detail Specification will be comprised of Boeing 787 Airplane [*CTR] by Customer, including the effects on [*CTR], that are specified herein. [*CTR], Boeing will furnish to Customer copies of the Detail Specification, which copies will [*CTR]. The [*CTR], except such [*CTR].</w:t>
      </w:r>
    </w:p>
    <w:p>
      <w:pPr>
        <w:sectPr>
          <w:pgSz w:w="11900" w:h="16838" w:orient="portrait"/>
          <w:cols w:equalWidth="0" w:num="1">
            <w:col w:w="11320"/>
          </w:cols>
          <w:pgMar w:left="240" w:top="273" w:right="339" w:bottom="1440" w:gutter="0" w:footer="0" w:header="0"/>
        </w:sectPr>
      </w:pPr>
    </w:p>
    <w:p>
      <w:pPr>
        <w:spacing w:after="0" w:line="11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P.A. No. 3219</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SA-7</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BOEING PROPRIETARY</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Exhibit A(R2), Page 1</w:t>
      </w:r>
    </w:p>
    <w:p>
      <w:pPr>
        <w:spacing w:after="0" w:line="453" w:lineRule="exact"/>
        <w:rPr>
          <w:sz w:val="20"/>
          <w:szCs w:val="20"/>
          <w:color w:val="auto"/>
        </w:rPr>
      </w:pPr>
    </w:p>
    <w:p>
      <w:pPr>
        <w:sectPr>
          <w:pgSz w:w="11900" w:h="16838" w:orient="portrait"/>
          <w:cols w:equalWidth="0" w:num="3">
            <w:col w:w="4080" w:space="720"/>
            <w:col w:w="3280" w:space="720"/>
            <w:col w:w="2520"/>
          </w:cols>
          <w:pgMar w:left="240" w:top="273" w:right="339" w:bottom="1440" w:gutter="0" w:footer="0" w:header="0"/>
          <w:type w:val="continuous"/>
        </w:sectPr>
      </w:pPr>
    </w:p>
    <w:p>
      <w:pPr>
        <w:spacing w:after="0" w:line="1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320"/>
          </w:cols>
          <w:pgMar w:left="240" w:top="273" w:right="339" w:bottom="1440" w:gutter="0" w:footer="0" w:header="0"/>
          <w:type w:val="continuous"/>
        </w:sectPr>
      </w:pPr>
    </w:p>
    <w:bookmarkStart w:id="388" w:name="page389"/>
    <w:bookmarkEnd w:id="38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
          </w:tcPr>
          <w:p>
            <w:pPr>
              <w:jc w:val="center"/>
              <w:ind w:right="40"/>
              <w:spacing w:after="0"/>
              <w:rPr>
                <w:sz w:val="20"/>
                <w:szCs w:val="20"/>
                <w:color w:val="auto"/>
              </w:rPr>
            </w:pPr>
            <w:r>
              <w:rPr>
                <w:rFonts w:ascii="Arial" w:cs="Arial" w:eastAsia="Arial" w:hAnsi="Arial"/>
                <w:sz w:val="14"/>
                <w:szCs w:val="14"/>
                <w:color w:val="auto"/>
              </w:rPr>
              <w:t>[*CTR] A/P</w:t>
            </w:r>
          </w:p>
        </w:tc>
      </w:tr>
      <w:tr>
        <w:trPr>
          <w:trHeight w:val="149"/>
        </w:trPr>
        <w:tc>
          <w:tcPr>
            <w:tcW w:w="20" w:type="dxa"/>
            <w:vAlign w:val="bottom"/>
          </w:tcPr>
          <w:p>
            <w:pPr>
              <w:spacing w:after="0"/>
              <w:rPr>
                <w:sz w:val="12"/>
                <w:szCs w:val="12"/>
                <w:color w:val="auto"/>
              </w:rPr>
            </w:pPr>
          </w:p>
        </w:tc>
        <w:tc>
          <w:tcPr>
            <w:tcW w:w="4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Option</w:t>
            </w: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Price</w:t>
            </w:r>
          </w:p>
        </w:tc>
      </w:tr>
      <w:tr>
        <w:trPr>
          <w:trHeight w:val="181"/>
        </w:trPr>
        <w:tc>
          <w:tcPr>
            <w:tcW w:w="20" w:type="dxa"/>
            <w:vAlign w:val="bottom"/>
          </w:tcPr>
          <w:p>
            <w:pPr>
              <w:spacing w:after="0"/>
              <w:rPr>
                <w:sz w:val="15"/>
                <w:szCs w:val="15"/>
                <w:color w:val="auto"/>
              </w:rPr>
            </w:pPr>
          </w:p>
        </w:tc>
        <w:tc>
          <w:tcPr>
            <w:tcW w:w="40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Number</w:t>
            </w:r>
          </w:p>
        </w:tc>
        <w:tc>
          <w:tcPr>
            <w:tcW w:w="37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Description</w:t>
            </w:r>
          </w:p>
        </w:tc>
        <w:tc>
          <w:tcPr>
            <w:tcW w:w="366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Per A/C</w:t>
            </w:r>
          </w:p>
        </w:tc>
      </w:tr>
      <w:tr>
        <w:trPr>
          <w:trHeight w:val="195"/>
        </w:trPr>
        <w:tc>
          <w:tcPr>
            <w:tcW w:w="20" w:type="dxa"/>
            <w:vAlign w:val="bottom"/>
          </w:tcPr>
          <w:p>
            <w:pPr>
              <w:spacing w:after="0"/>
              <w:rPr>
                <w:sz w:val="16"/>
                <w:szCs w:val="16"/>
                <w:color w:val="auto"/>
              </w:rPr>
            </w:pPr>
          </w:p>
        </w:tc>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4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30"/>
        </w:trPr>
        <w:tc>
          <w:tcPr>
            <w:tcW w:w="20" w:type="dxa"/>
            <w:vAlign w:val="bottom"/>
          </w:tcPr>
          <w:p>
            <w:pPr>
              <w:spacing w:after="0"/>
              <w:rPr>
                <w:sz w:val="20"/>
                <w:szCs w:val="20"/>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350"/>
        </w:trPr>
        <w:tc>
          <w:tcPr>
            <w:tcW w:w="4020" w:type="dxa"/>
            <w:vAlign w:val="bottom"/>
            <w:gridSpan w:val="3"/>
          </w:tcPr>
          <w:p>
            <w:pPr>
              <w:spacing w:after="0"/>
              <w:rPr>
                <w:sz w:val="20"/>
                <w:szCs w:val="20"/>
                <w:color w:val="auto"/>
              </w:rPr>
            </w:pPr>
            <w:r>
              <w:rPr>
                <w:rFonts w:ascii="Arial" w:cs="Arial" w:eastAsia="Arial" w:hAnsi="Arial"/>
                <w:sz w:val="18"/>
                <w:szCs w:val="18"/>
                <w:color w:val="auto"/>
              </w:rPr>
              <w:t>PA 3219</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SA-7</w:t>
            </w:r>
          </w:p>
        </w:tc>
        <w:tc>
          <w:tcPr>
            <w:tcW w:w="3660" w:type="dxa"/>
            <w:vAlign w:val="bottom"/>
            <w:gridSpan w:val="2"/>
          </w:tcPr>
          <w:p>
            <w:pPr>
              <w:ind w:left="2080"/>
              <w:spacing w:after="0"/>
              <w:rPr>
                <w:sz w:val="20"/>
                <w:szCs w:val="20"/>
                <w:color w:val="auto"/>
              </w:rPr>
            </w:pPr>
            <w:r>
              <w:rPr>
                <w:rFonts w:ascii="Arial" w:cs="Arial" w:eastAsia="Arial" w:hAnsi="Arial"/>
                <w:sz w:val="18"/>
                <w:szCs w:val="18"/>
                <w:color w:val="auto"/>
                <w:w w:val="92"/>
              </w:rPr>
              <w:t>Exhibit A(R2),Page 2</w:t>
            </w: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BOEING PROPRIETARY</w:t>
            </w:r>
          </w:p>
        </w:tc>
        <w:tc>
          <w:tcPr>
            <w:tcW w:w="36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7" w:right="239" w:bottom="1440" w:gutter="0" w:footer="0" w:header="0"/>
        </w:sectPr>
      </w:pPr>
    </w:p>
    <w:bookmarkStart w:id="389" w:name="page390"/>
    <w:bookmarkEnd w:id="389"/>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
          </w:tcPr>
          <w:p>
            <w:pPr>
              <w:jc w:val="center"/>
              <w:ind w:right="40"/>
              <w:spacing w:after="0"/>
              <w:rPr>
                <w:sz w:val="20"/>
                <w:szCs w:val="20"/>
                <w:color w:val="auto"/>
              </w:rPr>
            </w:pPr>
            <w:r>
              <w:rPr>
                <w:rFonts w:ascii="Arial" w:cs="Arial" w:eastAsia="Arial" w:hAnsi="Arial"/>
                <w:sz w:val="14"/>
                <w:szCs w:val="14"/>
                <w:color w:val="auto"/>
              </w:rPr>
              <w:t>[*CTR] A/P</w:t>
            </w:r>
          </w:p>
        </w:tc>
      </w:tr>
      <w:tr>
        <w:trPr>
          <w:trHeight w:val="149"/>
        </w:trPr>
        <w:tc>
          <w:tcPr>
            <w:tcW w:w="20" w:type="dxa"/>
            <w:vAlign w:val="bottom"/>
          </w:tcPr>
          <w:p>
            <w:pPr>
              <w:spacing w:after="0"/>
              <w:rPr>
                <w:sz w:val="12"/>
                <w:szCs w:val="12"/>
                <w:color w:val="auto"/>
              </w:rPr>
            </w:pPr>
          </w:p>
        </w:tc>
        <w:tc>
          <w:tcPr>
            <w:tcW w:w="4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Option</w:t>
            </w: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Price</w:t>
            </w:r>
          </w:p>
        </w:tc>
      </w:tr>
      <w:tr>
        <w:trPr>
          <w:trHeight w:val="181"/>
        </w:trPr>
        <w:tc>
          <w:tcPr>
            <w:tcW w:w="20" w:type="dxa"/>
            <w:vAlign w:val="bottom"/>
          </w:tcPr>
          <w:p>
            <w:pPr>
              <w:spacing w:after="0"/>
              <w:rPr>
                <w:sz w:val="15"/>
                <w:szCs w:val="15"/>
                <w:color w:val="auto"/>
              </w:rPr>
            </w:pPr>
          </w:p>
        </w:tc>
        <w:tc>
          <w:tcPr>
            <w:tcW w:w="40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Number</w:t>
            </w:r>
          </w:p>
        </w:tc>
        <w:tc>
          <w:tcPr>
            <w:tcW w:w="37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Description</w:t>
            </w:r>
          </w:p>
        </w:tc>
        <w:tc>
          <w:tcPr>
            <w:tcW w:w="366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Per A/C</w:t>
            </w:r>
          </w:p>
        </w:tc>
      </w:tr>
      <w:tr>
        <w:trPr>
          <w:trHeight w:val="195"/>
        </w:trPr>
        <w:tc>
          <w:tcPr>
            <w:tcW w:w="20" w:type="dxa"/>
            <w:vAlign w:val="bottom"/>
          </w:tcPr>
          <w:p>
            <w:pPr>
              <w:spacing w:after="0"/>
              <w:rPr>
                <w:sz w:val="16"/>
                <w:szCs w:val="16"/>
                <w:color w:val="auto"/>
              </w:rPr>
            </w:pPr>
          </w:p>
        </w:tc>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4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30"/>
        </w:trPr>
        <w:tc>
          <w:tcPr>
            <w:tcW w:w="20" w:type="dxa"/>
            <w:vAlign w:val="bottom"/>
          </w:tcPr>
          <w:p>
            <w:pPr>
              <w:spacing w:after="0"/>
              <w:rPr>
                <w:sz w:val="20"/>
                <w:szCs w:val="20"/>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350"/>
        </w:trPr>
        <w:tc>
          <w:tcPr>
            <w:tcW w:w="4020" w:type="dxa"/>
            <w:vAlign w:val="bottom"/>
            <w:gridSpan w:val="3"/>
          </w:tcPr>
          <w:p>
            <w:pPr>
              <w:spacing w:after="0"/>
              <w:rPr>
                <w:sz w:val="20"/>
                <w:szCs w:val="20"/>
                <w:color w:val="auto"/>
              </w:rPr>
            </w:pPr>
            <w:r>
              <w:rPr>
                <w:rFonts w:ascii="Arial" w:cs="Arial" w:eastAsia="Arial" w:hAnsi="Arial"/>
                <w:sz w:val="18"/>
                <w:szCs w:val="18"/>
                <w:color w:val="auto"/>
              </w:rPr>
              <w:t>PA 3219</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SA-7</w:t>
            </w:r>
          </w:p>
        </w:tc>
        <w:tc>
          <w:tcPr>
            <w:tcW w:w="3660" w:type="dxa"/>
            <w:vAlign w:val="bottom"/>
            <w:gridSpan w:val="2"/>
          </w:tcPr>
          <w:p>
            <w:pPr>
              <w:ind w:left="2080"/>
              <w:spacing w:after="0"/>
              <w:rPr>
                <w:sz w:val="20"/>
                <w:szCs w:val="20"/>
                <w:color w:val="auto"/>
              </w:rPr>
            </w:pPr>
            <w:r>
              <w:rPr>
                <w:rFonts w:ascii="Arial" w:cs="Arial" w:eastAsia="Arial" w:hAnsi="Arial"/>
                <w:sz w:val="18"/>
                <w:szCs w:val="18"/>
                <w:color w:val="auto"/>
                <w:w w:val="92"/>
              </w:rPr>
              <w:t>Exhibit A(R2),Page 3</w:t>
            </w: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BOEING PROPRIETARY</w:t>
            </w:r>
          </w:p>
        </w:tc>
        <w:tc>
          <w:tcPr>
            <w:tcW w:w="36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7" w:right="239" w:bottom="1440" w:gutter="0" w:footer="0" w:header="0"/>
        </w:sectPr>
      </w:pPr>
    </w:p>
    <w:bookmarkStart w:id="390" w:name="page391"/>
    <w:bookmarkEnd w:id="39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
          </w:tcPr>
          <w:p>
            <w:pPr>
              <w:jc w:val="center"/>
              <w:ind w:right="40"/>
              <w:spacing w:after="0"/>
              <w:rPr>
                <w:sz w:val="20"/>
                <w:szCs w:val="20"/>
                <w:color w:val="auto"/>
              </w:rPr>
            </w:pPr>
            <w:r>
              <w:rPr>
                <w:rFonts w:ascii="Arial" w:cs="Arial" w:eastAsia="Arial" w:hAnsi="Arial"/>
                <w:sz w:val="14"/>
                <w:szCs w:val="14"/>
                <w:color w:val="auto"/>
              </w:rPr>
              <w:t>[*CTR] A/P</w:t>
            </w:r>
          </w:p>
        </w:tc>
      </w:tr>
      <w:tr>
        <w:trPr>
          <w:trHeight w:val="149"/>
        </w:trPr>
        <w:tc>
          <w:tcPr>
            <w:tcW w:w="20" w:type="dxa"/>
            <w:vAlign w:val="bottom"/>
          </w:tcPr>
          <w:p>
            <w:pPr>
              <w:spacing w:after="0"/>
              <w:rPr>
                <w:sz w:val="12"/>
                <w:szCs w:val="12"/>
                <w:color w:val="auto"/>
              </w:rPr>
            </w:pPr>
          </w:p>
        </w:tc>
        <w:tc>
          <w:tcPr>
            <w:tcW w:w="4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Option</w:t>
            </w: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Price</w:t>
            </w:r>
          </w:p>
        </w:tc>
      </w:tr>
      <w:tr>
        <w:trPr>
          <w:trHeight w:val="181"/>
        </w:trPr>
        <w:tc>
          <w:tcPr>
            <w:tcW w:w="20" w:type="dxa"/>
            <w:vAlign w:val="bottom"/>
          </w:tcPr>
          <w:p>
            <w:pPr>
              <w:spacing w:after="0"/>
              <w:rPr>
                <w:sz w:val="15"/>
                <w:szCs w:val="15"/>
                <w:color w:val="auto"/>
              </w:rPr>
            </w:pPr>
          </w:p>
        </w:tc>
        <w:tc>
          <w:tcPr>
            <w:tcW w:w="40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Number</w:t>
            </w:r>
          </w:p>
        </w:tc>
        <w:tc>
          <w:tcPr>
            <w:tcW w:w="37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Description</w:t>
            </w:r>
          </w:p>
        </w:tc>
        <w:tc>
          <w:tcPr>
            <w:tcW w:w="366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Per A/C</w:t>
            </w:r>
          </w:p>
        </w:tc>
      </w:tr>
      <w:tr>
        <w:trPr>
          <w:trHeight w:val="195"/>
        </w:trPr>
        <w:tc>
          <w:tcPr>
            <w:tcW w:w="20" w:type="dxa"/>
            <w:vAlign w:val="bottom"/>
          </w:tcPr>
          <w:p>
            <w:pPr>
              <w:spacing w:after="0"/>
              <w:rPr>
                <w:sz w:val="16"/>
                <w:szCs w:val="16"/>
                <w:color w:val="auto"/>
              </w:rPr>
            </w:pPr>
          </w:p>
        </w:tc>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4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30"/>
        </w:trPr>
        <w:tc>
          <w:tcPr>
            <w:tcW w:w="20" w:type="dxa"/>
            <w:vAlign w:val="bottom"/>
          </w:tcPr>
          <w:p>
            <w:pPr>
              <w:spacing w:after="0"/>
              <w:rPr>
                <w:sz w:val="20"/>
                <w:szCs w:val="20"/>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350"/>
        </w:trPr>
        <w:tc>
          <w:tcPr>
            <w:tcW w:w="4020" w:type="dxa"/>
            <w:vAlign w:val="bottom"/>
            <w:gridSpan w:val="3"/>
          </w:tcPr>
          <w:p>
            <w:pPr>
              <w:spacing w:after="0"/>
              <w:rPr>
                <w:sz w:val="20"/>
                <w:szCs w:val="20"/>
                <w:color w:val="auto"/>
              </w:rPr>
            </w:pPr>
            <w:r>
              <w:rPr>
                <w:rFonts w:ascii="Arial" w:cs="Arial" w:eastAsia="Arial" w:hAnsi="Arial"/>
                <w:sz w:val="18"/>
                <w:szCs w:val="18"/>
                <w:color w:val="auto"/>
              </w:rPr>
              <w:t>PA 3219</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SA-7</w:t>
            </w:r>
          </w:p>
        </w:tc>
        <w:tc>
          <w:tcPr>
            <w:tcW w:w="3660" w:type="dxa"/>
            <w:vAlign w:val="bottom"/>
            <w:gridSpan w:val="2"/>
          </w:tcPr>
          <w:p>
            <w:pPr>
              <w:ind w:left="2080"/>
              <w:spacing w:after="0"/>
              <w:rPr>
                <w:sz w:val="20"/>
                <w:szCs w:val="20"/>
                <w:color w:val="auto"/>
              </w:rPr>
            </w:pPr>
            <w:r>
              <w:rPr>
                <w:rFonts w:ascii="Arial" w:cs="Arial" w:eastAsia="Arial" w:hAnsi="Arial"/>
                <w:sz w:val="18"/>
                <w:szCs w:val="18"/>
                <w:color w:val="auto"/>
                <w:w w:val="92"/>
              </w:rPr>
              <w:t>Exhibit A(R2),Page 4</w:t>
            </w: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BOEING PROPRIETARY</w:t>
            </w:r>
          </w:p>
        </w:tc>
        <w:tc>
          <w:tcPr>
            <w:tcW w:w="36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7" w:right="239" w:bottom="1440" w:gutter="0" w:footer="0" w:header="0"/>
        </w:sectPr>
      </w:pPr>
    </w:p>
    <w:bookmarkStart w:id="391" w:name="page392"/>
    <w:bookmarkEnd w:id="39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gridSpan w:val="2"/>
          </w:tcPr>
          <w:p>
            <w:pPr>
              <w:jc w:val="center"/>
              <w:ind w:right="40"/>
              <w:spacing w:after="0"/>
              <w:rPr>
                <w:sz w:val="20"/>
                <w:szCs w:val="20"/>
                <w:color w:val="auto"/>
              </w:rPr>
            </w:pPr>
            <w:r>
              <w:rPr>
                <w:rFonts w:ascii="Arial" w:cs="Arial" w:eastAsia="Arial" w:hAnsi="Arial"/>
                <w:sz w:val="14"/>
                <w:szCs w:val="14"/>
                <w:color w:val="auto"/>
              </w:rPr>
              <w:t>[*CTR] A/P</w:t>
            </w:r>
          </w:p>
        </w:tc>
      </w:tr>
      <w:tr>
        <w:trPr>
          <w:trHeight w:val="149"/>
        </w:trPr>
        <w:tc>
          <w:tcPr>
            <w:tcW w:w="20" w:type="dxa"/>
            <w:vAlign w:val="bottom"/>
          </w:tcPr>
          <w:p>
            <w:pPr>
              <w:spacing w:after="0"/>
              <w:rPr>
                <w:sz w:val="12"/>
                <w:szCs w:val="12"/>
                <w:color w:val="auto"/>
              </w:rPr>
            </w:pPr>
          </w:p>
        </w:tc>
        <w:tc>
          <w:tcPr>
            <w:tcW w:w="4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Option</w:t>
            </w: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Price</w:t>
            </w:r>
          </w:p>
        </w:tc>
      </w:tr>
      <w:tr>
        <w:trPr>
          <w:trHeight w:val="181"/>
        </w:trPr>
        <w:tc>
          <w:tcPr>
            <w:tcW w:w="20" w:type="dxa"/>
            <w:vAlign w:val="bottom"/>
          </w:tcPr>
          <w:p>
            <w:pPr>
              <w:spacing w:after="0"/>
              <w:rPr>
                <w:sz w:val="15"/>
                <w:szCs w:val="15"/>
                <w:color w:val="auto"/>
              </w:rPr>
            </w:pPr>
          </w:p>
        </w:tc>
        <w:tc>
          <w:tcPr>
            <w:tcW w:w="400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Number</w:t>
            </w:r>
          </w:p>
        </w:tc>
        <w:tc>
          <w:tcPr>
            <w:tcW w:w="37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Description</w:t>
            </w:r>
          </w:p>
        </w:tc>
        <w:tc>
          <w:tcPr>
            <w:tcW w:w="366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Per A/C</w:t>
            </w:r>
          </w:p>
        </w:tc>
      </w:tr>
      <w:tr>
        <w:trPr>
          <w:trHeight w:val="195"/>
        </w:trPr>
        <w:tc>
          <w:tcPr>
            <w:tcW w:w="20" w:type="dxa"/>
            <w:vAlign w:val="bottom"/>
          </w:tcPr>
          <w:p>
            <w:pPr>
              <w:spacing w:after="0"/>
              <w:rPr>
                <w:sz w:val="16"/>
                <w:szCs w:val="16"/>
                <w:color w:val="auto"/>
              </w:rPr>
            </w:pPr>
          </w:p>
        </w:tc>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4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120" w:type="dxa"/>
            <w:vAlign w:val="bottom"/>
          </w:tcPr>
          <w:p>
            <w:pPr>
              <w:spacing w:after="0"/>
              <w:rPr>
                <w:sz w:val="16"/>
                <w:szCs w:val="16"/>
                <w:color w:val="auto"/>
              </w:rPr>
            </w:pPr>
          </w:p>
        </w:tc>
        <w:tc>
          <w:tcPr>
            <w:tcW w:w="3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30"/>
        </w:trPr>
        <w:tc>
          <w:tcPr>
            <w:tcW w:w="20" w:type="dxa"/>
            <w:vAlign w:val="bottom"/>
          </w:tcPr>
          <w:p>
            <w:pPr>
              <w:spacing w:after="0"/>
              <w:rPr>
                <w:sz w:val="20"/>
                <w:szCs w:val="20"/>
                <w:color w:val="auto"/>
              </w:rPr>
            </w:pPr>
          </w:p>
        </w:tc>
        <w:tc>
          <w:tcPr>
            <w:tcW w:w="4000" w:type="dxa"/>
            <w:vAlign w:val="bottom"/>
            <w:gridSpan w:val="2"/>
          </w:tcPr>
          <w:p>
            <w:pPr>
              <w:jc w:val="center"/>
              <w:ind w:right="160"/>
              <w:spacing w:after="0"/>
              <w:rPr>
                <w:sz w:val="20"/>
                <w:szCs w:val="20"/>
                <w:color w:val="auto"/>
              </w:rPr>
            </w:pPr>
            <w:r>
              <w:rPr>
                <w:rFonts w:ascii="Arial" w:cs="Arial" w:eastAsia="Arial" w:hAnsi="Arial"/>
                <w:sz w:val="18"/>
                <w:szCs w:val="18"/>
                <w:color w:val="auto"/>
              </w:rPr>
              <w:t>[*CTR]</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rPr>
              <w:t>[*CTR]</w:t>
            </w:r>
          </w:p>
        </w:tc>
        <w:tc>
          <w:tcPr>
            <w:tcW w:w="36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350"/>
        </w:trPr>
        <w:tc>
          <w:tcPr>
            <w:tcW w:w="4020" w:type="dxa"/>
            <w:vAlign w:val="bottom"/>
            <w:gridSpan w:val="3"/>
          </w:tcPr>
          <w:p>
            <w:pPr>
              <w:spacing w:after="0"/>
              <w:rPr>
                <w:sz w:val="20"/>
                <w:szCs w:val="20"/>
                <w:color w:val="auto"/>
              </w:rPr>
            </w:pPr>
            <w:r>
              <w:rPr>
                <w:rFonts w:ascii="Arial" w:cs="Arial" w:eastAsia="Arial" w:hAnsi="Arial"/>
                <w:sz w:val="18"/>
                <w:szCs w:val="18"/>
                <w:color w:val="auto"/>
              </w:rPr>
              <w:t>PA 3219</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SA-7</w:t>
            </w:r>
          </w:p>
        </w:tc>
        <w:tc>
          <w:tcPr>
            <w:tcW w:w="3660" w:type="dxa"/>
            <w:vAlign w:val="bottom"/>
            <w:gridSpan w:val="2"/>
          </w:tcPr>
          <w:p>
            <w:pPr>
              <w:ind w:left="2080"/>
              <w:spacing w:after="0"/>
              <w:rPr>
                <w:sz w:val="20"/>
                <w:szCs w:val="20"/>
                <w:color w:val="auto"/>
              </w:rPr>
            </w:pPr>
            <w:r>
              <w:rPr>
                <w:rFonts w:ascii="Arial" w:cs="Arial" w:eastAsia="Arial" w:hAnsi="Arial"/>
                <w:sz w:val="18"/>
                <w:szCs w:val="18"/>
                <w:color w:val="auto"/>
                <w:w w:val="92"/>
              </w:rPr>
              <w:t>Exhibit A(R2),Page 5</w:t>
            </w: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BOEING PROPRIETARY</w:t>
            </w:r>
          </w:p>
        </w:tc>
        <w:tc>
          <w:tcPr>
            <w:tcW w:w="36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7" w:right="239"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2"/>
          </w:tcPr>
          <w:p>
            <w:pPr>
              <w:jc w:val="center"/>
              <w:ind w:right="40"/>
              <w:spacing w:after="0"/>
              <w:rPr>
                <w:sz w:val="20"/>
                <w:szCs w:val="20"/>
                <w:color w:val="auto"/>
              </w:rPr>
            </w:pPr>
            <w:r>
              <w:rPr>
                <w:rFonts w:ascii="Arial" w:cs="Arial" w:eastAsia="Arial" w:hAnsi="Arial"/>
                <w:sz w:val="14"/>
                <w:szCs w:val="14"/>
                <w:color w:val="auto"/>
              </w:rPr>
              <w:t>[*CTR] A/P</w:t>
            </w:r>
          </w:p>
        </w:tc>
      </w:tr>
      <w:tr>
        <w:trPr>
          <w:trHeight w:val="149"/>
        </w:trPr>
        <w:tc>
          <w:tcPr>
            <w:tcW w:w="20" w:type="dxa"/>
            <w:vAlign w:val="bottom"/>
          </w:tcPr>
          <w:p>
            <w:pPr>
              <w:spacing w:after="0"/>
              <w:rPr>
                <w:sz w:val="12"/>
                <w:szCs w:val="12"/>
                <w:color w:val="auto"/>
              </w:rPr>
            </w:pPr>
          </w:p>
        </w:tc>
        <w:tc>
          <w:tcPr>
            <w:tcW w:w="33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Option</w:t>
            </w:r>
          </w:p>
        </w:tc>
        <w:tc>
          <w:tcPr>
            <w:tcW w:w="5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Price</w:t>
            </w:r>
          </w:p>
        </w:tc>
      </w:tr>
      <w:tr>
        <w:trPr>
          <w:trHeight w:val="181"/>
        </w:trPr>
        <w:tc>
          <w:tcPr>
            <w:tcW w:w="20" w:type="dxa"/>
            <w:vAlign w:val="bottom"/>
          </w:tcPr>
          <w:p>
            <w:pPr>
              <w:spacing w:after="0"/>
              <w:rPr>
                <w:sz w:val="15"/>
                <w:szCs w:val="15"/>
                <w:color w:val="auto"/>
              </w:rPr>
            </w:pPr>
          </w:p>
        </w:tc>
        <w:tc>
          <w:tcPr>
            <w:tcW w:w="332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Number</w:t>
            </w:r>
          </w:p>
        </w:tc>
        <w:tc>
          <w:tcPr>
            <w:tcW w:w="524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Description</w:t>
            </w:r>
          </w:p>
        </w:tc>
        <w:tc>
          <w:tcPr>
            <w:tcW w:w="286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Per A/C</w:t>
            </w:r>
          </w:p>
        </w:tc>
      </w:tr>
      <w:tr>
        <w:trPr>
          <w:trHeight w:val="195"/>
        </w:trPr>
        <w:tc>
          <w:tcPr>
            <w:tcW w:w="20" w:type="dxa"/>
            <w:vAlign w:val="bottom"/>
          </w:tcPr>
          <w:p>
            <w:pPr>
              <w:spacing w:after="0"/>
              <w:rPr>
                <w:sz w:val="16"/>
                <w:szCs w:val="16"/>
                <w:color w:val="auto"/>
              </w:rPr>
            </w:pPr>
          </w:p>
        </w:tc>
        <w:tc>
          <w:tcPr>
            <w:tcW w:w="3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240" w:type="dxa"/>
            <w:vAlign w:val="bottom"/>
          </w:tcPr>
          <w:p>
            <w:pPr>
              <w:spacing w:after="0"/>
              <w:rPr>
                <w:sz w:val="16"/>
                <w:szCs w:val="16"/>
                <w:color w:val="auto"/>
              </w:rPr>
            </w:pPr>
          </w:p>
        </w:tc>
        <w:tc>
          <w:tcPr>
            <w:tcW w:w="50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22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[*CTR]</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524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28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33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524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28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16"/>
        </w:trPr>
        <w:tc>
          <w:tcPr>
            <w:tcW w:w="20" w:type="dxa"/>
            <w:vAlign w:val="bottom"/>
          </w:tcPr>
          <w:p>
            <w:pPr>
              <w:spacing w:after="0"/>
              <w:rPr>
                <w:sz w:val="18"/>
                <w:szCs w:val="18"/>
                <w:color w:val="auto"/>
              </w:rPr>
            </w:pPr>
          </w:p>
        </w:tc>
        <w:tc>
          <w:tcPr>
            <w:tcW w:w="33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524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28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30"/>
        </w:trPr>
        <w:tc>
          <w:tcPr>
            <w:tcW w:w="20" w:type="dxa"/>
            <w:vAlign w:val="bottom"/>
          </w:tcPr>
          <w:p>
            <w:pPr>
              <w:spacing w:after="0"/>
              <w:rPr>
                <w:sz w:val="20"/>
                <w:szCs w:val="20"/>
                <w:color w:val="auto"/>
              </w:rPr>
            </w:pPr>
          </w:p>
        </w:tc>
        <w:tc>
          <w:tcPr>
            <w:tcW w:w="33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524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28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310"/>
        </w:trPr>
        <w:tc>
          <w:tcPr>
            <w:tcW w:w="20" w:type="dxa"/>
            <w:vAlign w:val="bottom"/>
          </w:tcPr>
          <w:p>
            <w:pPr>
              <w:spacing w:after="0"/>
              <w:rPr>
                <w:sz w:val="24"/>
                <w:szCs w:val="24"/>
                <w:color w:val="auto"/>
              </w:rPr>
            </w:pPr>
          </w:p>
        </w:tc>
        <w:tc>
          <w:tcPr>
            <w:tcW w:w="33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OPTIONS: 143</w:t>
            </w:r>
          </w:p>
        </w:tc>
        <w:tc>
          <w:tcPr>
            <w:tcW w:w="524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TOTAL OPTIONS &amp; MASTER CHANGES SUBJECT TO</w:t>
            </w:r>
          </w:p>
        </w:tc>
        <w:tc>
          <w:tcPr>
            <w:tcW w:w="28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4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ESCALATION</w:t>
            </w: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33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5240" w:type="dxa"/>
            <w:vAlign w:val="bottom"/>
            <w:gridSpan w:val="2"/>
          </w:tcPr>
          <w:p>
            <w:pPr>
              <w:jc w:val="center"/>
              <w:ind w:right="240"/>
              <w:spacing w:after="0"/>
              <w:rPr>
                <w:sz w:val="20"/>
                <w:szCs w:val="20"/>
                <w:color w:val="auto"/>
              </w:rPr>
            </w:pPr>
            <w:r>
              <w:rPr>
                <w:rFonts w:ascii="Arial" w:cs="Arial" w:eastAsia="Arial" w:hAnsi="Arial"/>
                <w:sz w:val="18"/>
                <w:szCs w:val="18"/>
                <w:color w:val="auto"/>
              </w:rPr>
              <w:t>[*CTR]</w:t>
            </w:r>
          </w:p>
        </w:tc>
        <w:tc>
          <w:tcPr>
            <w:tcW w:w="2860" w:type="dxa"/>
            <w:vAlign w:val="bottom"/>
            <w:gridSpan w:val="2"/>
          </w:tcPr>
          <w:p>
            <w:pPr>
              <w:jc w:val="center"/>
              <w:ind w:right="20"/>
              <w:spacing w:after="0"/>
              <w:rPr>
                <w:sz w:val="20"/>
                <w:szCs w:val="20"/>
                <w:color w:val="auto"/>
              </w:rPr>
            </w:pPr>
            <w:r>
              <w:rPr>
                <w:rFonts w:ascii="Arial" w:cs="Arial" w:eastAsia="Arial" w:hAnsi="Arial"/>
                <w:sz w:val="18"/>
                <w:szCs w:val="18"/>
                <w:color w:val="auto"/>
              </w:rPr>
              <w:t>[*CTR]</w:t>
            </w:r>
          </w:p>
        </w:tc>
      </w:tr>
      <w:tr>
        <w:trPr>
          <w:trHeight w:val="350"/>
        </w:trPr>
        <w:tc>
          <w:tcPr>
            <w:tcW w:w="3340" w:type="dxa"/>
            <w:vAlign w:val="bottom"/>
            <w:gridSpan w:val="3"/>
          </w:tcPr>
          <w:p>
            <w:pPr>
              <w:spacing w:after="0"/>
              <w:rPr>
                <w:sz w:val="20"/>
                <w:szCs w:val="20"/>
                <w:color w:val="auto"/>
              </w:rPr>
            </w:pPr>
            <w:r>
              <w:rPr>
                <w:rFonts w:ascii="Arial" w:cs="Arial" w:eastAsia="Arial" w:hAnsi="Arial"/>
                <w:sz w:val="18"/>
                <w:szCs w:val="18"/>
                <w:color w:val="auto"/>
              </w:rPr>
              <w:t>PA 3219</w:t>
            </w:r>
          </w:p>
        </w:tc>
        <w:tc>
          <w:tcPr>
            <w:tcW w:w="52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SA-7</w:t>
            </w:r>
          </w:p>
        </w:tc>
        <w:tc>
          <w:tcPr>
            <w:tcW w:w="2860" w:type="dxa"/>
            <w:vAlign w:val="bottom"/>
            <w:gridSpan w:val="2"/>
          </w:tcPr>
          <w:p>
            <w:pPr>
              <w:ind w:left="1280"/>
              <w:spacing w:after="0"/>
              <w:rPr>
                <w:sz w:val="20"/>
                <w:szCs w:val="20"/>
                <w:color w:val="auto"/>
              </w:rPr>
            </w:pPr>
            <w:r>
              <w:rPr>
                <w:rFonts w:ascii="Arial" w:cs="Arial" w:eastAsia="Arial" w:hAnsi="Arial"/>
                <w:sz w:val="18"/>
                <w:szCs w:val="18"/>
                <w:color w:val="auto"/>
                <w:w w:val="92"/>
              </w:rPr>
              <w:t>Exhibit A(R2),Page 6</w:t>
            </w:r>
          </w:p>
        </w:tc>
      </w:tr>
      <w:tr>
        <w:trPr>
          <w:trHeight w:val="230"/>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BOEING PROPRIETARY</w:t>
            </w:r>
          </w:p>
        </w:tc>
        <w:tc>
          <w:tcPr>
            <w:tcW w:w="28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760"/>
        <w:spacing w:after="0" w:line="277"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420"/>
          </w:cols>
          <w:pgMar w:left="240" w:top="257" w:right="239"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b w:val="1"/>
          <w:bCs w:val="1"/>
          <w:color w:val="auto"/>
        </w:rPr>
        <w:t>Exhibit 10.4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Airbus A350 XWB Purchase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2,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AIRBUS S.A.S.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AMERICAN AIRLINES, INC.</w:t>
      </w:r>
    </w:p>
    <w:p>
      <w:pPr>
        <w:spacing w:after="0" w:line="225" w:lineRule="exact"/>
        <w:rPr>
          <w:sz w:val="20"/>
          <w:szCs w:val="20"/>
          <w:color w:val="auto"/>
        </w:rPr>
      </w:pPr>
    </w:p>
    <w:p>
      <w:pPr>
        <w:ind w:right="120" w:firstLine="571"/>
        <w:spacing w:after="0" w:line="297" w:lineRule="auto"/>
        <w:rPr>
          <w:sz w:val="20"/>
          <w:szCs w:val="20"/>
          <w:color w:val="auto"/>
        </w:rPr>
      </w:pPr>
      <w:r>
        <w:rPr>
          <w:rFonts w:ascii="Arial" w:cs="Arial" w:eastAsia="Arial" w:hAnsi="Arial"/>
          <w:sz w:val="16"/>
          <w:szCs w:val="16"/>
          <w:color w:val="auto"/>
        </w:rPr>
        <w:t>This Amendment No. 8 to the Amended and Restated Airbus A350 XWB Purchase Agreement between Airbus S.A.S. and American Airlines, Inc. (this “</w:t>
      </w: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is entered into as of July 18, 2016 by and between Airbus S.A.S., a </w:t>
      </w:r>
      <w:r>
        <w:rPr>
          <w:rFonts w:ascii="Arial" w:cs="Arial" w:eastAsia="Arial" w:hAnsi="Arial"/>
          <w:sz w:val="16"/>
          <w:szCs w:val="16"/>
          <w:i w:val="1"/>
          <w:iCs w:val="1"/>
          <w:color w:val="auto"/>
        </w:rPr>
        <w:t>société par actions simplifiée,</w:t>
      </w:r>
      <w:r>
        <w:rPr>
          <w:rFonts w:ascii="Arial" w:cs="Arial" w:eastAsia="Arial" w:hAnsi="Arial"/>
          <w:sz w:val="16"/>
          <w:szCs w:val="16"/>
          <w:color w:val="auto"/>
        </w:rPr>
        <w:t xml:space="preserve"> organized and existing under the laws of the Republic of France, having its registered office located at 1, rond-point Maurice Bellonte, 31700 Blagnac, France (the “</w:t>
      </w:r>
      <w:r>
        <w:rPr>
          <w:rFonts w:ascii="Arial" w:cs="Arial" w:eastAsia="Arial" w:hAnsi="Arial"/>
          <w:sz w:val="16"/>
          <w:szCs w:val="16"/>
          <w:u w:val="single" w:color="auto"/>
          <w:color w:val="auto"/>
        </w:rPr>
        <w:t>Seller</w:t>
      </w:r>
      <w:r>
        <w:rPr>
          <w:rFonts w:ascii="Arial" w:cs="Arial" w:eastAsia="Arial" w:hAnsi="Arial"/>
          <w:sz w:val="16"/>
          <w:szCs w:val="16"/>
          <w:color w:val="auto"/>
        </w:rPr>
        <w:t>”), and American Airlines, Inc., a corporation organized and existing under the laws of the State of Delaware, United States of America, having its principal corporate offices located at 4333 Amon Carter Boulevard, Fort Worth, Texas 76155, U.S.A., as successor by merger to US Airways, Inc. (the “</w:t>
      </w:r>
      <w:r>
        <w:rPr>
          <w:rFonts w:ascii="Arial" w:cs="Arial" w:eastAsia="Arial" w:hAnsi="Arial"/>
          <w:sz w:val="16"/>
          <w:szCs w:val="16"/>
          <w:u w:val="single" w:color="auto"/>
          <w:color w:val="auto"/>
        </w:rPr>
        <w:t>Buyer</w:t>
      </w:r>
      <w:r>
        <w:rPr>
          <w:rFonts w:ascii="Arial" w:cs="Arial" w:eastAsia="Arial" w:hAnsi="Arial"/>
          <w:sz w:val="16"/>
          <w:szCs w:val="16"/>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240" w:firstLine="571"/>
        <w:spacing w:after="0" w:line="264" w:lineRule="auto"/>
        <w:rPr>
          <w:sz w:val="20"/>
          <w:szCs w:val="20"/>
          <w:color w:val="auto"/>
        </w:rPr>
      </w:pPr>
      <w:r>
        <w:rPr>
          <w:rFonts w:ascii="Arial" w:cs="Arial" w:eastAsia="Arial" w:hAnsi="Arial"/>
          <w:sz w:val="18"/>
          <w:szCs w:val="18"/>
          <w:color w:val="auto"/>
        </w:rPr>
        <w:t>WHEREAS, the Buyer and the Seller entered into an Amended and Restated Airbus A350 XWB Purchase Agreement, dated as of October 2, 2007 (together with all Exhibits, Appendices and Letter Agreements attached thereto and as amended, modified or supplemented from time to time, hereinafter called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1" w:lineRule="exact"/>
        <w:rPr>
          <w:sz w:val="20"/>
          <w:szCs w:val="20"/>
          <w:color w:val="auto"/>
        </w:rPr>
      </w:pPr>
    </w:p>
    <w:p>
      <w:pPr>
        <w:ind w:right="180" w:firstLine="571"/>
        <w:spacing w:after="0" w:line="264" w:lineRule="auto"/>
        <w:rPr>
          <w:sz w:val="20"/>
          <w:szCs w:val="20"/>
          <w:color w:val="auto"/>
        </w:rPr>
      </w:pPr>
      <w:r>
        <w:rPr>
          <w:rFonts w:ascii="Arial" w:cs="Arial" w:eastAsia="Arial" w:hAnsi="Arial"/>
          <w:sz w:val="18"/>
          <w:szCs w:val="18"/>
          <w:color w:val="auto"/>
        </w:rPr>
        <w:t>WHEREAS, the Buyer and the Seller entered into an Airbus A320 Family Aircraft Purchase Agreement, dated as of July 20, 2011 (together with all Exhibits, Appendices and Letter Agreements attached thereto and as amended, modified or supplemented from time to time, hereinafter called the “</w:t>
      </w:r>
      <w:r>
        <w:rPr>
          <w:rFonts w:ascii="Arial" w:cs="Arial" w:eastAsia="Arial" w:hAnsi="Arial"/>
          <w:sz w:val="18"/>
          <w:szCs w:val="18"/>
          <w:u w:val="single" w:color="auto"/>
          <w:color w:val="auto"/>
        </w:rPr>
        <w:t>Airbus</w:t>
      </w:r>
      <w:r>
        <w:rPr>
          <w:rFonts w:ascii="Arial" w:cs="Arial" w:eastAsia="Arial" w:hAnsi="Arial"/>
          <w:sz w:val="18"/>
          <w:szCs w:val="18"/>
          <w:color w:val="auto"/>
        </w:rPr>
        <w:t xml:space="preserve"> </w:t>
      </w:r>
      <w:r>
        <w:rPr>
          <w:rFonts w:ascii="Arial" w:cs="Arial" w:eastAsia="Arial" w:hAnsi="Arial"/>
          <w:sz w:val="18"/>
          <w:szCs w:val="18"/>
          <w:u w:val="single" w:color="auto"/>
          <w:color w:val="auto"/>
        </w:rPr>
        <w:t>A320 Agreement</w:t>
      </w:r>
      <w:r>
        <w:rPr>
          <w:rFonts w:ascii="Arial" w:cs="Arial" w:eastAsia="Arial" w:hAnsi="Arial"/>
          <w:sz w:val="18"/>
          <w:szCs w:val="18"/>
          <w:color w:val="auto"/>
        </w:rPr>
        <w:t>”);</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WHEREAS, the Buyer and the Seller have agreed to amend the Scheduled Delivery Months applicable to the Aircraft as set forth herein; and</w:t>
      </w:r>
    </w:p>
    <w:p>
      <w:pPr>
        <w:spacing w:after="0" w:line="23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WHEREAS, the Buyer and the Seller have agreed to amend certain additional terms of the Agreement as set forth herein.</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NOW, THEREFORE, IT IS AGREED AS FOLLOWS:</w:t>
      </w:r>
    </w:p>
    <w:p>
      <w:pPr>
        <w:spacing w:after="0" w:line="225" w:lineRule="exact"/>
        <w:rPr>
          <w:sz w:val="20"/>
          <w:szCs w:val="20"/>
          <w:color w:val="auto"/>
        </w:rPr>
      </w:pPr>
    </w:p>
    <w:p>
      <w:pPr>
        <w:ind w:right="300" w:firstLine="571"/>
        <w:spacing w:after="0" w:line="277" w:lineRule="auto"/>
        <w:rPr>
          <w:sz w:val="20"/>
          <w:szCs w:val="20"/>
          <w:color w:val="auto"/>
        </w:rPr>
      </w:pPr>
      <w:r>
        <w:rPr>
          <w:rFonts w:ascii="Arial" w:cs="Arial" w:eastAsia="Arial" w:hAnsi="Arial"/>
          <w:sz w:val="18"/>
          <w:szCs w:val="18"/>
          <w:color w:val="auto"/>
        </w:rPr>
        <w:t>Capitalized terms used herein and not otherwise defined in this Amendment will have the meanings assigned to them in the Agreement. The terms “herein,” “hereof,” and “hereunder” and words of similar import refer to this Amendment.</w:t>
      </w:r>
    </w:p>
    <w:p>
      <w:pPr>
        <w:sectPr>
          <w:pgSz w:w="11900" w:h="16838" w:orient="portrait"/>
          <w:cols w:equalWidth="0" w:num="1">
            <w:col w:w="11420"/>
          </w:cols>
          <w:pgMar w:left="240" w:top="121" w:right="239" w:bottom="1440" w:gutter="0" w:footer="0" w:header="0"/>
        </w:sectPr>
      </w:pPr>
    </w:p>
    <w:bookmarkStart w:id="394" w:name="page395"/>
    <w:bookmarkEnd w:id="394"/>
    <w:p>
      <w:pPr>
        <w:ind w:left="580" w:hanging="572"/>
        <w:spacing w:after="0"/>
        <w:tabs>
          <w:tab w:leader="none" w:pos="58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w:t>
      </w:r>
    </w:p>
    <w:p>
      <w:pPr>
        <w:spacing w:after="0" w:line="135" w:lineRule="exact"/>
        <w:rPr>
          <w:sz w:val="20"/>
          <w:szCs w:val="20"/>
          <w:color w:val="auto"/>
        </w:rPr>
      </w:pPr>
    </w:p>
    <w:p>
      <w:pPr>
        <w:ind w:left="580" w:right="400" w:hanging="566"/>
        <w:spacing w:after="0" w:line="277" w:lineRule="auto"/>
        <w:tabs>
          <w:tab w:leader="none" w:pos="5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Seller and the Buyer agree to reschedule the Scheduled Delivery Month of each of the twenty (20) Aircraft identified in Clause 9.1.1 of the Agreement with CAC ID Numbers [*CTR]</w:t>
      </w:r>
    </w:p>
    <w:p>
      <w:pPr>
        <w:spacing w:after="0" w:line="7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Clause 9.1.1 of the Agreement is hereby deleted and restated to read in its entirety as follows: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ind w:left="580" w:right="560"/>
        <w:spacing w:after="0" w:line="277" w:lineRule="auto"/>
        <w:rPr>
          <w:sz w:val="20"/>
          <w:szCs w:val="20"/>
          <w:color w:val="auto"/>
        </w:rPr>
      </w:pPr>
      <w:r>
        <w:rPr>
          <w:rFonts w:ascii="Arial" w:cs="Arial" w:eastAsia="Arial" w:hAnsi="Arial"/>
          <w:sz w:val="18"/>
          <w:szCs w:val="18"/>
          <w:color w:val="auto"/>
        </w:rPr>
        <w:t>9.1.1 Subject to any delay contemplated by Clauses 2, 7, 8, 10, 11.2, 18 or 21.2 of this Agreement, the Seller will have the Aircraft Ready for Delivery at the Delivery Location within the following months (each, a “</w:t>
      </w:r>
      <w:r>
        <w:rPr>
          <w:rFonts w:ascii="Arial" w:cs="Arial" w:eastAsia="Arial" w:hAnsi="Arial"/>
          <w:sz w:val="18"/>
          <w:szCs w:val="18"/>
          <w:u w:val="single" w:color="auto"/>
          <w:color w:val="auto"/>
        </w:rPr>
        <w:t>Scheduled Delivery Month</w:t>
      </w:r>
      <w:r>
        <w:rPr>
          <w:rFonts w:ascii="Arial" w:cs="Arial" w:eastAsia="Arial" w:hAnsi="Arial"/>
          <w:sz w:val="18"/>
          <w:szCs w:val="18"/>
          <w:color w:val="auto"/>
        </w:rPr>
        <w:t>”).</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color w:val="auto"/>
                <w:w w:val="94"/>
              </w:rPr>
              <w:t>Year</w:t>
            </w:r>
          </w:p>
        </w:tc>
        <w:tc>
          <w:tcPr>
            <w:tcW w:w="1880" w:type="dxa"/>
            <w:vAlign w:val="bottom"/>
            <w:vMerge w:val="restart"/>
          </w:tcPr>
          <w:p>
            <w:pPr>
              <w:spacing w:after="0"/>
              <w:rPr>
                <w:sz w:val="14"/>
                <w:szCs w:val="14"/>
                <w:color w:val="auto"/>
              </w:rPr>
            </w:pPr>
          </w:p>
        </w:tc>
        <w:tc>
          <w:tcPr>
            <w:tcW w:w="1580" w:type="dxa"/>
            <w:vAlign w:val="bottom"/>
          </w:tcPr>
          <w:p>
            <w:pPr>
              <w:spacing w:after="0"/>
              <w:rPr>
                <w:sz w:val="14"/>
                <w:szCs w:val="14"/>
                <w:color w:val="auto"/>
              </w:rPr>
            </w:pPr>
          </w:p>
        </w:tc>
        <w:tc>
          <w:tcPr>
            <w:tcW w:w="1220" w:type="dxa"/>
            <w:vAlign w:val="bottom"/>
            <w:gridSpan w:val="2"/>
          </w:tcPr>
          <w:p>
            <w:pPr>
              <w:spacing w:after="0"/>
              <w:rPr>
                <w:sz w:val="20"/>
                <w:szCs w:val="20"/>
                <w:color w:val="auto"/>
              </w:rPr>
            </w:pPr>
            <w:r>
              <w:rPr>
                <w:rFonts w:ascii="Arial" w:cs="Arial" w:eastAsia="Arial" w:hAnsi="Arial"/>
                <w:sz w:val="14"/>
                <w:szCs w:val="14"/>
                <w:color w:val="auto"/>
              </w:rPr>
              <w:t>Original CAC</w:t>
            </w:r>
          </w:p>
        </w:tc>
        <w:tc>
          <w:tcPr>
            <w:tcW w:w="800" w:type="dxa"/>
            <w:vAlign w:val="bottom"/>
          </w:tcPr>
          <w:p>
            <w:pPr>
              <w:spacing w:after="0"/>
              <w:rPr>
                <w:sz w:val="20"/>
                <w:szCs w:val="20"/>
                <w:color w:val="auto"/>
              </w:rPr>
            </w:pPr>
            <w:r>
              <w:rPr>
                <w:rFonts w:ascii="Arial" w:cs="Arial" w:eastAsia="Arial" w:hAnsi="Arial"/>
                <w:sz w:val="14"/>
                <w:szCs w:val="14"/>
                <w:color w:val="auto"/>
                <w:w w:val="98"/>
              </w:rPr>
              <w:t>New CAC ID</w:t>
            </w:r>
          </w:p>
        </w:tc>
        <w:tc>
          <w:tcPr>
            <w:tcW w:w="380" w:type="dxa"/>
            <w:vAlign w:val="bottom"/>
          </w:tcPr>
          <w:p>
            <w:pPr>
              <w:spacing w:after="0"/>
              <w:rPr>
                <w:sz w:val="14"/>
                <w:szCs w:val="14"/>
                <w:color w:val="auto"/>
              </w:rPr>
            </w:pPr>
          </w:p>
        </w:tc>
        <w:tc>
          <w:tcPr>
            <w:tcW w:w="3400" w:type="dxa"/>
            <w:vAlign w:val="bottom"/>
            <w:gridSpan w:val="2"/>
            <w:vMerge w:val="restart"/>
          </w:tcPr>
          <w:p>
            <w:pPr>
              <w:ind w:left="1280"/>
              <w:spacing w:after="0"/>
              <w:rPr>
                <w:sz w:val="20"/>
                <w:szCs w:val="20"/>
                <w:color w:val="auto"/>
              </w:rPr>
            </w:pPr>
            <w:r>
              <w:rPr>
                <w:rFonts w:ascii="Arial" w:cs="Arial" w:eastAsia="Arial" w:hAnsi="Arial"/>
                <w:sz w:val="14"/>
                <w:szCs w:val="14"/>
                <w:color w:val="auto"/>
              </w:rPr>
              <w:t>Aircraft</w:t>
            </w:r>
          </w:p>
        </w:tc>
        <w:tc>
          <w:tcPr>
            <w:tcW w:w="940" w:type="dxa"/>
            <w:vAlign w:val="bottom"/>
          </w:tcPr>
          <w:p>
            <w:pPr>
              <w:ind w:left="180"/>
              <w:spacing w:after="0"/>
              <w:rPr>
                <w:sz w:val="20"/>
                <w:szCs w:val="20"/>
                <w:color w:val="auto"/>
              </w:rPr>
            </w:pPr>
            <w:r>
              <w:rPr>
                <w:rFonts w:ascii="Arial" w:cs="Arial" w:eastAsia="Arial" w:hAnsi="Arial"/>
                <w:sz w:val="14"/>
                <w:szCs w:val="14"/>
                <w:color w:val="auto"/>
              </w:rPr>
              <w:t>Scheduled</w:t>
            </w:r>
          </w:p>
        </w:tc>
        <w:tc>
          <w:tcPr>
            <w:tcW w:w="0" w:type="dxa"/>
            <w:vAlign w:val="bottom"/>
          </w:tcPr>
          <w:p>
            <w:pPr>
              <w:spacing w:after="0"/>
              <w:rPr>
                <w:sz w:val="1"/>
                <w:szCs w:val="1"/>
                <w:color w:val="auto"/>
              </w:rPr>
            </w:pPr>
          </w:p>
        </w:tc>
      </w:tr>
      <w:tr>
        <w:trPr>
          <w:trHeight w:val="174"/>
        </w:trPr>
        <w:tc>
          <w:tcPr>
            <w:tcW w:w="300" w:type="dxa"/>
            <w:vAlign w:val="bottom"/>
            <w:tcBorders>
              <w:bottom w:val="single" w:sz="8" w:color="auto"/>
            </w:tcBorders>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220" w:type="dxa"/>
            <w:vAlign w:val="bottom"/>
            <w:gridSpan w:val="2"/>
          </w:tcPr>
          <w:p>
            <w:pPr>
              <w:ind w:left="80"/>
              <w:spacing w:after="0" w:line="154" w:lineRule="exact"/>
              <w:rPr>
                <w:sz w:val="20"/>
                <w:szCs w:val="20"/>
                <w:color w:val="auto"/>
              </w:rPr>
            </w:pPr>
            <w:r>
              <w:rPr>
                <w:rFonts w:ascii="Arial" w:cs="Arial" w:eastAsia="Arial" w:hAnsi="Arial"/>
                <w:sz w:val="14"/>
                <w:szCs w:val="14"/>
                <w:color w:val="auto"/>
              </w:rPr>
              <w:t>ID Number</w:t>
            </w:r>
          </w:p>
        </w:tc>
        <w:tc>
          <w:tcPr>
            <w:tcW w:w="800" w:type="dxa"/>
            <w:vAlign w:val="bottom"/>
          </w:tcPr>
          <w:p>
            <w:pPr>
              <w:ind w:left="160"/>
              <w:spacing w:after="0" w:line="154" w:lineRule="exact"/>
              <w:rPr>
                <w:sz w:val="20"/>
                <w:szCs w:val="20"/>
                <w:color w:val="auto"/>
              </w:rPr>
            </w:pPr>
            <w:r>
              <w:rPr>
                <w:rFonts w:ascii="Arial" w:cs="Arial" w:eastAsia="Arial" w:hAnsi="Arial"/>
                <w:sz w:val="14"/>
                <w:szCs w:val="14"/>
                <w:color w:val="auto"/>
              </w:rPr>
              <w:t>Number</w:t>
            </w:r>
          </w:p>
        </w:tc>
        <w:tc>
          <w:tcPr>
            <w:tcW w:w="380" w:type="dxa"/>
            <w:vAlign w:val="bottom"/>
          </w:tcPr>
          <w:p>
            <w:pPr>
              <w:spacing w:after="0"/>
              <w:rPr>
                <w:sz w:val="15"/>
                <w:szCs w:val="15"/>
                <w:color w:val="auto"/>
              </w:rPr>
            </w:pPr>
          </w:p>
        </w:tc>
        <w:tc>
          <w:tcPr>
            <w:tcW w:w="3400" w:type="dxa"/>
            <w:vAlign w:val="bottom"/>
            <w:gridSpan w:val="2"/>
            <w:vMerge w:val="continue"/>
          </w:tcPr>
          <w:p>
            <w:pPr>
              <w:spacing w:after="0"/>
              <w:rPr>
                <w:sz w:val="15"/>
                <w:szCs w:val="15"/>
                <w:color w:val="auto"/>
              </w:rPr>
            </w:pPr>
          </w:p>
        </w:tc>
        <w:tc>
          <w:tcPr>
            <w:tcW w:w="940" w:type="dxa"/>
            <w:vAlign w:val="bottom"/>
          </w:tcPr>
          <w:p>
            <w:pPr>
              <w:ind w:left="20"/>
              <w:spacing w:after="0" w:line="154" w:lineRule="exact"/>
              <w:rPr>
                <w:sz w:val="20"/>
                <w:szCs w:val="20"/>
                <w:color w:val="auto"/>
              </w:rPr>
            </w:pPr>
            <w:r>
              <w:rPr>
                <w:rFonts w:ascii="Arial" w:cs="Arial" w:eastAsia="Arial" w:hAnsi="Arial"/>
                <w:sz w:val="14"/>
                <w:szCs w:val="14"/>
                <w:color w:val="auto"/>
                <w:w w:val="96"/>
              </w:rPr>
              <w:t>Delivery Month</w:t>
            </w:r>
          </w:p>
        </w:tc>
        <w:tc>
          <w:tcPr>
            <w:tcW w:w="0" w:type="dxa"/>
            <w:vAlign w:val="bottom"/>
          </w:tcPr>
          <w:p>
            <w:pPr>
              <w:spacing w:after="0"/>
              <w:rPr>
                <w:sz w:val="1"/>
                <w:szCs w:val="1"/>
                <w:color w:val="auto"/>
              </w:rPr>
            </w:pPr>
          </w:p>
        </w:tc>
      </w:tr>
      <w:tr>
        <w:trPr>
          <w:trHeight w:val="185"/>
        </w:trPr>
        <w:tc>
          <w:tcPr>
            <w:tcW w:w="2180" w:type="dxa"/>
            <w:vAlign w:val="bottom"/>
            <w:tcBorders>
              <w:top w:val="single" w:sz="8" w:color="CCEEFF"/>
            </w:tcBorders>
            <w:gridSpan w:val="2"/>
            <w:shd w:val="clear" w:color="auto" w:fill="CCEEFF"/>
          </w:tcPr>
          <w:p>
            <w:pPr>
              <w:spacing w:after="0" w:line="185" w:lineRule="exact"/>
              <w:rPr>
                <w:sz w:val="20"/>
                <w:szCs w:val="20"/>
                <w:color w:val="auto"/>
              </w:rPr>
            </w:pPr>
            <w:r>
              <w:rPr>
                <w:rFonts w:ascii="Arial" w:cs="Arial" w:eastAsia="Arial" w:hAnsi="Arial"/>
                <w:sz w:val="18"/>
                <w:szCs w:val="18"/>
                <w:color w:val="auto"/>
              </w:rPr>
              <w:t>2018</w:t>
            </w:r>
          </w:p>
        </w:tc>
        <w:tc>
          <w:tcPr>
            <w:tcW w:w="15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4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80" w:type="dxa"/>
            <w:vAlign w:val="bottom"/>
            <w:tcBorders>
              <w:top w:val="single" w:sz="8" w:color="CCEEFF"/>
            </w:tcBorders>
            <w:shd w:val="clear" w:color="auto" w:fill="CCEEFF"/>
          </w:tcPr>
          <w:p>
            <w:pPr>
              <w:spacing w:after="0"/>
              <w:rPr>
                <w:sz w:val="16"/>
                <w:szCs w:val="16"/>
                <w:color w:val="auto"/>
              </w:rPr>
            </w:pPr>
          </w:p>
        </w:tc>
        <w:tc>
          <w:tcPr>
            <w:tcW w:w="3020" w:type="dxa"/>
            <w:vAlign w:val="bottom"/>
            <w:tcBorders>
              <w:top w:val="single" w:sz="8" w:color="auto"/>
            </w:tcBorders>
            <w:shd w:val="clear" w:color="auto" w:fill="CCEEFF"/>
          </w:tcPr>
          <w:p>
            <w:pPr>
              <w:spacing w:after="0" w:line="185" w:lineRule="exact"/>
              <w:rPr>
                <w:sz w:val="20"/>
                <w:szCs w:val="20"/>
                <w:color w:val="auto"/>
              </w:rPr>
            </w:pPr>
            <w:r>
              <w:rPr>
                <w:rFonts w:ascii="Arial" w:cs="Arial" w:eastAsia="Arial" w:hAnsi="Arial"/>
                <w:sz w:val="18"/>
                <w:szCs w:val="18"/>
                <w:color w:val="auto"/>
              </w:rPr>
              <w:t>A350-900 XWB Aircraft</w:t>
            </w:r>
          </w:p>
        </w:tc>
        <w:tc>
          <w:tcPr>
            <w:tcW w:w="3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line="185"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30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2800" w:type="dxa"/>
            <w:vAlign w:val="bottom"/>
            <w:gridSpan w:val="3"/>
            <w:shd w:val="clear" w:color="auto" w:fill="CCEEFF"/>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8"/>
        </w:trPr>
        <w:tc>
          <w:tcPr>
            <w:tcW w:w="2180" w:type="dxa"/>
            <w:vAlign w:val="bottom"/>
            <w:gridSpan w:val="2"/>
          </w:tcPr>
          <w:p>
            <w:pPr>
              <w:spacing w:after="0" w:line="198" w:lineRule="exact"/>
              <w:rPr>
                <w:sz w:val="20"/>
                <w:szCs w:val="20"/>
                <w:color w:val="auto"/>
              </w:rPr>
            </w:pPr>
            <w:r>
              <w:rPr>
                <w:rFonts w:ascii="Arial" w:cs="Arial" w:eastAsia="Arial" w:hAnsi="Arial"/>
                <w:sz w:val="18"/>
                <w:szCs w:val="18"/>
                <w:color w:val="auto"/>
              </w:rPr>
              <w:t>2019</w:t>
            </w:r>
          </w:p>
        </w:tc>
        <w:tc>
          <w:tcPr>
            <w:tcW w:w="2800" w:type="dxa"/>
            <w:vAlign w:val="bottom"/>
            <w:gridSpan w:val="3"/>
          </w:tcPr>
          <w:p>
            <w:pPr>
              <w:ind w:left="1580"/>
              <w:spacing w:after="0" w:line="198"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tcPr>
          <w:p>
            <w:pPr>
              <w:spacing w:after="0" w:line="198"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tcPr>
          <w:p>
            <w:pPr>
              <w:ind w:left="380"/>
              <w:spacing w:after="0" w:line="198" w:lineRule="exact"/>
              <w:rPr>
                <w:sz w:val="20"/>
                <w:szCs w:val="20"/>
                <w:color w:val="auto"/>
              </w:rPr>
            </w:pPr>
            <w:r>
              <w:rPr>
                <w:rFonts w:ascii="Arial" w:cs="Arial" w:eastAsia="Arial" w:hAnsi="Arial"/>
                <w:sz w:val="18"/>
                <w:szCs w:val="18"/>
                <w:color w:val="auto"/>
              </w:rPr>
              <w:t>A350-900 XWB Aircraft</w:t>
            </w:r>
          </w:p>
        </w:tc>
        <w:tc>
          <w:tcPr>
            <w:tcW w:w="940" w:type="dxa"/>
            <w:vAlign w:val="bottom"/>
          </w:tcPr>
          <w:p>
            <w:pPr>
              <w:spacing w:after="0" w:line="198"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0" w:type="dxa"/>
            <w:vAlign w:val="bottom"/>
            <w:gridSpan w:val="3"/>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0" w:type="dxa"/>
            <w:vAlign w:val="bottom"/>
            <w:gridSpan w:val="3"/>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0" w:type="dxa"/>
            <w:vAlign w:val="bottom"/>
            <w:gridSpan w:val="3"/>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0" w:type="dxa"/>
            <w:vAlign w:val="bottom"/>
            <w:gridSpan w:val="3"/>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1"/>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w:t>
            </w:r>
          </w:p>
        </w:tc>
        <w:tc>
          <w:tcPr>
            <w:tcW w:w="2800" w:type="dxa"/>
            <w:vAlign w:val="bottom"/>
            <w:gridSpan w:val="3"/>
            <w:shd w:val="clear" w:color="auto" w:fill="CCEEFF"/>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30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2800" w:type="dxa"/>
            <w:vAlign w:val="bottom"/>
            <w:gridSpan w:val="3"/>
            <w:shd w:val="clear" w:color="auto" w:fill="CCEEFF"/>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8"/>
        </w:trPr>
        <w:tc>
          <w:tcPr>
            <w:tcW w:w="2180" w:type="dxa"/>
            <w:vAlign w:val="bottom"/>
            <w:gridSpan w:val="2"/>
          </w:tcPr>
          <w:p>
            <w:pPr>
              <w:spacing w:after="0" w:line="198" w:lineRule="exact"/>
              <w:rPr>
                <w:sz w:val="20"/>
                <w:szCs w:val="20"/>
                <w:color w:val="auto"/>
              </w:rPr>
            </w:pPr>
            <w:r>
              <w:rPr>
                <w:rFonts w:ascii="Arial" w:cs="Arial" w:eastAsia="Arial" w:hAnsi="Arial"/>
                <w:sz w:val="18"/>
                <w:szCs w:val="18"/>
                <w:color w:val="auto"/>
              </w:rPr>
              <w:t>2021</w:t>
            </w:r>
          </w:p>
        </w:tc>
        <w:tc>
          <w:tcPr>
            <w:tcW w:w="2800" w:type="dxa"/>
            <w:vAlign w:val="bottom"/>
            <w:gridSpan w:val="3"/>
          </w:tcPr>
          <w:p>
            <w:pPr>
              <w:ind w:left="1580"/>
              <w:spacing w:after="0" w:line="198"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tcPr>
          <w:p>
            <w:pPr>
              <w:spacing w:after="0" w:line="198"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tcPr>
          <w:p>
            <w:pPr>
              <w:ind w:left="380"/>
              <w:spacing w:after="0" w:line="198" w:lineRule="exact"/>
              <w:rPr>
                <w:sz w:val="20"/>
                <w:szCs w:val="20"/>
                <w:color w:val="auto"/>
              </w:rPr>
            </w:pPr>
            <w:r>
              <w:rPr>
                <w:rFonts w:ascii="Arial" w:cs="Arial" w:eastAsia="Arial" w:hAnsi="Arial"/>
                <w:sz w:val="18"/>
                <w:szCs w:val="18"/>
                <w:color w:val="auto"/>
              </w:rPr>
              <w:t>A350-900 XWB Aircraft</w:t>
            </w:r>
          </w:p>
        </w:tc>
        <w:tc>
          <w:tcPr>
            <w:tcW w:w="940" w:type="dxa"/>
            <w:vAlign w:val="bottom"/>
          </w:tcPr>
          <w:p>
            <w:pPr>
              <w:spacing w:after="0" w:line="198"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0" w:type="dxa"/>
            <w:vAlign w:val="bottom"/>
            <w:gridSpan w:val="3"/>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0" w:type="dxa"/>
            <w:vAlign w:val="bottom"/>
            <w:gridSpan w:val="3"/>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0" w:type="dxa"/>
            <w:vAlign w:val="bottom"/>
            <w:gridSpan w:val="3"/>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800" w:type="dxa"/>
            <w:vAlign w:val="bottom"/>
            <w:gridSpan w:val="3"/>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1"/>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2022</w:t>
            </w:r>
          </w:p>
        </w:tc>
        <w:tc>
          <w:tcPr>
            <w:tcW w:w="2800" w:type="dxa"/>
            <w:vAlign w:val="bottom"/>
            <w:gridSpan w:val="3"/>
            <w:shd w:val="clear" w:color="auto" w:fill="CCEEFF"/>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30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2800" w:type="dxa"/>
            <w:vAlign w:val="bottom"/>
            <w:gridSpan w:val="3"/>
            <w:shd w:val="clear" w:color="auto" w:fill="CCEEFF"/>
          </w:tcPr>
          <w:p>
            <w:pPr>
              <w:ind w:left="1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378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A350-900 XWB Aircraft</w:t>
            </w: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*CTR</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0" w:type="dxa"/>
            <w:vAlign w:val="bottom"/>
            <w:gridSpan w:val="2"/>
          </w:tcPr>
          <w:p>
            <w:pPr>
              <w:ind w:left="1580"/>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UNQUOTE</w:t>
      </w:r>
    </w:p>
    <w:p>
      <w:pPr>
        <w:spacing w:after="0" w:line="131" w:lineRule="exact"/>
        <w:rPr>
          <w:sz w:val="20"/>
          <w:szCs w:val="20"/>
          <w:color w:val="auto"/>
        </w:rPr>
      </w:pPr>
    </w:p>
    <w:p>
      <w:pPr>
        <w:ind w:left="580" w:hanging="566"/>
        <w:spacing w:after="0" w:line="277" w:lineRule="auto"/>
        <w:tabs>
          <w:tab w:leader="none" w:pos="56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Appendix B to the Amended and Restated Letter Agreement No. 12 to the Agreement dated as of December 20, 2013 is hereby deleted in its entirety and replaced with the Appendix B attached hereto as Exhibit 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AA – Amendment No. 8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Airbus A350 XWB Purchase Agreement</w:t>
      </w:r>
    </w:p>
    <w:p>
      <w:pPr>
        <w:spacing w:after="0" w:line="9" w:lineRule="exact"/>
        <w:rPr>
          <w:sz w:val="20"/>
          <w:szCs w:val="20"/>
          <w:color w:val="auto"/>
        </w:rPr>
      </w:pPr>
    </w:p>
    <w:p>
      <w:pPr>
        <w:ind w:left="9800"/>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9"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300"/>
          </w:cols>
          <w:pgMar w:left="240" w:top="270" w:right="359" w:bottom="1440" w:gutter="0" w:footer="0" w:header="0"/>
        </w:sectPr>
      </w:pPr>
    </w:p>
    <w:bookmarkStart w:id="395" w:name="page396"/>
    <w:bookmarkEnd w:id="395"/>
    <w:p>
      <w:pPr>
        <w:ind w:left="580" w:right="8480" w:hanging="572"/>
        <w:spacing w:after="0" w:line="407" w:lineRule="auto"/>
        <w:tabs>
          <w:tab w:leader="none" w:pos="577"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PREDELIVERY PAYMENTS </w:t>
      </w:r>
      <w:r>
        <w:rPr>
          <w:rFonts w:ascii="Arial" w:cs="Arial" w:eastAsia="Arial" w:hAnsi="Arial"/>
          <w:sz w:val="18"/>
          <w:szCs w:val="18"/>
          <w:color w:val="auto"/>
        </w:rPr>
        <w:t>[*CTR]</w:t>
      </w:r>
    </w:p>
    <w:p>
      <w:pPr>
        <w:spacing w:after="0" w:line="202" w:lineRule="exact"/>
        <w:rPr>
          <w:rFonts w:ascii="Arial" w:cs="Arial" w:eastAsia="Arial" w:hAnsi="Arial"/>
          <w:sz w:val="18"/>
          <w:szCs w:val="18"/>
          <w:b w:val="1"/>
          <w:bCs w:val="1"/>
          <w:color w:val="auto"/>
        </w:rPr>
      </w:pPr>
    </w:p>
    <w:p>
      <w:pPr>
        <w:ind w:left="580" w:hanging="572"/>
        <w:spacing w:after="0"/>
        <w:tabs>
          <w:tab w:leader="none" w:pos="580"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ESCALATION CAP</w:t>
      </w:r>
    </w:p>
    <w:p>
      <w:pPr>
        <w:spacing w:after="0" w:line="13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Paragraph 2.1 of Third Amended and Restated Letter Agreement No. 5 is hereby deleted in its entirety and restated to read as follows: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UNQUOTE</w:t>
      </w:r>
    </w:p>
    <w:p>
      <w:pPr>
        <w:spacing w:after="0" w:line="37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Paragraph 2.4 of Third Amended and Restated Letter Agreement No. 5 is hereby deleted in its entirety and restated to read as follows: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QUOTE</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[*CTR]</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UNQUOTE</w:t>
      </w:r>
    </w:p>
    <w:p>
      <w:pPr>
        <w:spacing w:after="0" w:line="370" w:lineRule="exact"/>
        <w:rPr>
          <w:sz w:val="20"/>
          <w:szCs w:val="20"/>
          <w:color w:val="auto"/>
        </w:rPr>
      </w:pPr>
    </w:p>
    <w:p>
      <w:pPr>
        <w:ind w:left="580" w:hanging="572"/>
        <w:spacing w:after="0"/>
        <w:tabs>
          <w:tab w:leader="none" w:pos="58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SCN PREDELIVERY PAYMENT</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6"/>
          <w:szCs w:val="16"/>
          <w:color w:val="auto"/>
        </w:rPr>
        <w:t>Clause 5.2.5 of the Agreement is hereby amended by adding the following quoted text immediately after the word “request” in the first sentence:</w:t>
      </w:r>
    </w:p>
    <w:p>
      <w:pPr>
        <w:spacing w:after="0" w:line="140"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QUOTE</w:t>
      </w:r>
    </w:p>
    <w:p>
      <w:pPr>
        <w:spacing w:after="0" w:line="11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(with reasonable notice provided to the Buyer)</w:t>
      </w:r>
    </w:p>
    <w:p>
      <w:pPr>
        <w:spacing w:after="0" w:line="117"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UNQUOTE</w:t>
      </w:r>
    </w:p>
    <w:p>
      <w:pPr>
        <w:spacing w:after="0" w:line="369" w:lineRule="exact"/>
        <w:rPr>
          <w:rFonts w:ascii="Arial" w:cs="Arial" w:eastAsia="Arial" w:hAnsi="Arial"/>
          <w:sz w:val="18"/>
          <w:szCs w:val="18"/>
          <w:b w:val="1"/>
          <w:bCs w:val="1"/>
          <w:color w:val="auto"/>
        </w:rPr>
      </w:pPr>
    </w:p>
    <w:p>
      <w:pPr>
        <w:ind w:left="580" w:hanging="572"/>
        <w:spacing w:after="0"/>
        <w:tabs>
          <w:tab w:leader="none" w:pos="58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 OF AMENDMENT</w:t>
      </w:r>
    </w:p>
    <w:p>
      <w:pPr>
        <w:spacing w:after="0" w:line="135" w:lineRule="exact"/>
        <w:rPr>
          <w:sz w:val="20"/>
          <w:szCs w:val="20"/>
          <w:color w:val="auto"/>
        </w:rPr>
      </w:pPr>
    </w:p>
    <w:p>
      <w:pPr>
        <w:ind w:left="580" w:hanging="566"/>
        <w:spacing w:after="0" w:line="255" w:lineRule="auto"/>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Upon execution, this Amendment will constitute a valid amendment to the Agreement and the Agreement will be deemed to be amended to the extent herein provided and, except as specifically amended hereby, will continue in full force and effect in accordance with its original terms. This Amendment supersedes any previous understandings, commitments or representations whatsoever, whether oral or written, related to the subject matter of this Amendment, including, but not limited to, the provisions of that certain letter agreement, dated July 8, 2016, between the Buyer and the Seller (it being acknowledged and agreed by the parties that, upon execution of this Amendment and without further act, such letter agreement is void and has no force or effect whatsoever).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AA – Amendment No. 8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Airbus A350 XWB Purchase Agreement</w:t>
      </w:r>
    </w:p>
    <w:p>
      <w:pPr>
        <w:spacing w:after="0" w:line="9" w:lineRule="exact"/>
        <w:rPr>
          <w:sz w:val="20"/>
          <w:szCs w:val="20"/>
          <w:color w:val="auto"/>
        </w:rPr>
      </w:pPr>
    </w:p>
    <w:p>
      <w:pPr>
        <w:ind w:left="9800"/>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9"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380"/>
          </w:cols>
          <w:pgMar w:left="240" w:top="270" w:right="279" w:bottom="1440" w:gutter="0" w:footer="0" w:header="0"/>
        </w:sectPr>
      </w:pPr>
    </w:p>
    <w:bookmarkStart w:id="396" w:name="page397"/>
    <w:bookmarkEnd w:id="396"/>
    <w:p>
      <w:pPr>
        <w:ind w:left="580" w:hanging="566"/>
        <w:spacing w:after="0" w:line="286" w:lineRule="auto"/>
        <w:tabs>
          <w:tab w:leader="none" w:pos="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5.2</w:t>
      </w:r>
      <w:r>
        <w:rPr>
          <w:sz w:val="20"/>
          <w:szCs w:val="20"/>
          <w:color w:val="auto"/>
        </w:rPr>
        <w:tab/>
      </w:r>
      <w:r>
        <w:rPr>
          <w:rFonts w:ascii="Arial" w:cs="Arial" w:eastAsia="Arial" w:hAnsi="Arial"/>
          <w:sz w:val="17"/>
          <w:szCs w:val="17"/>
          <w:color w:val="auto"/>
        </w:rPr>
        <w:t>Both parties agree that this Amendment will constitute an integral, nonseverable part of the Agreement, that the provisions of the Agreement are hereby incorporated herein by reference, and that this Amendment will be governed by the provisions of the Agreement, except that if the Agreement and this Amendment have specific provisions that are inconsistent, the specific provisions contained in this Amendment will govern.</w:t>
      </w:r>
    </w:p>
    <w:p>
      <w:pPr>
        <w:spacing w:after="0" w:line="310" w:lineRule="exact"/>
        <w:rPr>
          <w:sz w:val="20"/>
          <w:szCs w:val="20"/>
          <w:color w:val="auto"/>
        </w:rPr>
      </w:pPr>
    </w:p>
    <w:p>
      <w:pPr>
        <w:ind w:left="580" w:hanging="572"/>
        <w:spacing w:after="0"/>
        <w:tabs>
          <w:tab w:leader="none" w:pos="58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This Amendment is subject to the confidentiality provisions set forth in Clause 22.7 of the Agreement.</w:t>
      </w:r>
    </w:p>
    <w:p>
      <w:pPr>
        <w:spacing w:after="0" w:line="369" w:lineRule="exact"/>
        <w:rPr>
          <w:rFonts w:ascii="Arial" w:cs="Arial" w:eastAsia="Arial" w:hAnsi="Arial"/>
          <w:sz w:val="18"/>
          <w:szCs w:val="18"/>
          <w:b w:val="1"/>
          <w:bCs w:val="1"/>
          <w:color w:val="auto"/>
        </w:rPr>
      </w:pPr>
    </w:p>
    <w:p>
      <w:pPr>
        <w:ind w:left="580" w:hanging="572"/>
        <w:spacing w:after="0"/>
        <w:tabs>
          <w:tab w:leader="none" w:pos="58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21"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The governing law shall be as set forth in Clause 22.4 of the Agreement.</w:t>
      </w:r>
    </w:p>
    <w:p>
      <w:pPr>
        <w:spacing w:after="0" w:line="369" w:lineRule="exact"/>
        <w:rPr>
          <w:rFonts w:ascii="Arial" w:cs="Arial" w:eastAsia="Arial" w:hAnsi="Arial"/>
          <w:sz w:val="18"/>
          <w:szCs w:val="18"/>
          <w:b w:val="1"/>
          <w:bCs w:val="1"/>
          <w:color w:val="auto"/>
        </w:rPr>
      </w:pPr>
    </w:p>
    <w:p>
      <w:pPr>
        <w:ind w:left="580" w:hanging="572"/>
        <w:spacing w:after="0"/>
        <w:tabs>
          <w:tab w:leader="none" w:pos="58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p>
    <w:p>
      <w:pPr>
        <w:spacing w:after="0" w:line="121" w:lineRule="exact"/>
        <w:rPr>
          <w:rFonts w:ascii="Arial" w:cs="Arial" w:eastAsia="Arial" w:hAnsi="Arial"/>
          <w:sz w:val="18"/>
          <w:szCs w:val="18"/>
          <w:b w:val="1"/>
          <w:bCs w:val="1"/>
          <w:color w:val="auto"/>
        </w:rPr>
      </w:pPr>
    </w:p>
    <w:p>
      <w:pPr>
        <w:ind w:left="580" w:right="5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Amendment may be signed in any number of separate counterparts. Each counterpart, when signed and delivered (including counterparts delivered by facsimile transmission), will be an original, and the counterparts will together constitute one and the same instrument.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AA – Amendment No. 8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Airbus A350 XWB Purchase Agreement</w:t>
      </w:r>
    </w:p>
    <w:p>
      <w:pPr>
        <w:spacing w:after="0" w:line="9" w:lineRule="exact"/>
        <w:rPr>
          <w:sz w:val="20"/>
          <w:szCs w:val="20"/>
          <w:color w:val="auto"/>
        </w:rPr>
      </w:pPr>
    </w:p>
    <w:p>
      <w:pPr>
        <w:ind w:left="9800"/>
        <w:spacing w:after="0"/>
        <w:rPr>
          <w:sz w:val="20"/>
          <w:szCs w:val="20"/>
          <w:color w:val="auto"/>
        </w:rPr>
      </w:pPr>
      <w:r>
        <w:rPr>
          <w:rFonts w:ascii="Arial" w:cs="Arial" w:eastAsia="Arial" w:hAnsi="Arial"/>
          <w:sz w:val="18"/>
          <w:szCs w:val="18"/>
          <w:i w:val="1"/>
          <w:iCs w:val="1"/>
          <w:color w:val="auto"/>
        </w:rPr>
        <w:t>CONFIDENTIAL</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274" w:right="319" w:bottom="1440" w:gutter="0" w:footer="0" w:header="0"/>
        </w:sectPr>
      </w:pPr>
    </w:p>
    <w:bookmarkStart w:id="397" w:name="page398"/>
    <w:bookmarkEnd w:id="397"/>
    <w:p>
      <w:pPr>
        <w:ind w:left="840" w:righ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foregoing correctly sets forth your understanding, please execute the original and one (1) copy hereof in the space provided below and return a copy to the Seller.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ind w:left="840"/>
              <w:spacing w:after="0"/>
              <w:rPr>
                <w:sz w:val="20"/>
                <w:szCs w:val="20"/>
                <w:color w:val="auto"/>
              </w:rPr>
            </w:pPr>
            <w:r>
              <w:rPr>
                <w:rFonts w:ascii="Arial" w:cs="Arial" w:eastAsia="Arial" w:hAnsi="Arial"/>
                <w:sz w:val="18"/>
                <w:szCs w:val="18"/>
                <w:color w:val="auto"/>
              </w:rPr>
              <w:t>AMERICAN AIRLINES, INC.</w:t>
            </w:r>
          </w:p>
        </w:tc>
        <w:tc>
          <w:tcPr>
            <w:tcW w:w="5380" w:type="dxa"/>
            <w:vAlign w:val="bottom"/>
            <w:gridSpan w:val="2"/>
          </w:tcPr>
          <w:p>
            <w:pPr>
              <w:ind w:left="940"/>
              <w:spacing w:after="0"/>
              <w:rPr>
                <w:sz w:val="20"/>
                <w:szCs w:val="20"/>
                <w:color w:val="auto"/>
              </w:rPr>
            </w:pPr>
            <w:r>
              <w:rPr>
                <w:rFonts w:ascii="Arial" w:cs="Arial" w:eastAsia="Arial" w:hAnsi="Arial"/>
                <w:sz w:val="18"/>
                <w:szCs w:val="18"/>
                <w:color w:val="auto"/>
              </w:rPr>
              <w:t>AIRBUS S.A.S.</w:t>
            </w:r>
          </w:p>
        </w:tc>
      </w:tr>
      <w:tr>
        <w:trPr>
          <w:trHeight w:val="432"/>
        </w:trPr>
        <w:tc>
          <w:tcPr>
            <w:tcW w:w="5360" w:type="dxa"/>
            <w:vAlign w:val="bottom"/>
            <w:gridSpan w:val="2"/>
          </w:tcPr>
          <w:p>
            <w:pPr>
              <w:ind w:left="840"/>
              <w:spacing w:after="0"/>
              <w:rPr>
                <w:sz w:val="20"/>
                <w:szCs w:val="20"/>
                <w:color w:val="auto"/>
              </w:rPr>
            </w:pPr>
            <w:r>
              <w:rPr>
                <w:rFonts w:ascii="Arial" w:cs="Arial" w:eastAsia="Arial" w:hAnsi="Arial"/>
                <w:sz w:val="18"/>
                <w:szCs w:val="18"/>
                <w:color w:val="auto"/>
              </w:rPr>
              <w:t>By: /s/ Thomas T. Weir</w:t>
            </w:r>
          </w:p>
        </w:tc>
        <w:tc>
          <w:tcPr>
            <w:tcW w:w="5380" w:type="dxa"/>
            <w:vAlign w:val="bottom"/>
            <w:gridSpan w:val="2"/>
          </w:tcPr>
          <w:p>
            <w:pPr>
              <w:ind w:left="940"/>
              <w:spacing w:after="0"/>
              <w:rPr>
                <w:sz w:val="20"/>
                <w:szCs w:val="20"/>
                <w:color w:val="auto"/>
              </w:rPr>
            </w:pPr>
            <w:r>
              <w:rPr>
                <w:rFonts w:ascii="Arial" w:cs="Arial" w:eastAsia="Arial" w:hAnsi="Arial"/>
                <w:sz w:val="18"/>
                <w:szCs w:val="18"/>
                <w:color w:val="auto"/>
              </w:rPr>
              <w:t>By: /s/ Christophe Mourey</w:t>
            </w:r>
          </w:p>
        </w:tc>
      </w:tr>
      <w:tr>
        <w:trPr>
          <w:trHeight w:val="20"/>
        </w:trPr>
        <w:tc>
          <w:tcPr>
            <w:tcW w:w="120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r>
        <w:trPr>
          <w:trHeight w:val="439"/>
        </w:trPr>
        <w:tc>
          <w:tcPr>
            <w:tcW w:w="5360" w:type="dxa"/>
            <w:vAlign w:val="bottom"/>
            <w:gridSpan w:val="2"/>
          </w:tcPr>
          <w:p>
            <w:pPr>
              <w:ind w:left="840"/>
              <w:spacing w:after="0"/>
              <w:rPr>
                <w:sz w:val="20"/>
                <w:szCs w:val="20"/>
                <w:color w:val="auto"/>
              </w:rPr>
            </w:pPr>
            <w:r>
              <w:rPr>
                <w:rFonts w:ascii="Arial" w:cs="Arial" w:eastAsia="Arial" w:hAnsi="Arial"/>
                <w:sz w:val="18"/>
                <w:szCs w:val="18"/>
                <w:color w:val="auto"/>
              </w:rPr>
              <w:t>Its:  Vice President and Treasurer</w:t>
            </w:r>
          </w:p>
        </w:tc>
        <w:tc>
          <w:tcPr>
            <w:tcW w:w="5380" w:type="dxa"/>
            <w:vAlign w:val="bottom"/>
            <w:gridSpan w:val="2"/>
          </w:tcPr>
          <w:p>
            <w:pPr>
              <w:ind w:left="940"/>
              <w:spacing w:after="0"/>
              <w:rPr>
                <w:sz w:val="20"/>
                <w:szCs w:val="20"/>
                <w:color w:val="auto"/>
              </w:rPr>
            </w:pPr>
            <w:r>
              <w:rPr>
                <w:rFonts w:ascii="Arial" w:cs="Arial" w:eastAsia="Arial" w:hAnsi="Arial"/>
                <w:sz w:val="18"/>
                <w:szCs w:val="18"/>
                <w:color w:val="auto"/>
              </w:rPr>
              <w:t>Its:  Senior Vice President Contracts</w:t>
            </w:r>
          </w:p>
        </w:tc>
      </w:tr>
      <w:tr>
        <w:trPr>
          <w:trHeight w:val="20"/>
        </w:trPr>
        <w:tc>
          <w:tcPr>
            <w:tcW w:w="1200" w:type="dxa"/>
            <w:vAlign w:val="bottom"/>
          </w:tcPr>
          <w:p>
            <w:pPr>
              <w:spacing w:after="0" w:line="20" w:lineRule="exact"/>
              <w:rPr>
                <w:sz w:val="1"/>
                <w:szCs w:val="1"/>
                <w:color w:val="auto"/>
              </w:rPr>
            </w:pPr>
          </w:p>
        </w:tc>
        <w:tc>
          <w:tcPr>
            <w:tcW w:w="41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r>
      <w:tr>
        <w:trPr>
          <w:trHeight w:val="357"/>
        </w:trPr>
        <w:tc>
          <w:tcPr>
            <w:tcW w:w="5360" w:type="dxa"/>
            <w:vAlign w:val="bottom"/>
            <w:gridSpan w:val="2"/>
          </w:tcPr>
          <w:p>
            <w:pPr>
              <w:spacing w:after="0"/>
              <w:rPr>
                <w:sz w:val="20"/>
                <w:szCs w:val="20"/>
                <w:color w:val="auto"/>
              </w:rPr>
            </w:pPr>
            <w:r>
              <w:rPr>
                <w:rFonts w:ascii="Arial" w:cs="Arial" w:eastAsia="Arial" w:hAnsi="Arial"/>
                <w:sz w:val="18"/>
                <w:szCs w:val="18"/>
                <w:color w:val="auto"/>
              </w:rPr>
              <w:t>AA – Amendment No. 8 to</w:t>
            </w:r>
          </w:p>
        </w:tc>
        <w:tc>
          <w:tcPr>
            <w:tcW w:w="13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Amended and Restated Airbus A350 XWB Purchase Agreement</w:t>
            </w:r>
          </w:p>
        </w:tc>
        <w:tc>
          <w:tcPr>
            <w:tcW w:w="1300" w:type="dxa"/>
            <w:vAlign w:val="bottom"/>
          </w:tcPr>
          <w:p>
            <w:pPr>
              <w:spacing w:after="0"/>
              <w:rPr>
                <w:sz w:val="20"/>
                <w:szCs w:val="20"/>
                <w:color w:val="auto"/>
              </w:rPr>
            </w:pPr>
          </w:p>
        </w:tc>
        <w:tc>
          <w:tcPr>
            <w:tcW w:w="4080" w:type="dxa"/>
            <w:vAlign w:val="bottom"/>
          </w:tcPr>
          <w:p>
            <w:pPr>
              <w:spacing w:after="0"/>
              <w:rPr>
                <w:sz w:val="20"/>
                <w:szCs w:val="20"/>
                <w:color w:val="auto"/>
              </w:rPr>
            </w:pPr>
          </w:p>
        </w:tc>
      </w:tr>
    </w:tbl>
    <w:p>
      <w:pPr>
        <w:jc w:val="right"/>
        <w:spacing w:after="0"/>
        <w:rPr>
          <w:sz w:val="20"/>
          <w:szCs w:val="20"/>
          <w:color w:val="auto"/>
        </w:rPr>
      </w:pPr>
      <w:r>
        <w:rPr>
          <w:rFonts w:ascii="Arial" w:cs="Arial" w:eastAsia="Arial" w:hAnsi="Arial"/>
          <w:sz w:val="18"/>
          <w:szCs w:val="18"/>
          <w:i w:val="1"/>
          <w:iCs w:val="1"/>
          <w:color w:val="auto"/>
        </w:rPr>
        <w:t>CONFIDENTIAL</w:t>
      </w:r>
    </w:p>
    <w:p>
      <w:pPr>
        <w:sectPr>
          <w:pgSz w:w="11900" w:h="16838" w:orient="portrait"/>
          <w:cols w:equalWidth="0" w:num="1">
            <w:col w:w="11060"/>
          </w:cols>
          <w:pgMar w:left="240" w:top="273" w:right="599" w:bottom="1440" w:gutter="0" w:footer="0" w:header="0"/>
        </w:sectPr>
      </w:pPr>
    </w:p>
    <w:bookmarkStart w:id="398" w:name="page399"/>
    <w:bookmarkEnd w:id="398"/>
    <w:p>
      <w:pPr>
        <w:jc w:val="center"/>
        <w:ind w:right="-3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 TO</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8"/>
          <w:szCs w:val="18"/>
          <w:u w:val="single" w:color="auto"/>
          <w:color w:val="auto"/>
        </w:rPr>
        <w:t>THE AMENDED AND RESTATED LETTER AGREEMENT NO. 12</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Planning for the delivery of the A350-900/Trent XWB 84,000 lb aircraft:</w:t>
      </w:r>
    </w:p>
    <w:p>
      <w:pPr>
        <w:spacing w:after="0" w:line="248" w:lineRule="exact"/>
        <w:rPr>
          <w:sz w:val="20"/>
          <w:szCs w:val="20"/>
          <w:color w:val="auto"/>
        </w:rPr>
      </w:pPr>
    </w:p>
    <w:tbl>
      <w:tblPr>
        <w:tblLayout w:type="fixed"/>
        <w:tblInd w:w="2120" w:type="dxa"/>
        <w:tblCellMar>
          <w:top w:w="0" w:type="dxa"/>
          <w:left w:w="0" w:type="dxa"/>
          <w:bottom w:w="0" w:type="dxa"/>
          <w:right w:w="0" w:type="dxa"/>
        </w:tblCellMar>
      </w:tblPr>
      <w:tr>
        <w:trPr>
          <w:trHeight w:val="17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Scheduled Delivery Quarter</w:t>
            </w:r>
          </w:p>
        </w:tc>
        <w:tc>
          <w:tcPr>
            <w:tcW w:w="292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Year</w:t>
            </w:r>
          </w:p>
        </w:tc>
        <w:tc>
          <w:tcPr>
            <w:tcW w:w="216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Quantity</w:t>
            </w:r>
          </w:p>
        </w:tc>
      </w:tr>
      <w:tr>
        <w:trPr>
          <w:trHeight w:val="29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24"/>
                <w:szCs w:val="24"/>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16"/>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18"/>
                <w:szCs w:val="18"/>
                <w:color w:val="auto"/>
              </w:rPr>
            </w:pPr>
          </w:p>
        </w:tc>
        <w:tc>
          <w:tcPr>
            <w:tcW w:w="2780" w:type="dxa"/>
            <w:vAlign w:val="bottom"/>
            <w:gridSpan w:val="2"/>
          </w:tcPr>
          <w:p>
            <w:pPr>
              <w:jc w:val="center"/>
              <w:ind w:right="2180"/>
              <w:spacing w:after="0"/>
              <w:rPr>
                <w:sz w:val="20"/>
                <w:szCs w:val="20"/>
                <w:color w:val="auto"/>
              </w:rPr>
            </w:pPr>
            <w:r>
              <w:rPr>
                <w:rFonts w:ascii="Arial" w:cs="Arial" w:eastAsia="Arial" w:hAnsi="Arial"/>
                <w:sz w:val="18"/>
                <w:szCs w:val="18"/>
                <w:color w:val="auto"/>
              </w:rPr>
              <w:t>[*CTR]</w:t>
            </w: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r>
        <w:trPr>
          <w:trHeight w:val="230"/>
        </w:trPr>
        <w:tc>
          <w:tcPr>
            <w:tcW w:w="1620" w:type="dxa"/>
            <w:vAlign w:val="bottom"/>
          </w:tcPr>
          <w:p>
            <w:pPr>
              <w:jc w:val="center"/>
              <w:spacing w:after="0"/>
              <w:rPr>
                <w:sz w:val="20"/>
                <w:szCs w:val="20"/>
                <w:color w:val="auto"/>
              </w:rPr>
            </w:pPr>
            <w:r>
              <w:rPr>
                <w:rFonts w:ascii="Arial" w:cs="Arial" w:eastAsia="Arial" w:hAnsi="Arial"/>
                <w:sz w:val="18"/>
                <w:szCs w:val="18"/>
                <w:color w:val="auto"/>
              </w:rPr>
              <w:t>[*CTR]</w:t>
            </w:r>
          </w:p>
        </w:tc>
        <w:tc>
          <w:tcPr>
            <w:tcW w:w="2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rPr>
              <w:t>[*CTR]</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AA – Amendment No. 8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Airbus A350 XWB Purchase Agreement</w:t>
      </w:r>
    </w:p>
    <w:p>
      <w:pPr>
        <w:spacing w:after="0" w:line="9" w:lineRule="exact"/>
        <w:rPr>
          <w:sz w:val="20"/>
          <w:szCs w:val="20"/>
          <w:color w:val="auto"/>
        </w:rPr>
      </w:pPr>
    </w:p>
    <w:p>
      <w:pPr>
        <w:ind w:left="9800"/>
        <w:spacing w:after="0"/>
        <w:rPr>
          <w:sz w:val="20"/>
          <w:szCs w:val="20"/>
          <w:color w:val="auto"/>
        </w:rPr>
      </w:pPr>
      <w:r>
        <w:rPr>
          <w:rFonts w:ascii="Arial" w:cs="Arial" w:eastAsia="Arial" w:hAnsi="Arial"/>
          <w:sz w:val="17"/>
          <w:szCs w:val="17"/>
          <w:i w:val="1"/>
          <w:iCs w:val="1"/>
          <w:color w:val="auto"/>
        </w:rPr>
        <w:t>CONFIDENTIAL</w:t>
      </w:r>
    </w:p>
    <w:p>
      <w:pPr>
        <w:spacing w:after="0" w:line="34"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[*CTR]=[CONFIDENTIAL PORTION OMITTED AND FILED SEPARATELY WITH THE COMMISSION PURSUANT TO A REQUEST FOR CONFIDENTIAL TREATMENT]</w:t>
      </w:r>
    </w:p>
    <w:p>
      <w:pPr>
        <w:sectPr>
          <w:pgSz w:w="11900" w:h="16838" w:orient="portrait"/>
          <w:cols w:equalWidth="0" w:num="1">
            <w:col w:w="11060"/>
          </w:cols>
          <w:pgMar w:left="240" w:top="273" w:right="599" w:bottom="1440" w:gutter="0" w:footer="0" w:header="0"/>
        </w:sectPr>
      </w:pPr>
    </w:p>
    <w:bookmarkStart w:id="399" w:name="page400"/>
    <w:bookmarkEnd w:id="399"/>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40" w:type="dxa"/>
            <w:vAlign w:val="bottom"/>
          </w:tcPr>
          <w:p>
            <w:pPr>
              <w:jc w:val="center"/>
              <w:ind w:left="1150"/>
              <w:spacing w:after="0"/>
              <w:rPr>
                <w:sz w:val="20"/>
                <w:szCs w:val="20"/>
                <w:color w:val="auto"/>
              </w:rPr>
            </w:pPr>
            <w:r>
              <w:rPr>
                <w:rFonts w:ascii="Arial" w:cs="Arial" w:eastAsia="Arial" w:hAnsi="Arial"/>
                <w:sz w:val="18"/>
                <w:szCs w:val="18"/>
                <w:b w:val="1"/>
                <w:bCs w:val="1"/>
                <w:color w:val="auto"/>
                <w:w w:val="92"/>
              </w:rPr>
              <w:t>American Airlines Group Inc.</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4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Computation of Ratio of Earnings to Fixed Charges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140" w:type="dxa"/>
            <w:vAlign w:val="bottom"/>
          </w:tcPr>
          <w:p>
            <w:pPr>
              <w:jc w:val="center"/>
              <w:ind w:left="1150"/>
              <w:spacing w:after="0"/>
              <w:rPr>
                <w:sz w:val="20"/>
                <w:szCs w:val="20"/>
                <w:color w:val="auto"/>
              </w:rPr>
            </w:pPr>
            <w:r>
              <w:rPr>
                <w:rFonts w:ascii="Arial" w:cs="Arial" w:eastAsia="Arial" w:hAnsi="Arial"/>
                <w:sz w:val="18"/>
                <w:szCs w:val="18"/>
                <w:b w:val="1"/>
                <w:bCs w:val="1"/>
                <w:color w:val="auto"/>
                <w:w w:val="93"/>
              </w:rPr>
              <w:t>(In millions)</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101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Nine Months Ended</w:t>
            </w:r>
          </w:p>
        </w:tc>
      </w:tr>
      <w:tr>
        <w:trPr>
          <w:trHeight w:val="167"/>
        </w:trPr>
        <w:tc>
          <w:tcPr>
            <w:tcW w:w="20" w:type="dxa"/>
            <w:vAlign w:val="bottom"/>
          </w:tcPr>
          <w:p>
            <w:pPr>
              <w:spacing w:after="0"/>
              <w:rPr>
                <w:sz w:val="14"/>
                <w:szCs w:val="14"/>
                <w:color w:val="auto"/>
              </w:rPr>
            </w:pPr>
          </w:p>
        </w:tc>
        <w:tc>
          <w:tcPr>
            <w:tcW w:w="101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w w:val="97"/>
              </w:rPr>
              <w:t>September 30, 2016</w:t>
            </w:r>
          </w:p>
        </w:tc>
      </w:tr>
      <w:tr>
        <w:trPr>
          <w:trHeight w:val="210"/>
        </w:trPr>
        <w:tc>
          <w:tcPr>
            <w:tcW w:w="20" w:type="dxa"/>
            <w:vAlign w:val="bottom"/>
          </w:tcPr>
          <w:p>
            <w:pPr>
              <w:spacing w:after="0"/>
              <w:rPr>
                <w:sz w:val="18"/>
                <w:szCs w:val="18"/>
                <w:color w:val="auto"/>
              </w:rPr>
            </w:pPr>
          </w:p>
        </w:tc>
        <w:tc>
          <w:tcPr>
            <w:tcW w:w="10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Add: Total fixed charges (per below)</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Interest capitalized</w:t>
            </w: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700"/>
              <w:spacing w:after="0"/>
              <w:rPr>
                <w:sz w:val="20"/>
                <w:szCs w:val="20"/>
                <w:color w:val="auto"/>
              </w:rPr>
            </w:pPr>
            <w:r>
              <w:rPr>
                <w:rFonts w:ascii="Arial" w:cs="Arial" w:eastAsia="Arial" w:hAnsi="Arial"/>
                <w:sz w:val="18"/>
                <w:szCs w:val="18"/>
                <w:color w:val="auto"/>
              </w:rPr>
              <w:t>Total earnings before income taxes</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Interest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772</w:t>
            </w: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Portion of rental expense representative of the interest factor</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r>
      <w:tr>
        <w:trPr>
          <w:trHeight w:val="230"/>
        </w:trPr>
        <w:tc>
          <w:tcPr>
            <w:tcW w:w="20" w:type="dxa"/>
            <w:vAlign w:val="bottom"/>
          </w:tcPr>
          <w:p>
            <w:pPr>
              <w:spacing w:after="0"/>
              <w:rPr>
                <w:sz w:val="20"/>
                <w:szCs w:val="20"/>
                <w:color w:val="auto"/>
              </w:rPr>
            </w:pPr>
          </w:p>
        </w:tc>
        <w:tc>
          <w:tcPr>
            <w:tcW w:w="10140" w:type="dxa"/>
            <w:vAlign w:val="bottom"/>
          </w:tcPr>
          <w:p>
            <w:pPr>
              <w:ind w:left="700"/>
              <w:spacing w:after="0"/>
              <w:rPr>
                <w:sz w:val="20"/>
                <w:szCs w:val="20"/>
                <w:color w:val="auto"/>
              </w:rPr>
            </w:pPr>
            <w:r>
              <w:rPr>
                <w:rFonts w:ascii="Arial" w:cs="Arial" w:eastAsia="Arial" w:hAnsi="Arial"/>
                <w:sz w:val="18"/>
                <w:szCs w:val="18"/>
                <w:color w:val="auto"/>
              </w:rPr>
              <w:t>Total fixed charges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40" w:type="dxa"/>
            <w:vAlign w:val="bottom"/>
          </w:tcPr>
          <w:p>
            <w:pPr>
              <w:jc w:val="center"/>
              <w:ind w:left="1170"/>
              <w:spacing w:after="0"/>
              <w:rPr>
                <w:sz w:val="20"/>
                <w:szCs w:val="20"/>
                <w:color w:val="auto"/>
              </w:rPr>
            </w:pPr>
            <w:r>
              <w:rPr>
                <w:rFonts w:ascii="Arial" w:cs="Arial" w:eastAsia="Arial" w:hAnsi="Arial"/>
                <w:sz w:val="18"/>
                <w:szCs w:val="18"/>
                <w:b w:val="1"/>
                <w:bCs w:val="1"/>
                <w:color w:val="auto"/>
                <w:w w:val="92"/>
              </w:rPr>
              <w:t>American Airlines, Inc.</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4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Computation of Ratio of Earnings to Fixed Charges</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0140" w:type="dxa"/>
            <w:vAlign w:val="bottom"/>
          </w:tcPr>
          <w:p>
            <w:pPr>
              <w:jc w:val="center"/>
              <w:ind w:left="1150"/>
              <w:spacing w:after="0"/>
              <w:rPr>
                <w:sz w:val="20"/>
                <w:szCs w:val="20"/>
                <w:color w:val="auto"/>
              </w:rPr>
            </w:pPr>
            <w:r>
              <w:rPr>
                <w:rFonts w:ascii="Arial" w:cs="Arial" w:eastAsia="Arial" w:hAnsi="Arial"/>
                <w:sz w:val="18"/>
                <w:szCs w:val="18"/>
                <w:b w:val="1"/>
                <w:bCs w:val="1"/>
                <w:color w:val="auto"/>
                <w:w w:val="93"/>
              </w:rPr>
              <w:t>(In millions)</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20" w:type="dxa"/>
            <w:vAlign w:val="bottom"/>
          </w:tcPr>
          <w:p>
            <w:pPr>
              <w:spacing w:after="0"/>
              <w:rPr>
                <w:sz w:val="24"/>
                <w:szCs w:val="24"/>
                <w:color w:val="auto"/>
              </w:rPr>
            </w:pPr>
          </w:p>
        </w:tc>
        <w:tc>
          <w:tcPr>
            <w:tcW w:w="1014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Nine Months Ended</w:t>
            </w:r>
          </w:p>
        </w:tc>
      </w:tr>
      <w:tr>
        <w:trPr>
          <w:trHeight w:val="167"/>
        </w:trPr>
        <w:tc>
          <w:tcPr>
            <w:tcW w:w="20" w:type="dxa"/>
            <w:vAlign w:val="bottom"/>
          </w:tcPr>
          <w:p>
            <w:pPr>
              <w:spacing w:after="0"/>
              <w:rPr>
                <w:sz w:val="14"/>
                <w:szCs w:val="14"/>
                <w:color w:val="auto"/>
              </w:rPr>
            </w:pPr>
          </w:p>
        </w:tc>
        <w:tc>
          <w:tcPr>
            <w:tcW w:w="1014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w w:val="97"/>
              </w:rPr>
              <w:t>September 30, 2016</w:t>
            </w:r>
          </w:p>
        </w:tc>
      </w:tr>
      <w:tr>
        <w:trPr>
          <w:trHeight w:val="210"/>
        </w:trPr>
        <w:tc>
          <w:tcPr>
            <w:tcW w:w="20" w:type="dxa"/>
            <w:vAlign w:val="bottom"/>
          </w:tcPr>
          <w:p>
            <w:pPr>
              <w:spacing w:after="0"/>
              <w:rPr>
                <w:sz w:val="18"/>
                <w:szCs w:val="18"/>
                <w:color w:val="auto"/>
              </w:rPr>
            </w:pPr>
          </w:p>
        </w:tc>
        <w:tc>
          <w:tcPr>
            <w:tcW w:w="10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Add: Total fixed charges (per below)</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Interest capitalized</w:t>
            </w: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40" w:type="dxa"/>
            <w:vAlign w:val="bottom"/>
          </w:tcPr>
          <w:p>
            <w:pPr>
              <w:ind w:left="700"/>
              <w:spacing w:after="0"/>
              <w:rPr>
                <w:sz w:val="20"/>
                <w:szCs w:val="20"/>
                <w:color w:val="auto"/>
              </w:rPr>
            </w:pPr>
            <w:r>
              <w:rPr>
                <w:rFonts w:ascii="Arial" w:cs="Arial" w:eastAsia="Arial" w:hAnsi="Arial"/>
                <w:sz w:val="18"/>
                <w:szCs w:val="18"/>
                <w:color w:val="auto"/>
              </w:rPr>
              <w:t>Total earnings before income taxes</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5,240</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Interest</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Portion of rental expense representative of the interest factor</w:t>
            </w:r>
          </w:p>
        </w:tc>
        <w:tc>
          <w:tcPr>
            <w:tcW w:w="4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r>
      <w:tr>
        <w:trPr>
          <w:trHeight w:val="230"/>
        </w:trPr>
        <w:tc>
          <w:tcPr>
            <w:tcW w:w="20" w:type="dxa"/>
            <w:vAlign w:val="bottom"/>
          </w:tcPr>
          <w:p>
            <w:pPr>
              <w:spacing w:after="0"/>
              <w:rPr>
                <w:sz w:val="20"/>
                <w:szCs w:val="20"/>
                <w:color w:val="auto"/>
              </w:rPr>
            </w:pPr>
          </w:p>
        </w:tc>
        <w:tc>
          <w:tcPr>
            <w:tcW w:w="10140" w:type="dxa"/>
            <w:vAlign w:val="bottom"/>
          </w:tcPr>
          <w:p>
            <w:pPr>
              <w:ind w:left="700"/>
              <w:spacing w:after="0"/>
              <w:rPr>
                <w:sz w:val="20"/>
                <w:szCs w:val="20"/>
                <w:color w:val="auto"/>
              </w:rPr>
            </w:pPr>
            <w:r>
              <w:rPr>
                <w:rFonts w:ascii="Arial" w:cs="Arial" w:eastAsia="Arial" w:hAnsi="Arial"/>
                <w:sz w:val="18"/>
                <w:szCs w:val="18"/>
                <w:color w:val="auto"/>
              </w:rPr>
              <w:t>Total fixed charges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401" w:name="page402"/>
    <w:bookmarkEnd w:id="4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1100" w:hanging="179"/>
        <w:spacing w:after="0"/>
        <w:tabs>
          <w:tab w:leader="none" w:pos="11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225" w:lineRule="exact"/>
        <w:rPr>
          <w:rFonts w:ascii="Arial" w:cs="Arial" w:eastAsia="Arial" w:hAnsi="Arial"/>
          <w:sz w:val="18"/>
          <w:szCs w:val="18"/>
          <w:color w:val="auto"/>
        </w:rPr>
      </w:pPr>
    </w:p>
    <w:p>
      <w:pPr>
        <w:ind w:firstLine="921"/>
        <w:spacing w:after="0" w:line="342" w:lineRule="auto"/>
        <w:tabs>
          <w:tab w:leader="none" w:pos="1097" w:val="left"/>
        </w:tabs>
        <w:numPr>
          <w:ilvl w:val="0"/>
          <w:numId w:val="36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921"/>
        <w:spacing w:after="0" w:line="308" w:lineRule="auto"/>
        <w:tabs>
          <w:tab w:leader="none" w:pos="1096" w:val="left"/>
        </w:tabs>
        <w:numPr>
          <w:ilvl w:val="0"/>
          <w:numId w:val="3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921"/>
        <w:spacing w:after="0" w:line="264" w:lineRule="auto"/>
        <w:tabs>
          <w:tab w:leader="none" w:pos="109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24" w:val="left"/>
        </w:tabs>
        <w:numPr>
          <w:ilvl w:val="1"/>
          <w:numId w:val="3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595" w:val="left"/>
        </w:tabs>
        <w:numPr>
          <w:ilvl w:val="1"/>
          <w:numId w:val="3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firstLine="421"/>
        <w:spacing w:after="0" w:line="342" w:lineRule="auto"/>
        <w:tabs>
          <w:tab w:leader="none" w:pos="1591" w:val="left"/>
        </w:tabs>
        <w:numPr>
          <w:ilvl w:val="1"/>
          <w:numId w:val="3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20" w:firstLine="421"/>
        <w:spacing w:after="0" w:line="264" w:lineRule="auto"/>
        <w:tabs>
          <w:tab w:leader="none" w:pos="1599" w:val="left"/>
        </w:tabs>
        <w:numPr>
          <w:ilvl w:val="1"/>
          <w:numId w:val="3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921"/>
        <w:spacing w:after="0" w:line="308" w:lineRule="auto"/>
        <w:tabs>
          <w:tab w:leader="none" w:pos="113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 w:firstLine="421"/>
        <w:spacing w:after="0" w:line="308" w:lineRule="auto"/>
        <w:tabs>
          <w:tab w:leader="none" w:pos="1602" w:val="left"/>
        </w:tabs>
        <w:numPr>
          <w:ilvl w:val="1"/>
          <w:numId w:val="3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firstLine="421"/>
        <w:spacing w:after="0" w:line="277" w:lineRule="auto"/>
        <w:tabs>
          <w:tab w:leader="none" w:pos="1596" w:val="left"/>
        </w:tabs>
        <w:numPr>
          <w:ilvl w:val="1"/>
          <w:numId w:val="3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W. Douglas Parker</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1100" w:hanging="179"/>
        <w:spacing w:after="0"/>
        <w:tabs>
          <w:tab w:leader="none" w:pos="11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Group Inc.;</w:t>
      </w:r>
    </w:p>
    <w:p>
      <w:pPr>
        <w:spacing w:after="0" w:line="225" w:lineRule="exact"/>
        <w:rPr>
          <w:rFonts w:ascii="Arial" w:cs="Arial" w:eastAsia="Arial" w:hAnsi="Arial"/>
          <w:sz w:val="18"/>
          <w:szCs w:val="18"/>
          <w:color w:val="auto"/>
        </w:rPr>
      </w:pPr>
    </w:p>
    <w:p>
      <w:pPr>
        <w:ind w:firstLine="921"/>
        <w:spacing w:after="0" w:line="342" w:lineRule="auto"/>
        <w:tabs>
          <w:tab w:leader="none" w:pos="1097" w:val="left"/>
        </w:tabs>
        <w:numPr>
          <w:ilvl w:val="0"/>
          <w:numId w:val="3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921"/>
        <w:spacing w:after="0" w:line="308" w:lineRule="auto"/>
        <w:tabs>
          <w:tab w:leader="none" w:pos="1096" w:val="left"/>
        </w:tabs>
        <w:numPr>
          <w:ilvl w:val="0"/>
          <w:numId w:val="3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921"/>
        <w:spacing w:after="0" w:line="264" w:lineRule="auto"/>
        <w:tabs>
          <w:tab w:leader="none" w:pos="109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24" w:val="left"/>
        </w:tabs>
        <w:numPr>
          <w:ilvl w:val="1"/>
          <w:numId w:val="3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595" w:val="left"/>
        </w:tabs>
        <w:numPr>
          <w:ilvl w:val="1"/>
          <w:numId w:val="3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firstLine="421"/>
        <w:spacing w:after="0" w:line="342" w:lineRule="auto"/>
        <w:tabs>
          <w:tab w:leader="none" w:pos="1591" w:val="left"/>
        </w:tabs>
        <w:numPr>
          <w:ilvl w:val="1"/>
          <w:numId w:val="3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20" w:firstLine="421"/>
        <w:spacing w:after="0" w:line="264" w:lineRule="auto"/>
        <w:tabs>
          <w:tab w:leader="none" w:pos="1599" w:val="left"/>
        </w:tabs>
        <w:numPr>
          <w:ilvl w:val="1"/>
          <w:numId w:val="3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921"/>
        <w:spacing w:after="0" w:line="308" w:lineRule="auto"/>
        <w:tabs>
          <w:tab w:leader="none" w:pos="113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 w:firstLine="421"/>
        <w:spacing w:after="0" w:line="308" w:lineRule="auto"/>
        <w:tabs>
          <w:tab w:leader="none" w:pos="1602" w:val="left"/>
        </w:tabs>
        <w:numPr>
          <w:ilvl w:val="1"/>
          <w:numId w:val="3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firstLine="421"/>
        <w:spacing w:after="0" w:line="277" w:lineRule="auto"/>
        <w:tabs>
          <w:tab w:leader="none" w:pos="1596" w:val="left"/>
        </w:tabs>
        <w:numPr>
          <w:ilvl w:val="1"/>
          <w:numId w:val="3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3" w:lineRule="exact"/>
        <w:rPr>
          <w:sz w:val="20"/>
          <w:szCs w:val="20"/>
          <w:color w:val="auto"/>
        </w:rPr>
      </w:pPr>
    </w:p>
    <w:tbl>
      <w:tblPr>
        <w:tblLayout w:type="fixed"/>
        <w:tblInd w:w="686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Derek J. Kerr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Officer</w:t>
            </w:r>
          </w:p>
        </w:tc>
        <w:tc>
          <w:tcPr>
            <w:tcW w:w="3980" w:type="dxa"/>
            <w:vAlign w:val="bottom"/>
          </w:tcPr>
          <w:p>
            <w:pPr>
              <w:spacing w:after="0"/>
              <w:rPr>
                <w:sz w:val="20"/>
                <w:szCs w:val="20"/>
                <w:color w:val="auto"/>
              </w:rPr>
            </w:pPr>
          </w:p>
        </w:tc>
      </w:tr>
    </w:tbl>
    <w:p>
      <w:pPr>
        <w:sectPr>
          <w:pgSz w:w="11900" w:h="16838" w:orient="portrait"/>
          <w:cols w:equalWidth="0" w:num="1">
            <w:col w:w="11420"/>
          </w:cols>
          <w:pgMar w:left="240" w:top="121" w:right="239" w:bottom="1440" w:gutter="0" w:footer="0" w:header="0"/>
        </w:sectPr>
      </w:pPr>
    </w:p>
    <w:bookmarkStart w:id="403" w:name="page404"/>
    <w:bookmarkEnd w:id="403"/>
    <w:p>
      <w:pPr>
        <w:jc w:val="right"/>
        <w:spacing w:after="0"/>
        <w:rPr>
          <w:sz w:val="20"/>
          <w:szCs w:val="20"/>
          <w:color w:val="auto"/>
        </w:rPr>
      </w:pPr>
      <w:r>
        <w:rPr>
          <w:rFonts w:ascii="Arial" w:cs="Arial" w:eastAsia="Arial" w:hAnsi="Arial"/>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 Douglas Parker, certify that:</w:t>
      </w:r>
    </w:p>
    <w:p>
      <w:pPr>
        <w:spacing w:after="0" w:line="225" w:lineRule="exact"/>
        <w:rPr>
          <w:sz w:val="20"/>
          <w:szCs w:val="20"/>
          <w:color w:val="auto"/>
        </w:rPr>
      </w:pPr>
    </w:p>
    <w:p>
      <w:pPr>
        <w:ind w:left="1100" w:hanging="179"/>
        <w:spacing w:after="0"/>
        <w:tabs>
          <w:tab w:leader="none" w:pos="11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225" w:lineRule="exact"/>
        <w:rPr>
          <w:rFonts w:ascii="Arial" w:cs="Arial" w:eastAsia="Arial" w:hAnsi="Arial"/>
          <w:sz w:val="18"/>
          <w:szCs w:val="18"/>
          <w:color w:val="auto"/>
        </w:rPr>
      </w:pPr>
    </w:p>
    <w:p>
      <w:pPr>
        <w:ind w:firstLine="921"/>
        <w:spacing w:after="0" w:line="342" w:lineRule="auto"/>
        <w:tabs>
          <w:tab w:leader="none" w:pos="1097" w:val="left"/>
        </w:tabs>
        <w:numPr>
          <w:ilvl w:val="0"/>
          <w:numId w:val="3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921"/>
        <w:spacing w:after="0" w:line="308" w:lineRule="auto"/>
        <w:tabs>
          <w:tab w:leader="none" w:pos="1096" w:val="left"/>
        </w:tabs>
        <w:numPr>
          <w:ilvl w:val="0"/>
          <w:numId w:val="3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921"/>
        <w:spacing w:after="0" w:line="264" w:lineRule="auto"/>
        <w:tabs>
          <w:tab w:leader="none" w:pos="109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24" w:val="left"/>
        </w:tabs>
        <w:numPr>
          <w:ilvl w:val="1"/>
          <w:numId w:val="3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595" w:val="left"/>
        </w:tabs>
        <w:numPr>
          <w:ilvl w:val="1"/>
          <w:numId w:val="3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firstLine="421"/>
        <w:spacing w:after="0" w:line="342" w:lineRule="auto"/>
        <w:tabs>
          <w:tab w:leader="none" w:pos="1591" w:val="left"/>
        </w:tabs>
        <w:numPr>
          <w:ilvl w:val="1"/>
          <w:numId w:val="3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20" w:firstLine="421"/>
        <w:spacing w:after="0" w:line="264" w:lineRule="auto"/>
        <w:tabs>
          <w:tab w:leader="none" w:pos="1599" w:val="left"/>
        </w:tabs>
        <w:numPr>
          <w:ilvl w:val="1"/>
          <w:numId w:val="3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921"/>
        <w:spacing w:after="0" w:line="308" w:lineRule="auto"/>
        <w:tabs>
          <w:tab w:leader="none" w:pos="113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 w:firstLine="421"/>
        <w:spacing w:after="0" w:line="308" w:lineRule="auto"/>
        <w:tabs>
          <w:tab w:leader="none" w:pos="1602" w:val="left"/>
        </w:tabs>
        <w:numPr>
          <w:ilvl w:val="1"/>
          <w:numId w:val="3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firstLine="421"/>
        <w:spacing w:after="0" w:line="277" w:lineRule="auto"/>
        <w:tabs>
          <w:tab w:leader="none" w:pos="1596"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W. Douglas Parker</w:t>
      </w:r>
    </w:p>
    <w:p>
      <w:pPr>
        <w:spacing w:after="0" w:line="23" w:lineRule="exact"/>
        <w:rPr>
          <w:sz w:val="20"/>
          <w:szCs w:val="20"/>
          <w:color w:val="auto"/>
        </w:rPr>
      </w:pPr>
    </w:p>
    <w:p>
      <w:pPr>
        <w:ind w:left="686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ectPr>
          <w:pgSz w:w="11900" w:h="16838" w:orient="portrait"/>
          <w:cols w:equalWidth="0" w:num="1">
            <w:col w:w="11420"/>
          </w:cols>
          <w:pgMar w:left="240" w:top="121" w:right="239" w:bottom="1440" w:gutter="0" w:footer="0" w:header="0"/>
        </w:sectPr>
      </w:pPr>
    </w:p>
    <w:bookmarkStart w:id="404" w:name="page405"/>
    <w:bookmarkEnd w:id="404"/>
    <w:p>
      <w:pPr>
        <w:jc w:val="right"/>
        <w:spacing w:after="0"/>
        <w:rPr>
          <w:sz w:val="20"/>
          <w:szCs w:val="20"/>
          <w:color w:val="auto"/>
        </w:rPr>
      </w:pPr>
      <w:r>
        <w:rPr>
          <w:rFonts w:ascii="Arial" w:cs="Arial" w:eastAsia="Arial" w:hAnsi="Arial"/>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Derek J. Kerr, certify that:</w:t>
      </w:r>
    </w:p>
    <w:p>
      <w:pPr>
        <w:spacing w:after="0" w:line="225" w:lineRule="exact"/>
        <w:rPr>
          <w:sz w:val="20"/>
          <w:szCs w:val="20"/>
          <w:color w:val="auto"/>
        </w:rPr>
      </w:pPr>
    </w:p>
    <w:p>
      <w:pPr>
        <w:ind w:left="1100" w:hanging="179"/>
        <w:spacing w:after="0"/>
        <w:tabs>
          <w:tab w:leader="none" w:pos="110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Airlines, Inc.;</w:t>
      </w:r>
    </w:p>
    <w:p>
      <w:pPr>
        <w:spacing w:after="0" w:line="225" w:lineRule="exact"/>
        <w:rPr>
          <w:rFonts w:ascii="Arial" w:cs="Arial" w:eastAsia="Arial" w:hAnsi="Arial"/>
          <w:sz w:val="18"/>
          <w:szCs w:val="18"/>
          <w:color w:val="auto"/>
        </w:rPr>
      </w:pPr>
    </w:p>
    <w:p>
      <w:pPr>
        <w:ind w:firstLine="921"/>
        <w:spacing w:after="0" w:line="342" w:lineRule="auto"/>
        <w:tabs>
          <w:tab w:leader="none" w:pos="1097" w:val="left"/>
        </w:tabs>
        <w:numPr>
          <w:ilvl w:val="0"/>
          <w:numId w:val="37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921"/>
        <w:spacing w:after="0" w:line="308" w:lineRule="auto"/>
        <w:tabs>
          <w:tab w:leader="none" w:pos="1096" w:val="left"/>
        </w:tabs>
        <w:numPr>
          <w:ilvl w:val="0"/>
          <w:numId w:val="3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firstLine="921"/>
        <w:spacing w:after="0" w:line="264" w:lineRule="auto"/>
        <w:tabs>
          <w:tab w:leader="none" w:pos="109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624" w:val="left"/>
        </w:tabs>
        <w:numPr>
          <w:ilvl w:val="1"/>
          <w:numId w:val="3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920" w:firstLine="421"/>
        <w:spacing w:after="0" w:line="264" w:lineRule="auto"/>
        <w:tabs>
          <w:tab w:leader="none" w:pos="1595" w:val="left"/>
        </w:tabs>
        <w:numPr>
          <w:ilvl w:val="1"/>
          <w:numId w:val="3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firstLine="421"/>
        <w:spacing w:after="0" w:line="342" w:lineRule="auto"/>
        <w:tabs>
          <w:tab w:leader="none" w:pos="1591" w:val="left"/>
        </w:tabs>
        <w:numPr>
          <w:ilvl w:val="1"/>
          <w:numId w:val="3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20" w:firstLine="421"/>
        <w:spacing w:after="0" w:line="264" w:lineRule="auto"/>
        <w:tabs>
          <w:tab w:leader="none" w:pos="1599" w:val="left"/>
        </w:tabs>
        <w:numPr>
          <w:ilvl w:val="1"/>
          <w:numId w:val="3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921"/>
        <w:spacing w:after="0" w:line="308" w:lineRule="auto"/>
        <w:tabs>
          <w:tab w:leader="none" w:pos="113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20" w:right="20" w:firstLine="421"/>
        <w:spacing w:after="0" w:line="308" w:lineRule="auto"/>
        <w:tabs>
          <w:tab w:leader="none" w:pos="1602" w:val="left"/>
        </w:tabs>
        <w:numPr>
          <w:ilvl w:val="1"/>
          <w:numId w:val="3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20" w:firstLine="421"/>
        <w:spacing w:after="0" w:line="277" w:lineRule="auto"/>
        <w:tabs>
          <w:tab w:leader="none" w:pos="1596"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Derek J. Kerr</w:t>
      </w:r>
    </w:p>
    <w:p>
      <w:pPr>
        <w:spacing w:after="0" w:line="23" w:lineRule="exact"/>
        <w:rPr>
          <w:sz w:val="20"/>
          <w:szCs w:val="20"/>
          <w:color w:val="auto"/>
        </w:rPr>
      </w:pPr>
    </w:p>
    <w:tbl>
      <w:tblPr>
        <w:tblLayout w:type="fixed"/>
        <w:tblInd w:w="686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Derek J. Kerr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Executive Vice President and Chief Financial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Officer</w:t>
            </w:r>
          </w:p>
        </w:tc>
        <w:tc>
          <w:tcPr>
            <w:tcW w:w="3980" w:type="dxa"/>
            <w:vAlign w:val="bottom"/>
          </w:tcPr>
          <w:p>
            <w:pPr>
              <w:spacing w:after="0"/>
              <w:rPr>
                <w:sz w:val="20"/>
                <w:szCs w:val="20"/>
                <w:color w:val="auto"/>
              </w:rPr>
            </w:pPr>
          </w:p>
        </w:tc>
      </w:tr>
    </w:tbl>
    <w:p>
      <w:pPr>
        <w:sectPr>
          <w:pgSz w:w="11900" w:h="16838" w:orient="portrait"/>
          <w:cols w:equalWidth="0" w:num="1">
            <w:col w:w="11420"/>
          </w:cols>
          <w:pgMar w:left="240" w:top="122" w:right="2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Group Inc. (the “Company”) for the quarterly period ended September 30, 2016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720" w:hanging="256"/>
        <w:spacing w:after="0"/>
        <w:tabs>
          <w:tab w:leader="none" w:pos="72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W. Douglas Parker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20,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Derek J. Kerr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20, 2016</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420"/>
          </w:cols>
          <w:pgMar w:left="240" w:top="121" w:right="2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on Form 10-Q of American Airlines, Inc. (the “Company”) for the quarterly period ended September 30, 2016 (the “Report”), W. Douglas Parker, as Chief Executive Officer of the Company, and Derek J. Kerr, as Executive Vice President and Chief Financial Officer of the Company, each hereby certifies, pursuant to 18 U.S.C. Section 1350, as adopted pursuant to Section 906 of the Sarbanes-Oxley Act of 2002, that, to the best of his knowledge:</w:t>
      </w:r>
    </w:p>
    <w:p>
      <w:pPr>
        <w:spacing w:after="0" w:line="187" w:lineRule="exact"/>
        <w:rPr>
          <w:sz w:val="20"/>
          <w:szCs w:val="20"/>
          <w:color w:val="auto"/>
        </w:rPr>
      </w:pPr>
    </w:p>
    <w:p>
      <w:pPr>
        <w:ind w:left="720" w:hanging="256"/>
        <w:spacing w:after="0"/>
        <w:tabs>
          <w:tab w:leader="none" w:pos="72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W. Douglas Parker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W. Douglas Parker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20,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Derek J.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Derek J. Kerr</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and Chief Financial Officer</w:t>
      </w:r>
    </w:p>
    <w:p>
      <w:pPr>
        <w:spacing w:after="0" w:line="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October 20, 2016</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is being furnished to accompany the Report pursuant to 18 U.S.C. § 1350 and shall not be deemed filed by the Company for purposes of Section 18 of the Securities Exchange Act of 1934, as amended, and is not to be incorporated by reference into any filing of the Company, whether made before or after the date hereof, regardless of any general incorporation language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494B2FB"/>
    <w:multiLevelType w:val="hybridMultilevel"/>
    <w:lvl w:ilvl="0">
      <w:lvlJc w:val="left"/>
      <w:lvlText w:val="☒"/>
      <w:numFmt w:val="bullet"/>
      <w:start w:val="1"/>
    </w:lvl>
  </w:abstractNum>
  <w:abstractNum w:abstractNumId="1">
    <w:nsid w:val="B13A31"/>
    <w:multiLevelType w:val="hybridMultilevel"/>
    <w:lvl w:ilvl="0">
      <w:lvlJc w:val="left"/>
      <w:lvlText w:val="☐"/>
      <w:numFmt w:val="bullet"/>
      <w:start w:val="1"/>
    </w:lvl>
  </w:abstractNum>
  <w:abstractNum w:abstractNumId="2">
    <w:nsid w:val="64429599"/>
    <w:multiLevelType w:val="hybridMultilevel"/>
    <w:lvl w:ilvl="0">
      <w:lvlJc w:val="left"/>
      <w:lvlText w:val="(%1)"/>
      <w:numFmt w:val="decimal"/>
      <w:start w:val="1"/>
    </w:lvl>
  </w:abstractNum>
  <w:abstractNum w:abstractNumId="3">
    <w:nsid w:val="631F1690"/>
    <w:multiLevelType w:val="hybridMultilevel"/>
    <w:lvl w:ilvl="0">
      <w:lvlJc w:val="left"/>
      <w:lvlText w:val="(%1)"/>
      <w:numFmt w:val="decimal"/>
      <w:start w:val="1"/>
    </w:lvl>
  </w:abstractNum>
  <w:abstractNum w:abstractNumId="4">
    <w:nsid w:val="25973E32"/>
    <w:multiLevelType w:val="hybridMultilevel"/>
    <w:lvl w:ilvl="0">
      <w:lvlJc w:val="left"/>
      <w:lvlText w:val="%1"/>
      <w:numFmt w:val="upperLetter"/>
      <w:start w:val="27"/>
    </w:lvl>
  </w:abstractNum>
  <w:abstractNum w:abstractNumId="5">
    <w:nsid w:val="EAD6F57"/>
    <w:multiLevelType w:val="hybridMultilevel"/>
    <w:lvl w:ilvl="0">
      <w:lvlJc w:val="left"/>
      <w:lvlText w:val="(%1)"/>
      <w:numFmt w:val="decimal"/>
      <w:start w:val="1"/>
    </w:lvl>
  </w:abstractNum>
  <w:abstractNum w:abstractNumId="6">
    <w:nsid w:val="6EC9D844"/>
    <w:multiLevelType w:val="hybridMultilevel"/>
    <w:lvl w:ilvl="0">
      <w:lvlJc w:val="left"/>
      <w:lvlText w:val="(%1)"/>
      <w:numFmt w:val="decimal"/>
      <w:start w:val="1"/>
    </w:lvl>
  </w:abstractNum>
  <w:abstractNum w:abstractNumId="7">
    <w:nsid w:val="5C49EAEE"/>
    <w:multiLevelType w:val="hybridMultilevel"/>
    <w:lvl w:ilvl="0">
      <w:lvlJc w:val="left"/>
      <w:lvlText w:val="(%1)"/>
      <w:numFmt w:val="decimal"/>
      <w:start w:val="1"/>
    </w:lvl>
  </w:abstractNum>
  <w:abstractNum w:abstractNumId="8">
    <w:nsid w:val="64AF49B"/>
    <w:multiLevelType w:val="hybridMultilevel"/>
    <w:lvl w:ilvl="0">
      <w:lvlJc w:val="left"/>
      <w:lvlText w:val="(%1)"/>
      <w:numFmt w:val="decimal"/>
      <w:start w:val="1"/>
    </w:lvl>
  </w:abstractNum>
  <w:abstractNum w:abstractNumId="9">
    <w:nsid w:val="397C46BC"/>
    <w:multiLevelType w:val="hybridMultilevel"/>
    <w:lvl w:ilvl="0">
      <w:lvlJc w:val="left"/>
      <w:lvlText w:val="%1."/>
      <w:numFmt w:val="decimal"/>
      <w:start w:val="12"/>
    </w:lvl>
  </w:abstractNum>
  <w:abstractNum w:abstractNumId="10">
    <w:nsid w:val="7E448DE9"/>
    <w:multiLevelType w:val="hybridMultilevel"/>
    <w:lvl w:ilvl="0">
      <w:lvlJc w:val="left"/>
      <w:lvlText w:val="(%1)"/>
      <w:numFmt w:val="decimal"/>
      <w:start w:val="1"/>
    </w:lvl>
  </w:abstractNum>
  <w:abstractNum w:abstractNumId="11">
    <w:nsid w:val="5A9CC3E5"/>
    <w:multiLevelType w:val="hybridMultilevel"/>
    <w:lvl w:ilvl="0">
      <w:lvlJc w:val="left"/>
      <w:lvlText w:val="(%1)"/>
      <w:numFmt w:val="decimal"/>
      <w:start w:val="1"/>
    </w:lvl>
  </w:abstractNum>
  <w:abstractNum w:abstractNumId="12">
    <w:nsid w:val="1AFE3625"/>
    <w:multiLevelType w:val="hybridMultilevel"/>
    <w:lvl w:ilvl="0">
      <w:lvlJc w:val="left"/>
      <w:lvlText w:val="%1"/>
      <w:numFmt w:val="upperLetter"/>
      <w:start w:val="27"/>
    </w:lvl>
  </w:abstractNum>
  <w:abstractNum w:abstractNumId="13">
    <w:nsid w:val="3CA88ECF"/>
    <w:multiLevelType w:val="hybridMultilevel"/>
    <w:lvl w:ilvl="0">
      <w:lvlJc w:val="left"/>
      <w:lvlText w:val="%1"/>
      <w:numFmt w:val="upperLetter"/>
      <w:start w:val="27"/>
    </w:lvl>
  </w:abstractNum>
  <w:abstractNum w:abstractNumId="14">
    <w:nsid w:val="6EBE4208"/>
    <w:multiLevelType w:val="hybridMultilevel"/>
    <w:lvl w:ilvl="0">
      <w:lvlJc w:val="left"/>
      <w:lvlText w:val="(%1)"/>
      <w:numFmt w:val="decimal"/>
      <w:start w:val="1"/>
    </w:lvl>
  </w:abstractNum>
  <w:abstractNum w:abstractNumId="15">
    <w:nsid w:val="C058DF5"/>
    <w:multiLevelType w:val="hybridMultilevel"/>
    <w:lvl w:ilvl="0">
      <w:lvlJc w:val="left"/>
      <w:lvlText w:val="(%1)"/>
      <w:numFmt w:val="decimal"/>
      <w:start w:val="1"/>
    </w:lvl>
  </w:abstractNum>
  <w:abstractNum w:abstractNumId="16">
    <w:nsid w:val="CBE5BE9"/>
    <w:multiLevelType w:val="hybridMultilevel"/>
    <w:lvl w:ilvl="0">
      <w:lvlJc w:val="left"/>
      <w:lvlText w:val="(%1)"/>
      <w:numFmt w:val="decimal"/>
      <w:start w:val="1"/>
    </w:lvl>
  </w:abstractNum>
  <w:abstractNum w:abstractNumId="17">
    <w:nsid w:val="3102BBE2"/>
    <w:multiLevelType w:val="hybridMultilevel"/>
    <w:lvl w:ilvl="0">
      <w:lvlJc w:val="left"/>
      <w:lvlText w:val="(%1)"/>
      <w:numFmt w:val="decimal"/>
      <w:start w:val="1"/>
    </w:lvl>
  </w:abstractNum>
  <w:abstractNum w:abstractNumId="18">
    <w:nsid w:val="26A02C5E"/>
    <w:multiLevelType w:val="hybridMultilevel"/>
    <w:lvl w:ilvl="0">
      <w:lvlJc w:val="left"/>
      <w:lvlText w:val="(%1)"/>
      <w:numFmt w:val="decimal"/>
      <w:start w:val="1"/>
    </w:lvl>
  </w:abstractNum>
  <w:abstractNum w:abstractNumId="19">
    <w:nsid w:val="541C8153"/>
    <w:multiLevelType w:val="hybridMultilevel"/>
    <w:lvl w:ilvl="0">
      <w:lvlJc w:val="left"/>
      <w:lvlText w:val="(%1)"/>
      <w:numFmt w:val="decimal"/>
      <w:start w:val="1"/>
    </w:lvl>
  </w:abstractNum>
  <w:abstractNum w:abstractNumId="20">
    <w:nsid w:val="67906F60"/>
    <w:multiLevelType w:val="hybridMultilevel"/>
    <w:lvl w:ilvl="0">
      <w:lvlJc w:val="left"/>
      <w:lvlText w:val="(%1)"/>
      <w:numFmt w:val="decimal"/>
      <w:start w:val="1"/>
    </w:lvl>
  </w:abstractNum>
  <w:abstractNum w:abstractNumId="21">
    <w:nsid w:val="10DB9DAA"/>
    <w:multiLevelType w:val="hybridMultilevel"/>
    <w:lvl w:ilvl="0">
      <w:lvlJc w:val="left"/>
      <w:lvlText w:val="(%1)"/>
      <w:numFmt w:val="lowerLetter"/>
      <w:start w:val="1"/>
    </w:lvl>
  </w:abstractNum>
  <w:abstractNum w:abstractNumId="22">
    <w:nsid w:val="697D2D2"/>
    <w:multiLevelType w:val="hybridMultilevel"/>
    <w:lvl w:ilvl="0">
      <w:lvlJc w:val="left"/>
      <w:lvlText w:val="(%1)"/>
      <w:numFmt w:val="lowerLetter"/>
      <w:start w:val="5"/>
    </w:lvl>
  </w:abstractNum>
  <w:abstractNum w:abstractNumId="23">
    <w:nsid w:val="6D68AB2"/>
    <w:multiLevelType w:val="hybridMultilevel"/>
    <w:lvl w:ilvl="0">
      <w:lvlJc w:val="left"/>
      <w:lvlText w:val="(%1)"/>
      <w:numFmt w:val="decimal"/>
      <w:start w:val="1"/>
    </w:lvl>
  </w:abstractNum>
  <w:abstractNum w:abstractNumId="24">
    <w:nsid w:val="3A966CD0"/>
    <w:multiLevelType w:val="hybridMultilevel"/>
    <w:lvl w:ilvl="0">
      <w:lvlJc w:val="left"/>
      <w:lvlText w:val="(%1)"/>
      <w:numFmt w:val="decimal"/>
      <w:start w:val="2"/>
    </w:lvl>
  </w:abstractNum>
  <w:abstractNum w:abstractNumId="25">
    <w:nsid w:val="63F37E85"/>
    <w:multiLevelType w:val="hybridMultilevel"/>
    <w:lvl w:ilvl="0">
      <w:lvlJc w:val="left"/>
      <w:lvlText w:val="(%1)"/>
      <w:numFmt w:val="lowerLetter"/>
      <w:start w:val="1"/>
    </w:lvl>
  </w:abstractNum>
  <w:abstractNum w:abstractNumId="26">
    <w:nsid w:val="5895F5FA"/>
    <w:multiLevelType w:val="hybridMultilevel"/>
    <w:lvl w:ilvl="0">
      <w:lvlJc w:val="left"/>
      <w:lvlText w:val="(%1)"/>
      <w:numFmt w:val="lowerLetter"/>
      <w:start w:val="5"/>
    </w:lvl>
  </w:abstractNum>
  <w:abstractNum w:abstractNumId="27">
    <w:nsid w:val="38A5D054"/>
    <w:multiLevelType w:val="hybridMultilevel"/>
    <w:lvl w:ilvl="0">
      <w:lvlJc w:val="left"/>
      <w:lvlText w:val="•"/>
      <w:numFmt w:val="bullet"/>
      <w:start w:val="1"/>
    </w:lvl>
  </w:abstractNum>
  <w:abstractNum w:abstractNumId="28">
    <w:nsid w:val="F3F09D8"/>
    <w:multiLevelType w:val="hybridMultilevel"/>
    <w:lvl w:ilvl="0">
      <w:lvlJc w:val="left"/>
      <w:lvlText w:val="(%1)"/>
      <w:numFmt w:val="decimal"/>
      <w:start w:val="1"/>
    </w:lvl>
  </w:abstractNum>
  <w:abstractNum w:abstractNumId="29">
    <w:nsid w:val="4B793735"/>
    <w:multiLevelType w:val="hybridMultilevel"/>
    <w:lvl w:ilvl="0">
      <w:lvlJc w:val="left"/>
      <w:lvlText w:val="•"/>
      <w:numFmt w:val="bullet"/>
      <w:start w:val="1"/>
    </w:lvl>
  </w:abstractNum>
  <w:abstractNum w:abstractNumId="30">
    <w:nsid w:val="4A10B4E8"/>
    <w:multiLevelType w:val="hybridMultilevel"/>
    <w:lvl w:ilvl="0">
      <w:lvlJc w:val="left"/>
      <w:lvlText w:val="•"/>
      <w:numFmt w:val="bullet"/>
      <w:start w:val="1"/>
    </w:lvl>
  </w:abstractNum>
  <w:abstractNum w:abstractNumId="31">
    <w:nsid w:val="43D3BCD4"/>
    <w:multiLevelType w:val="hybridMultilevel"/>
    <w:lvl w:ilvl="0">
      <w:lvlJc w:val="left"/>
      <w:lvlText w:val="(%1)"/>
      <w:numFmt w:val="decimal"/>
      <w:start w:val="1"/>
    </w:lvl>
  </w:abstractNum>
  <w:abstractNum w:abstractNumId="32">
    <w:nsid w:val="4C2A7166"/>
    <w:multiLevelType w:val="hybridMultilevel"/>
    <w:lvl w:ilvl="0">
      <w:lvlJc w:val="left"/>
      <w:lvlText w:val="•"/>
      <w:numFmt w:val="bullet"/>
      <w:start w:val="1"/>
    </w:lvl>
  </w:abstractNum>
  <w:abstractNum w:abstractNumId="33">
    <w:nsid w:val="2E534A82"/>
    <w:multiLevelType w:val="hybridMultilevel"/>
    <w:lvl w:ilvl="0">
      <w:lvlJc w:val="left"/>
      <w:lvlText w:val="(%1)"/>
      <w:numFmt w:val="decimal"/>
      <w:start w:val="1"/>
    </w:lvl>
  </w:abstractNum>
  <w:abstractNum w:abstractNumId="34">
    <w:nsid w:val="26F2D364"/>
    <w:multiLevelType w:val="hybridMultilevel"/>
    <w:lvl w:ilvl="0">
      <w:lvlJc w:val="left"/>
      <w:lvlText w:val="•"/>
      <w:numFmt w:val="bullet"/>
      <w:start w:val="1"/>
    </w:lvl>
  </w:abstractNum>
  <w:abstractNum w:abstractNumId="35">
    <w:nsid w:val="71C1AF98"/>
    <w:multiLevelType w:val="hybridMultilevel"/>
    <w:lvl w:ilvl="0">
      <w:lvlJc w:val="left"/>
      <w:lvlText w:val="•"/>
      <w:numFmt w:val="bullet"/>
      <w:start w:val="1"/>
    </w:lvl>
  </w:abstractNum>
  <w:abstractNum w:abstractNumId="36">
    <w:nsid w:val="3D00B9D9"/>
    <w:multiLevelType w:val="hybridMultilevel"/>
    <w:lvl w:ilvl="0">
      <w:lvlJc w:val="left"/>
      <w:lvlText w:val="•"/>
      <w:numFmt w:val="bullet"/>
      <w:start w:val="1"/>
    </w:lvl>
  </w:abstractNum>
  <w:abstractNum w:abstractNumId="37">
    <w:nsid w:val="15BCABA8"/>
    <w:multiLevelType w:val="hybridMultilevel"/>
    <w:lvl w:ilvl="0">
      <w:lvlJc w:val="left"/>
      <w:lvlText w:val="•"/>
      <w:numFmt w:val="bullet"/>
      <w:start w:val="1"/>
    </w:lvl>
  </w:abstractNum>
  <w:abstractNum w:abstractNumId="38">
    <w:nsid w:val="4E0B9A87"/>
    <w:multiLevelType w:val="hybridMultilevel"/>
    <w:lvl w:ilvl="0">
      <w:lvlJc w:val="left"/>
      <w:lvlText w:val="•"/>
      <w:numFmt w:val="bullet"/>
      <w:start w:val="1"/>
    </w:lvl>
  </w:abstractNum>
  <w:abstractNum w:abstractNumId="39">
    <w:nsid w:val="434BAE75"/>
    <w:multiLevelType w:val="hybridMultilevel"/>
    <w:lvl w:ilvl="0">
      <w:lvlJc w:val="left"/>
      <w:lvlText w:val="\endash "/>
      <w:numFmt w:val="bullet"/>
      <w:start w:val="1"/>
    </w:lvl>
  </w:abstractNum>
  <w:abstractNum w:abstractNumId="40">
    <w:nsid w:val="4F38F265"/>
    <w:multiLevelType w:val="hybridMultilevel"/>
    <w:lvl w:ilvl="0">
      <w:lvlJc w:val="left"/>
      <w:lvlText w:val="(%1)"/>
      <w:numFmt w:val="decimal"/>
      <w:start w:val="1"/>
    </w:lvl>
  </w:abstractNum>
  <w:abstractNum w:abstractNumId="41">
    <w:nsid w:val="4C502870"/>
    <w:multiLevelType w:val="hybridMultilevel"/>
    <w:lvl w:ilvl="0">
      <w:lvlJc w:val="left"/>
      <w:lvlText w:val="(%1)"/>
      <w:numFmt w:val="decimal"/>
      <w:start w:val="1"/>
    </w:lvl>
  </w:abstractNum>
  <w:abstractNum w:abstractNumId="42">
    <w:nsid w:val="1DE8725A"/>
    <w:multiLevelType w:val="hybridMultilevel"/>
    <w:lvl w:ilvl="0">
      <w:lvlJc w:val="left"/>
      <w:lvlText w:val="(%1)"/>
      <w:numFmt w:val="decimal"/>
      <w:start w:val="1"/>
    </w:lvl>
  </w:abstractNum>
  <w:abstractNum w:abstractNumId="43">
    <w:nsid w:val="6A37288A"/>
    <w:multiLevelType w:val="hybridMultilevel"/>
    <w:lvl w:ilvl="0">
      <w:lvlJc w:val="left"/>
      <w:lvlText w:val="•"/>
      <w:numFmt w:val="bullet"/>
      <w:start w:val="1"/>
    </w:lvl>
  </w:abstractNum>
  <w:abstractNum w:abstractNumId="44">
    <w:nsid w:val="8F8B73F"/>
    <w:multiLevelType w:val="hybridMultilevel"/>
    <w:lvl w:ilvl="0">
      <w:lvlJc w:val="left"/>
      <w:lvlText w:val="•"/>
      <w:numFmt w:val="bullet"/>
      <w:start w:val="1"/>
    </w:lvl>
    <w:lvl w:ilvl="1">
      <w:lvlJc w:val="left"/>
      <w:lvlText w:val="•"/>
      <w:numFmt w:val="bullet"/>
      <w:start w:val="1"/>
    </w:lvl>
  </w:abstractNum>
  <w:abstractNum w:abstractNumId="45">
    <w:nsid w:val="CA6B462"/>
    <w:multiLevelType w:val="hybridMultilevel"/>
    <w:lvl w:ilvl="0">
      <w:lvlJc w:val="left"/>
      <w:lvlText w:val="•"/>
      <w:numFmt w:val="bullet"/>
      <w:start w:val="1"/>
    </w:lvl>
  </w:abstractNum>
  <w:abstractNum w:abstractNumId="46">
    <w:nsid w:val="763CB680"/>
    <w:multiLevelType w:val="hybridMultilevel"/>
    <w:lvl w:ilvl="0">
      <w:lvlJc w:val="left"/>
      <w:lvlText w:val="•"/>
      <w:numFmt w:val="bullet"/>
      <w:start w:val="1"/>
    </w:lvl>
  </w:abstractNum>
  <w:abstractNum w:abstractNumId="47">
    <w:nsid w:val="15B71329"/>
    <w:multiLevelType w:val="hybridMultilevel"/>
    <w:lvl w:ilvl="0">
      <w:lvlJc w:val="left"/>
      <w:lvlText w:val="•"/>
      <w:numFmt w:val="bullet"/>
      <w:start w:val="1"/>
    </w:lvl>
  </w:abstractNum>
  <w:abstractNum w:abstractNumId="48">
    <w:nsid w:val="3DA97044"/>
    <w:multiLevelType w:val="hybridMultilevel"/>
    <w:lvl w:ilvl="0">
      <w:lvlJc w:val="left"/>
      <w:lvlText w:val="•"/>
      <w:numFmt w:val="bullet"/>
      <w:start w:val="1"/>
    </w:lvl>
  </w:abstractNum>
  <w:abstractNum w:abstractNumId="49">
    <w:nsid w:val="1CDCE2DE"/>
    <w:multiLevelType w:val="hybridMultilevel"/>
    <w:lvl w:ilvl="0">
      <w:lvlJc w:val="left"/>
      <w:lvlText w:val="•"/>
      <w:numFmt w:val="bullet"/>
      <w:start w:val="1"/>
    </w:lvl>
  </w:abstractNum>
  <w:abstractNum w:abstractNumId="50">
    <w:nsid w:val="69D3947C"/>
    <w:multiLevelType w:val="hybridMultilevel"/>
    <w:lvl w:ilvl="0">
      <w:lvlJc w:val="left"/>
      <w:lvlText w:val="•"/>
      <w:numFmt w:val="bullet"/>
      <w:start w:val="1"/>
    </w:lvl>
  </w:abstractNum>
  <w:abstractNum w:abstractNumId="51">
    <w:nsid w:val="2539DFA5"/>
    <w:multiLevelType w:val="hybridMultilevel"/>
    <w:lvl w:ilvl="0">
      <w:lvlJc w:val="left"/>
      <w:lvlText w:val="•"/>
      <w:numFmt w:val="bullet"/>
      <w:start w:val="1"/>
    </w:lvl>
  </w:abstractNum>
  <w:abstractNum w:abstractNumId="52">
    <w:nsid w:val="2DB88089"/>
    <w:multiLevelType w:val="hybridMultilevel"/>
    <w:lvl w:ilvl="0">
      <w:lvlJc w:val="left"/>
      <w:lvlText w:val="*"/>
      <w:numFmt w:val="bullet"/>
      <w:start w:val="1"/>
    </w:lvl>
  </w:abstractNum>
  <w:abstractNum w:abstractNumId="53">
    <w:nsid w:val="706B674E"/>
    <w:multiLevelType w:val="hybridMultilevel"/>
    <w:lvl w:ilvl="0">
      <w:lvlJc w:val="left"/>
      <w:lvlText w:val="(%1)"/>
      <w:numFmt w:val="lowerRoman"/>
      <w:start w:val="3"/>
    </w:lvl>
  </w:abstractNum>
  <w:abstractNum w:abstractNumId="54">
    <w:nsid w:val="2C106A57"/>
    <w:multiLevelType w:val="hybridMultilevel"/>
    <w:lvl w:ilvl="0">
      <w:lvlJc w:val="left"/>
      <w:lvlText w:val="(%1)"/>
      <w:numFmt w:val="lowerRoman"/>
      <w:start w:val="6"/>
    </w:lvl>
  </w:abstractNum>
  <w:abstractNum w:abstractNumId="55">
    <w:nsid w:val="684EED59"/>
    <w:multiLevelType w:val="hybridMultilevel"/>
    <w:lvl w:ilvl="0">
      <w:lvlJc w:val="left"/>
      <w:lvlText w:val="(%1)"/>
      <w:numFmt w:val="lowerRoman"/>
      <w:start w:val="8"/>
    </w:lvl>
  </w:abstractNum>
  <w:abstractNum w:abstractNumId="56">
    <w:nsid w:val="545EE5D3"/>
    <w:multiLevelType w:val="hybridMultilevel"/>
    <w:lvl w:ilvl="0">
      <w:lvlJc w:val="left"/>
      <w:lvlText w:val="(%1)"/>
      <w:numFmt w:val="lowerLetter"/>
      <w:start w:val="24"/>
    </w:lvl>
    <w:lvl w:ilvl="1">
      <w:lvlJc w:val="left"/>
      <w:lvlText w:val="(%2)"/>
      <w:numFmt w:val="lowerLetter"/>
      <w:start w:val="2"/>
    </w:lvl>
  </w:abstractNum>
  <w:abstractNum w:abstractNumId="57">
    <w:nsid w:val="4A66051"/>
    <w:multiLevelType w:val="hybridMultilevel"/>
    <w:lvl w:ilvl="0">
      <w:lvlJc w:val="left"/>
      <w:lvlText w:val="(%1)"/>
      <w:numFmt w:val="lowerRoman"/>
      <w:start w:val="12"/>
    </w:lvl>
    <w:lvl w:ilvl="1">
      <w:lvlJc w:val="left"/>
      <w:lvlText w:val=";"/>
      <w:numFmt w:val="bullet"/>
      <w:start w:val="1"/>
    </w:lvl>
  </w:abstractNum>
  <w:abstractNum w:abstractNumId="58">
    <w:nsid w:val="20F4BDAD"/>
    <w:multiLevelType w:val="hybridMultilevel"/>
    <w:lvl w:ilvl="0">
      <w:lvlJc w:val="left"/>
      <w:lvlText w:val="(%1)"/>
      <w:numFmt w:val="lowerLetter"/>
      <w:start w:val="2"/>
    </w:lvl>
  </w:abstractNum>
  <w:abstractNum w:abstractNumId="59">
    <w:nsid w:val="639DEFAC"/>
    <w:multiLevelType w:val="hybridMultilevel"/>
    <w:lvl w:ilvl="0">
      <w:lvlJc w:val="left"/>
      <w:lvlText w:val="(%1)"/>
      <w:numFmt w:val="lowerLetter"/>
      <w:start w:val="35"/>
    </w:lvl>
    <w:lvl w:ilvl="1">
      <w:lvlJc w:val="left"/>
      <w:lvlText w:val="(%2)"/>
      <w:numFmt w:val="lowerLetter"/>
      <w:start w:val="23"/>
    </w:lvl>
  </w:abstractNum>
  <w:abstractNum w:abstractNumId="60">
    <w:nsid w:val="501F9786"/>
    <w:multiLevelType w:val="hybridMultilevel"/>
    <w:lvl w:ilvl="0">
      <w:lvlJc w:val="left"/>
      <w:lvlText w:val="%1"/>
      <w:numFmt w:val="lowerRoman"/>
      <w:start w:val="1"/>
    </w:lvl>
    <w:lvl w:ilvl="1">
      <w:lvlJc w:val="left"/>
      <w:lvlText w:val="(%2)"/>
      <w:numFmt w:val="lowerLetter"/>
      <w:start w:val="25"/>
    </w:lvl>
  </w:abstractNum>
  <w:abstractNum w:abstractNumId="61">
    <w:nsid w:val="6B057295"/>
    <w:multiLevelType w:val="hybridMultilevel"/>
    <w:lvl w:ilvl="0">
      <w:lvlJc w:val="left"/>
      <w:lvlText w:val="(%1)"/>
      <w:numFmt w:val="lowerRoman"/>
      <w:start w:val="3"/>
    </w:lvl>
    <w:lvl w:ilvl="1">
      <w:lvlJc w:val="left"/>
      <w:lvlText w:val="%2"/>
      <w:numFmt w:val="lowerLetter"/>
      <w:start w:val="1"/>
    </w:lvl>
  </w:abstractNum>
  <w:abstractNum w:abstractNumId="62">
    <w:nsid w:val="2771AC80"/>
    <w:multiLevelType w:val="hybridMultilevel"/>
    <w:lvl w:ilvl="0">
      <w:lvlJc w:val="left"/>
      <w:lvlText w:val="(%1)"/>
      <w:numFmt w:val="lowerRoman"/>
      <w:start w:val="5"/>
    </w:lvl>
  </w:abstractNum>
  <w:abstractNum w:abstractNumId="63">
    <w:nsid w:val="1C4A08EC"/>
    <w:multiLevelType w:val="hybridMultilevel"/>
    <w:lvl w:ilvl="0">
      <w:lvlJc w:val="left"/>
      <w:lvlText w:val="(%1)"/>
      <w:numFmt w:val="lowerLetter"/>
      <w:start w:val="1"/>
    </w:lvl>
  </w:abstractNum>
  <w:abstractNum w:abstractNumId="64">
    <w:nsid w:val="1958BD17"/>
    <w:multiLevelType w:val="hybridMultilevel"/>
    <w:lvl w:ilvl="0">
      <w:lvlJc w:val="left"/>
      <w:lvlText w:val="%1"/>
      <w:numFmt w:val="lowerLetter"/>
      <w:start w:val="1"/>
    </w:lvl>
    <w:lvl w:ilvl="1">
      <w:lvlJc w:val="left"/>
      <w:lvlText w:val="(%2)"/>
      <w:numFmt w:val="lowerLetter"/>
      <w:start w:val="1"/>
    </w:lvl>
  </w:abstractNum>
  <w:abstractNum w:abstractNumId="65">
    <w:nsid w:val="4E647FE4"/>
    <w:multiLevelType w:val="hybridMultilevel"/>
    <w:lvl w:ilvl="0">
      <w:lvlJc w:val="left"/>
      <w:lvlText w:val="(%1)"/>
      <w:numFmt w:val="lowerLetter"/>
      <w:start w:val="35"/>
    </w:lvl>
    <w:lvl w:ilvl="1">
      <w:lvlJc w:val="left"/>
      <w:lvlText w:val="%2"/>
      <w:numFmt w:val="lowerLetter"/>
      <w:start w:val="1"/>
    </w:lvl>
  </w:abstractNum>
  <w:abstractNum w:abstractNumId="66">
    <w:nsid w:val="E0BB885"/>
    <w:multiLevelType w:val="hybridMultilevel"/>
    <w:lvl w:ilvl="0">
      <w:lvlJc w:val="left"/>
      <w:lvlText w:val="(%1)"/>
      <w:numFmt w:val="lowerLetter"/>
      <w:start w:val="6"/>
    </w:lvl>
  </w:abstractNum>
  <w:abstractNum w:abstractNumId="67">
    <w:nsid w:val="565976F1"/>
    <w:multiLevelType w:val="hybridMultilevel"/>
    <w:lvl w:ilvl="0">
      <w:lvlJc w:val="left"/>
      <w:lvlText w:val="(%1)"/>
      <w:numFmt w:val="lowerLetter"/>
      <w:start w:val="2"/>
    </w:lvl>
  </w:abstractNum>
  <w:abstractNum w:abstractNumId="68">
    <w:nsid w:val="64212B8C"/>
    <w:multiLevelType w:val="hybridMultilevel"/>
    <w:lvl w:ilvl="0">
      <w:lvlJc w:val="left"/>
      <w:lvlText w:val="(%1)"/>
      <w:numFmt w:val="lowerRoman"/>
      <w:start w:val="1"/>
    </w:lvl>
  </w:abstractNum>
  <w:abstractNum w:abstractNumId="69">
    <w:nsid w:val="5C17530C"/>
    <w:multiLevelType w:val="hybridMultilevel"/>
    <w:lvl w:ilvl="0">
      <w:lvlJc w:val="left"/>
      <w:lvlText w:val="(%1)"/>
      <w:numFmt w:val="lowerRoman"/>
      <w:start w:val="1"/>
    </w:lvl>
  </w:abstractNum>
  <w:abstractNum w:abstractNumId="70">
    <w:nsid w:val="19A52566"/>
    <w:multiLevelType w:val="hybridMultilevel"/>
    <w:lvl w:ilvl="0">
      <w:lvlJc w:val="left"/>
      <w:lvlText w:val="(%1)"/>
      <w:numFmt w:val="lowerRoman"/>
      <w:start w:val="1"/>
    </w:lvl>
  </w:abstractNum>
  <w:abstractNum w:abstractNumId="71">
    <w:nsid w:val="335A1DF1"/>
    <w:multiLevelType w:val="hybridMultilevel"/>
    <w:lvl w:ilvl="0">
      <w:lvlJc w:val="left"/>
      <w:lvlText w:val="(%1)"/>
      <w:numFmt w:val="lowerRoman"/>
      <w:start w:val="1"/>
    </w:lvl>
  </w:abstractNum>
  <w:abstractNum w:abstractNumId="72">
    <w:nsid w:val="28677B7C"/>
    <w:multiLevelType w:val="hybridMultilevel"/>
    <w:lvl w:ilvl="0">
      <w:lvlJc w:val="left"/>
      <w:lvlText w:val="(%1)"/>
      <w:numFmt w:val="lowerRoman"/>
      <w:start w:val="1"/>
    </w:lvl>
  </w:abstractNum>
  <w:abstractNum w:abstractNumId="73">
    <w:nsid w:val="378D97C0"/>
    <w:multiLevelType w:val="hybridMultilevel"/>
    <w:lvl w:ilvl="0">
      <w:lvlJc w:val="left"/>
      <w:lvlText w:val="(%1)"/>
      <w:numFmt w:val="lowerRoman"/>
      <w:start w:val="1"/>
    </w:lvl>
  </w:abstractNum>
  <w:abstractNum w:abstractNumId="74">
    <w:nsid w:val="1D91467C"/>
    <w:multiLevelType w:val="hybridMultilevel"/>
    <w:lvl w:ilvl="0">
      <w:lvlJc w:val="left"/>
      <w:lvlText w:val="(%1)"/>
      <w:numFmt w:val="lowerRoman"/>
      <w:start w:val="1"/>
    </w:lvl>
  </w:abstractNum>
  <w:abstractNum w:abstractNumId="75">
    <w:nsid w:val="316032BB"/>
    <w:multiLevelType w:val="hybridMultilevel"/>
    <w:lvl w:ilvl="0">
      <w:lvlJc w:val="left"/>
      <w:lvlText w:val="(%1)"/>
      <w:numFmt w:val="lowerRoman"/>
      <w:start w:val="1"/>
    </w:lvl>
  </w:abstractNum>
  <w:abstractNum w:abstractNumId="76">
    <w:nsid w:val="44344C22"/>
    <w:multiLevelType w:val="hybridMultilevel"/>
    <w:lvl w:ilvl="0">
      <w:lvlJc w:val="left"/>
      <w:lvlText w:val="(%1)"/>
      <w:numFmt w:val="lowerRoman"/>
      <w:start w:val="1"/>
    </w:lvl>
  </w:abstractNum>
  <w:abstractNum w:abstractNumId="77">
    <w:nsid w:val="13CDFCFC"/>
    <w:multiLevelType w:val="hybridMultilevel"/>
    <w:lvl w:ilvl="0">
      <w:lvlJc w:val="left"/>
      <w:lvlText w:val="(%1)"/>
      <w:numFmt w:val="lowerRoman"/>
      <w:start w:val="1"/>
    </w:lvl>
  </w:abstractNum>
  <w:abstractNum w:abstractNumId="78">
    <w:nsid w:val="471745E4"/>
    <w:multiLevelType w:val="hybridMultilevel"/>
    <w:lvl w:ilvl="0">
      <w:lvlJc w:val="left"/>
      <w:lvlText w:val="(%1)"/>
      <w:numFmt w:val="lowerRoman"/>
      <w:start w:val="1"/>
    </w:lvl>
  </w:abstractNum>
  <w:abstractNum w:abstractNumId="79">
    <w:nsid w:val="1DDBC66"/>
    <w:multiLevelType w:val="hybridMultilevel"/>
    <w:lvl w:ilvl="0">
      <w:lvlJc w:val="left"/>
      <w:lvlText w:val="(%1)"/>
      <w:numFmt w:val="lowerRoman"/>
      <w:start w:val="1"/>
    </w:lvl>
  </w:abstractNum>
  <w:abstractNum w:abstractNumId="80">
    <w:nsid w:val="30AADFDA"/>
    <w:multiLevelType w:val="hybridMultilevel"/>
    <w:lvl w:ilvl="0">
      <w:lvlJc w:val="left"/>
      <w:lvlText w:val="(%1)"/>
      <w:numFmt w:val="lowerRoman"/>
      <w:start w:val="1"/>
    </w:lvl>
  </w:abstractNum>
  <w:abstractNum w:abstractNumId="81">
    <w:nsid w:val="30EADA61"/>
    <w:multiLevelType w:val="hybridMultilevel"/>
    <w:lvl w:ilvl="0">
      <w:lvlJc w:val="left"/>
      <w:lvlText w:val="(%1)"/>
      <w:numFmt w:val="lowerRoman"/>
      <w:start w:val="1"/>
    </w:lvl>
  </w:abstractNum>
  <w:abstractNum w:abstractNumId="82">
    <w:nsid w:val="27179C0B"/>
    <w:multiLevelType w:val="hybridMultilevel"/>
    <w:lvl w:ilvl="0">
      <w:lvlJc w:val="left"/>
      <w:lvlText w:val="(%1)"/>
      <w:numFmt w:val="lowerRoman"/>
      <w:start w:val="1"/>
    </w:lvl>
  </w:abstractNum>
  <w:abstractNum w:abstractNumId="83">
    <w:nsid w:val="5E636063"/>
    <w:multiLevelType w:val="hybridMultilevel"/>
    <w:lvl w:ilvl="0">
      <w:lvlJc w:val="left"/>
      <w:lvlText w:val="(%1)"/>
      <w:numFmt w:val="lowerRoman"/>
      <w:start w:val="1"/>
    </w:lvl>
  </w:abstractNum>
  <w:abstractNum w:abstractNumId="84">
    <w:nsid w:val="215641AF"/>
    <w:multiLevelType w:val="hybridMultilevel"/>
    <w:lvl w:ilvl="0">
      <w:lvlJc w:val="left"/>
      <w:lvlText w:val="(%1)"/>
      <w:numFmt w:val="lowerRoman"/>
      <w:start w:val="1"/>
    </w:lvl>
  </w:abstractNum>
  <w:abstractNum w:abstractNumId="85">
    <w:nsid w:val="53280662"/>
    <w:multiLevelType w:val="hybridMultilevel"/>
    <w:lvl w:ilvl="0">
      <w:lvlJc w:val="left"/>
      <w:lvlText w:val="(%1)"/>
      <w:numFmt w:val="lowerRoman"/>
      <w:start w:val="1"/>
    </w:lvl>
  </w:abstractNum>
  <w:abstractNum w:abstractNumId="86">
    <w:nsid w:val="46B24DBC"/>
    <w:multiLevelType w:val="hybridMultilevel"/>
    <w:lvl w:ilvl="0">
      <w:lvlJc w:val="left"/>
      <w:lvlText w:val="(%1)"/>
      <w:numFmt w:val="lowerRoman"/>
      <w:start w:val="1"/>
    </w:lvl>
  </w:abstractNum>
  <w:abstractNum w:abstractNumId="87">
    <w:nsid w:val="75B52783"/>
    <w:multiLevelType w:val="hybridMultilevel"/>
    <w:lvl w:ilvl="0">
      <w:lvlJc w:val="left"/>
      <w:lvlText w:val="(%1)"/>
      <w:numFmt w:val="lowerRoman"/>
      <w:start w:val="1"/>
    </w:lvl>
  </w:abstractNum>
  <w:abstractNum w:abstractNumId="88">
    <w:nsid w:val="57CE66B4"/>
    <w:multiLevelType w:val="hybridMultilevel"/>
    <w:lvl w:ilvl="0">
      <w:lvlJc w:val="left"/>
      <w:lvlText w:val="(%1)"/>
      <w:numFmt w:val="lowerRoman"/>
      <w:start w:val="1"/>
    </w:lvl>
  </w:abstractNum>
  <w:abstractNum w:abstractNumId="89">
    <w:nsid w:val="67A70B69"/>
    <w:multiLevelType w:val="hybridMultilevel"/>
    <w:lvl w:ilvl="0">
      <w:lvlJc w:val="left"/>
      <w:lvlText w:val="(%1)"/>
      <w:numFmt w:val="lowerRoman"/>
      <w:start w:val="1"/>
    </w:lvl>
  </w:abstractNum>
  <w:abstractNum w:abstractNumId="90">
    <w:nsid w:val="5953172F"/>
    <w:multiLevelType w:val="hybridMultilevel"/>
    <w:lvl w:ilvl="0">
      <w:lvlJc w:val="left"/>
      <w:lvlText w:val="(%1)"/>
      <w:numFmt w:val="lowerRoman"/>
      <w:start w:val="1"/>
    </w:lvl>
  </w:abstractNum>
  <w:abstractNum w:abstractNumId="91">
    <w:nsid w:val="27EDFE3A"/>
    <w:multiLevelType w:val="hybridMultilevel"/>
    <w:lvl w:ilvl="0">
      <w:lvlJc w:val="left"/>
      <w:lvlText w:val="(%1)"/>
      <w:numFmt w:val="lowerRoman"/>
      <w:start w:val="1"/>
    </w:lvl>
  </w:abstractNum>
  <w:abstractNum w:abstractNumId="92">
    <w:nsid w:val="52AC7DFF"/>
    <w:multiLevelType w:val="hybridMultilevel"/>
    <w:lvl w:ilvl="0">
      <w:lvlJc w:val="left"/>
      <w:lvlText w:val="(%1)"/>
      <w:numFmt w:val="lowerRoman"/>
      <w:start w:val="1"/>
    </w:lvl>
  </w:abstractNum>
  <w:abstractNum w:abstractNumId="93">
    <w:nsid w:val="C4C3AF"/>
    <w:multiLevelType w:val="hybridMultilevel"/>
    <w:lvl w:ilvl="0">
      <w:lvlJc w:val="left"/>
      <w:lvlText w:val="(%1)"/>
      <w:numFmt w:val="lowerRoman"/>
      <w:start w:val="1"/>
    </w:lvl>
  </w:abstractNum>
  <w:abstractNum w:abstractNumId="94">
    <w:nsid w:val="44380727"/>
    <w:multiLevelType w:val="hybridMultilevel"/>
    <w:lvl w:ilvl="0">
      <w:lvlJc w:val="left"/>
      <w:lvlText w:val="(%1)"/>
      <w:numFmt w:val="lowerRoman"/>
      <w:start w:val="1"/>
    </w:lvl>
  </w:abstractNum>
  <w:abstractNum w:abstractNumId="95">
    <w:nsid w:val="6C053B16"/>
    <w:multiLevelType w:val="hybridMultilevel"/>
    <w:lvl w:ilvl="0">
      <w:lvlJc w:val="left"/>
      <w:lvlText w:val="(%1)"/>
      <w:numFmt w:val="lowerRoman"/>
      <w:start w:val="1"/>
    </w:lvl>
  </w:abstractNum>
  <w:abstractNum w:abstractNumId="96">
    <w:nsid w:val="4F294393"/>
    <w:multiLevelType w:val="hybridMultilevel"/>
    <w:lvl w:ilvl="0">
      <w:lvlJc w:val="left"/>
      <w:lvlText w:val="(%1)"/>
      <w:numFmt w:val="lowerRoman"/>
      <w:start w:val="1"/>
    </w:lvl>
  </w:abstractNum>
  <w:abstractNum w:abstractNumId="97">
    <w:nsid w:val="5243BFAC"/>
    <w:multiLevelType w:val="hybridMultilevel"/>
    <w:lvl w:ilvl="0">
      <w:lvlJc w:val="left"/>
      <w:lvlText w:val="(%1)"/>
      <w:numFmt w:val="lowerRoman"/>
      <w:start w:val="1"/>
    </w:lvl>
  </w:abstractNum>
  <w:abstractNum w:abstractNumId="98">
    <w:nsid w:val="425EB207"/>
    <w:multiLevelType w:val="hybridMultilevel"/>
    <w:lvl w:ilvl="0">
      <w:lvlJc w:val="left"/>
      <w:lvlText w:val="(%1)"/>
      <w:numFmt w:val="lowerRoman"/>
      <w:start w:val="1"/>
    </w:lvl>
  </w:abstractNum>
  <w:abstractNum w:abstractNumId="99">
    <w:nsid w:val="334A6F1F"/>
    <w:multiLevelType w:val="hybridMultilevel"/>
    <w:lvl w:ilvl="0">
      <w:lvlJc w:val="left"/>
      <w:lvlText w:val="(%1)"/>
      <w:numFmt w:val="lowerRoman"/>
      <w:start w:val="1"/>
    </w:lvl>
  </w:abstractNum>
  <w:abstractNum w:abstractNumId="100">
    <w:nsid w:val="2E5B12B8"/>
    <w:multiLevelType w:val="hybridMultilevel"/>
    <w:lvl w:ilvl="0">
      <w:lvlJc w:val="left"/>
      <w:lvlText w:val="(%1)"/>
      <w:numFmt w:val="lowerRoman"/>
      <w:start w:val="1"/>
    </w:lvl>
  </w:abstractNum>
  <w:abstractNum w:abstractNumId="101">
    <w:nsid w:val="5C03D76D"/>
    <w:multiLevelType w:val="hybridMultilevel"/>
    <w:lvl w:ilvl="0">
      <w:lvlJc w:val="left"/>
      <w:lvlText w:val="(%1)"/>
      <w:numFmt w:val="lowerRoman"/>
      <w:start w:val="1"/>
    </w:lvl>
  </w:abstractNum>
  <w:abstractNum w:abstractNumId="102">
    <w:nsid w:val="66A48D11"/>
    <w:multiLevelType w:val="hybridMultilevel"/>
    <w:lvl w:ilvl="0">
      <w:lvlJc w:val="left"/>
      <w:lvlText w:val="(%1)"/>
      <w:numFmt w:val="lowerRoman"/>
      <w:start w:val="1"/>
    </w:lvl>
  </w:abstractNum>
  <w:abstractNum w:abstractNumId="103">
    <w:nsid w:val="56C28E34"/>
    <w:multiLevelType w:val="hybridMultilevel"/>
    <w:lvl w:ilvl="0">
      <w:lvlJc w:val="left"/>
      <w:lvlText w:val="(%1)"/>
      <w:numFmt w:val="lowerRoman"/>
      <w:start w:val="1"/>
    </w:lvl>
  </w:abstractNum>
  <w:abstractNum w:abstractNumId="104">
    <w:nsid w:val="13916F2D"/>
    <w:multiLevelType w:val="hybridMultilevel"/>
    <w:lvl w:ilvl="0">
      <w:lvlJc w:val="left"/>
      <w:lvlText w:val="(%1)"/>
      <w:numFmt w:val="lowerRoman"/>
      <w:start w:val="1"/>
    </w:lvl>
  </w:abstractNum>
  <w:abstractNum w:abstractNumId="105">
    <w:nsid w:val="435D38D"/>
    <w:multiLevelType w:val="hybridMultilevel"/>
    <w:lvl w:ilvl="0">
      <w:lvlJc w:val="left"/>
      <w:lvlText w:val="(%1)"/>
      <w:numFmt w:val="lowerRoman"/>
      <w:start w:val="1"/>
    </w:lvl>
  </w:abstractNum>
  <w:abstractNum w:abstractNumId="106">
    <w:nsid w:val="822C0EF"/>
    <w:multiLevelType w:val="hybridMultilevel"/>
    <w:lvl w:ilvl="0">
      <w:lvlJc w:val="left"/>
      <w:lvlText w:val="(%1)"/>
      <w:numFmt w:val="lowerRoman"/>
      <w:start w:val="1"/>
    </w:lvl>
  </w:abstractNum>
  <w:abstractNum w:abstractNumId="107">
    <w:nsid w:val="57C5BB4F"/>
    <w:multiLevelType w:val="hybridMultilevel"/>
    <w:lvl w:ilvl="0">
      <w:lvlJc w:val="left"/>
      <w:lvlText w:val="(%1)"/>
      <w:numFmt w:val="lowerRoman"/>
      <w:start w:val="1"/>
    </w:lvl>
  </w:abstractNum>
  <w:abstractNum w:abstractNumId="108">
    <w:nsid w:val="1803D089"/>
    <w:multiLevelType w:val="hybridMultilevel"/>
    <w:lvl w:ilvl="0">
      <w:lvlJc w:val="left"/>
      <w:lvlText w:val="(%1)"/>
      <w:numFmt w:val="lowerRoman"/>
      <w:start w:val="1"/>
    </w:lvl>
  </w:abstractNum>
  <w:abstractNum w:abstractNumId="109">
    <w:nsid w:val="4F3A06D4"/>
    <w:multiLevelType w:val="hybridMultilevel"/>
    <w:lvl w:ilvl="0">
      <w:lvlJc w:val="left"/>
      <w:lvlText w:val="(%1)"/>
      <w:numFmt w:val="lowerRoman"/>
      <w:start w:val="1"/>
    </w:lvl>
  </w:abstractNum>
  <w:abstractNum w:abstractNumId="110">
    <w:nsid w:val="59A377B6"/>
    <w:multiLevelType w:val="hybridMultilevel"/>
    <w:lvl w:ilvl="0">
      <w:lvlJc w:val="left"/>
      <w:lvlText w:val="(%1)"/>
      <w:numFmt w:val="lowerRoman"/>
      <w:start w:val="1"/>
    </w:lvl>
  </w:abstractNum>
  <w:abstractNum w:abstractNumId="111">
    <w:nsid w:val="48AEB063"/>
    <w:multiLevelType w:val="hybridMultilevel"/>
    <w:lvl w:ilvl="0">
      <w:lvlJc w:val="left"/>
      <w:lvlText w:val="(%1)"/>
      <w:numFmt w:val="lowerRoman"/>
      <w:start w:val="1"/>
    </w:lvl>
  </w:abstractNum>
  <w:abstractNum w:abstractNumId="112">
    <w:nsid w:val="24E135"/>
    <w:multiLevelType w:val="hybridMultilevel"/>
    <w:lvl w:ilvl="0">
      <w:lvlJc w:val="left"/>
      <w:lvlText w:val="(%1)"/>
      <w:numFmt w:val="lowerRoman"/>
      <w:start w:val="1"/>
    </w:lvl>
  </w:abstractNum>
  <w:abstractNum w:abstractNumId="113">
    <w:nsid w:val="BB13C1"/>
    <w:multiLevelType w:val="hybridMultilevel"/>
    <w:lvl w:ilvl="0">
      <w:lvlJc w:val="left"/>
      <w:lvlText w:val="(%1)"/>
      <w:numFmt w:val="lowerRoman"/>
      <w:start w:val="1"/>
    </w:lvl>
  </w:abstractNum>
  <w:abstractNum w:abstractNumId="114">
    <w:nsid w:val="271210C7"/>
    <w:multiLevelType w:val="hybridMultilevel"/>
    <w:lvl w:ilvl="0">
      <w:lvlJc w:val="left"/>
      <w:lvlText w:val="(%1)"/>
      <w:numFmt w:val="lowerRoman"/>
      <w:start w:val="1"/>
    </w:lvl>
  </w:abstractNum>
  <w:abstractNum w:abstractNumId="115">
    <w:nsid w:val="217B22E4"/>
    <w:multiLevelType w:val="hybridMultilevel"/>
    <w:lvl w:ilvl="0">
      <w:lvlJc w:val="left"/>
      <w:lvlText w:val="(%1)"/>
      <w:numFmt w:val="lowerRoman"/>
      <w:start w:val="1"/>
    </w:lvl>
  </w:abstractNum>
  <w:abstractNum w:abstractNumId="116">
    <w:nsid w:val="53E31A24"/>
    <w:multiLevelType w:val="hybridMultilevel"/>
    <w:lvl w:ilvl="0">
      <w:lvlJc w:val="left"/>
      <w:lvlText w:val="(%1)"/>
      <w:numFmt w:val="lowerRoman"/>
      <w:start w:val="1"/>
    </w:lvl>
  </w:abstractNum>
  <w:abstractNum w:abstractNumId="117">
    <w:nsid w:val="6DC45E83"/>
    <w:multiLevelType w:val="hybridMultilevel"/>
    <w:lvl w:ilvl="0">
      <w:lvlJc w:val="left"/>
      <w:lvlText w:val="(%1)"/>
      <w:numFmt w:val="lowerRoman"/>
      <w:start w:val="1"/>
    </w:lvl>
  </w:abstractNum>
  <w:abstractNum w:abstractNumId="118">
    <w:nsid w:val="17304A67"/>
    <w:multiLevelType w:val="hybridMultilevel"/>
    <w:lvl w:ilvl="0">
      <w:lvlJc w:val="left"/>
      <w:lvlText w:val="(%1)"/>
      <w:numFmt w:val="lowerRoman"/>
      <w:start w:val="1"/>
    </w:lvl>
  </w:abstractNum>
  <w:abstractNum w:abstractNumId="119">
    <w:nsid w:val="2BB180D8"/>
    <w:multiLevelType w:val="hybridMultilevel"/>
    <w:lvl w:ilvl="0">
      <w:lvlJc w:val="left"/>
      <w:lvlText w:val="(%1)"/>
      <w:numFmt w:val="lowerRoman"/>
      <w:start w:val="1"/>
    </w:lvl>
  </w:abstractNum>
  <w:abstractNum w:abstractNumId="120">
    <w:nsid w:val="556B69ED"/>
    <w:multiLevelType w:val="hybridMultilevel"/>
    <w:lvl w:ilvl="0">
      <w:lvlJc w:val="left"/>
      <w:lvlText w:val="(%1)"/>
      <w:numFmt w:val="lowerRoman"/>
      <w:start w:val="1"/>
    </w:lvl>
  </w:abstractNum>
  <w:abstractNum w:abstractNumId="121">
    <w:nsid w:val="70836196"/>
    <w:multiLevelType w:val="hybridMultilevel"/>
    <w:lvl w:ilvl="0">
      <w:lvlJc w:val="left"/>
      <w:lvlText w:val="(%1)"/>
      <w:numFmt w:val="lowerRoman"/>
      <w:start w:val="1"/>
    </w:lvl>
  </w:abstractNum>
  <w:abstractNum w:abstractNumId="122">
    <w:nsid w:val="539F7F12"/>
    <w:multiLevelType w:val="hybridMultilevel"/>
    <w:lvl w:ilvl="0">
      <w:lvlJc w:val="left"/>
      <w:lvlText w:val="(%1)"/>
      <w:numFmt w:val="lowerRoman"/>
      <w:start w:val="1"/>
    </w:lvl>
  </w:abstractNum>
  <w:abstractNum w:abstractNumId="123">
    <w:nsid w:val="2817E7EC"/>
    <w:multiLevelType w:val="hybridMultilevel"/>
    <w:lvl w:ilvl="0">
      <w:lvlJc w:val="left"/>
      <w:lvlText w:val="(%1)"/>
      <w:numFmt w:val="lowerRoman"/>
      <w:start w:val="1"/>
    </w:lvl>
  </w:abstractNum>
  <w:abstractNum w:abstractNumId="124">
    <w:nsid w:val="71482545"/>
    <w:multiLevelType w:val="hybridMultilevel"/>
    <w:lvl w:ilvl="0">
      <w:lvlJc w:val="left"/>
      <w:lvlText w:val="(%1)"/>
      <w:numFmt w:val="lowerRoman"/>
      <w:start w:val="1"/>
    </w:lvl>
  </w:abstractNum>
  <w:abstractNum w:abstractNumId="125">
    <w:nsid w:val="17D78639"/>
    <w:multiLevelType w:val="hybridMultilevel"/>
    <w:lvl w:ilvl="0">
      <w:lvlJc w:val="left"/>
      <w:lvlText w:val="(%1)"/>
      <w:numFmt w:val="lowerRoman"/>
      <w:start w:val="1"/>
    </w:lvl>
  </w:abstractNum>
  <w:abstractNum w:abstractNumId="126">
    <w:nsid w:val="141D2302"/>
    <w:multiLevelType w:val="hybridMultilevel"/>
    <w:lvl w:ilvl="0">
      <w:lvlJc w:val="left"/>
      <w:lvlText w:val="(%1)"/>
      <w:numFmt w:val="lowerRoman"/>
      <w:start w:val="1"/>
    </w:lvl>
  </w:abstractNum>
  <w:abstractNum w:abstractNumId="127">
    <w:nsid w:val="407168D8"/>
    <w:multiLevelType w:val="hybridMultilevel"/>
    <w:lvl w:ilvl="0">
      <w:lvlJc w:val="left"/>
      <w:lvlText w:val="(%1)"/>
      <w:numFmt w:val="lowerRoman"/>
      <w:start w:val="1"/>
    </w:lvl>
  </w:abstractNum>
  <w:abstractNum w:abstractNumId="128">
    <w:nsid w:val="6A1B45E5"/>
    <w:multiLevelType w:val="hybridMultilevel"/>
    <w:lvl w:ilvl="0">
      <w:lvlJc w:val="left"/>
      <w:lvlText w:val="(%1)"/>
      <w:numFmt w:val="lowerRoman"/>
      <w:start w:val="1"/>
    </w:lvl>
  </w:abstractNum>
  <w:abstractNum w:abstractNumId="129">
    <w:nsid w:val="567BD50A"/>
    <w:multiLevelType w:val="hybridMultilevel"/>
    <w:lvl w:ilvl="0">
      <w:lvlJc w:val="left"/>
      <w:lvlText w:val="(%1)"/>
      <w:numFmt w:val="lowerRoman"/>
      <w:start w:val="1"/>
    </w:lvl>
  </w:abstractNum>
  <w:abstractNum w:abstractNumId="130">
    <w:nsid w:val="73BBD7F8"/>
    <w:multiLevelType w:val="hybridMultilevel"/>
    <w:lvl w:ilvl="0">
      <w:lvlJc w:val="left"/>
      <w:lvlText w:val="(%1)"/>
      <w:numFmt w:val="lowerRoman"/>
      <w:start w:val="1"/>
    </w:lvl>
  </w:abstractNum>
  <w:abstractNum w:abstractNumId="131">
    <w:nsid w:val="1876589D"/>
    <w:multiLevelType w:val="hybridMultilevel"/>
    <w:lvl w:ilvl="0">
      <w:lvlJc w:val="left"/>
      <w:lvlText w:val="(%1)"/>
      <w:numFmt w:val="lowerRoman"/>
      <w:start w:val="1"/>
    </w:lvl>
  </w:abstractNum>
  <w:abstractNum w:abstractNumId="132">
    <w:nsid w:val="327FAC77"/>
    <w:multiLevelType w:val="hybridMultilevel"/>
    <w:lvl w:ilvl="0">
      <w:lvlJc w:val="left"/>
      <w:lvlText w:val="(%1)"/>
      <w:numFmt w:val="lowerRoman"/>
      <w:start w:val="1"/>
    </w:lvl>
  </w:abstractNum>
  <w:abstractNum w:abstractNumId="133">
    <w:nsid w:val="5A606509"/>
    <w:multiLevelType w:val="hybridMultilevel"/>
    <w:lvl w:ilvl="0">
      <w:lvlJc w:val="left"/>
      <w:lvlText w:val="(%1)"/>
      <w:numFmt w:val="lowerRoman"/>
      <w:start w:val="1"/>
    </w:lvl>
  </w:abstractNum>
  <w:abstractNum w:abstractNumId="134">
    <w:nsid w:val="6F38E6D1"/>
    <w:multiLevelType w:val="hybridMultilevel"/>
    <w:lvl w:ilvl="0">
      <w:lvlJc w:val="left"/>
      <w:lvlText w:val="(%1)"/>
      <w:numFmt w:val="lowerRoman"/>
      <w:start w:val="1"/>
    </w:lvl>
  </w:abstractNum>
  <w:abstractNum w:abstractNumId="135">
    <w:nsid w:val="46111BA5"/>
    <w:multiLevelType w:val="hybridMultilevel"/>
    <w:lvl w:ilvl="0">
      <w:lvlJc w:val="left"/>
      <w:lvlText w:val="(%1)"/>
      <w:numFmt w:val="lowerRoman"/>
      <w:start w:val="1"/>
    </w:lvl>
  </w:abstractNum>
  <w:abstractNum w:abstractNumId="136">
    <w:nsid w:val="5E963896"/>
    <w:multiLevelType w:val="hybridMultilevel"/>
    <w:lvl w:ilvl="0">
      <w:lvlJc w:val="left"/>
      <w:lvlText w:val="(%1)"/>
      <w:numFmt w:val="lowerRoman"/>
      <w:start w:val="1"/>
    </w:lvl>
  </w:abstractNum>
  <w:abstractNum w:abstractNumId="137">
    <w:nsid w:val="775BA7C1"/>
    <w:multiLevelType w:val="hybridMultilevel"/>
    <w:lvl w:ilvl="0">
      <w:lvlJc w:val="left"/>
      <w:lvlText w:val="(%1)"/>
      <w:numFmt w:val="lowerRoman"/>
      <w:start w:val="1"/>
    </w:lvl>
  </w:abstractNum>
  <w:abstractNum w:abstractNumId="138">
    <w:nsid w:val="1DD6D6F4"/>
    <w:multiLevelType w:val="hybridMultilevel"/>
    <w:lvl w:ilvl="0">
      <w:lvlJc w:val="left"/>
      <w:lvlText w:val="(%1)"/>
      <w:numFmt w:val="lowerRoman"/>
      <w:start w:val="1"/>
    </w:lvl>
  </w:abstractNum>
  <w:abstractNum w:abstractNumId="139">
    <w:nsid w:val="769A091F"/>
    <w:multiLevelType w:val="hybridMultilevel"/>
    <w:lvl w:ilvl="0">
      <w:lvlJc w:val="left"/>
      <w:lvlText w:val="(%1)"/>
      <w:numFmt w:val="lowerRoman"/>
      <w:start w:val="1"/>
    </w:lvl>
  </w:abstractNum>
  <w:abstractNum w:abstractNumId="140">
    <w:nsid w:val="4695AE95"/>
    <w:multiLevelType w:val="hybridMultilevel"/>
    <w:lvl w:ilvl="0">
      <w:lvlJc w:val="left"/>
      <w:lvlText w:val="(%1)"/>
      <w:numFmt w:val="lowerRoman"/>
      <w:start w:val="1"/>
    </w:lvl>
  </w:abstractNum>
  <w:abstractNum w:abstractNumId="141">
    <w:nsid w:val="777A4EAA"/>
    <w:multiLevelType w:val="hybridMultilevel"/>
    <w:lvl w:ilvl="0">
      <w:lvlJc w:val="left"/>
      <w:lvlText w:val="(%1)"/>
      <w:numFmt w:val="lowerRoman"/>
      <w:start w:val="1"/>
    </w:lvl>
  </w:abstractNum>
  <w:abstractNum w:abstractNumId="142">
    <w:nsid w:val="3F48B982"/>
    <w:multiLevelType w:val="hybridMultilevel"/>
    <w:lvl w:ilvl="0">
      <w:lvlJc w:val="left"/>
      <w:lvlText w:val="(%1)"/>
      <w:numFmt w:val="lowerRoman"/>
      <w:start w:val="1"/>
    </w:lvl>
  </w:abstractNum>
  <w:abstractNum w:abstractNumId="143">
    <w:nsid w:val="46BA8FCA"/>
    <w:multiLevelType w:val="hybridMultilevel"/>
    <w:lvl w:ilvl="0">
      <w:lvlJc w:val="left"/>
      <w:lvlText w:val="(%1)"/>
      <w:numFmt w:val="lowerRoman"/>
      <w:start w:val="1"/>
    </w:lvl>
  </w:abstractNum>
  <w:abstractNum w:abstractNumId="144">
    <w:nsid w:val="7835626C"/>
    <w:multiLevelType w:val="hybridMultilevel"/>
    <w:lvl w:ilvl="0">
      <w:lvlJc w:val="left"/>
      <w:lvlText w:val="(%1)"/>
      <w:numFmt w:val="lowerRoman"/>
      <w:start w:val="1"/>
    </w:lvl>
  </w:abstractNum>
  <w:abstractNum w:abstractNumId="145">
    <w:nsid w:val="665ACA49"/>
    <w:multiLevelType w:val="hybridMultilevel"/>
    <w:lvl w:ilvl="0">
      <w:lvlJc w:val="left"/>
      <w:lvlText w:val="(%1)"/>
      <w:numFmt w:val="lowerRoman"/>
      <w:start w:val="1"/>
    </w:lvl>
  </w:abstractNum>
  <w:abstractNum w:abstractNumId="146">
    <w:nsid w:val="6835B2AE"/>
    <w:multiLevelType w:val="hybridMultilevel"/>
    <w:lvl w:ilvl="0">
      <w:lvlJc w:val="left"/>
      <w:lvlText w:val="(%1)"/>
      <w:numFmt w:val="lowerRoman"/>
      <w:start w:val="1"/>
    </w:lvl>
  </w:abstractNum>
  <w:abstractNum w:abstractNumId="147">
    <w:nsid w:val="4C187C90"/>
    <w:multiLevelType w:val="hybridMultilevel"/>
    <w:lvl w:ilvl="0">
      <w:lvlJc w:val="left"/>
      <w:lvlText w:val="(%1)"/>
      <w:numFmt w:val="lowerRoman"/>
      <w:start w:val="1"/>
    </w:lvl>
  </w:abstractNum>
  <w:abstractNum w:abstractNumId="148">
    <w:nsid w:val="541F28CD"/>
    <w:multiLevelType w:val="hybridMultilevel"/>
    <w:lvl w:ilvl="0">
      <w:lvlJc w:val="left"/>
      <w:lvlText w:val="(%1)"/>
      <w:numFmt w:val="lowerRoman"/>
      <w:start w:val="1"/>
    </w:lvl>
  </w:abstractNum>
  <w:abstractNum w:abstractNumId="149">
    <w:nsid w:val="7F65FD16"/>
    <w:multiLevelType w:val="hybridMultilevel"/>
    <w:lvl w:ilvl="0">
      <w:lvlJc w:val="left"/>
      <w:lvlText w:val="(%1)"/>
      <w:numFmt w:val="lowerRoman"/>
      <w:start w:val="1"/>
    </w:lvl>
  </w:abstractNum>
  <w:abstractNum w:abstractNumId="150">
    <w:nsid w:val="77C9FD68"/>
    <w:multiLevelType w:val="hybridMultilevel"/>
    <w:lvl w:ilvl="0">
      <w:lvlJc w:val="left"/>
      <w:lvlText w:val="(%1)"/>
      <w:numFmt w:val="lowerRoman"/>
      <w:start w:val="1"/>
    </w:lvl>
  </w:abstractNum>
  <w:abstractNum w:abstractNumId="151">
    <w:nsid w:val="298A92BA"/>
    <w:multiLevelType w:val="hybridMultilevel"/>
    <w:lvl w:ilvl="0">
      <w:lvlJc w:val="left"/>
      <w:lvlText w:val="(%1)"/>
      <w:numFmt w:val="lowerRoman"/>
      <w:start w:val="1"/>
    </w:lvl>
  </w:abstractNum>
  <w:abstractNum w:abstractNumId="152">
    <w:nsid w:val="6FE95EAC"/>
    <w:multiLevelType w:val="hybridMultilevel"/>
    <w:lvl w:ilvl="0">
      <w:lvlJc w:val="left"/>
      <w:lvlText w:val="(%1)"/>
      <w:numFmt w:val="lowerRoman"/>
      <w:start w:val="1"/>
    </w:lvl>
  </w:abstractNum>
  <w:abstractNum w:abstractNumId="153">
    <w:nsid w:val="4B697C7A"/>
    <w:multiLevelType w:val="hybridMultilevel"/>
    <w:lvl w:ilvl="0">
      <w:lvlJc w:val="left"/>
      <w:lvlText w:val="(%1)"/>
      <w:numFmt w:val="lowerRoman"/>
      <w:start w:val="1"/>
    </w:lvl>
  </w:abstractNum>
  <w:abstractNum w:abstractNumId="154">
    <w:nsid w:val="51A27AA6"/>
    <w:multiLevelType w:val="hybridMultilevel"/>
    <w:lvl w:ilvl="0">
      <w:lvlJc w:val="left"/>
      <w:lvlText w:val="(%1)"/>
      <w:numFmt w:val="lowerRoman"/>
      <w:start w:val="1"/>
    </w:lvl>
  </w:abstractNum>
  <w:abstractNum w:abstractNumId="155">
    <w:nsid w:val="613183F2"/>
    <w:multiLevelType w:val="hybridMultilevel"/>
    <w:lvl w:ilvl="0">
      <w:lvlJc w:val="left"/>
      <w:lvlText w:val="(%1)"/>
      <w:numFmt w:val="lowerRoman"/>
      <w:start w:val="1"/>
    </w:lvl>
  </w:abstractNum>
  <w:abstractNum w:abstractNumId="156">
    <w:nsid w:val="634102B4"/>
    <w:multiLevelType w:val="hybridMultilevel"/>
    <w:lvl w:ilvl="0">
      <w:lvlJc w:val="left"/>
      <w:lvlText w:val="(%1)"/>
      <w:numFmt w:val="lowerRoman"/>
      <w:start w:val="1"/>
    </w:lvl>
  </w:abstractNum>
  <w:abstractNum w:abstractNumId="157">
    <w:nsid w:val="65BF9DA8"/>
    <w:multiLevelType w:val="hybridMultilevel"/>
    <w:lvl w:ilvl="0">
      <w:lvlJc w:val="left"/>
      <w:lvlText w:val="(%1)"/>
      <w:numFmt w:val="lowerRoman"/>
      <w:start w:val="1"/>
    </w:lvl>
  </w:abstractNum>
  <w:abstractNum w:abstractNumId="158">
    <w:nsid w:val="21A2ECCA"/>
    <w:multiLevelType w:val="hybridMultilevel"/>
    <w:lvl w:ilvl="0">
      <w:lvlJc w:val="left"/>
      <w:lvlText w:val="(%1)"/>
      <w:numFmt w:val="lowerRoman"/>
      <w:start w:val="1"/>
    </w:lvl>
  </w:abstractNum>
  <w:abstractNum w:abstractNumId="159">
    <w:nsid w:val="4D5C4899"/>
    <w:multiLevelType w:val="hybridMultilevel"/>
    <w:lvl w:ilvl="0">
      <w:lvlJc w:val="left"/>
      <w:lvlText w:val="(%1)"/>
      <w:numFmt w:val="lowerRoman"/>
      <w:start w:val="1"/>
    </w:lvl>
  </w:abstractNum>
  <w:abstractNum w:abstractNumId="160">
    <w:nsid w:val="3C3B72B2"/>
    <w:multiLevelType w:val="hybridMultilevel"/>
    <w:lvl w:ilvl="0">
      <w:lvlJc w:val="left"/>
      <w:lvlText w:val="(%1)"/>
      <w:numFmt w:val="lowerRoman"/>
      <w:start w:val="1"/>
    </w:lvl>
  </w:abstractNum>
  <w:abstractNum w:abstractNumId="161">
    <w:nsid w:val="155EC4C2"/>
    <w:multiLevelType w:val="hybridMultilevel"/>
    <w:lvl w:ilvl="0">
      <w:lvlJc w:val="left"/>
      <w:lvlText w:val="(%1)"/>
      <w:numFmt w:val="lowerRoman"/>
      <w:start w:val="1"/>
    </w:lvl>
  </w:abstractNum>
  <w:abstractNum w:abstractNumId="162">
    <w:nsid w:val="65D2A137"/>
    <w:multiLevelType w:val="hybridMultilevel"/>
    <w:lvl w:ilvl="0">
      <w:lvlJc w:val="left"/>
      <w:lvlText w:val="(%1)"/>
      <w:numFmt w:val="lowerRoman"/>
      <w:start w:val="1"/>
    </w:lvl>
  </w:abstractNum>
  <w:abstractNum w:abstractNumId="163">
    <w:nsid w:val="6EBB1F2A"/>
    <w:multiLevelType w:val="hybridMultilevel"/>
    <w:lvl w:ilvl="0">
      <w:lvlJc w:val="left"/>
      <w:lvlText w:val="(%1)"/>
      <w:numFmt w:val="lowerRoman"/>
      <w:start w:val="1"/>
    </w:lvl>
  </w:abstractNum>
  <w:abstractNum w:abstractNumId="164">
    <w:nsid w:val="6FBF29CB"/>
    <w:multiLevelType w:val="hybridMultilevel"/>
    <w:lvl w:ilvl="0">
      <w:lvlJc w:val="left"/>
      <w:lvlText w:val="(%1)"/>
      <w:numFmt w:val="lowerRoman"/>
      <w:start w:val="1"/>
    </w:lvl>
  </w:abstractNum>
  <w:abstractNum w:abstractNumId="165">
    <w:nsid w:val="550B8808"/>
    <w:multiLevelType w:val="hybridMultilevel"/>
    <w:lvl w:ilvl="0">
      <w:lvlJc w:val="left"/>
      <w:lvlText w:val="(%1)"/>
      <w:numFmt w:val="lowerRoman"/>
      <w:start w:val="1"/>
    </w:lvl>
  </w:abstractNum>
  <w:abstractNum w:abstractNumId="166">
    <w:nsid w:val="34CC3ACF"/>
    <w:multiLevelType w:val="hybridMultilevel"/>
    <w:lvl w:ilvl="0">
      <w:lvlJc w:val="left"/>
      <w:lvlText w:val="(%1)"/>
      <w:numFmt w:val="lowerRoman"/>
      <w:start w:val="1"/>
    </w:lvl>
  </w:abstractNum>
  <w:abstractNum w:abstractNumId="167">
    <w:nsid w:val="4E556261"/>
    <w:multiLevelType w:val="hybridMultilevel"/>
    <w:lvl w:ilvl="0">
      <w:lvlJc w:val="left"/>
      <w:lvlText w:val="(%1)"/>
      <w:numFmt w:val="lowerRoman"/>
      <w:start w:val="1"/>
    </w:lvl>
  </w:abstractNum>
  <w:abstractNum w:abstractNumId="168">
    <w:nsid w:val="4C672FC9"/>
    <w:multiLevelType w:val="hybridMultilevel"/>
    <w:lvl w:ilvl="0">
      <w:lvlJc w:val="left"/>
      <w:lvlText w:val="(%1)"/>
      <w:numFmt w:val="lowerRoman"/>
      <w:start w:val="1"/>
    </w:lvl>
  </w:abstractNum>
  <w:abstractNum w:abstractNumId="169">
    <w:nsid w:val="52A311C3"/>
    <w:multiLevelType w:val="hybridMultilevel"/>
    <w:lvl w:ilvl="0">
      <w:lvlJc w:val="left"/>
      <w:lvlText w:val="(%1)"/>
      <w:numFmt w:val="lowerRoman"/>
      <w:start w:val="1"/>
    </w:lvl>
  </w:abstractNum>
  <w:abstractNum w:abstractNumId="170">
    <w:nsid w:val="44EF6B80"/>
    <w:multiLevelType w:val="hybridMultilevel"/>
    <w:lvl w:ilvl="0">
      <w:lvlJc w:val="left"/>
      <w:lvlText w:val="(%1)"/>
      <w:numFmt w:val="lowerRoman"/>
      <w:start w:val="1"/>
    </w:lvl>
  </w:abstractNum>
  <w:abstractNum w:abstractNumId="171">
    <w:nsid w:val="12FCDE5E"/>
    <w:multiLevelType w:val="hybridMultilevel"/>
    <w:lvl w:ilvl="0">
      <w:lvlJc w:val="left"/>
      <w:lvlText w:val="(%1)"/>
      <w:numFmt w:val="lowerRoman"/>
      <w:start w:val="1"/>
    </w:lvl>
  </w:abstractNum>
  <w:abstractNum w:abstractNumId="172">
    <w:nsid w:val="4A1D606E"/>
    <w:multiLevelType w:val="hybridMultilevel"/>
    <w:lvl w:ilvl="0">
      <w:lvlJc w:val="left"/>
      <w:lvlText w:val="(%1)"/>
      <w:numFmt w:val="lowerRoman"/>
      <w:start w:val="1"/>
    </w:lvl>
  </w:abstractNum>
  <w:abstractNum w:abstractNumId="173">
    <w:nsid w:val="4382503"/>
    <w:multiLevelType w:val="hybridMultilevel"/>
    <w:lvl w:ilvl="0">
      <w:lvlJc w:val="left"/>
      <w:lvlText w:val="(%1)"/>
      <w:numFmt w:val="lowerRoman"/>
      <w:start w:val="1"/>
    </w:lvl>
  </w:abstractNum>
  <w:abstractNum w:abstractNumId="174">
    <w:nsid w:val="59B76E28"/>
    <w:multiLevelType w:val="hybridMultilevel"/>
    <w:lvl w:ilvl="0">
      <w:lvlJc w:val="left"/>
      <w:lvlText w:val="(%1)"/>
      <w:numFmt w:val="lowerRoman"/>
      <w:start w:val="1"/>
    </w:lvl>
  </w:abstractNum>
  <w:abstractNum w:abstractNumId="175">
    <w:nsid w:val="4252C2DA"/>
    <w:multiLevelType w:val="hybridMultilevel"/>
    <w:lvl w:ilvl="0">
      <w:lvlJc w:val="left"/>
      <w:lvlText w:val="(%1)"/>
      <w:numFmt w:val="lowerRoman"/>
      <w:start w:val="1"/>
    </w:lvl>
  </w:abstractNum>
  <w:abstractNum w:abstractNumId="176">
    <w:nsid w:val="6A92EF4C"/>
    <w:multiLevelType w:val="hybridMultilevel"/>
    <w:lvl w:ilvl="0">
      <w:lvlJc w:val="left"/>
      <w:lvlText w:val="(%1)"/>
      <w:numFmt w:val="lowerRoman"/>
      <w:start w:val="1"/>
    </w:lvl>
  </w:abstractNum>
  <w:abstractNum w:abstractNumId="177">
    <w:nsid w:val="41ED20D7"/>
    <w:multiLevelType w:val="hybridMultilevel"/>
    <w:lvl w:ilvl="0">
      <w:lvlJc w:val="left"/>
      <w:lvlText w:val="(%1)"/>
      <w:numFmt w:val="lowerRoman"/>
      <w:start w:val="1"/>
    </w:lvl>
  </w:abstractNum>
  <w:abstractNum w:abstractNumId="178">
    <w:nsid w:val="E6B3F6A"/>
    <w:multiLevelType w:val="hybridMultilevel"/>
    <w:lvl w:ilvl="0">
      <w:lvlJc w:val="left"/>
      <w:lvlText w:val="(%1)"/>
      <w:numFmt w:val="lowerRoman"/>
      <w:start w:val="1"/>
    </w:lvl>
  </w:abstractNum>
  <w:abstractNum w:abstractNumId="179">
    <w:nsid w:val="3EB21819"/>
    <w:multiLevelType w:val="hybridMultilevel"/>
    <w:lvl w:ilvl="0">
      <w:lvlJc w:val="left"/>
      <w:lvlText w:val="(%1)"/>
      <w:numFmt w:val="lowerRoman"/>
      <w:start w:val="1"/>
    </w:lvl>
  </w:abstractNum>
  <w:abstractNum w:abstractNumId="180">
    <w:nsid w:val="41531DED"/>
    <w:multiLevelType w:val="hybridMultilevel"/>
    <w:lvl w:ilvl="0">
      <w:lvlJc w:val="left"/>
      <w:lvlText w:val="(%1)"/>
      <w:numFmt w:val="lowerRoman"/>
      <w:start w:val="1"/>
    </w:lvl>
  </w:abstractNum>
  <w:abstractNum w:abstractNumId="181">
    <w:nsid w:val="6353CD2"/>
    <w:multiLevelType w:val="hybridMultilevel"/>
    <w:lvl w:ilvl="0">
      <w:lvlJc w:val="left"/>
      <w:lvlText w:val="(%1)"/>
      <w:numFmt w:val="lowerRoman"/>
      <w:start w:val="1"/>
    </w:lvl>
  </w:abstractNum>
  <w:abstractNum w:abstractNumId="182">
    <w:nsid w:val="683CAAD3"/>
    <w:multiLevelType w:val="hybridMultilevel"/>
    <w:lvl w:ilvl="0">
      <w:lvlJc w:val="left"/>
      <w:lvlText w:val="(%1)"/>
      <w:numFmt w:val="lowerRoman"/>
      <w:start w:val="1"/>
    </w:lvl>
  </w:abstractNum>
  <w:abstractNum w:abstractNumId="183">
    <w:nsid w:val="313C7C99"/>
    <w:multiLevelType w:val="hybridMultilevel"/>
    <w:lvl w:ilvl="0">
      <w:lvlJc w:val="left"/>
      <w:lvlText w:val="(%1)"/>
      <w:numFmt w:val="lowerRoman"/>
      <w:start w:val="1"/>
    </w:lvl>
  </w:abstractNum>
  <w:abstractNum w:abstractNumId="184">
    <w:nsid w:val="519EB94C"/>
    <w:multiLevelType w:val="hybridMultilevel"/>
    <w:lvl w:ilvl="0">
      <w:lvlJc w:val="left"/>
      <w:lvlText w:val="(%1)"/>
      <w:numFmt w:val="lowerRoman"/>
      <w:start w:val="1"/>
    </w:lvl>
  </w:abstractNum>
  <w:abstractNum w:abstractNumId="185">
    <w:nsid w:val="39DF2579"/>
    <w:multiLevelType w:val="hybridMultilevel"/>
    <w:lvl w:ilvl="0">
      <w:lvlJc w:val="left"/>
      <w:lvlText w:val="(%1)"/>
      <w:numFmt w:val="lowerRoman"/>
      <w:start w:val="1"/>
    </w:lvl>
  </w:abstractNum>
  <w:abstractNum w:abstractNumId="186">
    <w:nsid w:val="126E008B"/>
    <w:multiLevelType w:val="hybridMultilevel"/>
    <w:lvl w:ilvl="0">
      <w:lvlJc w:val="left"/>
      <w:lvlText w:val="(%1)"/>
      <w:numFmt w:val="lowerRoman"/>
      <w:start w:val="1"/>
    </w:lvl>
  </w:abstractNum>
  <w:abstractNum w:abstractNumId="187">
    <w:nsid w:val="34DFBC00"/>
    <w:multiLevelType w:val="hybridMultilevel"/>
    <w:lvl w:ilvl="0">
      <w:lvlJc w:val="left"/>
      <w:lvlText w:val="(%1)"/>
      <w:numFmt w:val="lowerRoman"/>
      <w:start w:val="1"/>
    </w:lvl>
  </w:abstractNum>
  <w:abstractNum w:abstractNumId="188">
    <w:nsid w:val="1F9EC322"/>
    <w:multiLevelType w:val="hybridMultilevel"/>
    <w:lvl w:ilvl="0">
      <w:lvlJc w:val="left"/>
      <w:lvlText w:val="(%1)"/>
      <w:numFmt w:val="lowerRoman"/>
      <w:start w:val="1"/>
    </w:lvl>
  </w:abstractNum>
  <w:abstractNum w:abstractNumId="189">
    <w:nsid w:val="3410ED56"/>
    <w:multiLevelType w:val="hybridMultilevel"/>
    <w:lvl w:ilvl="0">
      <w:lvlJc w:val="left"/>
      <w:lvlText w:val="(%1)"/>
      <w:numFmt w:val="lowerRoman"/>
      <w:start w:val="1"/>
    </w:lvl>
  </w:abstractNum>
  <w:abstractNum w:abstractNumId="190">
    <w:nsid w:val="23C049A"/>
    <w:multiLevelType w:val="hybridMultilevel"/>
    <w:lvl w:ilvl="0">
      <w:lvlJc w:val="left"/>
      <w:lvlText w:val="(%1)"/>
      <w:numFmt w:val="lowerRoman"/>
      <w:start w:val="1"/>
    </w:lvl>
  </w:abstractNum>
  <w:abstractNum w:abstractNumId="191">
    <w:nsid w:val="5BDA35D4"/>
    <w:multiLevelType w:val="hybridMultilevel"/>
    <w:lvl w:ilvl="0">
      <w:lvlJc w:val="left"/>
      <w:lvlText w:val="(%1)"/>
      <w:numFmt w:val="lowerRoman"/>
      <w:start w:val="1"/>
    </w:lvl>
  </w:abstractNum>
  <w:abstractNum w:abstractNumId="192">
    <w:nsid w:val="496FB218"/>
    <w:multiLevelType w:val="hybridMultilevel"/>
    <w:lvl w:ilvl="0">
      <w:lvlJc w:val="left"/>
      <w:lvlText w:val="(%1)"/>
      <w:numFmt w:val="lowerRoman"/>
      <w:start w:val="1"/>
    </w:lvl>
  </w:abstractNum>
  <w:abstractNum w:abstractNumId="193">
    <w:nsid w:val="680EA5D1"/>
    <w:multiLevelType w:val="hybridMultilevel"/>
    <w:lvl w:ilvl="0">
      <w:lvlJc w:val="left"/>
      <w:lvlText w:val="(%1)"/>
      <w:numFmt w:val="lowerRoman"/>
      <w:start w:val="1"/>
    </w:lvl>
  </w:abstractNum>
  <w:abstractNum w:abstractNumId="194">
    <w:nsid w:val="4A9554FE"/>
    <w:multiLevelType w:val="hybridMultilevel"/>
    <w:lvl w:ilvl="0">
      <w:lvlJc w:val="left"/>
      <w:lvlText w:val="(%1)"/>
      <w:numFmt w:val="lowerRoman"/>
      <w:start w:val="1"/>
    </w:lvl>
  </w:abstractNum>
  <w:abstractNum w:abstractNumId="195">
    <w:nsid w:val="392EDBE4"/>
    <w:multiLevelType w:val="hybridMultilevel"/>
    <w:lvl w:ilvl="0">
      <w:lvlJc w:val="left"/>
      <w:lvlText w:val="(%1)"/>
      <w:numFmt w:val="lowerRoman"/>
      <w:start w:val="1"/>
    </w:lvl>
  </w:abstractNum>
  <w:abstractNum w:abstractNumId="196">
    <w:nsid w:val="3D1A2DD9"/>
    <w:multiLevelType w:val="hybridMultilevel"/>
    <w:lvl w:ilvl="0">
      <w:lvlJc w:val="left"/>
      <w:lvlText w:val="(%1)"/>
      <w:numFmt w:val="lowerRoman"/>
      <w:start w:val="1"/>
    </w:lvl>
  </w:abstractNum>
  <w:abstractNum w:abstractNumId="197">
    <w:nsid w:val="7F618FCD"/>
    <w:multiLevelType w:val="hybridMultilevel"/>
    <w:lvl w:ilvl="0">
      <w:lvlJc w:val="left"/>
      <w:lvlText w:val="(%1)"/>
      <w:numFmt w:val="lowerRoman"/>
      <w:start w:val="1"/>
    </w:lvl>
  </w:abstractNum>
  <w:abstractNum w:abstractNumId="198">
    <w:nsid w:val="7843E45"/>
    <w:multiLevelType w:val="hybridMultilevel"/>
    <w:lvl w:ilvl="0">
      <w:lvlJc w:val="left"/>
      <w:lvlText w:val="(%1)"/>
      <w:numFmt w:val="lowerRoman"/>
      <w:start w:val="1"/>
    </w:lvl>
  </w:abstractNum>
  <w:abstractNum w:abstractNumId="199">
    <w:nsid w:val="9815DA3"/>
    <w:multiLevelType w:val="hybridMultilevel"/>
    <w:lvl w:ilvl="0">
      <w:lvlJc w:val="left"/>
      <w:lvlText w:val="(%1)"/>
      <w:numFmt w:val="lowerRoman"/>
      <w:start w:val="1"/>
    </w:lvl>
  </w:abstractNum>
  <w:abstractNum w:abstractNumId="200">
    <w:nsid w:val="5204A191"/>
    <w:multiLevelType w:val="hybridMultilevel"/>
    <w:lvl w:ilvl="0">
      <w:lvlJc w:val="left"/>
      <w:lvlText w:val="(%1)"/>
      <w:numFmt w:val="lowerRoman"/>
      <w:start w:val="1"/>
    </w:lvl>
  </w:abstractNum>
  <w:abstractNum w:abstractNumId="201">
    <w:nsid w:val="4C73A9C6"/>
    <w:multiLevelType w:val="hybridMultilevel"/>
    <w:lvl w:ilvl="0">
      <w:lvlJc w:val="left"/>
      <w:lvlText w:val="(%1)"/>
      <w:numFmt w:val="lowerRoman"/>
      <w:start w:val="1"/>
    </w:lvl>
  </w:abstractNum>
  <w:abstractNum w:abstractNumId="202">
    <w:nsid w:val="1C7E3C01"/>
    <w:multiLevelType w:val="hybridMultilevel"/>
    <w:lvl w:ilvl="0">
      <w:lvlJc w:val="left"/>
      <w:lvlText w:val="(%1)"/>
      <w:numFmt w:val="lowerRoman"/>
      <w:start w:val="1"/>
    </w:lvl>
  </w:abstractNum>
  <w:abstractNum w:abstractNumId="203">
    <w:nsid w:val="1C2201FF"/>
    <w:multiLevelType w:val="hybridMultilevel"/>
    <w:lvl w:ilvl="0">
      <w:lvlJc w:val="left"/>
      <w:lvlText w:val="(%1)"/>
      <w:numFmt w:val="lowerRoman"/>
      <w:start w:val="1"/>
    </w:lvl>
  </w:abstractNum>
  <w:abstractNum w:abstractNumId="204">
    <w:nsid w:val="50ABCEC9"/>
    <w:multiLevelType w:val="hybridMultilevel"/>
    <w:lvl w:ilvl="0">
      <w:lvlJc w:val="left"/>
      <w:lvlText w:val="(%1)"/>
      <w:numFmt w:val="lowerRoman"/>
      <w:start w:val="1"/>
    </w:lvl>
  </w:abstractNum>
  <w:abstractNum w:abstractNumId="205">
    <w:nsid w:val="7635AA2A"/>
    <w:multiLevelType w:val="hybridMultilevel"/>
    <w:lvl w:ilvl="0">
      <w:lvlJc w:val="left"/>
      <w:lvlText w:val="(%1)"/>
      <w:numFmt w:val="lowerRoman"/>
      <w:start w:val="1"/>
    </w:lvl>
  </w:abstractNum>
  <w:abstractNum w:abstractNumId="206">
    <w:nsid w:val="5E74C4D9"/>
    <w:multiLevelType w:val="hybridMultilevel"/>
    <w:lvl w:ilvl="0">
      <w:lvlJc w:val="left"/>
      <w:lvlText w:val="(%1)"/>
      <w:numFmt w:val="lowerRoman"/>
      <w:start w:val="1"/>
    </w:lvl>
  </w:abstractNum>
  <w:abstractNum w:abstractNumId="207">
    <w:nsid w:val="3B3EBE15"/>
    <w:multiLevelType w:val="hybridMultilevel"/>
    <w:lvl w:ilvl="0">
      <w:lvlJc w:val="left"/>
      <w:lvlText w:val="(%1)"/>
      <w:numFmt w:val="lowerRoman"/>
      <w:start w:val="1"/>
    </w:lvl>
  </w:abstractNum>
  <w:abstractNum w:abstractNumId="208">
    <w:nsid w:val="3822CB01"/>
    <w:multiLevelType w:val="hybridMultilevel"/>
    <w:lvl w:ilvl="0">
      <w:lvlJc w:val="left"/>
      <w:lvlText w:val="(%1)"/>
      <w:numFmt w:val="lowerRoman"/>
      <w:start w:val="1"/>
    </w:lvl>
  </w:abstractNum>
  <w:abstractNum w:abstractNumId="209">
    <w:nsid w:val="6CE00443"/>
    <w:multiLevelType w:val="hybridMultilevel"/>
    <w:lvl w:ilvl="0">
      <w:lvlJc w:val="left"/>
      <w:lvlText w:val="(%1)"/>
      <w:numFmt w:val="lowerRoman"/>
      <w:start w:val="1"/>
    </w:lvl>
  </w:abstractNum>
  <w:abstractNum w:abstractNumId="210">
    <w:nsid w:val="79F0D62F"/>
    <w:multiLevelType w:val="hybridMultilevel"/>
    <w:lvl w:ilvl="0">
      <w:lvlJc w:val="left"/>
      <w:lvlText w:val="(%1)"/>
      <w:numFmt w:val="lowerRoman"/>
      <w:start w:val="1"/>
    </w:lvl>
  </w:abstractNum>
  <w:abstractNum w:abstractNumId="211">
    <w:nsid w:val="7975E8EE"/>
    <w:multiLevelType w:val="hybridMultilevel"/>
    <w:lvl w:ilvl="0">
      <w:lvlJc w:val="left"/>
      <w:lvlText w:val="(%1)"/>
      <w:numFmt w:val="lowerRoman"/>
      <w:start w:val="1"/>
    </w:lvl>
  </w:abstractNum>
  <w:abstractNum w:abstractNumId="212">
    <w:nsid w:val="73154115"/>
    <w:multiLevelType w:val="hybridMultilevel"/>
    <w:lvl w:ilvl="0">
      <w:lvlJc w:val="left"/>
      <w:lvlText w:val="(%1)"/>
      <w:numFmt w:val="lowerRoman"/>
      <w:start w:val="1"/>
    </w:lvl>
  </w:abstractNum>
  <w:abstractNum w:abstractNumId="213">
    <w:nsid w:val="622D8102"/>
    <w:multiLevelType w:val="hybridMultilevel"/>
    <w:lvl w:ilvl="0">
      <w:lvlJc w:val="left"/>
      <w:lvlText w:val="(%1)"/>
      <w:numFmt w:val="lowerRoman"/>
      <w:start w:val="1"/>
    </w:lvl>
  </w:abstractNum>
  <w:abstractNum w:abstractNumId="214">
    <w:nsid w:val="2AB26587"/>
    <w:multiLevelType w:val="hybridMultilevel"/>
    <w:lvl w:ilvl="0">
      <w:lvlJc w:val="left"/>
      <w:lvlText w:val="(%1)"/>
      <w:numFmt w:val="lowerRoman"/>
      <w:start w:val="1"/>
    </w:lvl>
  </w:abstractNum>
  <w:abstractNum w:abstractNumId="215">
    <w:nsid w:val="44B3FA61"/>
    <w:multiLevelType w:val="hybridMultilevel"/>
    <w:lvl w:ilvl="0">
      <w:lvlJc w:val="left"/>
      <w:lvlText w:val="(%1)"/>
      <w:numFmt w:val="lowerRoman"/>
      <w:start w:val="1"/>
    </w:lvl>
  </w:abstractNum>
  <w:abstractNum w:abstractNumId="216">
    <w:nsid w:val="1C0CA67C"/>
    <w:multiLevelType w:val="hybridMultilevel"/>
    <w:lvl w:ilvl="0">
      <w:lvlJc w:val="left"/>
      <w:lvlText w:val="(%1)"/>
      <w:numFmt w:val="lowerRoman"/>
      <w:start w:val="1"/>
    </w:lvl>
  </w:abstractNum>
  <w:abstractNum w:abstractNumId="217">
    <w:nsid w:val="3D206613"/>
    <w:multiLevelType w:val="hybridMultilevel"/>
    <w:lvl w:ilvl="0">
      <w:lvlJc w:val="left"/>
      <w:lvlText w:val="(%1)"/>
      <w:numFmt w:val="lowerRoman"/>
      <w:start w:val="1"/>
    </w:lvl>
  </w:abstractNum>
  <w:abstractNum w:abstractNumId="218">
    <w:nsid w:val="7993B662"/>
    <w:multiLevelType w:val="hybridMultilevel"/>
    <w:lvl w:ilvl="0">
      <w:lvlJc w:val="left"/>
      <w:lvlText w:val="(%1)"/>
      <w:numFmt w:val="lowerRoman"/>
      <w:start w:val="1"/>
    </w:lvl>
  </w:abstractNum>
  <w:abstractNum w:abstractNumId="219">
    <w:nsid w:val="3BAB699E"/>
    <w:multiLevelType w:val="hybridMultilevel"/>
    <w:lvl w:ilvl="0">
      <w:lvlJc w:val="left"/>
      <w:lvlText w:val="(%1)"/>
      <w:numFmt w:val="lowerRoman"/>
      <w:start w:val="1"/>
    </w:lvl>
  </w:abstractNum>
  <w:abstractNum w:abstractNumId="220">
    <w:nsid w:val="71315369"/>
    <w:multiLevelType w:val="hybridMultilevel"/>
    <w:lvl w:ilvl="0">
      <w:lvlJc w:val="left"/>
      <w:lvlText w:val="(%1)"/>
      <w:numFmt w:val="lowerRoman"/>
      <w:start w:val="1"/>
    </w:lvl>
  </w:abstractNum>
  <w:abstractNum w:abstractNumId="221">
    <w:nsid w:val="7BCFBAFC"/>
    <w:multiLevelType w:val="hybridMultilevel"/>
    <w:lvl w:ilvl="0">
      <w:lvlJc w:val="left"/>
      <w:lvlText w:val="(%1)"/>
      <w:numFmt w:val="lowerRoman"/>
      <w:start w:val="1"/>
    </w:lvl>
  </w:abstractNum>
  <w:abstractNum w:abstractNumId="222">
    <w:nsid w:val="17859F72"/>
    <w:multiLevelType w:val="hybridMultilevel"/>
    <w:lvl w:ilvl="0">
      <w:lvlJc w:val="left"/>
      <w:lvlText w:val="(%1)"/>
      <w:numFmt w:val="lowerRoman"/>
      <w:start w:val="1"/>
    </w:lvl>
  </w:abstractNum>
  <w:abstractNum w:abstractNumId="223">
    <w:nsid w:val="3AA10581"/>
    <w:multiLevelType w:val="hybridMultilevel"/>
    <w:lvl w:ilvl="0">
      <w:lvlJc w:val="left"/>
      <w:lvlText w:val="(%1)"/>
      <w:numFmt w:val="lowerRoman"/>
      <w:start w:val="1"/>
    </w:lvl>
  </w:abstractNum>
  <w:abstractNum w:abstractNumId="224">
    <w:nsid w:val="63DE60CD"/>
    <w:multiLevelType w:val="hybridMultilevel"/>
    <w:lvl w:ilvl="0">
      <w:lvlJc w:val="left"/>
      <w:lvlText w:val="(%1)"/>
      <w:numFmt w:val="lowerRoman"/>
      <w:start w:val="1"/>
    </w:lvl>
  </w:abstractNum>
  <w:abstractNum w:abstractNumId="225">
    <w:nsid w:val="621AF471"/>
    <w:multiLevelType w:val="hybridMultilevel"/>
    <w:lvl w:ilvl="0">
      <w:lvlJc w:val="left"/>
      <w:lvlText w:val="(%1)"/>
      <w:numFmt w:val="lowerRoman"/>
      <w:start w:val="1"/>
    </w:lvl>
  </w:abstractNum>
  <w:abstractNum w:abstractNumId="226">
    <w:nsid w:val="73CFE165"/>
    <w:multiLevelType w:val="hybridMultilevel"/>
    <w:lvl w:ilvl="0">
      <w:lvlJc w:val="left"/>
      <w:lvlText w:val="(%1)"/>
      <w:numFmt w:val="lowerRoman"/>
      <w:start w:val="1"/>
    </w:lvl>
  </w:abstractNum>
  <w:abstractNum w:abstractNumId="227">
    <w:nsid w:val="20F88EA6"/>
    <w:multiLevelType w:val="hybridMultilevel"/>
    <w:lvl w:ilvl="0">
      <w:lvlJc w:val="left"/>
      <w:lvlText w:val="(%1)"/>
      <w:numFmt w:val="lowerRoman"/>
      <w:start w:val="1"/>
    </w:lvl>
  </w:abstractNum>
  <w:abstractNum w:abstractNumId="228">
    <w:nsid w:val="617C843E"/>
    <w:multiLevelType w:val="hybridMultilevel"/>
    <w:lvl w:ilvl="0">
      <w:lvlJc w:val="left"/>
      <w:lvlText w:val="(%1)"/>
      <w:numFmt w:val="lowerRoman"/>
      <w:start w:val="1"/>
    </w:lvl>
  </w:abstractNum>
  <w:abstractNum w:abstractNumId="229">
    <w:nsid w:val="7B541FAB"/>
    <w:multiLevelType w:val="hybridMultilevel"/>
    <w:lvl w:ilvl="0">
      <w:lvlJc w:val="left"/>
      <w:lvlText w:val="(%1)"/>
      <w:numFmt w:val="lowerRoman"/>
      <w:start w:val="1"/>
    </w:lvl>
  </w:abstractNum>
  <w:abstractNum w:abstractNumId="230">
    <w:nsid w:val="2A79EC49"/>
    <w:multiLevelType w:val="hybridMultilevel"/>
    <w:lvl w:ilvl="0">
      <w:lvlJc w:val="left"/>
      <w:lvlText w:val="(%1)"/>
      <w:numFmt w:val="lowerRoman"/>
      <w:start w:val="1"/>
    </w:lvl>
  </w:abstractNum>
  <w:abstractNum w:abstractNumId="231">
    <w:nsid w:val="338125CF"/>
    <w:multiLevelType w:val="hybridMultilevel"/>
    <w:lvl w:ilvl="0">
      <w:lvlJc w:val="left"/>
      <w:lvlText w:val="(%1)"/>
      <w:numFmt w:val="lowerRoman"/>
      <w:start w:val="1"/>
    </w:lvl>
  </w:abstractNum>
  <w:abstractNum w:abstractNumId="232">
    <w:nsid w:val="47C7C971"/>
    <w:multiLevelType w:val="hybridMultilevel"/>
    <w:lvl w:ilvl="0">
      <w:lvlJc w:val="left"/>
      <w:lvlText w:val="(%1)"/>
      <w:numFmt w:val="lowerRoman"/>
      <w:start w:val="1"/>
    </w:lvl>
  </w:abstractNum>
  <w:abstractNum w:abstractNumId="233">
    <w:nsid w:val="46F8284B"/>
    <w:multiLevelType w:val="hybridMultilevel"/>
    <w:lvl w:ilvl="0">
      <w:lvlJc w:val="left"/>
      <w:lvlText w:val="(%1)"/>
      <w:numFmt w:val="lowerRoman"/>
      <w:start w:val="1"/>
    </w:lvl>
  </w:abstractNum>
  <w:abstractNum w:abstractNumId="234">
    <w:nsid w:val="4FA327CE"/>
    <w:multiLevelType w:val="hybridMultilevel"/>
    <w:lvl w:ilvl="0">
      <w:lvlJc w:val="left"/>
      <w:lvlText w:val="(%1)"/>
      <w:numFmt w:val="lowerRoman"/>
      <w:start w:val="1"/>
    </w:lvl>
  </w:abstractNum>
  <w:abstractNum w:abstractNumId="235">
    <w:nsid w:val="1873983A"/>
    <w:multiLevelType w:val="hybridMultilevel"/>
    <w:lvl w:ilvl="0">
      <w:lvlJc w:val="left"/>
      <w:lvlText w:val="(%1)"/>
      <w:numFmt w:val="lowerRoman"/>
      <w:start w:val="1"/>
    </w:lvl>
  </w:abstractNum>
  <w:abstractNum w:abstractNumId="236">
    <w:nsid w:val="3D2DD275"/>
    <w:multiLevelType w:val="hybridMultilevel"/>
    <w:lvl w:ilvl="0">
      <w:lvlJc w:val="left"/>
      <w:lvlText w:val="(%1)"/>
      <w:numFmt w:val="lowerRoman"/>
      <w:start w:val="1"/>
    </w:lvl>
  </w:abstractNum>
  <w:abstractNum w:abstractNumId="237">
    <w:nsid w:val="2E17ECA7"/>
    <w:multiLevelType w:val="hybridMultilevel"/>
    <w:lvl w:ilvl="0">
      <w:lvlJc w:val="left"/>
      <w:lvlText w:val="(%1)"/>
      <w:numFmt w:val="lowerRoman"/>
      <w:start w:val="1"/>
    </w:lvl>
  </w:abstractNum>
  <w:abstractNum w:abstractNumId="238">
    <w:nsid w:val="53B2564F"/>
    <w:multiLevelType w:val="hybridMultilevel"/>
    <w:lvl w:ilvl="0">
      <w:lvlJc w:val="left"/>
      <w:lvlText w:val="(%1)"/>
      <w:numFmt w:val="lowerRoman"/>
      <w:start w:val="1"/>
    </w:lvl>
  </w:abstractNum>
  <w:abstractNum w:abstractNumId="239">
    <w:nsid w:val="75509D76"/>
    <w:multiLevelType w:val="hybridMultilevel"/>
    <w:lvl w:ilvl="0">
      <w:lvlJc w:val="left"/>
      <w:lvlText w:val="(%1)"/>
      <w:numFmt w:val="lowerRoman"/>
      <w:start w:val="1"/>
    </w:lvl>
  </w:abstractNum>
  <w:abstractNum w:abstractNumId="240">
    <w:nsid w:val="1AF7F0EA"/>
    <w:multiLevelType w:val="hybridMultilevel"/>
    <w:lvl w:ilvl="0">
      <w:lvlJc w:val="left"/>
      <w:lvlText w:val="(%1)"/>
      <w:numFmt w:val="lowerRoman"/>
      <w:start w:val="1"/>
    </w:lvl>
  </w:abstractNum>
  <w:abstractNum w:abstractNumId="241">
    <w:nsid w:val="4DA32C7E"/>
    <w:multiLevelType w:val="hybridMultilevel"/>
    <w:lvl w:ilvl="0">
      <w:lvlJc w:val="left"/>
      <w:lvlText w:val="(%1)"/>
      <w:numFmt w:val="lowerRoman"/>
      <w:start w:val="1"/>
    </w:lvl>
  </w:abstractNum>
  <w:abstractNum w:abstractNumId="242">
    <w:nsid w:val="6EC68664"/>
    <w:multiLevelType w:val="hybridMultilevel"/>
    <w:lvl w:ilvl="0">
      <w:lvlJc w:val="left"/>
      <w:lvlText w:val="(%1)"/>
      <w:numFmt w:val="lowerRoman"/>
      <w:start w:val="1"/>
    </w:lvl>
  </w:abstractNum>
  <w:abstractNum w:abstractNumId="243">
    <w:nsid w:val="E0D31FF"/>
    <w:multiLevelType w:val="hybridMultilevel"/>
    <w:lvl w:ilvl="0">
      <w:lvlJc w:val="left"/>
      <w:lvlText w:val="(%1)"/>
      <w:numFmt w:val="lowerRoman"/>
      <w:start w:val="1"/>
    </w:lvl>
  </w:abstractNum>
  <w:abstractNum w:abstractNumId="244">
    <w:nsid w:val="2FD0AD81"/>
    <w:multiLevelType w:val="hybridMultilevel"/>
    <w:lvl w:ilvl="0">
      <w:lvlJc w:val="left"/>
      <w:lvlText w:val="(%1)"/>
      <w:numFmt w:val="lowerRoman"/>
      <w:start w:val="1"/>
    </w:lvl>
  </w:abstractNum>
  <w:abstractNum w:abstractNumId="245">
    <w:nsid w:val="1978EBEB"/>
    <w:multiLevelType w:val="hybridMultilevel"/>
    <w:lvl w:ilvl="0">
      <w:lvlJc w:val="left"/>
      <w:lvlText w:val="(%1)"/>
      <w:numFmt w:val="lowerRoman"/>
      <w:start w:val="1"/>
    </w:lvl>
  </w:abstractNum>
  <w:abstractNum w:abstractNumId="246">
    <w:nsid w:val="52C12C61"/>
    <w:multiLevelType w:val="hybridMultilevel"/>
    <w:lvl w:ilvl="0">
      <w:lvlJc w:val="left"/>
      <w:lvlText w:val="(%1)"/>
      <w:numFmt w:val="lowerRoman"/>
      <w:start w:val="1"/>
    </w:lvl>
  </w:abstractNum>
  <w:abstractNum w:abstractNumId="247">
    <w:nsid w:val="4BDD53FD"/>
    <w:multiLevelType w:val="hybridMultilevel"/>
    <w:lvl w:ilvl="0">
      <w:lvlJc w:val="left"/>
      <w:lvlText w:val="(%1)"/>
      <w:numFmt w:val="lowerRoman"/>
      <w:start w:val="1"/>
    </w:lvl>
  </w:abstractNum>
  <w:abstractNum w:abstractNumId="248">
    <w:nsid w:val="569951FE"/>
    <w:multiLevelType w:val="hybridMultilevel"/>
    <w:lvl w:ilvl="0">
      <w:lvlJc w:val="left"/>
      <w:lvlText w:val="(%1)"/>
      <w:numFmt w:val="lowerRoman"/>
      <w:start w:val="1"/>
    </w:lvl>
  </w:abstractNum>
  <w:abstractNum w:abstractNumId="249">
    <w:nsid w:val="4C54E2C3"/>
    <w:multiLevelType w:val="hybridMultilevel"/>
    <w:lvl w:ilvl="0">
      <w:lvlJc w:val="left"/>
      <w:lvlText w:val="(%1)"/>
      <w:numFmt w:val="lowerRoman"/>
      <w:start w:val="1"/>
    </w:lvl>
  </w:abstractNum>
  <w:abstractNum w:abstractNumId="250">
    <w:nsid w:val="788BD9B"/>
    <w:multiLevelType w:val="hybridMultilevel"/>
    <w:lvl w:ilvl="0">
      <w:lvlJc w:val="left"/>
      <w:lvlText w:val="(%1)"/>
      <w:numFmt w:val="lowerRoman"/>
      <w:start w:val="1"/>
    </w:lvl>
  </w:abstractNum>
  <w:abstractNum w:abstractNumId="251">
    <w:nsid w:val="47CAA567"/>
    <w:multiLevelType w:val="hybridMultilevel"/>
    <w:lvl w:ilvl="0">
      <w:lvlJc w:val="left"/>
      <w:lvlText w:val="(%1)"/>
      <w:numFmt w:val="lowerRoman"/>
      <w:start w:val="1"/>
    </w:lvl>
  </w:abstractNum>
  <w:abstractNum w:abstractNumId="252">
    <w:nsid w:val="48249DBF"/>
    <w:multiLevelType w:val="hybridMultilevel"/>
    <w:lvl w:ilvl="0">
      <w:lvlJc w:val="left"/>
      <w:lvlText w:val="(%1)"/>
      <w:numFmt w:val="lowerRoman"/>
      <w:start w:val="1"/>
    </w:lvl>
  </w:abstractNum>
  <w:abstractNum w:abstractNumId="253">
    <w:nsid w:val="1F0E5D0D"/>
    <w:multiLevelType w:val="hybridMultilevel"/>
    <w:lvl w:ilvl="0">
      <w:lvlJc w:val="left"/>
      <w:lvlText w:val="(%1)"/>
      <w:numFmt w:val="lowerRoman"/>
      <w:start w:val="1"/>
    </w:lvl>
  </w:abstractNum>
  <w:abstractNum w:abstractNumId="254">
    <w:nsid w:val="26BAAE9"/>
    <w:multiLevelType w:val="hybridMultilevel"/>
    <w:lvl w:ilvl="0">
      <w:lvlJc w:val="left"/>
      <w:lvlText w:val="(%1)"/>
      <w:numFmt w:val="lowerRoman"/>
      <w:start w:val="1"/>
    </w:lvl>
  </w:abstractNum>
  <w:abstractNum w:abstractNumId="255">
    <w:nsid w:val="2C02FE8C"/>
    <w:multiLevelType w:val="hybridMultilevel"/>
    <w:lvl w:ilvl="0">
      <w:lvlJc w:val="left"/>
      <w:lvlText w:val="(%1)"/>
      <w:numFmt w:val="lowerRoman"/>
      <w:start w:val="1"/>
    </w:lvl>
  </w:abstractNum>
  <w:abstractNum w:abstractNumId="256">
    <w:nsid w:val="129517E"/>
    <w:multiLevelType w:val="hybridMultilevel"/>
    <w:lvl w:ilvl="0">
      <w:lvlJc w:val="left"/>
      <w:lvlText w:val="(%1)"/>
      <w:numFmt w:val="lowerRoman"/>
      <w:start w:val="1"/>
    </w:lvl>
  </w:abstractNum>
  <w:abstractNum w:abstractNumId="257">
    <w:nsid w:val="763B8C4E"/>
    <w:multiLevelType w:val="hybridMultilevel"/>
    <w:lvl w:ilvl="0">
      <w:lvlJc w:val="left"/>
      <w:lvlText w:val="(%1)"/>
      <w:numFmt w:val="lowerRoman"/>
      <w:start w:val="1"/>
    </w:lvl>
  </w:abstractNum>
  <w:abstractNum w:abstractNumId="258">
    <w:nsid w:val="4CFB8D32"/>
    <w:multiLevelType w:val="hybridMultilevel"/>
    <w:lvl w:ilvl="0">
      <w:lvlJc w:val="left"/>
      <w:lvlText w:val="(%1)"/>
      <w:numFmt w:val="lowerRoman"/>
      <w:start w:val="1"/>
    </w:lvl>
  </w:abstractNum>
  <w:abstractNum w:abstractNumId="259">
    <w:nsid w:val="62A5D5BD"/>
    <w:multiLevelType w:val="hybridMultilevel"/>
    <w:lvl w:ilvl="0">
      <w:lvlJc w:val="left"/>
      <w:lvlText w:val="(%1)"/>
      <w:numFmt w:val="lowerRoman"/>
      <w:start w:val="1"/>
    </w:lvl>
  </w:abstractNum>
  <w:abstractNum w:abstractNumId="260">
    <w:nsid w:val="718FABF9"/>
    <w:multiLevelType w:val="hybridMultilevel"/>
    <w:lvl w:ilvl="0">
      <w:lvlJc w:val="left"/>
      <w:lvlText w:val="(%1)"/>
      <w:numFmt w:val="lowerRoman"/>
      <w:start w:val="1"/>
    </w:lvl>
  </w:abstractNum>
  <w:abstractNum w:abstractNumId="261">
    <w:nsid w:val="7775797C"/>
    <w:multiLevelType w:val="hybridMultilevel"/>
    <w:lvl w:ilvl="0">
      <w:lvlJc w:val="left"/>
      <w:lvlText w:val="(%1)"/>
      <w:numFmt w:val="lowerRoman"/>
      <w:start w:val="1"/>
    </w:lvl>
  </w:abstractNum>
  <w:abstractNum w:abstractNumId="262">
    <w:nsid w:val="1626FB8C"/>
    <w:multiLevelType w:val="hybridMultilevel"/>
    <w:lvl w:ilvl="0">
      <w:lvlJc w:val="left"/>
      <w:lvlText w:val="(%1)"/>
      <w:numFmt w:val="lowerRoman"/>
      <w:start w:val="1"/>
    </w:lvl>
  </w:abstractNum>
  <w:abstractNum w:abstractNumId="263">
    <w:nsid w:val="3957756A"/>
    <w:multiLevelType w:val="hybridMultilevel"/>
    <w:lvl w:ilvl="0">
      <w:lvlJc w:val="left"/>
      <w:lvlText w:val="(%1)"/>
      <w:numFmt w:val="lowerRoman"/>
      <w:start w:val="1"/>
    </w:lvl>
  </w:abstractNum>
  <w:abstractNum w:abstractNumId="264">
    <w:nsid w:val="3E6DA1C7"/>
    <w:multiLevelType w:val="hybridMultilevel"/>
    <w:lvl w:ilvl="0">
      <w:lvlJc w:val="left"/>
      <w:lvlText w:val="(%1)"/>
      <w:numFmt w:val="lowerRoman"/>
      <w:start w:val="1"/>
    </w:lvl>
  </w:abstractNum>
  <w:abstractNum w:abstractNumId="265">
    <w:nsid w:val="65CA235B"/>
    <w:multiLevelType w:val="hybridMultilevel"/>
    <w:lvl w:ilvl="0">
      <w:lvlJc w:val="left"/>
      <w:lvlText w:val="(%1)"/>
      <w:numFmt w:val="lowerRoman"/>
      <w:start w:val="1"/>
    </w:lvl>
  </w:abstractNum>
  <w:abstractNum w:abstractNumId="266">
    <w:nsid w:val="51CB0DA4"/>
    <w:multiLevelType w:val="hybridMultilevel"/>
    <w:lvl w:ilvl="0">
      <w:lvlJc w:val="left"/>
      <w:lvlText w:val="(%1)"/>
      <w:numFmt w:val="lowerRoman"/>
      <w:start w:val="1"/>
    </w:lvl>
  </w:abstractNum>
  <w:abstractNum w:abstractNumId="267">
    <w:nsid w:val="7B9B743C"/>
    <w:multiLevelType w:val="hybridMultilevel"/>
    <w:lvl w:ilvl="0">
      <w:lvlJc w:val="left"/>
      <w:lvlText w:val="(%1)"/>
      <w:numFmt w:val="lowerRoman"/>
      <w:start w:val="1"/>
    </w:lvl>
  </w:abstractNum>
  <w:abstractNum w:abstractNumId="268">
    <w:nsid w:val="13E21002"/>
    <w:multiLevelType w:val="hybridMultilevel"/>
    <w:lvl w:ilvl="0">
      <w:lvlJc w:val="left"/>
      <w:lvlText w:val="(%1)"/>
      <w:numFmt w:val="lowerRoman"/>
      <w:start w:val="1"/>
    </w:lvl>
  </w:abstractNum>
  <w:abstractNum w:abstractNumId="269">
    <w:nsid w:val="257D63F4"/>
    <w:multiLevelType w:val="hybridMultilevel"/>
    <w:lvl w:ilvl="0">
      <w:lvlJc w:val="left"/>
      <w:lvlText w:val="(%1)"/>
      <w:numFmt w:val="lowerRoman"/>
      <w:start w:val="1"/>
    </w:lvl>
  </w:abstractNum>
  <w:abstractNum w:abstractNumId="270">
    <w:nsid w:val="70EC11B2"/>
    <w:multiLevelType w:val="hybridMultilevel"/>
    <w:lvl w:ilvl="0">
      <w:lvlJc w:val="left"/>
      <w:lvlText w:val="(%1)"/>
      <w:numFmt w:val="lowerRoman"/>
      <w:start w:val="1"/>
    </w:lvl>
  </w:abstractNum>
  <w:abstractNum w:abstractNumId="271">
    <w:nsid w:val="2EDA00ED"/>
    <w:multiLevelType w:val="hybridMultilevel"/>
    <w:lvl w:ilvl="0">
      <w:lvlJc w:val="left"/>
      <w:lvlText w:val="(%1)"/>
      <w:numFmt w:val="lowerRoman"/>
      <w:start w:val="1"/>
    </w:lvl>
  </w:abstractNum>
  <w:abstractNum w:abstractNumId="272">
    <w:nsid w:val="73209072"/>
    <w:multiLevelType w:val="hybridMultilevel"/>
    <w:lvl w:ilvl="0">
      <w:lvlJc w:val="left"/>
      <w:lvlText w:val="(%1)"/>
      <w:numFmt w:val="lowerRoman"/>
      <w:start w:val="1"/>
    </w:lvl>
  </w:abstractNum>
  <w:abstractNum w:abstractNumId="273">
    <w:nsid w:val="5FB29816"/>
    <w:multiLevelType w:val="hybridMultilevel"/>
    <w:lvl w:ilvl="0">
      <w:lvlJc w:val="left"/>
      <w:lvlText w:val="(%1)"/>
      <w:numFmt w:val="lowerRoman"/>
      <w:start w:val="1"/>
    </w:lvl>
  </w:abstractNum>
  <w:abstractNum w:abstractNumId="274">
    <w:nsid w:val="3CE732EC"/>
    <w:multiLevelType w:val="hybridMultilevel"/>
    <w:lvl w:ilvl="0">
      <w:lvlJc w:val="left"/>
      <w:lvlText w:val="(%1)"/>
      <w:numFmt w:val="lowerRoman"/>
      <w:start w:val="1"/>
    </w:lvl>
  </w:abstractNum>
  <w:abstractNum w:abstractNumId="275">
    <w:nsid w:val="22F13DF3"/>
    <w:multiLevelType w:val="hybridMultilevel"/>
    <w:lvl w:ilvl="0">
      <w:lvlJc w:val="left"/>
      <w:lvlText w:val="(%1)"/>
      <w:numFmt w:val="lowerRoman"/>
      <w:start w:val="1"/>
    </w:lvl>
  </w:abstractNum>
  <w:abstractNum w:abstractNumId="276">
    <w:nsid w:val="792B8401"/>
    <w:multiLevelType w:val="hybridMultilevel"/>
    <w:lvl w:ilvl="0">
      <w:lvlJc w:val="left"/>
      <w:lvlText w:val="(%1)"/>
      <w:numFmt w:val="lowerRoman"/>
      <w:start w:val="1"/>
    </w:lvl>
  </w:abstractNum>
  <w:abstractNum w:abstractNumId="277">
    <w:nsid w:val="FA85F4D"/>
    <w:multiLevelType w:val="hybridMultilevel"/>
    <w:lvl w:ilvl="0">
      <w:lvlJc w:val="left"/>
      <w:lvlText w:val="(%1)"/>
      <w:numFmt w:val="lowerRoman"/>
      <w:start w:val="1"/>
    </w:lvl>
  </w:abstractNum>
  <w:abstractNum w:abstractNumId="278">
    <w:nsid w:val="6ECE91F0"/>
    <w:multiLevelType w:val="hybridMultilevel"/>
    <w:lvl w:ilvl="0">
      <w:lvlJc w:val="left"/>
      <w:lvlText w:val="(%1)"/>
      <w:numFmt w:val="lowerRoman"/>
      <w:start w:val="1"/>
    </w:lvl>
  </w:abstractNum>
  <w:abstractNum w:abstractNumId="279">
    <w:nsid w:val="4FC4D600"/>
    <w:multiLevelType w:val="hybridMultilevel"/>
    <w:lvl w:ilvl="0">
      <w:lvlJc w:val="left"/>
      <w:lvlText w:val="(%1)"/>
      <w:numFmt w:val="lowerRoman"/>
      <w:start w:val="1"/>
    </w:lvl>
  </w:abstractNum>
  <w:abstractNum w:abstractNumId="280">
    <w:nsid w:val="5BFD4210"/>
    <w:multiLevelType w:val="hybridMultilevel"/>
    <w:lvl w:ilvl="0">
      <w:lvlJc w:val="left"/>
      <w:lvlText w:val="(%1)"/>
      <w:numFmt w:val="lowerRoman"/>
      <w:start w:val="1"/>
    </w:lvl>
  </w:abstractNum>
  <w:abstractNum w:abstractNumId="281">
    <w:nsid w:val="76574F8B"/>
    <w:multiLevelType w:val="hybridMultilevel"/>
    <w:lvl w:ilvl="0">
      <w:lvlJc w:val="left"/>
      <w:lvlText w:val="(%1)"/>
      <w:numFmt w:val="lowerRoman"/>
      <w:start w:val="1"/>
    </w:lvl>
  </w:abstractNum>
  <w:abstractNum w:abstractNumId="282">
    <w:nsid w:val="178F7B67"/>
    <w:multiLevelType w:val="hybridMultilevel"/>
    <w:lvl w:ilvl="0">
      <w:lvlJc w:val="left"/>
      <w:lvlText w:val="(%1)"/>
      <w:numFmt w:val="lowerRoman"/>
      <w:start w:val="1"/>
    </w:lvl>
  </w:abstractNum>
  <w:abstractNum w:abstractNumId="283">
    <w:nsid w:val="2421DFCF"/>
    <w:multiLevelType w:val="hybridMultilevel"/>
    <w:lvl w:ilvl="0">
      <w:lvlJc w:val="left"/>
      <w:lvlText w:val="(%1)"/>
      <w:numFmt w:val="lowerRoman"/>
      <w:start w:val="1"/>
    </w:lvl>
  </w:abstractNum>
  <w:abstractNum w:abstractNumId="284">
    <w:nsid w:val="1565AC99"/>
    <w:multiLevelType w:val="hybridMultilevel"/>
    <w:lvl w:ilvl="0">
      <w:lvlJc w:val="left"/>
      <w:lvlText w:val="(%1)"/>
      <w:numFmt w:val="lowerRoman"/>
      <w:start w:val="1"/>
    </w:lvl>
  </w:abstractNum>
  <w:abstractNum w:abstractNumId="285">
    <w:nsid w:val="19FB2650"/>
    <w:multiLevelType w:val="hybridMultilevel"/>
    <w:lvl w:ilvl="0">
      <w:lvlJc w:val="left"/>
      <w:lvlText w:val="(%1)"/>
      <w:numFmt w:val="lowerRoman"/>
      <w:start w:val="1"/>
    </w:lvl>
  </w:abstractNum>
  <w:abstractNum w:abstractNumId="286">
    <w:nsid w:val="5024DE5B"/>
    <w:multiLevelType w:val="hybridMultilevel"/>
    <w:lvl w:ilvl="0">
      <w:lvlJc w:val="left"/>
      <w:lvlText w:val="(%1)"/>
      <w:numFmt w:val="lowerRoman"/>
      <w:start w:val="1"/>
    </w:lvl>
  </w:abstractNum>
  <w:abstractNum w:abstractNumId="287">
    <w:nsid w:val="168EFE17"/>
    <w:multiLevelType w:val="hybridMultilevel"/>
    <w:lvl w:ilvl="0">
      <w:lvlJc w:val="left"/>
      <w:lvlText w:val="(%1)"/>
      <w:numFmt w:val="lowerRoman"/>
      <w:start w:val="1"/>
    </w:lvl>
  </w:abstractNum>
  <w:abstractNum w:abstractNumId="288">
    <w:nsid w:val="1036B29F"/>
    <w:multiLevelType w:val="hybridMultilevel"/>
    <w:lvl w:ilvl="0">
      <w:lvlJc w:val="left"/>
      <w:lvlText w:val="(%1)"/>
      <w:numFmt w:val="lowerRoman"/>
      <w:start w:val="1"/>
    </w:lvl>
  </w:abstractNum>
  <w:abstractNum w:abstractNumId="289">
    <w:nsid w:val="1D206B8E"/>
    <w:multiLevelType w:val="hybridMultilevel"/>
    <w:lvl w:ilvl="0">
      <w:lvlJc w:val="left"/>
      <w:lvlText w:val="(%1)"/>
      <w:numFmt w:val="lowerRoman"/>
      <w:start w:val="1"/>
    </w:lvl>
  </w:abstractNum>
  <w:abstractNum w:abstractNumId="290">
    <w:nsid w:val="7934D3D4"/>
    <w:multiLevelType w:val="hybridMultilevel"/>
    <w:lvl w:ilvl="0">
      <w:lvlJc w:val="left"/>
      <w:lvlText w:val="(%1)"/>
      <w:numFmt w:val="lowerRoman"/>
      <w:start w:val="1"/>
    </w:lvl>
  </w:abstractNum>
  <w:abstractNum w:abstractNumId="291">
    <w:nsid w:val="1C65E98"/>
    <w:multiLevelType w:val="hybridMultilevel"/>
    <w:lvl w:ilvl="0">
      <w:lvlJc w:val="left"/>
      <w:lvlText w:val="(%1)"/>
      <w:numFmt w:val="lowerRoman"/>
      <w:start w:val="1"/>
    </w:lvl>
  </w:abstractNum>
  <w:abstractNum w:abstractNumId="292">
    <w:nsid w:val="1495E50A"/>
    <w:multiLevelType w:val="hybridMultilevel"/>
    <w:lvl w:ilvl="0">
      <w:lvlJc w:val="left"/>
      <w:lvlText w:val="(%1)"/>
      <w:numFmt w:val="lowerRoman"/>
      <w:start w:val="1"/>
    </w:lvl>
  </w:abstractNum>
  <w:abstractNum w:abstractNumId="293">
    <w:nsid w:val="F5BCF61"/>
    <w:multiLevelType w:val="hybridMultilevel"/>
    <w:lvl w:ilvl="0">
      <w:lvlJc w:val="left"/>
      <w:lvlText w:val="(%1)"/>
      <w:numFmt w:val="lowerRoman"/>
      <w:start w:val="1"/>
    </w:lvl>
  </w:abstractNum>
  <w:abstractNum w:abstractNumId="294">
    <w:nsid w:val="3B1DD403"/>
    <w:multiLevelType w:val="hybridMultilevel"/>
    <w:lvl w:ilvl="0">
      <w:lvlJc w:val="left"/>
      <w:lvlText w:val="(%1)"/>
      <w:numFmt w:val="lowerRoman"/>
      <w:start w:val="1"/>
    </w:lvl>
  </w:abstractNum>
  <w:abstractNum w:abstractNumId="295">
    <w:nsid w:val="530386D1"/>
    <w:multiLevelType w:val="hybridMultilevel"/>
    <w:lvl w:ilvl="0">
      <w:lvlJc w:val="left"/>
      <w:lvlText w:val="(%1)"/>
      <w:numFmt w:val="lowerRoman"/>
      <w:start w:val="1"/>
    </w:lvl>
  </w:abstractNum>
  <w:abstractNum w:abstractNumId="296">
    <w:nsid w:val="7525F2BC"/>
    <w:multiLevelType w:val="hybridMultilevel"/>
    <w:lvl w:ilvl="0">
      <w:lvlJc w:val="left"/>
      <w:lvlText w:val="(%1)"/>
      <w:numFmt w:val="lowerRoman"/>
      <w:start w:val="1"/>
    </w:lvl>
  </w:abstractNum>
  <w:abstractNum w:abstractNumId="297">
    <w:nsid w:val="CE8E1A7"/>
    <w:multiLevelType w:val="hybridMultilevel"/>
    <w:lvl w:ilvl="0">
      <w:lvlJc w:val="left"/>
      <w:lvlText w:val="(%1)"/>
      <w:numFmt w:val="lowerRoman"/>
      <w:start w:val="1"/>
    </w:lvl>
  </w:abstractNum>
  <w:abstractNum w:abstractNumId="298">
    <w:nsid w:val="4E9EFB0D"/>
    <w:multiLevelType w:val="hybridMultilevel"/>
    <w:lvl w:ilvl="0">
      <w:lvlJc w:val="left"/>
      <w:lvlText w:val="(%1)"/>
      <w:numFmt w:val="lowerRoman"/>
      <w:start w:val="1"/>
    </w:lvl>
  </w:abstractNum>
  <w:abstractNum w:abstractNumId="299">
    <w:nsid w:val="90802BE"/>
    <w:multiLevelType w:val="hybridMultilevel"/>
    <w:lvl w:ilvl="0">
      <w:lvlJc w:val="left"/>
      <w:lvlText w:val="(%1)"/>
      <w:numFmt w:val="lowerRoman"/>
      <w:start w:val="1"/>
    </w:lvl>
  </w:abstractNum>
  <w:abstractNum w:abstractNumId="300">
    <w:nsid w:val="3266459B"/>
    <w:multiLevelType w:val="hybridMultilevel"/>
    <w:lvl w:ilvl="0">
      <w:lvlJc w:val="left"/>
      <w:lvlText w:val="(%1)"/>
      <w:numFmt w:val="lowerRoman"/>
      <w:start w:val="1"/>
    </w:lvl>
  </w:abstractNum>
  <w:abstractNum w:abstractNumId="301">
    <w:nsid w:val="3F8B0CBF"/>
    <w:multiLevelType w:val="hybridMultilevel"/>
    <w:lvl w:ilvl="0">
      <w:lvlJc w:val="left"/>
      <w:lvlText w:val="(%1)"/>
      <w:numFmt w:val="lowerRoman"/>
      <w:start w:val="1"/>
    </w:lvl>
  </w:abstractNum>
  <w:abstractNum w:abstractNumId="302">
    <w:nsid w:val="37E203AB"/>
    <w:multiLevelType w:val="hybridMultilevel"/>
    <w:lvl w:ilvl="0">
      <w:lvlJc w:val="left"/>
      <w:lvlText w:val="(%1)"/>
      <w:numFmt w:val="lowerRoman"/>
      <w:start w:val="1"/>
    </w:lvl>
  </w:abstractNum>
  <w:abstractNum w:abstractNumId="303">
    <w:nsid w:val="2586D60E"/>
    <w:multiLevelType w:val="hybridMultilevel"/>
    <w:lvl w:ilvl="0">
      <w:lvlJc w:val="left"/>
      <w:lvlText w:val="(%1)"/>
      <w:numFmt w:val="lowerRoman"/>
      <w:start w:val="1"/>
    </w:lvl>
  </w:abstractNum>
  <w:abstractNum w:abstractNumId="304">
    <w:nsid w:val="1F3DA4D5"/>
    <w:multiLevelType w:val="hybridMultilevel"/>
    <w:lvl w:ilvl="0">
      <w:lvlJc w:val="left"/>
      <w:lvlText w:val="(%1)"/>
      <w:numFmt w:val="lowerRoman"/>
      <w:start w:val="1"/>
    </w:lvl>
  </w:abstractNum>
  <w:abstractNum w:abstractNumId="305">
    <w:nsid w:val="74C93698"/>
    <w:multiLevelType w:val="hybridMultilevel"/>
    <w:lvl w:ilvl="0">
      <w:lvlJc w:val="left"/>
      <w:lvlText w:val="(%1)"/>
      <w:numFmt w:val="lowerRoman"/>
      <w:start w:val="1"/>
    </w:lvl>
  </w:abstractNum>
  <w:abstractNum w:abstractNumId="306">
    <w:nsid w:val="48781401"/>
    <w:multiLevelType w:val="hybridMultilevel"/>
    <w:lvl w:ilvl="0">
      <w:lvlJc w:val="left"/>
      <w:lvlText w:val="(%1)"/>
      <w:numFmt w:val="lowerRoman"/>
      <w:start w:val="1"/>
    </w:lvl>
  </w:abstractNum>
  <w:abstractNum w:abstractNumId="307">
    <w:nsid w:val="186928D6"/>
    <w:multiLevelType w:val="hybridMultilevel"/>
    <w:lvl w:ilvl="0">
      <w:lvlJc w:val="left"/>
      <w:lvlText w:val="(%1)"/>
      <w:numFmt w:val="lowerRoman"/>
      <w:start w:val="1"/>
    </w:lvl>
  </w:abstractNum>
  <w:abstractNum w:abstractNumId="308">
    <w:nsid w:val="47195E5"/>
    <w:multiLevelType w:val="hybridMultilevel"/>
    <w:lvl w:ilvl="0">
      <w:lvlJc w:val="left"/>
      <w:lvlText w:val="(%1)"/>
      <w:numFmt w:val="lowerRoman"/>
      <w:start w:val="1"/>
    </w:lvl>
  </w:abstractNum>
  <w:abstractNum w:abstractNumId="309">
    <w:nsid w:val="3746A5F2"/>
    <w:multiLevelType w:val="hybridMultilevel"/>
    <w:lvl w:ilvl="0">
      <w:lvlJc w:val="left"/>
      <w:lvlText w:val="(%1)"/>
      <w:numFmt w:val="lowerRoman"/>
      <w:start w:val="1"/>
    </w:lvl>
  </w:abstractNum>
  <w:abstractNum w:abstractNumId="310">
    <w:nsid w:val="682DFED6"/>
    <w:multiLevelType w:val="hybridMultilevel"/>
    <w:lvl w:ilvl="0">
      <w:lvlJc w:val="left"/>
      <w:lvlText w:val="(%1)"/>
      <w:numFmt w:val="lowerRoman"/>
      <w:start w:val="1"/>
    </w:lvl>
  </w:abstractNum>
  <w:abstractNum w:abstractNumId="311">
    <w:nsid w:val="606ED7F6"/>
    <w:multiLevelType w:val="hybridMultilevel"/>
    <w:lvl w:ilvl="0">
      <w:lvlJc w:val="left"/>
      <w:lvlText w:val="(%1)"/>
      <w:numFmt w:val="lowerRoman"/>
      <w:start w:val="1"/>
    </w:lvl>
  </w:abstractNum>
  <w:abstractNum w:abstractNumId="312">
    <w:nsid w:val="2D9DF57D"/>
    <w:multiLevelType w:val="hybridMultilevel"/>
    <w:lvl w:ilvl="0">
      <w:lvlJc w:val="left"/>
      <w:lvlText w:val="(%1)"/>
      <w:numFmt w:val="lowerRoman"/>
      <w:start w:val="1"/>
    </w:lvl>
  </w:abstractNum>
  <w:abstractNum w:abstractNumId="313">
    <w:nsid w:val="7FBD7A3E"/>
    <w:multiLevelType w:val="hybridMultilevel"/>
    <w:lvl w:ilvl="0">
      <w:lvlJc w:val="left"/>
      <w:lvlText w:val="(%1)"/>
      <w:numFmt w:val="lowerRoman"/>
      <w:start w:val="1"/>
    </w:lvl>
  </w:abstractNum>
  <w:abstractNum w:abstractNumId="314">
    <w:nsid w:val="490B7C5"/>
    <w:multiLevelType w:val="hybridMultilevel"/>
    <w:lvl w:ilvl="0">
      <w:lvlJc w:val="left"/>
      <w:lvlText w:val="(%1)"/>
      <w:numFmt w:val="lowerRoman"/>
      <w:start w:val="1"/>
    </w:lvl>
  </w:abstractNum>
  <w:abstractNum w:abstractNumId="315">
    <w:nsid w:val="4303A216"/>
    <w:multiLevelType w:val="hybridMultilevel"/>
    <w:lvl w:ilvl="0">
      <w:lvlJc w:val="left"/>
      <w:lvlText w:val="(%1)"/>
      <w:numFmt w:val="lowerRoman"/>
      <w:start w:val="1"/>
    </w:lvl>
  </w:abstractNum>
  <w:abstractNum w:abstractNumId="316">
    <w:nsid w:val="19B8A08E"/>
    <w:multiLevelType w:val="hybridMultilevel"/>
    <w:lvl w:ilvl="0">
      <w:lvlJc w:val="left"/>
      <w:lvlText w:val="(%1)"/>
      <w:numFmt w:val="lowerRoman"/>
      <w:start w:val="1"/>
    </w:lvl>
  </w:abstractNum>
  <w:abstractNum w:abstractNumId="317">
    <w:nsid w:val="54B59621"/>
    <w:multiLevelType w:val="hybridMultilevel"/>
    <w:lvl w:ilvl="0">
      <w:lvlJc w:val="left"/>
      <w:lvlText w:val="(%1)"/>
      <w:numFmt w:val="lowerRoman"/>
      <w:start w:val="1"/>
    </w:lvl>
  </w:abstractNum>
  <w:abstractNum w:abstractNumId="318">
    <w:nsid w:val="5992A02E"/>
    <w:multiLevelType w:val="hybridMultilevel"/>
    <w:lvl w:ilvl="0">
      <w:lvlJc w:val="left"/>
      <w:lvlText w:val="(%1)"/>
      <w:numFmt w:val="lowerRoman"/>
      <w:start w:val="1"/>
    </w:lvl>
  </w:abstractNum>
  <w:abstractNum w:abstractNumId="319">
    <w:nsid w:val="29EF532D"/>
    <w:multiLevelType w:val="hybridMultilevel"/>
    <w:lvl w:ilvl="0">
      <w:lvlJc w:val="left"/>
      <w:lvlText w:val="(%1)"/>
      <w:numFmt w:val="lowerRoman"/>
      <w:start w:val="1"/>
    </w:lvl>
  </w:abstractNum>
  <w:abstractNum w:abstractNumId="320">
    <w:nsid w:val="71D601AF"/>
    <w:multiLevelType w:val="hybridMultilevel"/>
    <w:lvl w:ilvl="0">
      <w:lvlJc w:val="left"/>
      <w:lvlText w:val="(%1)"/>
      <w:numFmt w:val="lowerRoman"/>
      <w:start w:val="1"/>
    </w:lvl>
  </w:abstractNum>
  <w:abstractNum w:abstractNumId="321">
    <w:nsid w:val="52C77402"/>
    <w:multiLevelType w:val="hybridMultilevel"/>
    <w:lvl w:ilvl="0">
      <w:lvlJc w:val="left"/>
      <w:lvlText w:val="(%1)"/>
      <w:numFmt w:val="lowerRoman"/>
      <w:start w:val="1"/>
    </w:lvl>
  </w:abstractNum>
  <w:abstractNum w:abstractNumId="322">
    <w:nsid w:val="2BB5B1C6"/>
    <w:multiLevelType w:val="hybridMultilevel"/>
    <w:lvl w:ilvl="0">
      <w:lvlJc w:val="left"/>
      <w:lvlText w:val="(%1)"/>
      <w:numFmt w:val="lowerRoman"/>
      <w:start w:val="1"/>
    </w:lvl>
  </w:abstractNum>
  <w:abstractNum w:abstractNumId="323">
    <w:nsid w:val="66BE6B9"/>
    <w:multiLevelType w:val="hybridMultilevel"/>
    <w:lvl w:ilvl="0">
      <w:lvlJc w:val="left"/>
      <w:lvlText w:val="(%1)"/>
      <w:numFmt w:val="lowerRoman"/>
      <w:start w:val="1"/>
    </w:lvl>
  </w:abstractNum>
  <w:abstractNum w:abstractNumId="324">
    <w:nsid w:val="62234363"/>
    <w:multiLevelType w:val="hybridMultilevel"/>
    <w:lvl w:ilvl="0">
      <w:lvlJc w:val="left"/>
      <w:lvlText w:val="(%1)"/>
      <w:numFmt w:val="lowerRoman"/>
      <w:start w:val="1"/>
    </w:lvl>
  </w:abstractNum>
  <w:abstractNum w:abstractNumId="325">
    <w:nsid w:val="66D385C9"/>
    <w:multiLevelType w:val="hybridMultilevel"/>
    <w:lvl w:ilvl="0">
      <w:lvlJc w:val="left"/>
      <w:lvlText w:val="(%1)"/>
      <w:numFmt w:val="lowerRoman"/>
      <w:start w:val="1"/>
    </w:lvl>
  </w:abstractNum>
  <w:abstractNum w:abstractNumId="326">
    <w:nsid w:val="596F6D8A"/>
    <w:multiLevelType w:val="hybridMultilevel"/>
    <w:lvl w:ilvl="0">
      <w:lvlJc w:val="left"/>
      <w:lvlText w:val="(%1)"/>
      <w:numFmt w:val="lowerRoman"/>
      <w:start w:val="1"/>
    </w:lvl>
  </w:abstractNum>
  <w:abstractNum w:abstractNumId="327">
    <w:nsid w:val="5749361F"/>
    <w:multiLevelType w:val="hybridMultilevel"/>
    <w:lvl w:ilvl="0">
      <w:lvlJc w:val="left"/>
      <w:lvlText w:val="(%1)"/>
      <w:numFmt w:val="lowerRoman"/>
      <w:start w:val="1"/>
    </w:lvl>
  </w:abstractNum>
  <w:abstractNum w:abstractNumId="328">
    <w:nsid w:val="73BC6770"/>
    <w:multiLevelType w:val="hybridMultilevel"/>
    <w:lvl w:ilvl="0">
      <w:lvlJc w:val="left"/>
      <w:lvlText w:val="(%1)"/>
      <w:numFmt w:val="lowerRoman"/>
      <w:start w:val="1"/>
    </w:lvl>
  </w:abstractNum>
  <w:abstractNum w:abstractNumId="329">
    <w:nsid w:val="280E6897"/>
    <w:multiLevelType w:val="hybridMultilevel"/>
    <w:lvl w:ilvl="0">
      <w:lvlJc w:val="left"/>
      <w:lvlText w:val="(%1)"/>
      <w:numFmt w:val="lowerRoman"/>
      <w:start w:val="1"/>
    </w:lvl>
  </w:abstractNum>
  <w:abstractNum w:abstractNumId="330">
    <w:nsid w:val="605138DE"/>
    <w:multiLevelType w:val="hybridMultilevel"/>
    <w:lvl w:ilvl="0">
      <w:lvlJc w:val="left"/>
      <w:lvlText w:val="(%1)"/>
      <w:numFmt w:val="lowerRoman"/>
      <w:start w:val="1"/>
    </w:lvl>
  </w:abstractNum>
  <w:abstractNum w:abstractNumId="331">
    <w:nsid w:val="2622AD0C"/>
    <w:multiLevelType w:val="hybridMultilevel"/>
    <w:lvl w:ilvl="0">
      <w:lvlJc w:val="left"/>
      <w:lvlText w:val="(%1)"/>
      <w:numFmt w:val="lowerRoman"/>
      <w:start w:val="1"/>
    </w:lvl>
  </w:abstractNum>
  <w:abstractNum w:abstractNumId="332">
    <w:nsid w:val="67997556"/>
    <w:multiLevelType w:val="hybridMultilevel"/>
    <w:lvl w:ilvl="0">
      <w:lvlJc w:val="left"/>
      <w:lvlText w:val="(%1)"/>
      <w:numFmt w:val="lowerRoman"/>
      <w:start w:val="1"/>
    </w:lvl>
  </w:abstractNum>
  <w:abstractNum w:abstractNumId="333">
    <w:nsid w:val="18333C89"/>
    <w:multiLevelType w:val="hybridMultilevel"/>
    <w:lvl w:ilvl="0">
      <w:lvlJc w:val="left"/>
      <w:lvlText w:val="(%1)"/>
      <w:numFmt w:val="lowerRoman"/>
      <w:start w:val="1"/>
    </w:lvl>
  </w:abstractNum>
  <w:abstractNum w:abstractNumId="334">
    <w:nsid w:val="4BA9831A"/>
    <w:multiLevelType w:val="hybridMultilevel"/>
    <w:lvl w:ilvl="0">
      <w:lvlJc w:val="left"/>
      <w:lvlText w:val="(%1)"/>
      <w:numFmt w:val="lowerRoman"/>
      <w:start w:val="1"/>
    </w:lvl>
  </w:abstractNum>
  <w:abstractNum w:abstractNumId="335">
    <w:nsid w:val="6D71A2B"/>
    <w:multiLevelType w:val="hybridMultilevel"/>
    <w:lvl w:ilvl="0">
      <w:lvlJc w:val="left"/>
      <w:lvlText w:val="(%1)"/>
      <w:numFmt w:val="lowerRoman"/>
      <w:start w:val="1"/>
    </w:lvl>
  </w:abstractNum>
  <w:abstractNum w:abstractNumId="336">
    <w:nsid w:val="CFC7321"/>
    <w:multiLevelType w:val="hybridMultilevel"/>
    <w:lvl w:ilvl="0">
      <w:lvlJc w:val="left"/>
      <w:lvlText w:val="(%1)"/>
      <w:numFmt w:val="lowerRoman"/>
      <w:start w:val="1"/>
    </w:lvl>
  </w:abstractNum>
  <w:abstractNum w:abstractNumId="337">
    <w:nsid w:val="1421971B"/>
    <w:multiLevelType w:val="hybridMultilevel"/>
    <w:lvl w:ilvl="0">
      <w:lvlJc w:val="left"/>
      <w:lvlText w:val="1"/>
      <w:numFmt w:val="bullet"/>
      <w:start w:val="1"/>
    </w:lvl>
  </w:abstractNum>
  <w:abstractNum w:abstractNumId="338">
    <w:nsid w:val="1F404301"/>
    <w:multiLevelType w:val="hybridMultilevel"/>
    <w:lvl w:ilvl="0">
      <w:lvlJc w:val="left"/>
      <w:lvlText w:val="2"/>
      <w:numFmt w:val="bullet"/>
      <w:start w:val="1"/>
    </w:lvl>
  </w:abstractNum>
  <w:abstractNum w:abstractNumId="339">
    <w:nsid w:val="116E0907"/>
    <w:multiLevelType w:val="hybridMultilevel"/>
    <w:lvl w:ilvl="0">
      <w:lvlJc w:val="left"/>
      <w:lvlText w:val="3"/>
      <w:numFmt w:val="bullet"/>
      <w:start w:val="1"/>
    </w:lvl>
  </w:abstractNum>
  <w:abstractNum w:abstractNumId="340">
    <w:nsid w:val="4B683D0D"/>
    <w:multiLevelType w:val="hybridMultilevel"/>
    <w:lvl w:ilvl="0">
      <w:lvlJc w:val="left"/>
      <w:lvlText w:val="%1."/>
      <w:numFmt w:val="decimal"/>
      <w:start w:val="2"/>
    </w:lvl>
  </w:abstractNum>
  <w:abstractNum w:abstractNumId="341">
    <w:nsid w:val="76E41D8"/>
    <w:multiLevelType w:val="hybridMultilevel"/>
    <w:lvl w:ilvl="0">
      <w:lvlJc w:val="left"/>
      <w:lvlText w:val="%1."/>
      <w:numFmt w:val="decimal"/>
      <w:start w:val="3"/>
    </w:lvl>
  </w:abstractNum>
  <w:abstractNum w:abstractNumId="342">
    <w:nsid w:val="71DCE0FD"/>
    <w:multiLevelType w:val="hybridMultilevel"/>
    <w:lvl w:ilvl="0">
      <w:lvlJc w:val="left"/>
      <w:lvlText w:val="%1."/>
      <w:numFmt w:val="decimal"/>
      <w:start w:val="4"/>
    </w:lvl>
  </w:abstractNum>
  <w:abstractNum w:abstractNumId="343">
    <w:nsid w:val="7906328B"/>
    <w:multiLevelType w:val="hybridMultilevel"/>
    <w:lvl w:ilvl="0">
      <w:lvlJc w:val="left"/>
      <w:lvlText w:val="(%1)"/>
      <w:numFmt w:val="lowerRoman"/>
      <w:start w:val="2"/>
    </w:lvl>
  </w:abstractNum>
  <w:abstractNum w:abstractNumId="344">
    <w:nsid w:val="72BBC16"/>
    <w:multiLevelType w:val="hybridMultilevel"/>
    <w:lvl w:ilvl="0">
      <w:lvlJc w:val="left"/>
      <w:lvlText w:val="%1."/>
      <w:numFmt w:val="decimal"/>
      <w:start w:val="5"/>
    </w:lvl>
  </w:abstractNum>
  <w:abstractNum w:abstractNumId="345">
    <w:nsid w:val="766D98C2"/>
    <w:multiLevelType w:val="hybridMultilevel"/>
    <w:lvl w:ilvl="0">
      <w:lvlJc w:val="left"/>
      <w:lvlText w:val="%1."/>
      <w:numFmt w:val="decimal"/>
      <w:start w:val="6"/>
    </w:lvl>
  </w:abstractNum>
  <w:abstractNum w:abstractNumId="346">
    <w:nsid w:val="3C09D4A1"/>
    <w:multiLevelType w:val="hybridMultilevel"/>
    <w:lvl w:ilvl="0">
      <w:lvlJc w:val="left"/>
      <w:lvlText w:val="%1."/>
      <w:numFmt w:val="decimal"/>
      <w:start w:val="7"/>
    </w:lvl>
  </w:abstractNum>
  <w:abstractNum w:abstractNumId="347">
    <w:nsid w:val="20E45CA4"/>
    <w:multiLevelType w:val="hybridMultilevel"/>
    <w:lvl w:ilvl="0">
      <w:lvlJc w:val="left"/>
      <w:lvlText w:val="%1."/>
      <w:numFmt w:val="decimal"/>
      <w:start w:val="8"/>
    </w:lvl>
  </w:abstractNum>
  <w:abstractNum w:abstractNumId="348">
    <w:nsid w:val="4B232EE3"/>
    <w:multiLevelType w:val="hybridMultilevel"/>
    <w:lvl w:ilvl="0">
      <w:lvlJc w:val="left"/>
      <w:lvlText w:val="%1."/>
      <w:numFmt w:val="decimal"/>
      <w:start w:val="9"/>
    </w:lvl>
  </w:abstractNum>
  <w:abstractNum w:abstractNumId="349">
    <w:nsid w:val="159C74CF"/>
    <w:multiLevelType w:val="hybridMultilevel"/>
    <w:lvl w:ilvl="0">
      <w:lvlJc w:val="left"/>
      <w:lvlText w:val="%1."/>
      <w:numFmt w:val="decimal"/>
      <w:start w:val="10"/>
    </w:lvl>
  </w:abstractNum>
  <w:abstractNum w:abstractNumId="350">
    <w:nsid w:val="4AD3AFD2"/>
    <w:multiLevelType w:val="hybridMultilevel"/>
    <w:lvl w:ilvl="0">
      <w:lvlJc w:val="left"/>
      <w:lvlText w:val="%1."/>
      <w:numFmt w:val="decimal"/>
      <w:start w:val="1"/>
    </w:lvl>
  </w:abstractNum>
  <w:abstractNum w:abstractNumId="351">
    <w:nsid w:val="3CF93092"/>
    <w:multiLevelType w:val="hybridMultilevel"/>
    <w:lvl w:ilvl="0">
      <w:lvlJc w:val="left"/>
      <w:lvlText w:val="%1"/>
      <w:numFmt w:val="decimal"/>
      <w:start w:val="1"/>
    </w:lvl>
    <w:lvl w:ilvl="1">
      <w:lvlJc w:val="left"/>
      <w:lvlText w:val="(%2)"/>
      <w:numFmt w:val="lowerRoman"/>
      <w:start w:val="1"/>
    </w:lvl>
  </w:abstractNum>
  <w:abstractNum w:abstractNumId="352">
    <w:nsid w:val="6863E8D2"/>
    <w:multiLevelType w:val="hybridMultilevel"/>
    <w:lvl w:ilvl="0">
      <w:lvlJc w:val="left"/>
      <w:lvlText w:val="%1."/>
      <w:numFmt w:val="decimal"/>
      <w:start w:val="2"/>
    </w:lvl>
    <w:lvl w:ilvl="1">
      <w:lvlJc w:val="left"/>
      <w:lvlText w:val="(%2)"/>
      <w:numFmt w:val="lowerRoman"/>
      <w:start w:val="1"/>
    </w:lvl>
  </w:abstractNum>
  <w:abstractNum w:abstractNumId="353">
    <w:nsid w:val="76896198"/>
    <w:multiLevelType w:val="hybridMultilevel"/>
    <w:lvl w:ilvl="0">
      <w:lvlJc w:val="left"/>
      <w:lvlText w:val="%1."/>
      <w:numFmt w:val="decimal"/>
      <w:start w:val="1"/>
    </w:lvl>
  </w:abstractNum>
  <w:abstractNum w:abstractNumId="354">
    <w:nsid w:val="4365174B"/>
    <w:multiLevelType w:val="hybridMultilevel"/>
    <w:lvl w:ilvl="0">
      <w:lvlJc w:val="left"/>
      <w:lvlText w:val="%1."/>
      <w:numFmt w:val="decimal"/>
      <w:start w:val="2"/>
    </w:lvl>
  </w:abstractNum>
  <w:abstractNum w:abstractNumId="355">
    <w:nsid w:val="4A872C35"/>
    <w:multiLevelType w:val="hybridMultilevel"/>
    <w:lvl w:ilvl="0">
      <w:lvlJc w:val="left"/>
      <w:lvlText w:val="%1."/>
      <w:numFmt w:val="decimal"/>
      <w:start w:val="3"/>
    </w:lvl>
  </w:abstractNum>
  <w:abstractNum w:abstractNumId="356">
    <w:nsid w:val="5D5CE761"/>
    <w:multiLevelType w:val="hybridMultilevel"/>
    <w:lvl w:ilvl="0">
      <w:lvlJc w:val="left"/>
      <w:lvlText w:val="%1."/>
      <w:numFmt w:val="decimal"/>
      <w:start w:val="4"/>
    </w:lvl>
  </w:abstractNum>
  <w:abstractNum w:abstractNumId="357">
    <w:nsid w:val="1CD484D5"/>
    <w:multiLevelType w:val="hybridMultilevel"/>
    <w:lvl w:ilvl="0">
      <w:lvlJc w:val="left"/>
      <w:lvlText w:val="%1."/>
      <w:numFmt w:val="decimal"/>
      <w:start w:val="1"/>
    </w:lvl>
  </w:abstractNum>
  <w:abstractNum w:abstractNumId="358">
    <w:nsid w:val="21D06255"/>
    <w:multiLevelType w:val="hybridMultilevel"/>
    <w:lvl w:ilvl="0">
      <w:lvlJc w:val="left"/>
      <w:lvlText w:val="%1."/>
      <w:numFmt w:val="decimal"/>
      <w:start w:val="2"/>
    </w:lvl>
  </w:abstractNum>
  <w:abstractNum w:abstractNumId="359">
    <w:nsid w:val="51194ED1"/>
    <w:multiLevelType w:val="hybridMultilevel"/>
    <w:lvl w:ilvl="0">
      <w:lvlJc w:val="left"/>
      <w:lvlText w:val="%1."/>
      <w:numFmt w:val="decimal"/>
      <w:start w:val="3"/>
    </w:lvl>
  </w:abstractNum>
  <w:abstractNum w:abstractNumId="360">
    <w:nsid w:val="44E2ED6C"/>
    <w:multiLevelType w:val="hybridMultilevel"/>
    <w:lvl w:ilvl="0">
      <w:lvlJc w:val="left"/>
      <w:lvlText w:val="%1."/>
      <w:numFmt w:val="decimal"/>
      <w:start w:val="4"/>
    </w:lvl>
  </w:abstractNum>
  <w:abstractNum w:abstractNumId="361">
    <w:nsid w:val="2219B33"/>
    <w:multiLevelType w:val="hybridMultilevel"/>
    <w:lvl w:ilvl="0">
      <w:lvlJc w:val="left"/>
      <w:lvlText w:val="%1."/>
      <w:numFmt w:val="decimal"/>
      <w:start w:val="5"/>
    </w:lvl>
  </w:abstractNum>
  <w:abstractNum w:abstractNumId="362">
    <w:nsid w:val="773BFBDD"/>
    <w:multiLevelType w:val="hybridMultilevel"/>
    <w:lvl w:ilvl="0">
      <w:lvlJc w:val="left"/>
      <w:lvlText w:val="%1."/>
      <w:numFmt w:val="decimal"/>
      <w:start w:val="1"/>
    </w:lvl>
  </w:abstractNum>
  <w:abstractNum w:abstractNumId="363">
    <w:nsid w:val="2C7C62C2"/>
    <w:multiLevelType w:val="hybridMultilevel"/>
    <w:lvl w:ilvl="0">
      <w:lvlJc w:val="left"/>
      <w:lvlText w:val="%1."/>
      <w:numFmt w:val="decimal"/>
      <w:start w:val="2"/>
    </w:lvl>
  </w:abstractNum>
  <w:abstractNum w:abstractNumId="364">
    <w:nsid w:val="1A54D7BC"/>
    <w:multiLevelType w:val="hybridMultilevel"/>
    <w:lvl w:ilvl="0">
      <w:lvlJc w:val="left"/>
      <w:lvlText w:val="%1."/>
      <w:numFmt w:val="decimal"/>
      <w:start w:val="4"/>
    </w:lvl>
  </w:abstractNum>
  <w:abstractNum w:abstractNumId="365">
    <w:nsid w:val="42E57EF7"/>
    <w:multiLevelType w:val="hybridMultilevel"/>
    <w:lvl w:ilvl="0">
      <w:lvlJc w:val="left"/>
      <w:lvlText w:val="%1."/>
      <w:numFmt w:val="decimal"/>
      <w:start w:val="6"/>
    </w:lvl>
  </w:abstractNum>
  <w:abstractNum w:abstractNumId="366">
    <w:nsid w:val="33537CED"/>
    <w:multiLevelType w:val="hybridMultilevel"/>
    <w:lvl w:ilvl="0">
      <w:lvlJc w:val="left"/>
      <w:lvlText w:val="%1."/>
      <w:numFmt w:val="decimal"/>
      <w:start w:val="1"/>
    </w:lvl>
    <w:lvl w:ilvl="1">
      <w:lvlJc w:val="left"/>
      <w:lvlText w:val="(%2)"/>
      <w:numFmt w:val="lowerLetter"/>
      <w:start w:val="1"/>
    </w:lvl>
  </w:abstractNum>
  <w:abstractNum w:abstractNumId="367">
    <w:nsid w:val="27514ADE"/>
    <w:multiLevelType w:val="hybridMultilevel"/>
    <w:lvl w:ilvl="0">
      <w:lvlJc w:val="left"/>
      <w:lvlText w:val="%1."/>
      <w:numFmt w:val="decimal"/>
      <w:start w:val="1"/>
    </w:lvl>
    <w:lvl w:ilvl="1">
      <w:lvlJc w:val="left"/>
      <w:lvlText w:val="(%2)"/>
      <w:numFmt w:val="lowerLetter"/>
      <w:start w:val="1"/>
    </w:lvl>
  </w:abstractNum>
  <w:abstractNum w:abstractNumId="368">
    <w:nsid w:val="57071613"/>
    <w:multiLevelType w:val="hybridMultilevel"/>
    <w:lvl w:ilvl="0">
      <w:lvlJc w:val="left"/>
      <w:lvlText w:val="%1."/>
      <w:numFmt w:val="decimal"/>
      <w:start w:val="1"/>
    </w:lvl>
    <w:lvl w:ilvl="1">
      <w:lvlJc w:val="left"/>
      <w:lvlText w:val="(%2)"/>
      <w:numFmt w:val="lowerLetter"/>
      <w:start w:val="1"/>
    </w:lvl>
  </w:abstractNum>
  <w:abstractNum w:abstractNumId="369">
    <w:nsid w:val="5293BFEF"/>
    <w:multiLevelType w:val="hybridMultilevel"/>
    <w:lvl w:ilvl="0">
      <w:lvlJc w:val="left"/>
      <w:lvlText w:val="%1."/>
      <w:numFmt w:val="decimal"/>
      <w:start w:val="1"/>
    </w:lvl>
    <w:lvl w:ilvl="1">
      <w:lvlJc w:val="left"/>
      <w:lvlText w:val="(%2)"/>
      <w:numFmt w:val="lowerLetter"/>
      <w:start w:val="1"/>
    </w:lvl>
  </w:abstractNum>
  <w:abstractNum w:abstractNumId="370">
    <w:nsid w:val="38BF53E5"/>
    <w:multiLevelType w:val="hybridMultilevel"/>
    <w:lvl w:ilvl="0">
      <w:lvlJc w:val="left"/>
      <w:lvlText w:val="(%1)"/>
      <w:numFmt w:val="decimal"/>
      <w:start w:val="1"/>
    </w:lvl>
  </w:abstractNum>
  <w:abstractNum w:abstractNumId="371">
    <w:nsid w:val="226F532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jpe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jpeg"/><Relationship Id="rId715" Type="http://schemas.openxmlformats.org/officeDocument/2006/relationships/image" Target="media/image708.png"/><Relationship Id="rId716" Type="http://schemas.openxmlformats.org/officeDocument/2006/relationships/image" Target="media/image709.jpeg"/><Relationship Id="rId717" Type="http://schemas.openxmlformats.org/officeDocument/2006/relationships/image" Target="media/image710.png"/><Relationship Id="rId718" Type="http://schemas.openxmlformats.org/officeDocument/2006/relationships/image" Target="media/image711.jpeg"/><Relationship Id="rId719" Type="http://schemas.openxmlformats.org/officeDocument/2006/relationships/image" Target="media/image712.png"/><Relationship Id="rId720" Type="http://schemas.openxmlformats.org/officeDocument/2006/relationships/image" Target="media/image713.jpeg"/><Relationship Id="rId721" Type="http://schemas.openxmlformats.org/officeDocument/2006/relationships/image" Target="media/image714.png"/><Relationship Id="rId722" Type="http://schemas.openxmlformats.org/officeDocument/2006/relationships/image" Target="media/image715.jpeg"/><Relationship Id="rId723" Type="http://schemas.openxmlformats.org/officeDocument/2006/relationships/image" Target="media/image716.png"/><Relationship Id="rId724" Type="http://schemas.openxmlformats.org/officeDocument/2006/relationships/image" Target="media/image717.jpeg"/><Relationship Id="rId725" Type="http://schemas.openxmlformats.org/officeDocument/2006/relationships/image" Target="media/image718.png"/><Relationship Id="rId726" Type="http://schemas.openxmlformats.org/officeDocument/2006/relationships/image" Target="media/image719.jpeg"/><Relationship Id="rId727" Type="http://schemas.openxmlformats.org/officeDocument/2006/relationships/image" Target="media/image720.png"/><Relationship Id="rId728" Type="http://schemas.openxmlformats.org/officeDocument/2006/relationships/image" Target="media/image721.jpe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jpeg"/><Relationship Id="rId732" Type="http://schemas.openxmlformats.org/officeDocument/2006/relationships/image" Target="media/image725.png"/><Relationship Id="rId733" Type="http://schemas.openxmlformats.org/officeDocument/2006/relationships/image" Target="media/image726.jpe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2019-12-29T10:24:20Z</dcterms:created>
  <dcterms:modified xsi:type="dcterms:W3CDTF">2019-12-29T10:24:20Z</dcterms:modified>
</cp:coreProperties>
</file>