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288290</wp:posOffset>
            </wp:positionH>
            <wp:positionV relativeFrom="page">
              <wp:posOffset>426085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403225</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34"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8-K</w:t>
      </w:r>
    </w:p>
    <w:p>
      <w:pPr>
        <w:spacing w:after="0" w:line="161"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ind w:right="-7"/>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April 24, 2025</w:t>
      </w:r>
    </w:p>
    <w:p>
      <w:pPr>
        <w:spacing w:after="0" w:line="14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AMERICAN AIRLINES GROUP INC.</w:t>
      </w:r>
    </w:p>
    <w:p>
      <w:pPr>
        <w:spacing w:after="0" w:line="36"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AMERICAN AIRLINES, INC.</w:t>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84"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38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8"/>
              </w:rPr>
              <w:t>Delaware</w:t>
            </w:r>
          </w:p>
        </w:tc>
        <w:tc>
          <w:tcPr>
            <w:tcW w:w="1000" w:type="dxa"/>
            <w:vAlign w:val="bottom"/>
          </w:tcPr>
          <w:p>
            <w:pPr>
              <w:spacing w:after="0"/>
              <w:rPr>
                <w:sz w:val="13"/>
                <w:szCs w:val="13"/>
                <w:color w:val="auto"/>
              </w:rPr>
            </w:pPr>
          </w:p>
        </w:tc>
        <w:tc>
          <w:tcPr>
            <w:tcW w:w="1780" w:type="dxa"/>
            <w:vAlign w:val="bottom"/>
          </w:tcPr>
          <w:p>
            <w:pPr>
              <w:jc w:val="center"/>
              <w:ind w:right="342"/>
              <w:spacing w:after="0"/>
              <w:rPr>
                <w:sz w:val="20"/>
                <w:szCs w:val="20"/>
                <w:color w:val="auto"/>
              </w:rPr>
            </w:pPr>
            <w:r>
              <w:rPr>
                <w:rFonts w:ascii="Arial" w:cs="Arial" w:eastAsia="Arial" w:hAnsi="Arial"/>
                <w:sz w:val="12"/>
                <w:szCs w:val="12"/>
                <w:b w:val="1"/>
                <w:bCs w:val="1"/>
                <w:color w:val="auto"/>
              </w:rPr>
              <w:t>1-8400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jc w:val="center"/>
              <w:ind w:left="164"/>
              <w:spacing w:after="0"/>
              <w:rPr>
                <w:sz w:val="20"/>
                <w:szCs w:val="20"/>
                <w:color w:val="auto"/>
              </w:rPr>
            </w:pPr>
            <w:r>
              <w:rPr>
                <w:rFonts w:ascii="Arial" w:cs="Arial" w:eastAsia="Arial" w:hAnsi="Arial"/>
                <w:sz w:val="12"/>
                <w:szCs w:val="12"/>
                <w:b w:val="1"/>
                <w:bCs w:val="1"/>
                <w:color w:val="auto"/>
                <w:w w:val="99"/>
              </w:rPr>
              <w:t>75-1825172</w:t>
            </w:r>
          </w:p>
        </w:tc>
        <w:tc>
          <w:tcPr>
            <w:tcW w:w="240" w:type="dxa"/>
            <w:vAlign w:val="bottom"/>
          </w:tcPr>
          <w:p>
            <w:pPr>
              <w:spacing w:after="0"/>
              <w:rPr>
                <w:sz w:val="13"/>
                <w:szCs w:val="13"/>
                <w:color w:val="auto"/>
              </w:rPr>
            </w:pPr>
          </w:p>
        </w:tc>
      </w:tr>
      <w:tr>
        <w:trPr>
          <w:trHeight w:val="157"/>
        </w:trPr>
        <w:tc>
          <w:tcPr>
            <w:tcW w:w="24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jc w:val="center"/>
              <w:ind w:right="184"/>
              <w:spacing w:after="0"/>
              <w:rPr>
                <w:sz w:val="20"/>
                <w:szCs w:val="20"/>
                <w:color w:val="auto"/>
              </w:rPr>
            </w:pPr>
            <w:r>
              <w:rPr>
                <w:rFonts w:ascii="Arial" w:cs="Arial" w:eastAsia="Arial" w:hAnsi="Arial"/>
                <w:sz w:val="12"/>
                <w:szCs w:val="12"/>
                <w:b w:val="1"/>
                <w:bCs w:val="1"/>
                <w:color w:val="auto"/>
                <w:w w:val="98"/>
              </w:rPr>
              <w:t>Delaware</w:t>
            </w:r>
          </w:p>
        </w:tc>
        <w:tc>
          <w:tcPr>
            <w:tcW w:w="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342"/>
              <w:spacing w:after="0"/>
              <w:rPr>
                <w:sz w:val="20"/>
                <w:szCs w:val="20"/>
                <w:color w:val="auto"/>
              </w:rPr>
            </w:pPr>
            <w:r>
              <w:rPr>
                <w:rFonts w:ascii="Arial" w:cs="Arial" w:eastAsia="Arial" w:hAnsi="Arial"/>
                <w:sz w:val="12"/>
                <w:szCs w:val="12"/>
                <w:b w:val="1"/>
                <w:bCs w:val="1"/>
                <w:color w:val="auto"/>
              </w:rPr>
              <w:t>1-2691</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Borders>
              <w:bottom w:val="single" w:sz="8" w:color="auto"/>
            </w:tcBorders>
          </w:tcPr>
          <w:p>
            <w:pPr>
              <w:jc w:val="center"/>
              <w:ind w:left="164"/>
              <w:spacing w:after="0"/>
              <w:rPr>
                <w:sz w:val="20"/>
                <w:szCs w:val="20"/>
                <w:color w:val="auto"/>
              </w:rPr>
            </w:pPr>
            <w:r>
              <w:rPr>
                <w:rFonts w:ascii="Arial" w:cs="Arial" w:eastAsia="Arial" w:hAnsi="Arial"/>
                <w:sz w:val="12"/>
                <w:szCs w:val="12"/>
                <w:b w:val="1"/>
                <w:bCs w:val="1"/>
                <w:color w:val="auto"/>
                <w:w w:val="99"/>
              </w:rPr>
              <w:t>13-1502798</w:t>
            </w:r>
          </w:p>
        </w:tc>
        <w:tc>
          <w:tcPr>
            <w:tcW w:w="240" w:type="dxa"/>
            <w:vAlign w:val="bottom"/>
            <w:tcBorders>
              <w:bottom w:val="single" w:sz="8" w:color="auto"/>
            </w:tcBorders>
          </w:tcPr>
          <w:p>
            <w:pPr>
              <w:spacing w:after="0"/>
              <w:rPr>
                <w:sz w:val="13"/>
                <w:szCs w:val="13"/>
                <w:color w:val="auto"/>
              </w:rPr>
            </w:pPr>
          </w:p>
        </w:tc>
      </w:tr>
      <w:tr>
        <w:trPr>
          <w:trHeight w:val="122"/>
        </w:trPr>
        <w:tc>
          <w:tcPr>
            <w:tcW w:w="240" w:type="dxa"/>
            <w:vAlign w:val="bottom"/>
          </w:tcPr>
          <w:p>
            <w:pPr>
              <w:spacing w:after="0"/>
              <w:rPr>
                <w:sz w:val="10"/>
                <w:szCs w:val="10"/>
                <w:color w:val="auto"/>
              </w:rPr>
            </w:pPr>
          </w:p>
        </w:tc>
        <w:tc>
          <w:tcPr>
            <w:tcW w:w="38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(State or other Jurisdiction of Incorporation)</w:t>
            </w:r>
          </w:p>
        </w:tc>
        <w:tc>
          <w:tcPr>
            <w:tcW w:w="1000" w:type="dxa"/>
            <w:vAlign w:val="bottom"/>
          </w:tcPr>
          <w:p>
            <w:pPr>
              <w:spacing w:after="0"/>
              <w:rPr>
                <w:sz w:val="10"/>
                <w:szCs w:val="10"/>
                <w:color w:val="auto"/>
              </w:rPr>
            </w:pPr>
          </w:p>
        </w:tc>
        <w:tc>
          <w:tcPr>
            <w:tcW w:w="2600" w:type="dxa"/>
            <w:vAlign w:val="bottom"/>
            <w:gridSpan w:val="4"/>
          </w:tcPr>
          <w:p>
            <w:pPr>
              <w:jc w:val="center"/>
              <w:ind w:right="1220"/>
              <w:spacing w:after="0"/>
              <w:rPr>
                <w:sz w:val="20"/>
                <w:szCs w:val="20"/>
                <w:color w:val="auto"/>
              </w:rPr>
            </w:pPr>
            <w:r>
              <w:rPr>
                <w:rFonts w:ascii="Arial" w:cs="Arial" w:eastAsia="Arial" w:hAnsi="Arial"/>
                <w:sz w:val="10"/>
                <w:szCs w:val="10"/>
                <w:b w:val="1"/>
                <w:bCs w:val="1"/>
                <w:color w:val="auto"/>
                <w:w w:val="95"/>
              </w:rPr>
              <w:t>(Commission File Number)</w:t>
            </w:r>
          </w:p>
        </w:tc>
        <w:tc>
          <w:tcPr>
            <w:tcW w:w="3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(IRS Employer Identification No.)</w:t>
            </w:r>
          </w:p>
        </w:tc>
      </w:tr>
      <w:tr>
        <w:trPr>
          <w:trHeight w:val="466"/>
        </w:trPr>
        <w:tc>
          <w:tcPr>
            <w:tcW w:w="240" w:type="dxa"/>
            <w:vAlign w:val="bottom"/>
          </w:tcPr>
          <w:p>
            <w:pPr>
              <w:spacing w:after="0"/>
              <w:rPr>
                <w:sz w:val="24"/>
                <w:szCs w:val="24"/>
                <w:color w:val="auto"/>
              </w:rPr>
            </w:pPr>
          </w:p>
        </w:tc>
        <w:tc>
          <w:tcPr>
            <w:tcW w:w="3820" w:type="dxa"/>
            <w:vAlign w:val="bottom"/>
            <w:gridSpan w:val="2"/>
          </w:tcPr>
          <w:p>
            <w:pPr>
              <w:ind w:left="2800"/>
              <w:spacing w:after="0"/>
              <w:rPr>
                <w:sz w:val="20"/>
                <w:szCs w:val="20"/>
                <w:color w:val="auto"/>
              </w:rPr>
            </w:pPr>
            <w:r>
              <w:rPr>
                <w:rFonts w:ascii="Arial" w:cs="Arial" w:eastAsia="Arial" w:hAnsi="Arial"/>
                <w:sz w:val="12"/>
                <w:szCs w:val="12"/>
                <w:b w:val="1"/>
                <w:bCs w:val="1"/>
                <w:color w:val="auto"/>
              </w:rPr>
              <w:t>1 Skyview Drive,</w:t>
            </w:r>
          </w:p>
        </w:tc>
        <w:tc>
          <w:tcPr>
            <w:tcW w:w="1000" w:type="dxa"/>
            <w:vAlign w:val="bottom"/>
          </w:tcPr>
          <w:p>
            <w:pPr>
              <w:ind w:left="280"/>
              <w:spacing w:after="0"/>
              <w:rPr>
                <w:sz w:val="20"/>
                <w:szCs w:val="20"/>
                <w:color w:val="auto"/>
              </w:rPr>
            </w:pPr>
            <w:r>
              <w:rPr>
                <w:rFonts w:ascii="Arial" w:cs="Arial" w:eastAsia="Arial" w:hAnsi="Arial"/>
                <w:sz w:val="12"/>
                <w:szCs w:val="12"/>
                <w:b w:val="1"/>
                <w:bCs w:val="1"/>
                <w:color w:val="auto"/>
              </w:rPr>
              <w:t>Fort Worth,</w:t>
            </w:r>
          </w:p>
        </w:tc>
        <w:tc>
          <w:tcPr>
            <w:tcW w:w="2600" w:type="dxa"/>
            <w:vAlign w:val="bottom"/>
            <w:gridSpan w:val="4"/>
          </w:tcPr>
          <w:p>
            <w:pPr>
              <w:ind w:left="280"/>
              <w:spacing w:after="0"/>
              <w:rPr>
                <w:sz w:val="20"/>
                <w:szCs w:val="20"/>
                <w:color w:val="auto"/>
              </w:rPr>
            </w:pPr>
            <w:r>
              <w:rPr>
                <w:rFonts w:ascii="Arial" w:cs="Arial" w:eastAsia="Arial" w:hAnsi="Arial"/>
                <w:sz w:val="12"/>
                <w:szCs w:val="12"/>
                <w:b w:val="1"/>
                <w:bCs w:val="1"/>
                <w:color w:val="auto"/>
              </w:rPr>
              <w:t>Texas</w:t>
            </w:r>
          </w:p>
        </w:tc>
        <w:tc>
          <w:tcPr>
            <w:tcW w:w="3380" w:type="dxa"/>
            <w:vAlign w:val="bottom"/>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24"/>
                <w:szCs w:val="24"/>
                <w:color w:val="auto"/>
              </w:rPr>
            </w:pPr>
          </w:p>
        </w:tc>
      </w:tr>
      <w:tr>
        <w:trPr>
          <w:trHeight w:val="157"/>
        </w:trPr>
        <w:tc>
          <w:tcPr>
            <w:tcW w:w="240" w:type="dxa"/>
            <w:vAlign w:val="bottom"/>
          </w:tcPr>
          <w:p>
            <w:pPr>
              <w:spacing w:after="0"/>
              <w:rPr>
                <w:sz w:val="13"/>
                <w:szCs w:val="13"/>
                <w:color w:val="auto"/>
              </w:rPr>
            </w:pPr>
          </w:p>
        </w:tc>
        <w:tc>
          <w:tcPr>
            <w:tcW w:w="3820" w:type="dxa"/>
            <w:vAlign w:val="bottom"/>
            <w:tcBorders>
              <w:bottom w:val="single" w:sz="8" w:color="auto"/>
            </w:tcBorders>
            <w:gridSpan w:val="2"/>
          </w:tcPr>
          <w:p>
            <w:pPr>
              <w:ind w:left="2800"/>
              <w:spacing w:after="0"/>
              <w:rPr>
                <w:sz w:val="20"/>
                <w:szCs w:val="20"/>
                <w:color w:val="auto"/>
              </w:rPr>
            </w:pPr>
            <w:r>
              <w:rPr>
                <w:rFonts w:ascii="Arial" w:cs="Arial" w:eastAsia="Arial" w:hAnsi="Arial"/>
                <w:sz w:val="12"/>
                <w:szCs w:val="12"/>
                <w:b w:val="1"/>
                <w:bCs w:val="1"/>
                <w:color w:val="auto"/>
              </w:rPr>
              <w:t>1 Skyview Drive,</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Fort Worth,</w:t>
            </w:r>
          </w:p>
        </w:tc>
        <w:tc>
          <w:tcPr>
            <w:tcW w:w="178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Texas</w:t>
            </w:r>
          </w:p>
        </w:tc>
        <w:tc>
          <w:tcPr>
            <w:tcW w:w="38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3380" w:type="dxa"/>
            <w:vAlign w:val="bottom"/>
            <w:tcBorders>
              <w:bottom w:val="single" w:sz="8" w:color="auto"/>
            </w:tcBorders>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13"/>
                <w:szCs w:val="13"/>
                <w:color w:val="auto"/>
              </w:rPr>
            </w:pPr>
          </w:p>
        </w:tc>
      </w:tr>
      <w:tr>
        <w:trPr>
          <w:trHeight w:val="122"/>
        </w:trPr>
        <w:tc>
          <w:tcPr>
            <w:tcW w:w="240" w:type="dxa"/>
            <w:vAlign w:val="bottom"/>
          </w:tcPr>
          <w:p>
            <w:pPr>
              <w:spacing w:after="0"/>
              <w:rPr>
                <w:sz w:val="10"/>
                <w:szCs w:val="10"/>
                <w:color w:val="auto"/>
              </w:rPr>
            </w:pPr>
          </w:p>
        </w:tc>
        <w:tc>
          <w:tcPr>
            <w:tcW w:w="4820" w:type="dxa"/>
            <w:vAlign w:val="bottom"/>
            <w:gridSpan w:val="3"/>
          </w:tcPr>
          <w:p>
            <w:pPr>
              <w:ind w:left="2400"/>
              <w:spacing w:after="0"/>
              <w:rPr>
                <w:sz w:val="20"/>
                <w:szCs w:val="20"/>
                <w:color w:val="auto"/>
              </w:rPr>
            </w:pPr>
            <w:r>
              <w:rPr>
                <w:rFonts w:ascii="Arial" w:cs="Arial" w:eastAsia="Arial" w:hAnsi="Arial"/>
                <w:sz w:val="10"/>
                <w:szCs w:val="10"/>
                <w:b w:val="1"/>
                <w:bCs w:val="1"/>
                <w:color w:val="auto"/>
              </w:rPr>
              <w:t>(Address of principal executive offices)</w:t>
            </w: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2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2"/>
              </w:rPr>
              <w:t>(Zip Code)</w:t>
            </w:r>
          </w:p>
        </w:tc>
      </w:tr>
    </w:tbl>
    <w:p>
      <w:pPr>
        <w:spacing w:after="0" w:line="13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8" w:lineRule="exact"/>
        <w:rPr>
          <w:sz w:val="24"/>
          <w:szCs w:val="24"/>
          <w:color w:val="auto"/>
        </w:rPr>
      </w:pPr>
    </w:p>
    <w:p>
      <w:pPr>
        <w:ind w:left="5548" w:hanging="306"/>
        <w:spacing w:after="0"/>
        <w:tabs>
          <w:tab w:leader="none" w:pos="5548"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278-9000</w:t>
      </w:r>
    </w:p>
    <w:p>
      <w:pPr>
        <w:spacing w:after="0" w:line="6" w:lineRule="exact"/>
        <w:rPr>
          <w:rFonts w:ascii="Arial" w:cs="Arial" w:eastAsia="Arial" w:hAnsi="Arial"/>
          <w:sz w:val="12"/>
          <w:szCs w:val="12"/>
          <w:b w:val="1"/>
          <w:bCs w:val="1"/>
          <w:color w:val="auto"/>
        </w:rPr>
      </w:pPr>
    </w:p>
    <w:p>
      <w:pPr>
        <w:ind w:left="5548" w:hanging="306"/>
        <w:spacing w:after="0"/>
        <w:tabs>
          <w:tab w:leader="none" w:pos="554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278-9000</w:t>
      </w:r>
    </w:p>
    <w:p>
      <w:pPr>
        <w:spacing w:after="0" w:line="73"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36" w:lineRule="exact"/>
        <w:rPr>
          <w:rFonts w:ascii="MS PGothic" w:cs="MS PGothic" w:eastAsia="MS PGothic" w:hAnsi="MS PGothic"/>
          <w:sz w:val="12"/>
          <w:szCs w:val="12"/>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26" w:lineRule="exact"/>
        <w:rPr>
          <w:rFonts w:ascii="MS PGothic" w:cs="MS PGothic" w:eastAsia="MS PGothic" w:hAnsi="MS PGothic"/>
          <w:sz w:val="12"/>
          <w:szCs w:val="12"/>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26" w:lineRule="exact"/>
        <w:rPr>
          <w:rFonts w:ascii="MS PGothic" w:cs="MS PGothic" w:eastAsia="MS PGothic" w:hAnsi="MS PGothic"/>
          <w:sz w:val="12"/>
          <w:szCs w:val="12"/>
          <w:color w:val="auto"/>
        </w:rPr>
      </w:pPr>
    </w:p>
    <w:p>
      <w:pPr>
        <w:ind w:left="608" w:hanging="596"/>
        <w:spacing w:after="0"/>
        <w:tabs>
          <w:tab w:leader="none" w:pos="608"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81"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77" w:lineRule="exact"/>
        <w:rPr>
          <w:sz w:val="24"/>
          <w:szCs w:val="24"/>
          <w:color w:val="auto"/>
        </w:rPr>
      </w:pPr>
    </w:p>
    <w:tbl>
      <w:tblPr>
        <w:tblLayout w:type="fixed"/>
        <w:tblInd w:w="28" w:type="dxa"/>
        <w:tblCellMar>
          <w:top w:w="0" w:type="dxa"/>
          <w:left w:w="0" w:type="dxa"/>
          <w:bottom w:w="0" w:type="dxa"/>
          <w:right w:w="0" w:type="dxa"/>
        </w:tblCellMar>
      </w:tblPr>
      <w:tr>
        <w:trPr>
          <w:trHeight w:val="115"/>
        </w:trPr>
        <w:tc>
          <w:tcPr>
            <w:tcW w:w="3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Title of each class</w:t>
            </w:r>
          </w:p>
        </w:tc>
        <w:tc>
          <w:tcPr>
            <w:tcW w:w="240" w:type="dxa"/>
            <w:vAlign w:val="bottom"/>
            <w:vMerge w:val="restart"/>
          </w:tcPr>
          <w:p>
            <w:pPr>
              <w:spacing w:after="0"/>
              <w:rPr>
                <w:sz w:val="10"/>
                <w:szCs w:val="10"/>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Trading</w:t>
            </w:r>
          </w:p>
        </w:tc>
        <w:tc>
          <w:tcPr>
            <w:tcW w:w="3640" w:type="dxa"/>
            <w:vAlign w:val="bottom"/>
          </w:tcPr>
          <w:p>
            <w:pPr>
              <w:jc w:val="center"/>
              <w:spacing w:after="0"/>
              <w:rPr>
                <w:sz w:val="20"/>
                <w:szCs w:val="20"/>
                <w:color w:val="auto"/>
              </w:rPr>
            </w:pPr>
            <w:r>
              <w:rPr>
                <w:rFonts w:ascii="Arial" w:cs="Arial" w:eastAsia="Arial" w:hAnsi="Arial"/>
                <w:sz w:val="10"/>
                <w:szCs w:val="10"/>
                <w:b w:val="1"/>
                <w:bCs w:val="1"/>
                <w:color w:val="auto"/>
                <w:w w:val="94"/>
              </w:rPr>
              <w:t>Name of each exchange</w:t>
            </w:r>
          </w:p>
        </w:tc>
        <w:tc>
          <w:tcPr>
            <w:tcW w:w="0" w:type="dxa"/>
            <w:vAlign w:val="bottom"/>
          </w:tcPr>
          <w:p>
            <w:pPr>
              <w:spacing w:after="0"/>
              <w:rPr>
                <w:sz w:val="1"/>
                <w:szCs w:val="1"/>
                <w:color w:val="auto"/>
              </w:rPr>
            </w:pPr>
          </w:p>
        </w:tc>
      </w:tr>
      <w:tr>
        <w:trPr>
          <w:trHeight w:val="124"/>
        </w:trPr>
        <w:tc>
          <w:tcPr>
            <w:tcW w:w="380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Symbol(s)</w:t>
            </w:r>
          </w:p>
        </w:tc>
        <w:tc>
          <w:tcPr>
            <w:tcW w:w="180" w:type="dxa"/>
            <w:vAlign w:val="bottom"/>
          </w:tcPr>
          <w:p>
            <w:pPr>
              <w:spacing w:after="0"/>
              <w:rPr>
                <w:sz w:val="10"/>
                <w:szCs w:val="1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on which registered</w:t>
            </w:r>
          </w:p>
        </w:tc>
        <w:tc>
          <w:tcPr>
            <w:tcW w:w="0" w:type="dxa"/>
            <w:vAlign w:val="bottom"/>
          </w:tcPr>
          <w:p>
            <w:pPr>
              <w:spacing w:after="0"/>
              <w:rPr>
                <w:sz w:val="1"/>
                <w:szCs w:val="1"/>
                <w:color w:val="auto"/>
              </w:rPr>
            </w:pPr>
          </w:p>
        </w:tc>
      </w:tr>
      <w:tr>
        <w:trPr>
          <w:trHeight w:val="108"/>
        </w:trPr>
        <w:tc>
          <w:tcPr>
            <w:tcW w:w="404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95"/>
              </w:rPr>
              <w:t>Common Stock, $0.01 par value per share</w:t>
            </w:r>
          </w:p>
        </w:tc>
        <w:tc>
          <w:tcPr>
            <w:tcW w:w="3560" w:type="dxa"/>
            <w:vAlign w:val="bottom"/>
            <w:gridSpan w:val="2"/>
          </w:tcPr>
          <w:p>
            <w:pPr>
              <w:jc w:val="center"/>
              <w:ind w:right="200"/>
              <w:spacing w:after="0" w:line="109" w:lineRule="exact"/>
              <w:rPr>
                <w:sz w:val="20"/>
                <w:szCs w:val="20"/>
                <w:color w:val="auto"/>
              </w:rPr>
            </w:pPr>
            <w:r>
              <w:rPr>
                <w:rFonts w:ascii="Arial" w:cs="Arial" w:eastAsia="Arial" w:hAnsi="Arial"/>
                <w:sz w:val="10"/>
                <w:szCs w:val="10"/>
                <w:b w:val="1"/>
                <w:bCs w:val="1"/>
                <w:color w:val="auto"/>
                <w:w w:val="97"/>
              </w:rPr>
              <w:t>AAL</w:t>
            </w:r>
          </w:p>
        </w:tc>
        <w:tc>
          <w:tcPr>
            <w:tcW w:w="36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6"/>
              </w:rPr>
              <w:t>The Nasdaq Global Select Market</w:t>
            </w:r>
          </w:p>
        </w:tc>
        <w:tc>
          <w:tcPr>
            <w:tcW w:w="0" w:type="dxa"/>
            <w:vAlign w:val="bottom"/>
          </w:tcPr>
          <w:p>
            <w:pPr>
              <w:spacing w:after="0"/>
              <w:rPr>
                <w:sz w:val="1"/>
                <w:szCs w:val="1"/>
                <w:color w:val="auto"/>
              </w:rPr>
            </w:pPr>
          </w:p>
        </w:tc>
      </w:tr>
      <w:tr>
        <w:trPr>
          <w:trHeight w:val="149"/>
        </w:trPr>
        <w:tc>
          <w:tcPr>
            <w:tcW w:w="4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Preferred Stock Purchase Rights</w:t>
            </w:r>
          </w:p>
        </w:tc>
        <w:tc>
          <w:tcPr>
            <w:tcW w:w="3560" w:type="dxa"/>
            <w:vAlign w:val="bottom"/>
            <w:gridSpan w:val="2"/>
          </w:tcPr>
          <w:p>
            <w:pPr>
              <w:jc w:val="center"/>
              <w:ind w:right="180"/>
              <w:spacing w:after="0"/>
              <w:rPr>
                <w:sz w:val="20"/>
                <w:szCs w:val="20"/>
                <w:color w:val="auto"/>
              </w:rPr>
            </w:pPr>
            <w:r>
              <w:rPr>
                <w:rFonts w:ascii="Arial" w:cs="Arial" w:eastAsia="Arial" w:hAnsi="Arial"/>
                <w:sz w:val="10"/>
                <w:szCs w:val="10"/>
                <w:color w:val="auto"/>
                <w:w w:val="99"/>
              </w:rPr>
              <w:t>—</w:t>
            </w:r>
          </w:p>
        </w:tc>
        <w:tc>
          <w:tcPr>
            <w:tcW w:w="3640" w:type="dxa"/>
            <w:vAlign w:val="bottom"/>
          </w:tcPr>
          <w:p>
            <w:pPr>
              <w:jc w:val="center"/>
              <w:spacing w:after="0"/>
              <w:rPr>
                <w:sz w:val="20"/>
                <w:szCs w:val="20"/>
                <w:color w:val="auto"/>
              </w:rPr>
            </w:pPr>
            <w:r>
              <w:rPr>
                <w:rFonts w:ascii="Arial" w:cs="Arial" w:eastAsia="Arial" w:hAnsi="Arial"/>
                <w:sz w:val="8"/>
                <w:szCs w:val="8"/>
                <w:b w:val="1"/>
                <w:bCs w:val="1"/>
                <w:color w:val="auto"/>
                <w:w w:val="81"/>
              </w:rPr>
              <w:t>(1)</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left="108" w:hanging="108"/>
        <w:spacing w:after="0"/>
        <w:tabs>
          <w:tab w:leader="none" w:pos="108" w:val="left"/>
        </w:tabs>
        <w:numPr>
          <w:ilvl w:val="0"/>
          <w:numId w:val="4"/>
        </w:numPr>
        <w:rPr>
          <w:rFonts w:ascii="Arial" w:cs="Arial" w:eastAsia="Arial" w:hAnsi="Arial"/>
          <w:sz w:val="12"/>
          <w:szCs w:val="12"/>
          <w:color w:val="auto"/>
          <w:vertAlign w:val="superscript"/>
        </w:rPr>
      </w:pPr>
      <w:r>
        <w:rPr>
          <w:rFonts w:ascii="Arial" w:cs="Arial" w:eastAsia="Arial" w:hAnsi="Arial"/>
          <w:sz w:val="10"/>
          <w:szCs w:val="10"/>
          <w:color w:val="auto"/>
        </w:rPr>
        <w:t>Attached to the Common Stock</w:t>
      </w:r>
    </w:p>
    <w:p>
      <w:pPr>
        <w:spacing w:after="0" w:line="56"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Rule 12b-2 of the Securities Exchange Act of 1934.</w:t>
      </w:r>
    </w:p>
    <w:p>
      <w:pPr>
        <w:spacing w:after="0" w:line="60" w:lineRule="exact"/>
        <w:rPr>
          <w:sz w:val="24"/>
          <w:szCs w:val="24"/>
          <w:color w:val="auto"/>
        </w:rPr>
      </w:pPr>
    </w:p>
    <w:p>
      <w:pPr>
        <w:jc w:val="right"/>
        <w:ind w:right="3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68" w:lineRule="exact"/>
        <w:rPr>
          <w:sz w:val="24"/>
          <w:szCs w:val="24"/>
          <w:color w:val="auto"/>
        </w:rPr>
      </w:pPr>
    </w:p>
    <w:p>
      <w:pPr>
        <w:ind w:left="8" w:right="460"/>
        <w:spacing w:after="0" w:line="15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492125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8"/>
          </w:cols>
          <w:pgMar w:left="292" w:top="782" w:right="319" w:bottom="1440" w:gutter="0" w:footer="0" w:header="0"/>
        </w:sectPr>
      </w:pPr>
    </w:p>
    <w:bookmarkStart w:id="1" w:name="page2"/>
    <w:bookmarkEnd w:id="1"/>
    <w:p>
      <w:pPr>
        <w:spacing w:after="0"/>
        <w:tabs>
          <w:tab w:leader="none" w:pos="15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On April 24, 2025, American Airlines Group Inc. (the Company) issued a press release reporting financial results for the three months ended March 31, 2025. The press release is furnished as Exhibit 99.1 to this report.</w:t>
      </w:r>
    </w:p>
    <w:p>
      <w:pPr>
        <w:spacing w:after="0" w:line="148"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On April 24, 2025, the Company provided a presentation to investors. This investor presentation is located on the Company’s website at </w:t>
      </w:r>
      <w:r>
        <w:rPr>
          <w:rFonts w:ascii="Arial" w:cs="Arial" w:eastAsia="Arial" w:hAnsi="Arial"/>
          <w:sz w:val="12"/>
          <w:szCs w:val="12"/>
          <w:u w:val="single" w:color="auto"/>
          <w:color w:val="0E32E1"/>
        </w:rPr>
        <w:t>www.aa.com</w:t>
      </w:r>
      <w:r>
        <w:rPr>
          <w:rFonts w:ascii="Arial" w:cs="Arial" w:eastAsia="Arial" w:hAnsi="Arial"/>
          <w:sz w:val="12"/>
          <w:szCs w:val="12"/>
          <w:color w:val="auto"/>
        </w:rPr>
        <w:t xml:space="preserve"> under “Investor Relations” and is furnished as Exhibit 99.2 to this report.</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Also on April 24, 2025, the Company provided an update for investors presenting information relating to its financial and operational outlook for the second quarter of 2025. This investor update is located on the Company’s website at </w:t>
      </w:r>
      <w:r>
        <w:rPr>
          <w:rFonts w:ascii="Arial" w:cs="Arial" w:eastAsia="Arial" w:hAnsi="Arial"/>
          <w:sz w:val="12"/>
          <w:szCs w:val="12"/>
          <w:u w:val="single" w:color="auto"/>
          <w:color w:val="0E32E1"/>
        </w:rPr>
        <w:t>www.aa.com</w:t>
      </w:r>
      <w:r>
        <w:rPr>
          <w:rFonts w:ascii="Arial" w:cs="Arial" w:eastAsia="Arial" w:hAnsi="Arial"/>
          <w:sz w:val="12"/>
          <w:szCs w:val="12"/>
          <w:color w:val="auto"/>
        </w:rPr>
        <w:t xml:space="preserve"> under “Investor Relations” and is furnished as Exhibit 99.3 to this report.</w:t>
      </w:r>
    </w:p>
    <w:p>
      <w:pPr>
        <w:spacing w:after="0" w:line="6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information in Items 2.02 and 7.01 of this Current Report on Form 8-K, including Exhibits 99.1, 99.2 and 99.3,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0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10100" w:type="dxa"/>
            <w:vAlign w:val="bottom"/>
            <w:gridSpan w:val="5"/>
          </w:tcPr>
          <w:p>
            <w:pPr>
              <w:ind w:left="38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06"/>
        </w:trPr>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(d) Exhibits.</w:t>
            </w: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40" w:type="dxa"/>
            <w:vAlign w:val="bottom"/>
          </w:tcPr>
          <w:p>
            <w:pPr>
              <w:spacing w:after="0"/>
              <w:rPr>
                <w:sz w:val="24"/>
                <w:szCs w:val="24"/>
                <w:color w:val="auto"/>
              </w:rPr>
            </w:pPr>
          </w:p>
        </w:tc>
      </w:tr>
      <w:tr>
        <w:trPr>
          <w:trHeight w:val="297"/>
        </w:trPr>
        <w:tc>
          <w:tcPr>
            <w:tcW w:w="1200" w:type="dxa"/>
            <w:vAlign w:val="bottom"/>
          </w:tcPr>
          <w:p>
            <w:pPr>
              <w:ind w:left="220"/>
              <w:spacing w:after="0"/>
              <w:rPr>
                <w:sz w:val="20"/>
                <w:szCs w:val="20"/>
                <w:color w:val="auto"/>
              </w:rPr>
            </w:pPr>
            <w:r>
              <w:rPr>
                <w:rFonts w:ascii="Arial" w:cs="Arial" w:eastAsia="Arial" w:hAnsi="Arial"/>
                <w:sz w:val="12"/>
                <w:szCs w:val="12"/>
                <w:b w:val="1"/>
                <w:bCs w:val="1"/>
                <w:color w:val="auto"/>
              </w:rPr>
              <w:t>Exhibit No.</w:t>
            </w:r>
          </w:p>
        </w:tc>
        <w:tc>
          <w:tcPr>
            <w:tcW w:w="1160" w:type="dxa"/>
            <w:vAlign w:val="bottom"/>
          </w:tcPr>
          <w:p>
            <w:pPr>
              <w:spacing w:after="0"/>
              <w:rPr>
                <w:sz w:val="24"/>
                <w:szCs w:val="24"/>
                <w:color w:val="auto"/>
              </w:rPr>
            </w:pPr>
          </w:p>
        </w:tc>
        <w:tc>
          <w:tcPr>
            <w:tcW w:w="8940" w:type="dxa"/>
            <w:vAlign w:val="bottom"/>
            <w:gridSpan w:val="4"/>
          </w:tcPr>
          <w:p>
            <w:pPr>
              <w:spacing w:after="0"/>
              <w:rPr>
                <w:sz w:val="20"/>
                <w:szCs w:val="20"/>
                <w:color w:val="auto"/>
              </w:rPr>
            </w:pPr>
            <w:r>
              <w:rPr>
                <w:rFonts w:ascii="Arial" w:cs="Arial" w:eastAsia="Arial" w:hAnsi="Arial"/>
                <w:sz w:val="12"/>
                <w:szCs w:val="12"/>
                <w:b w:val="1"/>
                <w:bCs w:val="1"/>
                <w:color w:val="auto"/>
              </w:rPr>
              <w:t>Description</w:t>
            </w:r>
          </w:p>
        </w:tc>
      </w:tr>
      <w:tr>
        <w:trPr>
          <w:trHeight w:val="154"/>
        </w:trPr>
        <w:tc>
          <w:tcPr>
            <w:tcW w:w="1200" w:type="dxa"/>
            <w:vAlign w:val="bottom"/>
          </w:tcPr>
          <w:p>
            <w:pPr>
              <w:ind w:left="220"/>
              <w:spacing w:after="0"/>
              <w:rPr>
                <w:sz w:val="20"/>
                <w:szCs w:val="20"/>
                <w:color w:val="auto"/>
              </w:rPr>
            </w:pPr>
            <w:r>
              <w:rPr>
                <w:rFonts w:ascii="Arial" w:cs="Arial" w:eastAsia="Arial" w:hAnsi="Arial"/>
                <w:sz w:val="12"/>
                <w:szCs w:val="12"/>
                <w:color w:val="auto"/>
              </w:rPr>
              <w:t>99.1</w:t>
            </w:r>
          </w:p>
        </w:tc>
        <w:tc>
          <w:tcPr>
            <w:tcW w:w="1160" w:type="dxa"/>
            <w:vAlign w:val="bottom"/>
          </w:tcPr>
          <w:p>
            <w:pPr>
              <w:spacing w:after="0"/>
              <w:rPr>
                <w:sz w:val="13"/>
                <w:szCs w:val="13"/>
                <w:color w:val="auto"/>
              </w:rPr>
            </w:pPr>
          </w:p>
        </w:tc>
        <w:tc>
          <w:tcPr>
            <w:tcW w:w="8940" w:type="dxa"/>
            <w:vAlign w:val="bottom"/>
            <w:gridSpan w:val="4"/>
          </w:tcPr>
          <w:p>
            <w:pPr>
              <w:spacing w:after="0"/>
              <w:rPr>
                <w:sz w:val="20"/>
                <w:szCs w:val="20"/>
                <w:color w:val="auto"/>
              </w:rPr>
            </w:pPr>
            <w:r>
              <w:rPr>
                <w:rFonts w:ascii="Arial" w:cs="Arial" w:eastAsia="Arial" w:hAnsi="Arial"/>
                <w:sz w:val="12"/>
                <w:szCs w:val="12"/>
                <w:color w:val="0000FF"/>
              </w:rPr>
              <w:t>Press Release, dated April 24, 2025.</w:t>
            </w: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69"/>
        </w:trPr>
        <w:tc>
          <w:tcPr>
            <w:tcW w:w="1200" w:type="dxa"/>
            <w:vAlign w:val="bottom"/>
          </w:tcPr>
          <w:p>
            <w:pPr>
              <w:ind w:left="220"/>
              <w:spacing w:after="0"/>
              <w:rPr>
                <w:sz w:val="20"/>
                <w:szCs w:val="20"/>
                <w:color w:val="auto"/>
              </w:rPr>
            </w:pPr>
            <w:r>
              <w:rPr>
                <w:rFonts w:ascii="Arial" w:cs="Arial" w:eastAsia="Arial" w:hAnsi="Arial"/>
                <w:sz w:val="12"/>
                <w:szCs w:val="12"/>
                <w:color w:val="auto"/>
              </w:rPr>
              <w:t>99.2</w:t>
            </w:r>
          </w:p>
        </w:tc>
        <w:tc>
          <w:tcPr>
            <w:tcW w:w="1160" w:type="dxa"/>
            <w:vAlign w:val="bottom"/>
          </w:tcPr>
          <w:p>
            <w:pPr>
              <w:spacing w:after="0"/>
              <w:rPr>
                <w:sz w:val="14"/>
                <w:szCs w:val="14"/>
                <w:color w:val="auto"/>
              </w:rPr>
            </w:pPr>
          </w:p>
        </w:tc>
        <w:tc>
          <w:tcPr>
            <w:tcW w:w="8940" w:type="dxa"/>
            <w:vAlign w:val="bottom"/>
            <w:gridSpan w:val="4"/>
          </w:tcPr>
          <w:p>
            <w:pPr>
              <w:spacing w:after="0"/>
              <w:rPr>
                <w:sz w:val="20"/>
                <w:szCs w:val="20"/>
                <w:color w:val="auto"/>
              </w:rPr>
            </w:pPr>
            <w:r>
              <w:rPr>
                <w:rFonts w:ascii="Arial" w:cs="Arial" w:eastAsia="Arial" w:hAnsi="Arial"/>
                <w:sz w:val="12"/>
                <w:szCs w:val="12"/>
                <w:color w:val="0000FF"/>
              </w:rPr>
              <w:t>Investor Presentation, dated April 24, 2025.</w:t>
            </w:r>
          </w:p>
        </w:tc>
      </w:tr>
      <w:tr>
        <w:trPr>
          <w:trHeight w:val="169"/>
        </w:trPr>
        <w:tc>
          <w:tcPr>
            <w:tcW w:w="1200" w:type="dxa"/>
            <w:vAlign w:val="bottom"/>
          </w:tcPr>
          <w:p>
            <w:pPr>
              <w:ind w:left="220"/>
              <w:spacing w:after="0"/>
              <w:rPr>
                <w:sz w:val="20"/>
                <w:szCs w:val="20"/>
                <w:color w:val="auto"/>
              </w:rPr>
            </w:pPr>
            <w:r>
              <w:rPr>
                <w:rFonts w:ascii="Arial" w:cs="Arial" w:eastAsia="Arial" w:hAnsi="Arial"/>
                <w:sz w:val="12"/>
                <w:szCs w:val="12"/>
                <w:color w:val="auto"/>
              </w:rPr>
              <w:t>99.3</w:t>
            </w:r>
          </w:p>
        </w:tc>
        <w:tc>
          <w:tcPr>
            <w:tcW w:w="116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2"/>
                <w:szCs w:val="12"/>
                <w:color w:val="0000FF"/>
                <w:w w:val="98"/>
              </w:rPr>
              <w:t>Investor Update, dated April 24, 2025.</w:t>
            </w:r>
          </w:p>
        </w:tc>
        <w:tc>
          <w:tcPr>
            <w:tcW w:w="280" w:type="dxa"/>
            <w:vAlign w:val="bottom"/>
            <w:tcBorders>
              <w:top w:val="single" w:sz="8" w:color="0000FF"/>
            </w:tcBorders>
          </w:tcPr>
          <w:p>
            <w:pPr>
              <w:spacing w:after="0"/>
              <w:rPr>
                <w:sz w:val="14"/>
                <w:szCs w:val="14"/>
                <w:color w:val="auto"/>
              </w:rPr>
            </w:pPr>
          </w:p>
        </w:tc>
        <w:tc>
          <w:tcPr>
            <w:tcW w:w="6640" w:type="dxa"/>
            <w:vAlign w:val="bottom"/>
          </w:tcPr>
          <w:p>
            <w:pPr>
              <w:spacing w:after="0"/>
              <w:rPr>
                <w:sz w:val="14"/>
                <w:szCs w:val="14"/>
                <w:color w:val="auto"/>
              </w:rPr>
            </w:pPr>
          </w:p>
        </w:tc>
      </w:tr>
      <w:tr>
        <w:trPr>
          <w:trHeight w:val="198"/>
        </w:trPr>
        <w:tc>
          <w:tcPr>
            <w:tcW w:w="1200" w:type="dxa"/>
            <w:vAlign w:val="bottom"/>
          </w:tcPr>
          <w:p>
            <w:pPr>
              <w:ind w:left="220"/>
              <w:spacing w:after="0"/>
              <w:rPr>
                <w:sz w:val="20"/>
                <w:szCs w:val="20"/>
                <w:color w:val="auto"/>
              </w:rPr>
            </w:pPr>
            <w:r>
              <w:rPr>
                <w:rFonts w:ascii="Arial" w:cs="Arial" w:eastAsia="Arial" w:hAnsi="Arial"/>
                <w:sz w:val="12"/>
                <w:szCs w:val="12"/>
                <w:color w:val="auto"/>
              </w:rPr>
              <w:t>104.1</w:t>
            </w:r>
          </w:p>
        </w:tc>
        <w:tc>
          <w:tcPr>
            <w:tcW w:w="1160" w:type="dxa"/>
            <w:vAlign w:val="bottom"/>
          </w:tcPr>
          <w:p>
            <w:pPr>
              <w:spacing w:after="0"/>
              <w:rPr>
                <w:sz w:val="17"/>
                <w:szCs w:val="17"/>
                <w:color w:val="auto"/>
              </w:rPr>
            </w:pPr>
          </w:p>
        </w:tc>
        <w:tc>
          <w:tcPr>
            <w:tcW w:w="894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08"/>
        </w:trPr>
        <w:tc>
          <w:tcPr>
            <w:tcW w:w="1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American Airlines Group Inc. has duly caused this report to be signed on its behalf by the undersigned hereunto duly authorized.</w:t>
      </w:r>
    </w:p>
    <w:p>
      <w:pPr>
        <w:spacing w:after="0" w:line="288"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xml:space="preserve"> G</w:t>
      </w:r>
      <w:r>
        <w:rPr>
          <w:rFonts w:ascii="Arial" w:cs="Arial" w:eastAsia="Arial" w:hAnsi="Arial"/>
          <w:sz w:val="9"/>
          <w:szCs w:val="9"/>
          <w:b w:val="1"/>
          <w:bCs w:val="1"/>
          <w:color w:val="auto"/>
        </w:rPr>
        <w:t>ROUP</w:t>
      </w:r>
      <w:r>
        <w:rPr>
          <w:rFonts w:ascii="Arial" w:cs="Arial" w:eastAsia="Arial" w:hAnsi="Arial"/>
          <w:sz w:val="12"/>
          <w:szCs w:val="12"/>
          <w:b w:val="1"/>
          <w:bCs w:val="1"/>
          <w:color w:val="auto"/>
        </w:rPr>
        <w:t xml:space="preserve">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195"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April 24, 2025</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12065</wp:posOffset>
            </wp:positionV>
            <wp:extent cx="28003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Devon E. May</w:t>
      </w:r>
    </w:p>
    <w:p>
      <w:pPr>
        <w:spacing w:after="0" w:line="2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Executive Vice President and</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Chief Financial Officer</w:t>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American Airlines, Inc. has duly caused this report to be signed on its behalf by the undersigned hereunto duly authorized.</w:t>
      </w:r>
    </w:p>
    <w:p>
      <w:pPr>
        <w:spacing w:after="0" w:line="276"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195"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April 24, 2025</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12065</wp:posOffset>
            </wp:positionV>
            <wp:extent cx="28003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Devon E. May</w:t>
      </w:r>
    </w:p>
    <w:p>
      <w:pPr>
        <w:spacing w:after="0" w:line="2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Executive Vice President and</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500"/>
          </w:cols>
          <w:pgMar w:left="300" w:top="640" w:right="10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263525</wp:posOffset>
            </wp:positionV>
            <wp:extent cx="1303020" cy="280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02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128"/>
        <w:spacing w:after="0"/>
        <w:rPr>
          <w:sz w:val="20"/>
          <w:szCs w:val="20"/>
          <w:color w:val="auto"/>
        </w:rPr>
      </w:pPr>
      <w:r>
        <w:rPr>
          <w:rFonts w:ascii="Arial" w:cs="Arial" w:eastAsia="Arial" w:hAnsi="Arial"/>
          <w:sz w:val="11"/>
          <w:szCs w:val="11"/>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874395"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74395" cy="91440"/>
                    </a:xfrm>
                    <a:prstGeom prst="rect">
                      <a:avLst/>
                    </a:prstGeom>
                    <a:noFill/>
                  </pic:spPr>
                </pic:pic>
              </a:graphicData>
            </a:graphic>
          </wp:anchor>
        </w:drawing>
      </w:r>
    </w:p>
    <w:p>
      <w:pPr>
        <w:spacing w:after="0" w:line="9" w:lineRule="exact"/>
        <w:rPr>
          <w:sz w:val="20"/>
          <w:szCs w:val="20"/>
          <w:color w:val="auto"/>
        </w:rPr>
      </w:pPr>
    </w:p>
    <w:p>
      <w:pPr>
        <w:ind w:left="8128"/>
        <w:spacing w:after="0"/>
        <w:rPr>
          <w:sz w:val="20"/>
          <w:szCs w:val="20"/>
          <w:color w:val="auto"/>
        </w:rPr>
      </w:pPr>
      <w:r>
        <w:rPr>
          <w:rFonts w:ascii="Arial" w:cs="Arial" w:eastAsia="Arial" w:hAnsi="Arial"/>
          <w:sz w:val="11"/>
          <w:szCs w:val="11"/>
          <w:b w:val="1"/>
          <w:bCs w:val="1"/>
          <w:u w:val="single" w:color="auto"/>
          <w:color w:val="0000FF"/>
        </w:rPr>
        <w:t>mediarelations@aa.com</w:t>
      </w:r>
    </w:p>
    <w:p>
      <w:pPr>
        <w:spacing w:after="0" w:line="132" w:lineRule="exact"/>
        <w:rPr>
          <w:sz w:val="20"/>
          <w:szCs w:val="20"/>
          <w:color w:val="auto"/>
        </w:rPr>
      </w:pPr>
    </w:p>
    <w:p>
      <w:pPr>
        <w:ind w:left="8128"/>
        <w:spacing w:after="0"/>
        <w:rPr>
          <w:sz w:val="20"/>
          <w:szCs w:val="20"/>
          <w:color w:val="auto"/>
        </w:rPr>
      </w:pPr>
      <w:r>
        <w:rPr>
          <w:rFonts w:ascii="Arial" w:cs="Arial" w:eastAsia="Arial" w:hAnsi="Arial"/>
          <w:sz w:val="11"/>
          <w:szCs w:val="11"/>
          <w:b w:val="1"/>
          <w:bCs w:val="1"/>
          <w:color w:val="auto"/>
        </w:rPr>
        <w:t>Investor Relations</w:t>
      </w:r>
    </w:p>
    <w:p>
      <w:pPr>
        <w:spacing w:after="0" w:line="29" w:lineRule="exact"/>
        <w:rPr>
          <w:sz w:val="20"/>
          <w:szCs w:val="20"/>
          <w:color w:val="auto"/>
        </w:rPr>
      </w:pPr>
    </w:p>
    <w:p>
      <w:pPr>
        <w:ind w:left="8128"/>
        <w:spacing w:after="0"/>
        <w:rPr>
          <w:sz w:val="20"/>
          <w:szCs w:val="20"/>
          <w:color w:val="auto"/>
        </w:rPr>
      </w:pPr>
      <w:r>
        <w:rPr>
          <w:rFonts w:ascii="Arial" w:cs="Arial" w:eastAsia="Arial" w:hAnsi="Arial"/>
          <w:sz w:val="11"/>
          <w:szCs w:val="11"/>
          <w:b w:val="1"/>
          <w:bCs w:val="1"/>
          <w:u w:val="single" w:color="auto"/>
          <w:color w:val="0000FF"/>
        </w:rPr>
        <w:t>investor.relations@aa.com</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3"/>
          <w:szCs w:val="13"/>
          <w:color w:val="auto"/>
        </w:rPr>
        <w:t>FOR RELEASE: Thursday, April 24, 2025</w:t>
      </w:r>
    </w:p>
    <w:p>
      <w:pPr>
        <w:spacing w:after="0" w:line="144" w:lineRule="exact"/>
        <w:rPr>
          <w:sz w:val="20"/>
          <w:szCs w:val="20"/>
          <w:color w:val="auto"/>
        </w:rPr>
      </w:pPr>
    </w:p>
    <w:p>
      <w:pPr>
        <w:ind w:left="2988"/>
        <w:spacing w:after="0"/>
        <w:rPr>
          <w:sz w:val="20"/>
          <w:szCs w:val="20"/>
          <w:color w:val="auto"/>
        </w:rPr>
      </w:pPr>
      <w:r>
        <w:rPr>
          <w:rFonts w:ascii="Arial" w:cs="Arial" w:eastAsia="Arial" w:hAnsi="Arial"/>
          <w:sz w:val="14"/>
          <w:szCs w:val="14"/>
          <w:b w:val="1"/>
          <w:bCs w:val="1"/>
          <w:color w:val="auto"/>
        </w:rPr>
        <w:t>AMERICAN AIRLINES REPORTS FIRST-QUARTER 2025 FINANCIAL RESULTS</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3"/>
          <w:szCs w:val="13"/>
          <w:color w:val="auto"/>
        </w:rPr>
        <w:t>FORT WORTH, Texas — American Airlines Group Inc. (NASDAQ: AAL) today reported its first-quarter 2025 financial results, including:</w:t>
      </w:r>
    </w:p>
    <w:p>
      <w:pPr>
        <w:spacing w:after="0" w:line="76"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First-quarter revenue of $12.6 billion</w:t>
      </w:r>
    </w:p>
    <w:p>
      <w:pPr>
        <w:spacing w:after="0" w:line="24" w:lineRule="exact"/>
        <w:rPr>
          <w:rFonts w:ascii="Arial" w:cs="Arial" w:eastAsia="Arial" w:hAnsi="Arial"/>
          <w:sz w:val="13"/>
          <w:szCs w:val="13"/>
          <w:b w:val="1"/>
          <w:bCs w:val="1"/>
          <w:color w:val="auto"/>
        </w:rPr>
      </w:pPr>
    </w:p>
    <w:p>
      <w:pPr>
        <w:ind w:left="208" w:hanging="208"/>
        <w:spacing w:after="0"/>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First-quarter GAAP net loss of $473 million, or ($0.72) per diluted share</w:t>
      </w:r>
    </w:p>
    <w:p>
      <w:pPr>
        <w:spacing w:after="0" w:line="3" w:lineRule="exact"/>
        <w:rPr>
          <w:rFonts w:ascii="Arial" w:cs="Arial" w:eastAsia="Arial" w:hAnsi="Arial"/>
          <w:sz w:val="13"/>
          <w:szCs w:val="13"/>
          <w:b w:val="1"/>
          <w:bCs w:val="1"/>
          <w:color w:val="auto"/>
        </w:rPr>
      </w:pPr>
    </w:p>
    <w:p>
      <w:pPr>
        <w:ind w:left="208" w:hanging="208"/>
        <w:spacing w:after="0" w:line="198" w:lineRule="auto"/>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Excluding net special items</w:t>
      </w:r>
      <w:r>
        <w:rPr>
          <w:rFonts w:ascii="Arial" w:cs="Arial" w:eastAsia="Arial" w:hAnsi="Arial"/>
          <w:sz w:val="17"/>
          <w:szCs w:val="17"/>
          <w:b w:val="1"/>
          <w:bCs w:val="1"/>
          <w:color w:val="auto"/>
          <w:vertAlign w:val="superscript"/>
        </w:rPr>
        <w:t>1</w:t>
      </w:r>
      <w:r>
        <w:rPr>
          <w:rFonts w:ascii="Arial" w:cs="Arial" w:eastAsia="Arial" w:hAnsi="Arial"/>
          <w:sz w:val="13"/>
          <w:szCs w:val="13"/>
          <w:b w:val="1"/>
          <w:bCs w:val="1"/>
          <w:color w:val="auto"/>
        </w:rPr>
        <w:t>, first-quarter net loss of $386 million, or ($0.59) per diluted share</w:t>
      </w:r>
    </w:p>
    <w:p>
      <w:pPr>
        <w:ind w:left="208" w:hanging="208"/>
        <w:spacing w:after="0"/>
        <w:tabs>
          <w:tab w:leader="none" w:pos="20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Ended the quarter with $10.8 billion of total available liquidity</w:t>
      </w:r>
    </w:p>
    <w:p>
      <w:pPr>
        <w:spacing w:after="0" w:line="109" w:lineRule="exact"/>
        <w:rPr>
          <w:sz w:val="20"/>
          <w:szCs w:val="20"/>
          <w:color w:val="auto"/>
        </w:rPr>
      </w:pPr>
    </w:p>
    <w:p>
      <w:pPr>
        <w:jc w:val="both"/>
        <w:ind w:left="8" w:right="120"/>
        <w:spacing w:after="0" w:line="272" w:lineRule="auto"/>
        <w:rPr>
          <w:sz w:val="20"/>
          <w:szCs w:val="20"/>
          <w:color w:val="auto"/>
        </w:rPr>
      </w:pPr>
      <w:r>
        <w:rPr>
          <w:rFonts w:ascii="Arial" w:cs="Arial" w:eastAsia="Arial" w:hAnsi="Arial"/>
          <w:sz w:val="13"/>
          <w:szCs w:val="13"/>
          <w:color w:val="auto"/>
        </w:rPr>
        <w:t>“The actions American has taken over the past several years to refresh our fleet, manage costs and strengthen our balance sheet position us well for the uncertainty our industry is facing,” said American’s CEO Robert Isom. “The resiliency of the American Airlines team, combined with the investments we have made to differentiate our network, product and customer experience, give us extreme confidence in our ability to navigate the current environment and deliver strong results for the long term.”</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Revenue performance</w:t>
      </w:r>
    </w:p>
    <w:p>
      <w:pPr>
        <w:spacing w:after="0" w:line="25" w:lineRule="exact"/>
        <w:rPr>
          <w:sz w:val="20"/>
          <w:szCs w:val="20"/>
          <w:color w:val="auto"/>
        </w:rPr>
      </w:pPr>
    </w:p>
    <w:p>
      <w:pPr>
        <w:ind w:left="8" w:right="60"/>
        <w:spacing w:after="0" w:line="261" w:lineRule="auto"/>
        <w:rPr>
          <w:sz w:val="20"/>
          <w:szCs w:val="20"/>
          <w:color w:val="auto"/>
        </w:rPr>
      </w:pPr>
      <w:r>
        <w:rPr>
          <w:rFonts w:ascii="Arial" w:cs="Arial" w:eastAsia="Arial" w:hAnsi="Arial"/>
          <w:sz w:val="13"/>
          <w:szCs w:val="13"/>
          <w:color w:val="auto"/>
        </w:rPr>
        <w:t>American produced first-quarter revenue of $12.6 billion. Total unit revenue was up 0.7% versus the first-quarter of 2024, driven by continued strength in international unit revenue, which was up 2.9% year over year on 0.8% lower capacity year over year, and continued growth in premium and loyalty revenue. Throughout the quarter, American continued to restore revenue in indirect channels and remains on track to restore its revenue share from indirect channels to historical levels exiting the year. These efforts were offset by a number of factors, including economic uncertainty that pressured domestic leisure demand and the tragic accident of American Eagle Flight 5342.</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AAdvantage</w:t>
      </w:r>
      <w:r>
        <w:rPr>
          <w:rFonts w:ascii="Arial" w:cs="Arial" w:eastAsia="Arial" w:hAnsi="Arial"/>
          <w:sz w:val="17"/>
          <w:szCs w:val="17"/>
          <w:b w:val="1"/>
          <w:bCs w:val="1"/>
          <w:color w:val="auto"/>
          <w:vertAlign w:val="superscript"/>
        </w:rPr>
        <w:t>®</w:t>
      </w:r>
      <w:r>
        <w:rPr>
          <w:rFonts w:ascii="Arial" w:cs="Arial" w:eastAsia="Arial" w:hAnsi="Arial"/>
          <w:sz w:val="13"/>
          <w:szCs w:val="13"/>
          <w:b w:val="1"/>
          <w:bCs w:val="1"/>
          <w:color w:val="auto"/>
        </w:rPr>
        <w:t xml:space="preserve"> and Citi partnership</w:t>
      </w:r>
    </w:p>
    <w:p>
      <w:pPr>
        <w:ind w:left="8" w:right="80"/>
        <w:spacing w:after="0" w:line="231" w:lineRule="auto"/>
        <w:rPr>
          <w:sz w:val="20"/>
          <w:szCs w:val="20"/>
          <w:color w:val="auto"/>
        </w:rPr>
      </w:pPr>
      <w:r>
        <w:rPr>
          <w:rFonts w:ascii="Arial" w:cs="Arial" w:eastAsia="Arial" w:hAnsi="Arial"/>
          <w:sz w:val="13"/>
          <w:szCs w:val="13"/>
          <w:color w:val="auto"/>
        </w:rPr>
        <w:t>American and Citi continue to work toward the implementation of their exclusive and expanded partnership, which starts in 2026, and American remains on track to achieve the long-term growth targets the company previously outlined. In the first quarter, AAdvantage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enrollments were up 6% year over year with spending on the airline’s co-branded credit cards up 8% year over year, underscoring the continued value of American’s loyalty program.</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Customer experience</w:t>
      </w:r>
    </w:p>
    <w:p>
      <w:pPr>
        <w:spacing w:after="0" w:line="16" w:lineRule="exact"/>
        <w:rPr>
          <w:sz w:val="20"/>
          <w:szCs w:val="20"/>
          <w:color w:val="auto"/>
        </w:rPr>
      </w:pPr>
    </w:p>
    <w:p>
      <w:pPr>
        <w:ind w:left="8" w:right="400"/>
        <w:spacing w:after="0" w:line="264" w:lineRule="auto"/>
        <w:rPr>
          <w:sz w:val="20"/>
          <w:szCs w:val="20"/>
          <w:color w:val="auto"/>
        </w:rPr>
      </w:pPr>
      <w:r>
        <w:rPr>
          <w:rFonts w:ascii="Arial" w:cs="Arial" w:eastAsia="Arial" w:hAnsi="Arial"/>
          <w:sz w:val="13"/>
          <w:szCs w:val="13"/>
          <w:color w:val="auto"/>
        </w:rPr>
        <w:t>American’s strong operational performance in recent years and its updated commercial strategy puts the airline in position to renew its focus on the customer experience to drive additional revenue growth. American has established a new Customer Experience organization to drive</w:t>
      </w:r>
    </w:p>
    <w:p>
      <w:pPr>
        <w:sectPr>
          <w:pgSz w:w="11900" w:h="16838" w:orient="portrait"/>
          <w:cols w:equalWidth="0" w:num="1">
            <w:col w:w="11308"/>
          </w:cols>
          <w:pgMar w:left="292" w:top="451"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American Airlines Reports First-Quarter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2</w:t>
      </w:r>
    </w:p>
    <w:p>
      <w:pPr>
        <w:spacing w:after="0" w:line="200" w:lineRule="exact"/>
        <w:rPr>
          <w:sz w:val="20"/>
          <w:szCs w:val="20"/>
          <w:color w:val="auto"/>
        </w:rPr>
      </w:pPr>
    </w:p>
    <w:p>
      <w:pPr>
        <w:spacing w:after="0" w:line="278" w:lineRule="exact"/>
        <w:rPr>
          <w:sz w:val="20"/>
          <w:szCs w:val="20"/>
          <w:color w:val="auto"/>
        </w:rPr>
      </w:pPr>
    </w:p>
    <w:p>
      <w:pPr>
        <w:ind w:right="400"/>
        <w:spacing w:after="0" w:line="285" w:lineRule="auto"/>
        <w:rPr>
          <w:sz w:val="20"/>
          <w:szCs w:val="20"/>
          <w:color w:val="auto"/>
        </w:rPr>
      </w:pPr>
      <w:r>
        <w:rPr>
          <w:rFonts w:ascii="Arial" w:cs="Arial" w:eastAsia="Arial" w:hAnsi="Arial"/>
          <w:sz w:val="13"/>
          <w:szCs w:val="13"/>
          <w:color w:val="auto"/>
        </w:rPr>
        <w:t>the strategy and coordinate the implementation of initiatives that define customers’ journeys with American. The company recently announced complimentary high-speed satellite Wi-Fi for AAdvantage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members beginning in January 2026, sponsored by AT&amp;T. With this, American will offer free inflight connectivity on more aircraft than any other carrier.</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Operational performance</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3"/>
          <w:szCs w:val="13"/>
          <w:color w:val="auto"/>
        </w:rPr>
        <w:t>In the first quarter, the American team continued to demonstrate its operational resilience and ability to quickly recover from disruptions. American continues to invest in its operation, team and technology to drive additional enhancements in operational reliability.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performance</w:t>
      </w:r>
    </w:p>
    <w:p>
      <w:pPr>
        <w:spacing w:after="0" w:line="21" w:lineRule="exact"/>
        <w:rPr>
          <w:sz w:val="20"/>
          <w:szCs w:val="20"/>
          <w:color w:val="auto"/>
        </w:rPr>
      </w:pPr>
    </w:p>
    <w:p>
      <w:pPr>
        <w:ind w:right="200"/>
        <w:spacing w:after="0" w:line="220" w:lineRule="auto"/>
        <w:rPr>
          <w:sz w:val="20"/>
          <w:szCs w:val="20"/>
          <w:color w:val="auto"/>
        </w:rPr>
      </w:pPr>
      <w:r>
        <w:rPr>
          <w:rFonts w:ascii="Arial" w:cs="Arial" w:eastAsia="Arial" w:hAnsi="Arial"/>
          <w:sz w:val="13"/>
          <w:szCs w:val="13"/>
          <w:color w:val="auto"/>
        </w:rPr>
        <w:t>In the first quarter, the company produced an operating margin of (2.2%) on a GAAP basis. Excluding the impact of net special items</w:t>
      </w:r>
      <w:r>
        <w:rPr>
          <w:rFonts w:ascii="Arial" w:cs="Arial" w:eastAsia="Arial" w:hAnsi="Arial"/>
          <w:sz w:val="17"/>
          <w:szCs w:val="17"/>
          <w:color w:val="auto"/>
          <w:vertAlign w:val="superscript"/>
        </w:rPr>
        <w:t>1</w:t>
      </w:r>
      <w:r>
        <w:rPr>
          <w:rFonts w:ascii="Arial" w:cs="Arial" w:eastAsia="Arial" w:hAnsi="Arial"/>
          <w:sz w:val="13"/>
          <w:szCs w:val="13"/>
          <w:color w:val="auto"/>
        </w:rPr>
        <w:t>, the company produced an adjusted operating margin of (1.6%) in the quarter.</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sheet and liquidity</w:t>
      </w:r>
    </w:p>
    <w:p>
      <w:pPr>
        <w:spacing w:after="0" w:line="16"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American generated free cash flow</w:t>
      </w:r>
      <w:r>
        <w:rPr>
          <w:rFonts w:ascii="Arial" w:cs="Arial" w:eastAsia="Arial" w:hAnsi="Arial"/>
          <w:sz w:val="7"/>
          <w:szCs w:val="7"/>
          <w:color w:val="auto"/>
        </w:rPr>
        <w:t>2</w:t>
      </w:r>
      <w:r>
        <w:rPr>
          <w:rFonts w:ascii="Arial" w:cs="Arial" w:eastAsia="Arial" w:hAnsi="Arial"/>
          <w:sz w:val="13"/>
          <w:szCs w:val="13"/>
          <w:color w:val="auto"/>
        </w:rPr>
        <w:t xml:space="preserve"> of $1.7 billion in the first quarter, which enabled further strengthening of its balance sheet. In the quarter, American reduced its total debt</w:t>
      </w:r>
      <w:r>
        <w:rPr>
          <w:rFonts w:ascii="Arial" w:cs="Arial" w:eastAsia="Arial" w:hAnsi="Arial"/>
          <w:sz w:val="7"/>
          <w:szCs w:val="7"/>
          <w:color w:val="auto"/>
        </w:rPr>
        <w:t>3</w:t>
      </w:r>
      <w:r>
        <w:rPr>
          <w:rFonts w:ascii="Arial" w:cs="Arial" w:eastAsia="Arial" w:hAnsi="Arial"/>
          <w:sz w:val="13"/>
          <w:szCs w:val="13"/>
          <w:color w:val="auto"/>
        </w:rPr>
        <w:t xml:space="preserve"> by $1.2 billion, contributing to total debt reduction of $16.6 billion from peak levels in 2021. The airline has positioned its balance sheet well for the current environment and remains committed to reducing total debt to less than $35 billion by year-end 2027. The airline ended the first quarter with $10.8 billion of total available liquidity, comprised of cash and short-term investments plus undrawn capacity under revolving credit and other facilities. American has available borrowing capacity of more than $10 billion in unencumbered assets and more than $13 billion in additional first-lien borrowings allowable by its existing financing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Guidance and investor update</w:t>
      </w:r>
    </w:p>
    <w:p>
      <w:pPr>
        <w:spacing w:after="0" w:line="21" w:lineRule="exact"/>
        <w:rPr>
          <w:sz w:val="20"/>
          <w:szCs w:val="20"/>
          <w:color w:val="auto"/>
        </w:rPr>
      </w:pPr>
    </w:p>
    <w:p>
      <w:pPr>
        <w:ind w:right="60"/>
        <w:spacing w:after="0" w:line="227" w:lineRule="auto"/>
        <w:rPr>
          <w:sz w:val="20"/>
          <w:szCs w:val="20"/>
          <w:color w:val="auto"/>
        </w:rPr>
      </w:pPr>
      <w:r>
        <w:rPr>
          <w:rFonts w:ascii="Arial" w:cs="Arial" w:eastAsia="Arial" w:hAnsi="Arial"/>
          <w:sz w:val="13"/>
          <w:szCs w:val="13"/>
          <w:color w:val="auto"/>
        </w:rPr>
        <w:t>Based on present demand trends, the current fuel price forecast and excluding the impact of special items, the company expects its second-quarter 2025 adjusted earnings per diluted share</w:t>
      </w:r>
      <w:r>
        <w:rPr>
          <w:rFonts w:ascii="Arial" w:cs="Arial" w:eastAsia="Arial" w:hAnsi="Arial"/>
          <w:sz w:val="17"/>
          <w:szCs w:val="17"/>
          <w:color w:val="auto"/>
          <w:vertAlign w:val="superscript"/>
        </w:rPr>
        <w:t>4</w:t>
      </w:r>
      <w:r>
        <w:rPr>
          <w:rFonts w:ascii="Arial" w:cs="Arial" w:eastAsia="Arial" w:hAnsi="Arial"/>
          <w:sz w:val="13"/>
          <w:szCs w:val="13"/>
          <w:color w:val="auto"/>
        </w:rPr>
        <w:t xml:space="preserve"> to be between $0.50 and $1.00. The company is withdrawing its full-year guidance at this time. American intends to provide a full-year update as the economic outlook becomes clearer.</w:t>
      </w:r>
    </w:p>
    <w:p>
      <w:pPr>
        <w:spacing w:after="0" w:line="142" w:lineRule="exact"/>
        <w:rPr>
          <w:sz w:val="20"/>
          <w:szCs w:val="20"/>
          <w:color w:val="auto"/>
        </w:rPr>
      </w:pPr>
    </w:p>
    <w:p>
      <w:pPr>
        <w:ind w:right="900"/>
        <w:spacing w:after="0" w:line="298" w:lineRule="auto"/>
        <w:rPr>
          <w:sz w:val="20"/>
          <w:szCs w:val="20"/>
          <w:color w:val="auto"/>
        </w:rPr>
      </w:pPr>
      <w:r>
        <w:rPr>
          <w:rFonts w:ascii="Arial" w:cs="Arial" w:eastAsia="Arial" w:hAnsi="Arial"/>
          <w:sz w:val="13"/>
          <w:szCs w:val="13"/>
          <w:color w:val="auto"/>
        </w:rPr>
        <w:t xml:space="preserve">For additional financial forecasting detail, please refer to the company’s investor update, furnished with this press release with the SEC on Form 8-K. This filing is also available at </w:t>
      </w:r>
      <w:r>
        <w:rPr>
          <w:rFonts w:ascii="Arial" w:cs="Arial" w:eastAsia="Arial" w:hAnsi="Arial"/>
          <w:sz w:val="13"/>
          <w:szCs w:val="13"/>
          <w:u w:val="single" w:color="auto"/>
          <w:color w:val="0000FF"/>
        </w:rPr>
        <w:t>aa.com/investorrelations</w:t>
      </w:r>
      <w:r>
        <w:rPr>
          <w:rFonts w:ascii="Arial" w:cs="Arial" w:eastAsia="Arial" w:hAnsi="Arial"/>
          <w:sz w:val="13"/>
          <w:szCs w:val="13"/>
          <w:color w:val="000000"/>
        </w:rPr>
        <w:t>.</w:t>
      </w:r>
    </w:p>
    <w:p>
      <w:pPr>
        <w:sectPr>
          <w:pgSz w:w="11900" w:h="16838" w:orient="portrait"/>
          <w:cols w:equalWidth="0" w:num="1">
            <w:col w:w="11260"/>
          </w:cols>
          <w:pgMar w:left="300" w:top="128" w:right="33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and webcast details</w:t>
      </w:r>
    </w:p>
    <w:p>
      <w:pPr>
        <w:spacing w:after="0" w:line="25" w:lineRule="exact"/>
        <w:rPr>
          <w:sz w:val="20"/>
          <w:szCs w:val="20"/>
          <w:color w:val="auto"/>
        </w:rPr>
      </w:pPr>
    </w:p>
    <w:p>
      <w:pPr>
        <w:ind w:right="1400"/>
        <w:spacing w:after="0" w:line="264" w:lineRule="auto"/>
        <w:rPr>
          <w:sz w:val="20"/>
          <w:szCs w:val="20"/>
          <w:color w:val="auto"/>
        </w:rPr>
      </w:pPr>
      <w:r>
        <w:rPr>
          <w:rFonts w:ascii="Arial" w:cs="Arial" w:eastAsia="Arial" w:hAnsi="Arial"/>
          <w:sz w:val="13"/>
          <w:szCs w:val="13"/>
          <w:color w:val="auto"/>
        </w:rPr>
        <w:t xml:space="preserve">The company will conduct a live audio webcast of its financial results conference call at 7:30 a.m. CT today. The call will be available to the public on a listen-only basis at </w:t>
      </w:r>
      <w:r>
        <w:rPr>
          <w:rFonts w:ascii="Arial" w:cs="Arial" w:eastAsia="Arial" w:hAnsi="Arial"/>
          <w:sz w:val="13"/>
          <w:szCs w:val="13"/>
          <w:u w:val="single" w:color="auto"/>
          <w:color w:val="0000FF"/>
        </w:rPr>
        <w:t>aa.com/investorrelations</w:t>
      </w:r>
      <w:r>
        <w:rPr>
          <w:rFonts w:ascii="Arial" w:cs="Arial" w:eastAsia="Arial" w:hAnsi="Arial"/>
          <w:sz w:val="13"/>
          <w:szCs w:val="13"/>
          <w:color w:val="000000"/>
        </w:rPr>
        <w:t>. An archive of the webcast will be available through May 24.</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w:t>
      </w:r>
    </w:p>
    <w:p>
      <w:pPr>
        <w:spacing w:after="0" w:line="16" w:lineRule="exact"/>
        <w:rPr>
          <w:sz w:val="20"/>
          <w:szCs w:val="20"/>
          <w:color w:val="auto"/>
        </w:rPr>
      </w:pPr>
    </w:p>
    <w:p>
      <w:pPr>
        <w:ind w:right="600"/>
        <w:spacing w:after="0" w:line="279" w:lineRule="auto"/>
        <w:rPr>
          <w:sz w:val="20"/>
          <w:szCs w:val="20"/>
          <w:color w:val="auto"/>
        </w:rPr>
      </w:pPr>
      <w:r>
        <w:rPr>
          <w:rFonts w:ascii="Arial" w:cs="Arial" w:eastAsia="Arial" w:hAnsi="Arial"/>
          <w:sz w:val="13"/>
          <w:szCs w:val="13"/>
          <w:color w:val="auto"/>
        </w:rPr>
        <w:t>See the accompanying notes in the financial tables section of this press release for further explanation, including a reconciliation of all GAAP to non-GAAP financial information and the calculation of free cash flow.</w:t>
      </w:r>
    </w:p>
    <w:p>
      <w:pPr>
        <w:spacing w:after="0" w:line="81" w:lineRule="exact"/>
        <w:rPr>
          <w:sz w:val="20"/>
          <w:szCs w:val="20"/>
          <w:color w:val="auto"/>
        </w:rPr>
      </w:pPr>
    </w:p>
    <w:p>
      <w:pPr>
        <w:ind w:left="420" w:right="60" w:hanging="212"/>
        <w:spacing w:after="0" w:line="238" w:lineRule="auto"/>
        <w:tabs>
          <w:tab w:leader="none" w:pos="414" w:val="left"/>
        </w:tabs>
        <w:numPr>
          <w:ilvl w:val="0"/>
          <w:numId w:val="6"/>
        </w:numPr>
        <w:rPr>
          <w:rFonts w:ascii="Arial" w:cs="Arial" w:eastAsia="Arial" w:hAnsi="Arial"/>
          <w:sz w:val="14"/>
          <w:szCs w:val="14"/>
          <w:color w:val="auto"/>
        </w:rPr>
      </w:pPr>
      <w:r>
        <w:rPr>
          <w:rFonts w:ascii="Arial" w:cs="Arial" w:eastAsia="Arial" w:hAnsi="Arial"/>
          <w:sz w:val="13"/>
          <w:szCs w:val="13"/>
          <w:color w:val="auto"/>
        </w:rPr>
        <w:t>The company recognized $87 million of net special items in the first quarter after the effect of taxes, which included operating net special items of $70 million. The first quarter net special items included a one-time charge resulting from pay rate increases effective Jan. 1, 2025, related to the ratification of the contract extension reached in the fourth quarter of 2024 with the company’s mainline maintenance and fleet service team members and an adjustment to litigation reserves, as well as nonoperating net special items of $48 million related to mark-to-market net unrealized losses associated with certain equity investments as well as charges associated with debt refinancings and extinguishments.</w:t>
      </w:r>
    </w:p>
    <w:p>
      <w:pPr>
        <w:spacing w:after="0" w:line="1" w:lineRule="exact"/>
        <w:rPr>
          <w:rFonts w:ascii="Arial" w:cs="Arial" w:eastAsia="Arial" w:hAnsi="Arial"/>
          <w:sz w:val="14"/>
          <w:szCs w:val="14"/>
          <w:color w:val="auto"/>
        </w:rPr>
      </w:pPr>
    </w:p>
    <w:p>
      <w:pPr>
        <w:ind w:left="420" w:hanging="212"/>
        <w:spacing w:after="0" w:line="231" w:lineRule="auto"/>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Please see the accompanying notes for the company’s definition of free cash flow, a non-GAAP measure.</w:t>
      </w: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references to total debt include debt, finance and operating lease liabilities and pension obligations.</w:t>
      </w:r>
    </w:p>
    <w:p>
      <w:pPr>
        <w:spacing w:after="0" w:line="3" w:lineRule="exact"/>
        <w:rPr>
          <w:rFonts w:ascii="Arial" w:cs="Arial" w:eastAsia="Arial" w:hAnsi="Arial"/>
          <w:sz w:val="13"/>
          <w:szCs w:val="13"/>
          <w:color w:val="auto"/>
        </w:rPr>
      </w:pPr>
    </w:p>
    <w:p>
      <w:pPr>
        <w:ind w:left="420" w:right="120" w:hanging="212"/>
        <w:spacing w:after="0" w:line="250" w:lineRule="auto"/>
        <w:tabs>
          <w:tab w:leader="none" w:pos="413"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earnings per diluted share guidance excludes the impact of net special items. The company is unable to reconcile certain forward-looking information to GAAP as the nature or amount of net special items cannot be determined at this time.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American Airlines Group</w:t>
      </w:r>
    </w:p>
    <w:p>
      <w:pPr>
        <w:spacing w:after="0" w:line="21" w:lineRule="exact"/>
        <w:rPr>
          <w:sz w:val="20"/>
          <w:szCs w:val="20"/>
          <w:color w:val="auto"/>
        </w:rPr>
      </w:pPr>
    </w:p>
    <w:p>
      <w:pPr>
        <w:ind w:right="220"/>
        <w:spacing w:after="0" w:line="233" w:lineRule="auto"/>
        <w:rPr>
          <w:sz w:val="20"/>
          <w:szCs w:val="20"/>
          <w:color w:val="auto"/>
        </w:rPr>
      </w:pPr>
      <w:r>
        <w:rPr>
          <w:rFonts w:ascii="Arial" w:cs="Arial" w:eastAsia="Arial" w:hAnsi="Arial"/>
          <w:sz w:val="13"/>
          <w:szCs w:val="13"/>
          <w:color w:val="auto"/>
        </w:rPr>
        <w:t xml:space="preserve">As a leading global airline, American Airlines offers thousands of flights per day to more than 350 destinations in more than 60 countries. The airline is a founding member of the </w:t>
      </w:r>
      <w:r>
        <w:rPr>
          <w:rFonts w:ascii="Arial" w:cs="Arial" w:eastAsia="Arial" w:hAnsi="Arial"/>
          <w:sz w:val="13"/>
          <w:szCs w:val="13"/>
          <w:b w:val="1"/>
          <w:bCs w:val="1"/>
          <w:color w:val="auto"/>
        </w:rPr>
        <w:t>one</w:t>
      </w:r>
      <w:r>
        <w:rPr>
          <w:rFonts w:ascii="Arial" w:cs="Arial" w:eastAsia="Arial" w:hAnsi="Arial"/>
          <w:sz w:val="13"/>
          <w:szCs w:val="13"/>
          <w:color w:val="auto"/>
        </w:rPr>
        <w:t>world</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alliance, whose members serve more than 900 destinations around the globe. Shares of American Airlines Group Inc. trade on Nasdaq under the ticker symbol AAL. Learn more about what’s happening at American by visiting </w:t>
      </w:r>
      <w:r>
        <w:rPr>
          <w:rFonts w:ascii="Arial" w:cs="Arial" w:eastAsia="Arial" w:hAnsi="Arial"/>
          <w:sz w:val="13"/>
          <w:szCs w:val="13"/>
          <w:u w:val="single" w:color="auto"/>
          <w:color w:val="0000FF"/>
        </w:rPr>
        <w:t>news.aa.com</w:t>
      </w:r>
      <w:r>
        <w:rPr>
          <w:rFonts w:ascii="Arial" w:cs="Arial" w:eastAsia="Arial" w:hAnsi="Arial"/>
          <w:sz w:val="13"/>
          <w:szCs w:val="13"/>
          <w:color w:val="auto"/>
        </w:rPr>
        <w:t xml:space="preserve"> and connect with American </w:t>
      </w:r>
      <w:r>
        <w:rPr>
          <w:rFonts w:ascii="Arial" w:cs="Arial" w:eastAsia="Arial" w:hAnsi="Arial"/>
          <w:sz w:val="13"/>
          <w:szCs w:val="13"/>
          <w:u w:val="single" w:color="auto"/>
          <w:color w:val="0000FF"/>
        </w:rPr>
        <w:t>@AmericanAir</w:t>
      </w:r>
      <w:r>
        <w:rPr>
          <w:rFonts w:ascii="Arial" w:cs="Arial" w:eastAsia="Arial" w:hAnsi="Arial"/>
          <w:sz w:val="13"/>
          <w:szCs w:val="13"/>
          <w:color w:val="auto"/>
        </w:rPr>
        <w:t xml:space="preserve"> and at </w:t>
      </w:r>
      <w:r>
        <w:rPr>
          <w:rFonts w:ascii="Arial" w:cs="Arial" w:eastAsia="Arial" w:hAnsi="Arial"/>
          <w:sz w:val="13"/>
          <w:szCs w:val="13"/>
          <w:u w:val="single" w:color="auto"/>
          <w:color w:val="0000FF"/>
        </w:rPr>
        <w:t>Facebook.com/AmericanAirlines</w:t>
      </w:r>
      <w:r>
        <w:rPr>
          <w:rFonts w:ascii="Arial" w:cs="Arial" w:eastAsia="Arial" w:hAnsi="Arial"/>
          <w:sz w:val="13"/>
          <w:szCs w:val="13"/>
          <w:color w:val="auto"/>
        </w:rPr>
        <w:t>. To Care for People on Life’s Journey</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 and information</w:t>
      </w:r>
    </w:p>
    <w:p>
      <w:pPr>
        <w:spacing w:after="0" w:line="16"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Certain of the statements contained in this report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our inability to obtain sufficient financing or other capital to operate successfully; our high level</w:t>
      </w:r>
    </w:p>
    <w:p>
      <w:pPr>
        <w:sectPr>
          <w:pgSz w:w="11900" w:h="16838" w:orient="portrait"/>
          <w:cols w:equalWidth="0" w:num="1">
            <w:col w:w="11280"/>
          </w:cols>
          <w:pgMar w:left="300" w:top="128" w:right="31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4</w:t>
      </w:r>
    </w:p>
    <w:p>
      <w:pPr>
        <w:spacing w:after="0" w:line="200" w:lineRule="exact"/>
        <w:rPr>
          <w:sz w:val="20"/>
          <w:szCs w:val="20"/>
          <w:color w:val="auto"/>
        </w:rPr>
      </w:pPr>
    </w:p>
    <w:p>
      <w:pPr>
        <w:spacing w:after="0" w:line="22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of debt and other obligations; our significant pension and other postretirement benefit funding obligations; any deterioration of our financial condition; any loss of key personnel, or our inability to attract, develop and retain additional qualified personnel; changing economic, geopolitical, commercial, regulatory and other conditions beyond our control, including the recently announced tariffs and other global events that affect travel behavior; changes in current legislation, regulations and economic conditions regarding federal governmental tariffs, the implementation of federal government budget cuts and the potential that any of the foregoing affects the demand for, or restricts the use of, travel by government employees and their families or private sector enterprises that contract or otherwise interface with the federal government; the intensely competitive and dynamic nature of the airline industry; union disputes, employee strikes and other labor-related disruptions; problems with any of our third-party regional operators or third-party service providers; any damage to our reputation or brand image; losses and adverse publicity stemming from any public incidents involving our company, our people or our brand; changes to our business model that may not be successful and may cause operational difficulties or decreased demand; our inability to protect our intellectual property rights, particularly our branding rights; litigation in the normal course of business or otherwise; our inability to use net operating losses and other carryforwards; any new U.S. and international tax legislation; any impairment of goodwill and intangible assets or long-lived assets; any inability of our commercial relationships with other companies to produce the returns or results we expect; our dependence on price and availability of aircraft fuel; extensive government regulation and compliance risks; economic and political instability outside of the U.S. where we have significant operations; ongoing security concerns due to conflicts, terrorist attacks or other acts of violence, domestically or abroad; climate change; environmental and social matters, and compliance risks with environmental, health and noise regulations; a shortage of pilots; our dependence on a limited number of suppliers for aircraft, aircraft engines and parts; any failure of technology and automated systems, including artificial intelligence, that we rely on to operate our business; evolving data privacy requirements, risks from cyberattacks and data privacy incidents, and compliance risks with regulations related therewith; any inability to effectively manage the costs, rights and functionality of third-party distribution channels; any inability to obtain and maintain adequate facilities and infrastructure throughout our system and, at some airports, adequate slots; interruptions or disruptions in service at one or more of our key facilities; increases in insurance costs or reductions in insurance coverage; heavy taxation in the airline industry; risks related to ownership of AAG common stock and convertible notes; and those set forth herein as well as in the company’s Annual Report on Form 10-K for the year ended December 31, 2024 (especially in Part I, Item 1A. Risk Factors) and in the company’s Quarterly Report on Form 10-Q for the quarter ended March 31, 2025 (especially in Part I, Item 2. Management’s Discussion and Analysis of Financial Condition and Results of Operations),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300"/>
          </w:cols>
          <w:pgMar w:left="300" w:top="128"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5</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Condensed Consolidated Statements of Operations</w:t>
      </w:r>
    </w:p>
    <w:p>
      <w:pPr>
        <w:spacing w:after="0" w:line="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(In millions, except share and per share amounts)</w:t>
      </w:r>
    </w:p>
    <w:p>
      <w:pPr>
        <w:jc w:val="center"/>
        <w:ind w:right="12"/>
        <w:spacing w:after="0"/>
        <w:rPr>
          <w:sz w:val="20"/>
          <w:szCs w:val="20"/>
          <w:color w:val="auto"/>
        </w:rPr>
      </w:pPr>
      <w:r>
        <w:rPr>
          <w:rFonts w:ascii="Arial" w:cs="Arial" w:eastAsia="Arial" w:hAnsi="Arial"/>
          <w:sz w:val="11"/>
          <w:szCs w:val="11"/>
          <w:b w:val="1"/>
          <w:bCs w:val="1"/>
          <w:color w:val="auto"/>
        </w:rPr>
        <w:t>(Unaudited)</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00" w:type="dxa"/>
            <w:vAlign w:val="bottom"/>
            <w:gridSpan w:val="3"/>
          </w:tcPr>
          <w:p>
            <w:pPr>
              <w:jc w:val="right"/>
              <w:ind w:right="211"/>
              <w:spacing w:after="0"/>
              <w:rPr>
                <w:sz w:val="20"/>
                <w:szCs w:val="20"/>
                <w:color w:val="auto"/>
              </w:rPr>
            </w:pPr>
            <w:r>
              <w:rPr>
                <w:rFonts w:ascii="Arial" w:cs="Arial" w:eastAsia="Arial" w:hAnsi="Arial"/>
                <w:sz w:val="10"/>
                <w:szCs w:val="10"/>
                <w:color w:val="auto"/>
              </w:rPr>
              <w:t>3 Months Ended</w:t>
            </w: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0"/>
                <w:szCs w:val="10"/>
                <w:color w:val="auto"/>
                <w:w w:val="98"/>
              </w:rPr>
              <w:t>Percent</w:t>
            </w:r>
          </w:p>
        </w:tc>
      </w:tr>
      <w:tr>
        <w:trPr>
          <w:trHeight w:val="135"/>
        </w:trPr>
        <w:tc>
          <w:tcPr>
            <w:tcW w:w="5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00" w:type="dxa"/>
            <w:vAlign w:val="bottom"/>
            <w:gridSpan w:val="3"/>
          </w:tcPr>
          <w:p>
            <w:pPr>
              <w:jc w:val="right"/>
              <w:ind w:right="351"/>
              <w:spacing w:after="0"/>
              <w:rPr>
                <w:sz w:val="20"/>
                <w:szCs w:val="20"/>
                <w:color w:val="auto"/>
              </w:rPr>
            </w:pPr>
            <w:r>
              <w:rPr>
                <w:rFonts w:ascii="Arial" w:cs="Arial" w:eastAsia="Arial" w:hAnsi="Arial"/>
                <w:sz w:val="10"/>
                <w:szCs w:val="10"/>
                <w:color w:val="auto"/>
              </w:rPr>
              <w:t>March 31,</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0"/>
                <w:szCs w:val="10"/>
                <w:color w:val="auto"/>
                <w:w w:val="98"/>
              </w:rPr>
              <w:t>Increase</w:t>
            </w:r>
          </w:p>
        </w:tc>
      </w:tr>
      <w:tr>
        <w:trPr>
          <w:trHeight w:val="128"/>
        </w:trPr>
        <w:tc>
          <w:tcPr>
            <w:tcW w:w="5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jc w:val="right"/>
              <w:ind w:right="767"/>
              <w:spacing w:after="0"/>
              <w:rPr>
                <w:sz w:val="20"/>
                <w:szCs w:val="20"/>
                <w:color w:val="auto"/>
              </w:rPr>
            </w:pPr>
            <w:r>
              <w:rPr>
                <w:rFonts w:ascii="Arial" w:cs="Arial" w:eastAsia="Arial" w:hAnsi="Arial"/>
                <w:sz w:val="10"/>
                <w:szCs w:val="10"/>
                <w:color w:val="auto"/>
              </w:rPr>
              <w:t>2025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jc w:val="right"/>
              <w:ind w:right="806"/>
              <w:spacing w:after="0"/>
              <w:rPr>
                <w:sz w:val="20"/>
                <w:szCs w:val="20"/>
                <w:color w:val="auto"/>
              </w:rPr>
            </w:pPr>
            <w:r>
              <w:rPr>
                <w:rFonts w:ascii="Arial" w:cs="Arial" w:eastAsia="Arial" w:hAnsi="Arial"/>
                <w:sz w:val="10"/>
                <w:szCs w:val="10"/>
                <w:color w:val="auto"/>
              </w:rPr>
              <w:t>2024</w:t>
            </w:r>
          </w:p>
        </w:tc>
        <w:tc>
          <w:tcPr>
            <w:tcW w:w="8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0"/>
                <w:szCs w:val="10"/>
                <w:color w:val="auto"/>
                <w:w w:val="92"/>
              </w:rPr>
              <w:t>(Decrease)</w:t>
            </w:r>
          </w:p>
        </w:tc>
      </w:tr>
      <w:tr>
        <w:trPr>
          <w:trHeight w:val="127"/>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Operating revenues:</w:t>
            </w:r>
          </w:p>
        </w:tc>
        <w:tc>
          <w:tcPr>
            <w:tcW w:w="44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Passenger</w:t>
            </w: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11,391</w:t>
            </w:r>
          </w:p>
        </w:tc>
        <w:tc>
          <w:tcPr>
            <w:tcW w:w="100" w:type="dxa"/>
            <w:vAlign w:val="bottom"/>
          </w:tcPr>
          <w:p>
            <w:pPr>
              <w:spacing w:after="0"/>
              <w:rPr>
                <w:sz w:val="12"/>
                <w:szCs w:val="12"/>
                <w:color w:val="auto"/>
              </w:rPr>
            </w:pPr>
          </w:p>
        </w:tc>
        <w:tc>
          <w:tcPr>
            <w:tcW w:w="580" w:type="dxa"/>
            <w:vAlign w:val="bottom"/>
          </w:tcPr>
          <w:p>
            <w:pPr>
              <w:jc w:val="right"/>
              <w:ind w:right="47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11,458</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(0.6)</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Cargo</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187</w:t>
            </w: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1"/>
                <w:szCs w:val="11"/>
                <w:color w:val="auto"/>
              </w:rPr>
              <w:t>1.1</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971</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925</w:t>
            </w:r>
          </w:p>
        </w:tc>
        <w:tc>
          <w:tcPr>
            <w:tcW w:w="114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1"/>
                <w:szCs w:val="11"/>
                <w:color w:val="auto"/>
              </w:rPr>
              <w:t>5.0</w:t>
            </w:r>
          </w:p>
        </w:tc>
        <w:tc>
          <w:tcPr>
            <w:tcW w:w="320" w:type="dxa"/>
            <w:vAlign w:val="bottom"/>
            <w:tcBorders>
              <w:bottom w:val="single" w:sz="8" w:color="CCEEFF"/>
            </w:tcBorders>
          </w:tcPr>
          <w:p>
            <w:pPr>
              <w:spacing w:after="0"/>
              <w:rPr>
                <w:sz w:val="12"/>
                <w:szCs w:val="12"/>
                <w:color w:val="auto"/>
              </w:rPr>
            </w:pPr>
          </w:p>
        </w:tc>
      </w:tr>
      <w:tr>
        <w:trPr>
          <w:trHeight w:val="134"/>
        </w:trPr>
        <w:tc>
          <w:tcPr>
            <w:tcW w:w="596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Total operating revenues</w:t>
            </w:r>
          </w:p>
        </w:tc>
        <w:tc>
          <w:tcPr>
            <w:tcW w:w="44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12,551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12,570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320" w:type="dxa"/>
            <w:vAlign w:val="bottom"/>
            <w:shd w:val="clear" w:color="auto" w:fill="CCEEFF"/>
          </w:tcPr>
          <w:p>
            <w:pPr>
              <w:spacing w:after="0"/>
              <w:rPr>
                <w:sz w:val="11"/>
                <w:szCs w:val="11"/>
                <w:color w:val="auto"/>
              </w:rPr>
            </w:pPr>
          </w:p>
        </w:tc>
      </w:tr>
      <w:tr>
        <w:trPr>
          <w:trHeight w:val="144"/>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Operating expenses:</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Aircraft fuel and related taxes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Salaries, wages and benefits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4,222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3,867</w:t>
            </w:r>
          </w:p>
        </w:tc>
        <w:tc>
          <w:tcPr>
            <w:tcW w:w="1140" w:type="dxa"/>
            <w:vAlign w:val="bottom"/>
            <w:gridSpan w:val="2"/>
          </w:tcPr>
          <w:p>
            <w:pPr>
              <w:jc w:val="right"/>
              <w:ind w:right="17"/>
              <w:spacing w:after="0"/>
              <w:rPr>
                <w:sz w:val="20"/>
                <w:szCs w:val="20"/>
                <w:color w:val="auto"/>
              </w:rPr>
            </w:pPr>
            <w:r>
              <w:rPr>
                <w:rFonts w:ascii="Arial" w:cs="Arial" w:eastAsia="Arial" w:hAnsi="Arial"/>
                <w:sz w:val="11"/>
                <w:szCs w:val="11"/>
                <w:color w:val="auto"/>
              </w:rPr>
              <w:t>9.2</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Regional expenses: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320"/>
              <w:spacing w:after="0"/>
              <w:rPr>
                <w:sz w:val="20"/>
                <w:szCs w:val="20"/>
                <w:color w:val="auto"/>
              </w:rPr>
            </w:pPr>
            <w:r>
              <w:rPr>
                <w:rFonts w:ascii="Arial" w:cs="Arial" w:eastAsia="Arial" w:hAnsi="Arial"/>
                <w:sz w:val="11"/>
                <w:szCs w:val="11"/>
                <w:color w:val="auto"/>
              </w:rPr>
              <w:t>Regional operating expenses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1,272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1,122</w:t>
            </w:r>
          </w:p>
        </w:tc>
        <w:tc>
          <w:tcPr>
            <w:tcW w:w="1140" w:type="dxa"/>
            <w:vAlign w:val="bottom"/>
            <w:gridSpan w:val="2"/>
          </w:tcPr>
          <w:p>
            <w:pPr>
              <w:jc w:val="right"/>
              <w:ind w:right="17"/>
              <w:spacing w:after="0"/>
              <w:rPr>
                <w:sz w:val="20"/>
                <w:szCs w:val="20"/>
                <w:color w:val="auto"/>
              </w:rPr>
            </w:pPr>
            <w:r>
              <w:rPr>
                <w:rFonts w:ascii="Arial" w:cs="Arial" w:eastAsia="Arial" w:hAnsi="Arial"/>
                <w:sz w:val="11"/>
                <w:szCs w:val="11"/>
                <w:color w:val="auto"/>
              </w:rPr>
              <w:t>13.4</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Regional depreciation and amortization</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79</w:t>
            </w: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1"/>
                <w:szCs w:val="11"/>
                <w:color w:val="auto"/>
              </w:rPr>
              <w:t>0.2</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Maintenance, materials and repairs</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922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884</w:t>
            </w:r>
          </w:p>
        </w:tc>
        <w:tc>
          <w:tcPr>
            <w:tcW w:w="1140" w:type="dxa"/>
            <w:vAlign w:val="bottom"/>
            <w:gridSpan w:val="2"/>
          </w:tcPr>
          <w:p>
            <w:pPr>
              <w:jc w:val="right"/>
              <w:ind w:right="17"/>
              <w:spacing w:after="0"/>
              <w:rPr>
                <w:sz w:val="20"/>
                <w:szCs w:val="20"/>
                <w:color w:val="auto"/>
              </w:rPr>
            </w:pPr>
            <w:r>
              <w:rPr>
                <w:rFonts w:ascii="Arial" w:cs="Arial" w:eastAsia="Arial" w:hAnsi="Arial"/>
                <w:sz w:val="11"/>
                <w:szCs w:val="11"/>
                <w:color w:val="auto"/>
              </w:rPr>
              <w:t>4.2</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Other rent and landing fees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819</w:t>
            </w: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1"/>
                <w:szCs w:val="11"/>
                <w:color w:val="auto"/>
              </w:rPr>
              <w:t>0.9</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Aircraft rent</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297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328</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(9.4)</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Selling expenses</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408</w:t>
            </w: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1"/>
                <w:szCs w:val="11"/>
                <w:color w:val="auto"/>
              </w:rPr>
              <w:t>10.1</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Depreciation and amortization</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468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470</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Special items, net</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w:t>
            </w: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1"/>
                <w:szCs w:val="11"/>
                <w:color w:val="auto"/>
              </w:rPr>
              <w:t>0.6</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1,628</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1,536</w:t>
            </w:r>
          </w:p>
        </w:tc>
        <w:tc>
          <w:tcPr>
            <w:tcW w:w="114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1"/>
                <w:szCs w:val="11"/>
                <w:color w:val="auto"/>
              </w:rPr>
              <w:t>6.0</w:t>
            </w:r>
          </w:p>
        </w:tc>
        <w:tc>
          <w:tcPr>
            <w:tcW w:w="320" w:type="dxa"/>
            <w:vAlign w:val="bottom"/>
            <w:tcBorders>
              <w:bottom w:val="single" w:sz="8" w:color="CCEEFF"/>
            </w:tcBorders>
          </w:tcPr>
          <w:p>
            <w:pPr>
              <w:spacing w:after="0"/>
              <w:rPr>
                <w:sz w:val="12"/>
                <w:szCs w:val="12"/>
                <w:color w:val="auto"/>
              </w:rPr>
            </w:pPr>
          </w:p>
        </w:tc>
      </w:tr>
      <w:tr>
        <w:trPr>
          <w:trHeight w:val="134"/>
        </w:trPr>
        <w:tc>
          <w:tcPr>
            <w:tcW w:w="596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Total operating expenses</w:t>
            </w:r>
          </w:p>
        </w:tc>
        <w:tc>
          <w:tcPr>
            <w:tcW w:w="44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12,821</w:t>
            </w: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12,563</w:t>
            </w:r>
          </w:p>
        </w:tc>
        <w:tc>
          <w:tcPr>
            <w:tcW w:w="1140" w:type="dxa"/>
            <w:vAlign w:val="bottom"/>
            <w:gridSpan w:val="2"/>
            <w:shd w:val="clear" w:color="auto" w:fill="CCEEFF"/>
          </w:tcPr>
          <w:p>
            <w:pPr>
              <w:jc w:val="right"/>
              <w:ind w:right="17"/>
              <w:spacing w:after="0" w:line="123" w:lineRule="exact"/>
              <w:rPr>
                <w:sz w:val="20"/>
                <w:szCs w:val="20"/>
                <w:color w:val="auto"/>
              </w:rPr>
            </w:pPr>
            <w:r>
              <w:rPr>
                <w:rFonts w:ascii="Arial" w:cs="Arial" w:eastAsia="Arial" w:hAnsi="Arial"/>
                <w:sz w:val="11"/>
                <w:szCs w:val="11"/>
                <w:color w:val="auto"/>
              </w:rPr>
              <w:t>2.1</w:t>
            </w:r>
          </w:p>
        </w:tc>
        <w:tc>
          <w:tcPr>
            <w:tcW w:w="320" w:type="dxa"/>
            <w:vAlign w:val="bottom"/>
            <w:shd w:val="clear" w:color="auto" w:fill="CCEEFF"/>
          </w:tcPr>
          <w:p>
            <w:pPr>
              <w:spacing w:after="0"/>
              <w:rPr>
                <w:sz w:val="11"/>
                <w:szCs w:val="11"/>
                <w:color w:val="auto"/>
              </w:rPr>
            </w:pPr>
          </w:p>
        </w:tc>
      </w:tr>
      <w:tr>
        <w:trPr>
          <w:trHeight w:val="133"/>
        </w:trPr>
        <w:tc>
          <w:tcPr>
            <w:tcW w:w="5960" w:type="dxa"/>
            <w:vAlign w:val="bottom"/>
          </w:tcPr>
          <w:p>
            <w:pPr>
              <w:ind w:left="240"/>
              <w:spacing w:after="0"/>
              <w:rPr>
                <w:sz w:val="20"/>
                <w:szCs w:val="20"/>
                <w:color w:val="auto"/>
              </w:rPr>
            </w:pPr>
            <w:r>
              <w:rPr>
                <w:rFonts w:ascii="Arial" w:cs="Arial" w:eastAsia="Arial" w:hAnsi="Arial"/>
                <w:sz w:val="11"/>
                <w:szCs w:val="11"/>
                <w:b w:val="1"/>
                <w:bCs w:val="1"/>
                <w:color w:val="auto"/>
              </w:rPr>
              <w:t>Operating income (loss)</w:t>
            </w:r>
          </w:p>
        </w:tc>
        <w:tc>
          <w:tcPr>
            <w:tcW w:w="44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1"/>
                <w:szCs w:val="11"/>
                <w:color w:val="auto"/>
              </w:rPr>
            </w:pPr>
          </w:p>
        </w:tc>
        <w:tc>
          <w:tcPr>
            <w:tcW w:w="1380" w:type="dxa"/>
            <w:vAlign w:val="bottom"/>
            <w:gridSpan w:val="2"/>
          </w:tcPr>
          <w:p>
            <w:pPr>
              <w:ind w:left="900"/>
              <w:spacing w:after="0" w:line="133" w:lineRule="exact"/>
              <w:rPr>
                <w:sz w:val="20"/>
                <w:szCs w:val="20"/>
                <w:color w:val="auto"/>
              </w:rPr>
            </w:pPr>
            <w:r>
              <w:rPr>
                <w:rFonts w:ascii="Arial" w:cs="Arial" w:eastAsia="Arial" w:hAnsi="Arial"/>
                <w:sz w:val="15"/>
                <w:szCs w:val="15"/>
                <w:color w:val="auto"/>
                <w:vertAlign w:val="subscript"/>
              </w:rPr>
              <w:t>nm</w:t>
            </w:r>
            <w:r>
              <w:rPr>
                <w:rFonts w:ascii="Arial" w:cs="Arial" w:eastAsia="Arial" w:hAnsi="Arial"/>
                <w:sz w:val="6"/>
                <w:szCs w:val="6"/>
                <w:color w:val="auto"/>
              </w:rPr>
              <w:t xml:space="preserve"> (1)</w:t>
            </w:r>
          </w:p>
        </w:tc>
      </w:tr>
      <w:tr>
        <w:trPr>
          <w:trHeight w:val="144"/>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Nonoperating income (expense):</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Pr>
          <w:p>
            <w:pPr>
              <w:ind w:left="240"/>
              <w:spacing w:after="0"/>
              <w:rPr>
                <w:sz w:val="20"/>
                <w:szCs w:val="20"/>
                <w:color w:val="auto"/>
              </w:rPr>
            </w:pPr>
            <w:r>
              <w:rPr>
                <w:rFonts w:ascii="Arial" w:cs="Arial" w:eastAsia="Arial" w:hAnsi="Arial"/>
                <w:sz w:val="11"/>
                <w:szCs w:val="11"/>
                <w:color w:val="auto"/>
              </w:rPr>
              <w:t>Interest income</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Arial" w:cs="Arial" w:eastAsia="Arial" w:hAnsi="Arial"/>
                <w:sz w:val="11"/>
                <w:szCs w:val="11"/>
                <w:color w:val="auto"/>
              </w:rPr>
              <w:t>118</w:t>
            </w: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(20.2)</w:t>
            </w:r>
          </w:p>
        </w:tc>
        <w:tc>
          <w:tcPr>
            <w:tcW w:w="320" w:type="dxa"/>
            <w:vAlign w:val="bottom"/>
          </w:tcPr>
          <w:p>
            <w:pPr>
              <w:spacing w:after="0"/>
              <w:rPr>
                <w:sz w:val="12"/>
                <w:szCs w:val="12"/>
                <w:color w:val="auto"/>
              </w:rPr>
            </w:pPr>
          </w:p>
        </w:tc>
      </w:tr>
      <w:tr>
        <w:trPr>
          <w:trHeight w:val="145"/>
        </w:trPr>
        <w:tc>
          <w:tcPr>
            <w:tcW w:w="59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Interest expense, net</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320" w:type="dxa"/>
            <w:vAlign w:val="bottom"/>
            <w:shd w:val="clear" w:color="auto" w:fill="CCEEFF"/>
          </w:tcPr>
          <w:p>
            <w:pPr>
              <w:spacing w:after="0"/>
              <w:rPr>
                <w:sz w:val="12"/>
                <w:szCs w:val="12"/>
                <w:color w:val="auto"/>
              </w:rPr>
            </w:pPr>
          </w:p>
        </w:tc>
      </w:tr>
      <w:tr>
        <w:trPr>
          <w:trHeight w:val="143"/>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Other expense, net</w:t>
            </w: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114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1"/>
                <w:szCs w:val="11"/>
                <w:color w:val="auto"/>
              </w:rPr>
              <w:t>7.7</w:t>
            </w:r>
          </w:p>
        </w:tc>
        <w:tc>
          <w:tcPr>
            <w:tcW w:w="320" w:type="dxa"/>
            <w:vAlign w:val="bottom"/>
            <w:tcBorders>
              <w:bottom w:val="single" w:sz="8" w:color="CCEEFF"/>
            </w:tcBorders>
          </w:tcPr>
          <w:p>
            <w:pPr>
              <w:spacing w:after="0"/>
              <w:rPr>
                <w:sz w:val="12"/>
                <w:szCs w:val="12"/>
                <w:color w:val="auto"/>
              </w:rPr>
            </w:pPr>
          </w:p>
        </w:tc>
      </w:tr>
      <w:tr>
        <w:trPr>
          <w:trHeight w:val="134"/>
        </w:trPr>
        <w:tc>
          <w:tcPr>
            <w:tcW w:w="5960" w:type="dxa"/>
            <w:vAlign w:val="bottom"/>
            <w:shd w:val="clear" w:color="auto" w:fill="CCEEFF"/>
          </w:tcPr>
          <w:p>
            <w:pPr>
              <w:ind w:left="240"/>
              <w:spacing w:after="0" w:line="123" w:lineRule="exact"/>
              <w:rPr>
                <w:sz w:val="20"/>
                <w:szCs w:val="20"/>
                <w:color w:val="auto"/>
              </w:rPr>
            </w:pPr>
            <w:r>
              <w:rPr>
                <w:rFonts w:ascii="Arial" w:cs="Arial" w:eastAsia="Arial" w:hAnsi="Arial"/>
                <w:sz w:val="11"/>
                <w:szCs w:val="11"/>
                <w:color w:val="auto"/>
              </w:rPr>
              <w:t>Total nonoperating expense, net</w:t>
            </w:r>
          </w:p>
        </w:tc>
        <w:tc>
          <w:tcPr>
            <w:tcW w:w="44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(378)</w:t>
            </w: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320" w:type="dxa"/>
            <w:vAlign w:val="bottom"/>
            <w:shd w:val="clear" w:color="auto" w:fill="CCEEFF"/>
          </w:tcPr>
          <w:p>
            <w:pPr>
              <w:spacing w:after="0"/>
              <w:rPr>
                <w:sz w:val="11"/>
                <w:szCs w:val="11"/>
                <w:color w:val="auto"/>
              </w:rPr>
            </w:pPr>
          </w:p>
        </w:tc>
      </w:tr>
      <w:tr>
        <w:trPr>
          <w:trHeight w:val="132"/>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44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(648)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(413)</w:t>
            </w:r>
          </w:p>
        </w:tc>
        <w:tc>
          <w:tcPr>
            <w:tcW w:w="1140" w:type="dxa"/>
            <w:vAlign w:val="bottom"/>
            <w:gridSpan w:val="2"/>
          </w:tcPr>
          <w:p>
            <w:pPr>
              <w:jc w:val="right"/>
              <w:ind w:right="17"/>
              <w:spacing w:after="0"/>
              <w:rPr>
                <w:sz w:val="20"/>
                <w:szCs w:val="20"/>
                <w:color w:val="auto"/>
              </w:rPr>
            </w:pPr>
            <w:r>
              <w:rPr>
                <w:rFonts w:ascii="Arial" w:cs="Arial" w:eastAsia="Arial" w:hAnsi="Arial"/>
                <w:sz w:val="11"/>
                <w:szCs w:val="11"/>
                <w:color w:val="auto"/>
              </w:rPr>
              <w:t>56.9</w:t>
            </w:r>
          </w:p>
        </w:tc>
        <w:tc>
          <w:tcPr>
            <w:tcW w:w="320" w:type="dxa"/>
            <w:vAlign w:val="bottom"/>
          </w:tcPr>
          <w:p>
            <w:pPr>
              <w:spacing w:after="0"/>
              <w:rPr>
                <w:sz w:val="11"/>
                <w:szCs w:val="11"/>
                <w:color w:val="auto"/>
              </w:rPr>
            </w:pPr>
          </w:p>
        </w:tc>
      </w:tr>
      <w:tr>
        <w:trPr>
          <w:trHeight w:val="145"/>
        </w:trPr>
        <w:tc>
          <w:tcPr>
            <w:tcW w:w="5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w:t>
            </w:r>
          </w:p>
        </w:tc>
        <w:tc>
          <w:tcPr>
            <w:tcW w:w="4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1140" w:type="dxa"/>
            <w:vAlign w:val="bottom"/>
            <w:gridSpan w:val="2"/>
            <w:shd w:val="clear" w:color="auto" w:fill="CCEEFF"/>
          </w:tcPr>
          <w:p>
            <w:pPr>
              <w:jc w:val="right"/>
              <w:ind w:right="17"/>
              <w:spacing w:after="0"/>
              <w:rPr>
                <w:sz w:val="20"/>
                <w:szCs w:val="20"/>
                <w:color w:val="auto"/>
              </w:rPr>
            </w:pPr>
            <w:r>
              <w:rPr>
                <w:rFonts w:ascii="Arial" w:cs="Arial" w:eastAsia="Arial" w:hAnsi="Arial"/>
                <w:sz w:val="11"/>
                <w:szCs w:val="11"/>
                <w:color w:val="auto"/>
              </w:rPr>
              <w:t>73.2</w:t>
            </w:r>
          </w:p>
        </w:tc>
        <w:tc>
          <w:tcPr>
            <w:tcW w:w="320" w:type="dxa"/>
            <w:vAlign w:val="bottom"/>
            <w:shd w:val="clear" w:color="auto" w:fill="CCEEFF"/>
          </w:tcPr>
          <w:p>
            <w:pPr>
              <w:spacing w:after="0"/>
              <w:rPr>
                <w:sz w:val="12"/>
                <w:szCs w:val="12"/>
                <w:color w:val="auto"/>
              </w:rPr>
            </w:pPr>
          </w:p>
        </w:tc>
      </w:tr>
      <w:tr>
        <w:trPr>
          <w:trHeight w:val="149"/>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1"/>
                <w:szCs w:val="11"/>
                <w:b w:val="1"/>
                <w:bCs w:val="1"/>
                <w:color w:val="auto"/>
              </w:rPr>
              <w:t>Net loss</w:t>
            </w:r>
          </w:p>
        </w:tc>
        <w:tc>
          <w:tcPr>
            <w:tcW w:w="4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47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w:t>
            </w:r>
          </w:p>
        </w:tc>
        <w:tc>
          <w:tcPr>
            <w:tcW w:w="114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1"/>
                <w:szCs w:val="11"/>
                <w:color w:val="auto"/>
              </w:rPr>
              <w:t>51.6</w:t>
            </w:r>
          </w:p>
        </w:tc>
        <w:tc>
          <w:tcPr>
            <w:tcW w:w="320" w:type="dxa"/>
            <w:vAlign w:val="bottom"/>
            <w:tcBorders>
              <w:bottom w:val="single" w:sz="8" w:color="CCEEFF"/>
            </w:tcBorders>
          </w:tcPr>
          <w:p>
            <w:pPr>
              <w:spacing w:after="0"/>
              <w:rPr>
                <w:sz w:val="12"/>
                <w:szCs w:val="12"/>
                <w:color w:val="auto"/>
              </w:rPr>
            </w:pPr>
          </w:p>
        </w:tc>
      </w:tr>
      <w:tr>
        <w:trPr>
          <w:trHeight w:val="126"/>
        </w:trPr>
        <w:tc>
          <w:tcPr>
            <w:tcW w:w="59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r>
      <w:tr>
        <w:trPr>
          <w:trHeight w:val="144"/>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Loss per common share:</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6"/>
        </w:trPr>
        <w:tc>
          <w:tcPr>
            <w:tcW w:w="5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Basic and Diluted</w:t>
            </w:r>
          </w:p>
        </w:tc>
        <w:tc>
          <w:tcPr>
            <w:tcW w:w="44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(0.72)</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r>
      <w:tr>
        <w:trPr>
          <w:trHeight w:val="122"/>
        </w:trPr>
        <w:tc>
          <w:tcPr>
            <w:tcW w:w="59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Weighted average shares outstanding (in thousands):</w:t>
            </w:r>
          </w:p>
        </w:tc>
        <w:tc>
          <w:tcPr>
            <w:tcW w:w="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60"/>
        </w:trPr>
        <w:tc>
          <w:tcPr>
            <w:tcW w:w="5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Basic and Diluted</w:t>
            </w:r>
          </w:p>
        </w:tc>
        <w:tc>
          <w:tcPr>
            <w:tcW w:w="4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658,880</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655,847</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r>
    </w:tbl>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Percent change may not recalculate due to rounding.</w:t>
      </w:r>
    </w:p>
    <w:p>
      <w:pPr>
        <w:spacing w:after="0" w:line="61"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Not meaningful or greater than 100% change.</w:t>
      </w:r>
    </w:p>
    <w:p>
      <w:pPr>
        <w:sectPr>
          <w:pgSz w:w="11900" w:h="16838" w:orient="portrait"/>
          <w:cols w:equalWidth="0" w:num="1">
            <w:col w:w="11288"/>
          </w:cols>
          <w:pgMar w:left="292" w:top="128" w:right="31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6</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American Airlines Group Inc.</w:t>
      </w:r>
    </w:p>
    <w:p>
      <w:pPr>
        <w:jc w:val="center"/>
        <w:ind w:right="-7"/>
        <w:spacing w:after="0" w:line="215" w:lineRule="auto"/>
        <w:rPr>
          <w:sz w:val="20"/>
          <w:szCs w:val="20"/>
          <w:color w:val="auto"/>
        </w:rPr>
      </w:pPr>
      <w:r>
        <w:rPr>
          <w:rFonts w:ascii="Arial" w:cs="Arial" w:eastAsia="Arial" w:hAnsi="Arial"/>
          <w:sz w:val="11"/>
          <w:szCs w:val="11"/>
          <w:b w:val="1"/>
          <w:bCs w:val="1"/>
          <w:color w:val="auto"/>
        </w:rPr>
        <w:t xml:space="preserve">Consolidated Operating Statistics </w:t>
      </w:r>
      <w:r>
        <w:rPr>
          <w:rFonts w:ascii="Arial" w:cs="Arial" w:eastAsia="Arial" w:hAnsi="Arial"/>
          <w:sz w:val="14"/>
          <w:szCs w:val="14"/>
          <w:b w:val="1"/>
          <w:bCs w:val="1"/>
          <w:color w:val="auto"/>
          <w:vertAlign w:val="superscript"/>
        </w:rPr>
        <w:t>(1)</w:t>
      </w:r>
    </w:p>
    <w:p>
      <w:pPr>
        <w:jc w:val="center"/>
        <w:ind w:right="-7"/>
        <w:spacing w:after="0"/>
        <w:rPr>
          <w:sz w:val="20"/>
          <w:szCs w:val="20"/>
          <w:color w:val="auto"/>
        </w:rPr>
      </w:pPr>
      <w:r>
        <w:rPr>
          <w:rFonts w:ascii="Arial" w:cs="Arial" w:eastAsia="Arial" w:hAnsi="Arial"/>
          <w:sz w:val="11"/>
          <w:szCs w:val="11"/>
          <w:b w:val="1"/>
          <w:bCs w:val="1"/>
          <w:color w:val="auto"/>
        </w:rPr>
        <w:t>(Unaudited)</w:t>
      </w:r>
    </w:p>
    <w:p>
      <w:pPr>
        <w:spacing w:after="0" w:line="92" w:lineRule="exact"/>
        <w:rPr>
          <w:sz w:val="20"/>
          <w:szCs w:val="20"/>
          <w:color w:val="auto"/>
        </w:rPr>
      </w:pPr>
    </w:p>
    <w:tbl>
      <w:tblPr>
        <w:tblLayout w:type="fixed"/>
        <w:tblInd w:w="108" w:type="dxa"/>
        <w:tblCellMar>
          <w:top w:w="0" w:type="dxa"/>
          <w:left w:w="0" w:type="dxa"/>
          <w:bottom w:w="0" w:type="dxa"/>
          <w:right w:w="0" w:type="dxa"/>
        </w:tblCellMar>
      </w:tblPr>
      <w:tr>
        <w:trPr>
          <w:trHeight w:val="117"/>
        </w:trPr>
        <w:tc>
          <w:tcPr>
            <w:tcW w:w="7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gridSpan w:val="3"/>
          </w:tcPr>
          <w:p>
            <w:pPr>
              <w:jc w:val="center"/>
              <w:ind w:right="332"/>
              <w:spacing w:after="0"/>
              <w:rPr>
                <w:sz w:val="20"/>
                <w:szCs w:val="20"/>
                <w:color w:val="auto"/>
              </w:rPr>
            </w:pPr>
            <w:r>
              <w:rPr>
                <w:rFonts w:ascii="Arial" w:cs="Arial" w:eastAsia="Arial" w:hAnsi="Arial"/>
                <w:sz w:val="10"/>
                <w:szCs w:val="10"/>
                <w:color w:val="auto"/>
                <w:w w:val="96"/>
              </w:rPr>
              <w:t>3 Months Ended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gridSpan w:val="3"/>
          </w:tcPr>
          <w:p>
            <w:pPr>
              <w:jc w:val="center"/>
              <w:ind w:right="332"/>
              <w:spacing w:after="0"/>
              <w:rPr>
                <w:sz w:val="20"/>
                <w:szCs w:val="20"/>
                <w:color w:val="auto"/>
              </w:rPr>
            </w:pPr>
            <w:r>
              <w:rPr>
                <w:rFonts w:ascii="Arial" w:cs="Arial" w:eastAsia="Arial" w:hAnsi="Arial"/>
                <w:sz w:val="10"/>
                <w:szCs w:val="10"/>
                <w:color w:val="auto"/>
                <w:w w:val="94"/>
              </w:rPr>
              <w:t>March 31,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restart"/>
          </w:tcPr>
          <w:p>
            <w:pPr>
              <w:jc w:val="right"/>
              <w:ind w:right="412"/>
              <w:spacing w:after="0"/>
              <w:rPr>
                <w:sz w:val="20"/>
                <w:szCs w:val="20"/>
                <w:color w:val="auto"/>
              </w:rPr>
            </w:pPr>
            <w:r>
              <w:rPr>
                <w:rFonts w:ascii="Arial" w:cs="Arial" w:eastAsia="Arial" w:hAnsi="Arial"/>
                <w:sz w:val="10"/>
                <w:szCs w:val="10"/>
                <w:color w:val="auto"/>
              </w:rPr>
              <w:t>Increase</w:t>
            </w:r>
          </w:p>
        </w:tc>
        <w:tc>
          <w:tcPr>
            <w:tcW w:w="0" w:type="dxa"/>
            <w:vAlign w:val="bottom"/>
          </w:tcPr>
          <w:p>
            <w:pPr>
              <w:spacing w:after="0"/>
              <w:rPr>
                <w:sz w:val="1"/>
                <w:szCs w:val="1"/>
                <w:color w:val="auto"/>
              </w:rPr>
            </w:pPr>
          </w:p>
        </w:tc>
      </w:tr>
      <w:tr>
        <w:trPr>
          <w:trHeight w:val="37"/>
        </w:trPr>
        <w:tc>
          <w:tcPr>
            <w:tcW w:w="7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2024</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(Decrease)</w:t>
            </w:r>
          </w:p>
        </w:tc>
        <w:tc>
          <w:tcPr>
            <w:tcW w:w="0" w:type="dxa"/>
            <w:vAlign w:val="bottom"/>
          </w:tcPr>
          <w:p>
            <w:pPr>
              <w:spacing w:after="0"/>
              <w:rPr>
                <w:sz w:val="1"/>
                <w:szCs w:val="1"/>
                <w:color w:val="auto"/>
              </w:rPr>
            </w:pPr>
          </w:p>
        </w:tc>
      </w:tr>
      <w:tr>
        <w:trPr>
          <w:trHeight w:val="132"/>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Revenue passenger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56,356</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57,473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Available seat miles (ASM) (millions)</w:t>
            </w:r>
          </w:p>
        </w:tc>
        <w:tc>
          <w:tcPr>
            <w:tcW w:w="440" w:type="dxa"/>
            <w:vAlign w:val="bottom"/>
          </w:tcPr>
          <w:p>
            <w:pPr>
              <w:jc w:val="right"/>
              <w:spacing w:after="0"/>
              <w:rPr>
                <w:sz w:val="20"/>
                <w:szCs w:val="20"/>
                <w:color w:val="auto"/>
              </w:rPr>
            </w:pPr>
            <w:r>
              <w:rPr>
                <w:rFonts w:ascii="Arial" w:cs="Arial" w:eastAsia="Arial" w:hAnsi="Arial"/>
                <w:sz w:val="10"/>
                <w:szCs w:val="10"/>
                <w:color w:val="auto"/>
              </w:rPr>
              <w:t>69,904</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70,516</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(0.9) %</w:t>
            </w: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Passenger load factor (percent)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81.5</w:t>
            </w: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 pts</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Yield (cents)</w:t>
            </w:r>
          </w:p>
        </w:tc>
        <w:tc>
          <w:tcPr>
            <w:tcW w:w="440" w:type="dxa"/>
            <w:vAlign w:val="bottom"/>
          </w:tcPr>
          <w:p>
            <w:pPr>
              <w:jc w:val="right"/>
              <w:spacing w:after="0"/>
              <w:rPr>
                <w:sz w:val="20"/>
                <w:szCs w:val="20"/>
                <w:color w:val="auto"/>
              </w:rPr>
            </w:pPr>
            <w:r>
              <w:rPr>
                <w:rFonts w:ascii="Arial" w:cs="Arial" w:eastAsia="Arial" w:hAnsi="Arial"/>
                <w:sz w:val="10"/>
                <w:szCs w:val="10"/>
                <w:color w:val="auto"/>
              </w:rPr>
              <w:t>20.21</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19.94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Total revenue per ASM (cents)</w:t>
            </w:r>
          </w:p>
        </w:tc>
        <w:tc>
          <w:tcPr>
            <w:tcW w:w="440" w:type="dxa"/>
            <w:vAlign w:val="bottom"/>
          </w:tcPr>
          <w:p>
            <w:pPr>
              <w:jc w:val="right"/>
              <w:spacing w:after="0"/>
              <w:rPr>
                <w:sz w:val="20"/>
                <w:szCs w:val="20"/>
                <w:color w:val="auto"/>
              </w:rPr>
            </w:pPr>
            <w:r>
              <w:rPr>
                <w:rFonts w:ascii="Arial" w:cs="Arial" w:eastAsia="Arial" w:hAnsi="Arial"/>
                <w:sz w:val="10"/>
                <w:szCs w:val="10"/>
                <w:color w:val="auto"/>
              </w:rPr>
              <w:t>17.95</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17.83</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0.7 %</w:t>
            </w: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Cargo ton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(0.2)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Cargo yield per ton mile (cents)</w:t>
            </w:r>
          </w:p>
        </w:tc>
        <w:tc>
          <w:tcPr>
            <w:tcW w:w="440" w:type="dxa"/>
            <w:vAlign w:val="bottom"/>
          </w:tcPr>
          <w:p>
            <w:pPr>
              <w:jc w:val="right"/>
              <w:spacing w:after="0"/>
              <w:rPr>
                <w:sz w:val="20"/>
                <w:szCs w:val="20"/>
                <w:color w:val="auto"/>
              </w:rPr>
            </w:pPr>
            <w:r>
              <w:rPr>
                <w:rFonts w:ascii="Arial" w:cs="Arial" w:eastAsia="Arial" w:hAnsi="Arial"/>
                <w:sz w:val="10"/>
                <w:szCs w:val="10"/>
                <w:color w:val="auto"/>
              </w:rPr>
              <w:t>39.14</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38.64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1.3 %</w:t>
            </w:r>
          </w:p>
        </w:tc>
        <w:tc>
          <w:tcPr>
            <w:tcW w:w="0" w:type="dxa"/>
            <w:vAlign w:val="bottom"/>
          </w:tcPr>
          <w:p>
            <w:pPr>
              <w:spacing w:after="0"/>
              <w:rPr>
                <w:sz w:val="1"/>
                <w:szCs w:val="1"/>
                <w:color w:val="auto"/>
              </w:rPr>
            </w:pPr>
          </w:p>
        </w:tc>
      </w:tr>
      <w:tr>
        <w:trPr>
          <w:trHeight w:val="147"/>
        </w:trPr>
        <w:tc>
          <w:tcPr>
            <w:tcW w:w="7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Fuel consumption (gallons in millions)</w:t>
            </w:r>
          </w:p>
        </w:tc>
        <w:tc>
          <w:tcPr>
            <w:tcW w:w="440" w:type="dxa"/>
            <w:vAlign w:val="bottom"/>
          </w:tcPr>
          <w:p>
            <w:pPr>
              <w:jc w:val="right"/>
              <w:spacing w:after="0"/>
              <w:rPr>
                <w:sz w:val="20"/>
                <w:szCs w:val="20"/>
                <w:color w:val="auto"/>
              </w:rPr>
            </w:pPr>
            <w:r>
              <w:rPr>
                <w:rFonts w:ascii="Arial" w:cs="Arial" w:eastAsia="Arial" w:hAnsi="Arial"/>
                <w:sz w:val="10"/>
                <w:szCs w:val="10"/>
                <w:color w:val="auto"/>
              </w:rPr>
              <w:t>1,042</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1,042</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0.1 %</w:t>
            </w: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Average aircraft fuel price including related taxes (dollars per gallon)</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(13.3) %</w:t>
            </w:r>
          </w:p>
        </w:tc>
        <w:tc>
          <w:tcPr>
            <w:tcW w:w="0" w:type="dxa"/>
            <w:vAlign w:val="bottom"/>
          </w:tcPr>
          <w:p>
            <w:pPr>
              <w:spacing w:after="0"/>
              <w:rPr>
                <w:sz w:val="1"/>
                <w:szCs w:val="1"/>
                <w:color w:val="auto"/>
              </w:rPr>
            </w:pPr>
          </w:p>
        </w:tc>
      </w:tr>
      <w:tr>
        <w:trPr>
          <w:trHeight w:val="144"/>
        </w:trPr>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Operating cost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18.34</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2.9 %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Operating cost per ASM excluding net special items (cents)</w:t>
            </w:r>
          </w:p>
        </w:tc>
        <w:tc>
          <w:tcPr>
            <w:tcW w:w="440" w:type="dxa"/>
            <w:vAlign w:val="bottom"/>
          </w:tcPr>
          <w:p>
            <w:pPr>
              <w:jc w:val="right"/>
              <w:spacing w:after="0"/>
              <w:rPr>
                <w:sz w:val="20"/>
                <w:szCs w:val="20"/>
                <w:color w:val="auto"/>
              </w:rPr>
            </w:pPr>
            <w:r>
              <w:rPr>
                <w:rFonts w:ascii="Arial" w:cs="Arial" w:eastAsia="Arial" w:hAnsi="Arial"/>
                <w:sz w:val="10"/>
                <w:szCs w:val="10"/>
                <w:color w:val="auto"/>
              </w:rPr>
              <w:t>18.24</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17.72</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3.0 %</w:t>
            </w: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Operating cost per ASM excluding net special items and fuel (cents)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7.8 %</w:t>
            </w:r>
          </w:p>
        </w:tc>
        <w:tc>
          <w:tcPr>
            <w:tcW w:w="0" w:type="dxa"/>
            <w:vAlign w:val="bottom"/>
          </w:tcPr>
          <w:p>
            <w:pPr>
              <w:spacing w:after="0"/>
              <w:rPr>
                <w:sz w:val="1"/>
                <w:szCs w:val="1"/>
                <w:color w:val="auto"/>
              </w:rPr>
            </w:pPr>
          </w:p>
        </w:tc>
      </w:tr>
      <w:tr>
        <w:trPr>
          <w:trHeight w:val="144"/>
        </w:trPr>
        <w:tc>
          <w:tcPr>
            <w:tcW w:w="7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Passenger enplanements (thousands)</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51,034</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52,766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(3.3)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Departures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Mainline</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(4.3)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160"/>
              <w:spacing w:after="0"/>
              <w:rPr>
                <w:sz w:val="20"/>
                <w:szCs w:val="20"/>
                <w:color w:val="auto"/>
              </w:rPr>
            </w:pPr>
            <w:r>
              <w:rPr>
                <w:rFonts w:ascii="Arial" w:cs="Arial" w:eastAsia="Arial" w:hAnsi="Arial"/>
                <w:sz w:val="10"/>
                <w:szCs w:val="10"/>
                <w:color w:val="auto"/>
              </w:rPr>
              <w:t>Regional</w:t>
            </w:r>
          </w:p>
        </w:tc>
        <w:tc>
          <w:tcPr>
            <w:tcW w:w="440" w:type="dxa"/>
            <w:vAlign w:val="bottom"/>
          </w:tcPr>
          <w:p>
            <w:pPr>
              <w:jc w:val="right"/>
              <w:spacing w:after="0"/>
              <w:rPr>
                <w:sz w:val="20"/>
                <w:szCs w:val="20"/>
                <w:color w:val="auto"/>
              </w:rPr>
            </w:pPr>
            <w:r>
              <w:rPr>
                <w:rFonts w:ascii="Arial" w:cs="Arial" w:eastAsia="Arial" w:hAnsi="Arial"/>
                <w:sz w:val="10"/>
                <w:szCs w:val="10"/>
                <w:color w:val="auto"/>
              </w:rPr>
              <w:t>250</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219</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14.3 %</w:t>
            </w: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3.7 %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Average stage length (miles):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Mainline</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1.8 %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160"/>
              <w:spacing w:after="0"/>
              <w:rPr>
                <w:sz w:val="20"/>
                <w:szCs w:val="20"/>
                <w:color w:val="auto"/>
              </w:rPr>
            </w:pPr>
            <w:r>
              <w:rPr>
                <w:rFonts w:ascii="Arial" w:cs="Arial" w:eastAsia="Arial" w:hAnsi="Arial"/>
                <w:sz w:val="10"/>
                <w:szCs w:val="10"/>
                <w:color w:val="auto"/>
              </w:rPr>
              <w:t>Regional</w:t>
            </w:r>
          </w:p>
        </w:tc>
        <w:tc>
          <w:tcPr>
            <w:tcW w:w="440" w:type="dxa"/>
            <w:vAlign w:val="bottom"/>
          </w:tcPr>
          <w:p>
            <w:pPr>
              <w:jc w:val="right"/>
              <w:spacing w:after="0"/>
              <w:rPr>
                <w:sz w:val="20"/>
                <w:szCs w:val="20"/>
                <w:color w:val="auto"/>
              </w:rPr>
            </w:pPr>
            <w:r>
              <w:rPr>
                <w:rFonts w:ascii="Arial" w:cs="Arial" w:eastAsia="Arial" w:hAnsi="Arial"/>
                <w:sz w:val="10"/>
                <w:szCs w:val="10"/>
                <w:color w:val="auto"/>
              </w:rPr>
              <w:t>470</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465</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1.3 %</w:t>
            </w: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841</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(2.0)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Aircraft at end of period: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Mainline</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135"/>
        </w:trPr>
        <w:tc>
          <w:tcPr>
            <w:tcW w:w="7920" w:type="dxa"/>
            <w:vAlign w:val="bottom"/>
            <w:gridSpan w:val="2"/>
          </w:tcPr>
          <w:p>
            <w:pPr>
              <w:ind w:left="160"/>
              <w:spacing w:after="0" w:line="135" w:lineRule="exact"/>
              <w:rPr>
                <w:sz w:val="20"/>
                <w:szCs w:val="20"/>
                <w:color w:val="auto"/>
              </w:rPr>
            </w:pPr>
            <w:r>
              <w:rPr>
                <w:rFonts w:ascii="Arial" w:cs="Arial" w:eastAsia="Arial" w:hAnsi="Arial"/>
                <w:sz w:val="10"/>
                <w:szCs w:val="10"/>
                <w:color w:val="auto"/>
              </w:rPr>
              <w:t xml:space="preserve">Regional </w:t>
            </w:r>
            <w:r>
              <w:rPr>
                <w:rFonts w:ascii="Arial" w:cs="Arial" w:eastAsia="Arial" w:hAnsi="Arial"/>
                <w:sz w:val="12"/>
                <w:szCs w:val="12"/>
                <w:color w:val="auto"/>
                <w:vertAlign w:val="superscript"/>
              </w:rPr>
              <w:t>(2)</w:t>
            </w:r>
          </w:p>
        </w:tc>
        <w:tc>
          <w:tcPr>
            <w:tcW w:w="440" w:type="dxa"/>
            <w:vAlign w:val="bottom"/>
          </w:tcPr>
          <w:p>
            <w:pPr>
              <w:jc w:val="right"/>
              <w:spacing w:after="0"/>
              <w:rPr>
                <w:sz w:val="20"/>
                <w:szCs w:val="20"/>
                <w:color w:val="auto"/>
              </w:rPr>
            </w:pPr>
            <w:r>
              <w:rPr>
                <w:rFonts w:ascii="Arial" w:cs="Arial" w:eastAsia="Arial" w:hAnsi="Arial"/>
                <w:sz w:val="10"/>
                <w:szCs w:val="10"/>
                <w:color w:val="auto"/>
              </w:rPr>
              <w:t>567</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550</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3.1 %</w:t>
            </w:r>
          </w:p>
        </w:tc>
        <w:tc>
          <w:tcPr>
            <w:tcW w:w="0" w:type="dxa"/>
            <w:vAlign w:val="bottom"/>
          </w:tcPr>
          <w:p>
            <w:pPr>
              <w:spacing w:after="0"/>
              <w:rPr>
                <w:sz w:val="1"/>
                <w:szCs w:val="1"/>
                <w:color w:val="auto"/>
              </w:rPr>
            </w:pPr>
          </w:p>
        </w:tc>
      </w:tr>
      <w:tr>
        <w:trPr>
          <w:trHeight w:val="135"/>
        </w:trPr>
        <w:tc>
          <w:tcPr>
            <w:tcW w:w="79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1,552</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2.3 %</w:t>
            </w:r>
          </w:p>
        </w:tc>
        <w:tc>
          <w:tcPr>
            <w:tcW w:w="0" w:type="dxa"/>
            <w:vAlign w:val="bottom"/>
          </w:tcPr>
          <w:p>
            <w:pPr>
              <w:spacing w:after="0"/>
              <w:rPr>
                <w:sz w:val="1"/>
                <w:szCs w:val="1"/>
                <w:color w:val="auto"/>
              </w:rPr>
            </w:pPr>
          </w:p>
        </w:tc>
      </w:tr>
      <w:tr>
        <w:trPr>
          <w:trHeight w:val="132"/>
        </w:trPr>
        <w:tc>
          <w:tcPr>
            <w:tcW w:w="7920" w:type="dxa"/>
            <w:vAlign w:val="bottom"/>
            <w:gridSpan w:val="2"/>
          </w:tcPr>
          <w:p>
            <w:pPr>
              <w:ind w:left="20"/>
              <w:spacing w:after="0"/>
              <w:rPr>
                <w:sz w:val="20"/>
                <w:szCs w:val="20"/>
                <w:color w:val="auto"/>
              </w:rPr>
            </w:pPr>
            <w:r>
              <w:rPr>
                <w:rFonts w:ascii="Arial" w:cs="Arial" w:eastAsia="Arial" w:hAnsi="Arial"/>
                <w:sz w:val="10"/>
                <w:szCs w:val="10"/>
                <w:color w:val="auto"/>
              </w:rPr>
              <w:t>Full-time equivalent employees at end of period: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9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Mainline</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102,400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103,600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(1.2) %</w:t>
            </w:r>
          </w:p>
        </w:tc>
        <w:tc>
          <w:tcPr>
            <w:tcW w:w="0" w:type="dxa"/>
            <w:vAlign w:val="bottom"/>
          </w:tcPr>
          <w:p>
            <w:pPr>
              <w:spacing w:after="0"/>
              <w:rPr>
                <w:sz w:val="1"/>
                <w:szCs w:val="1"/>
                <w:color w:val="auto"/>
              </w:rPr>
            </w:pPr>
          </w:p>
        </w:tc>
      </w:tr>
      <w:tr>
        <w:trPr>
          <w:trHeight w:val="135"/>
        </w:trPr>
        <w:tc>
          <w:tcPr>
            <w:tcW w:w="7920" w:type="dxa"/>
            <w:vAlign w:val="bottom"/>
            <w:gridSpan w:val="2"/>
          </w:tcPr>
          <w:p>
            <w:pPr>
              <w:ind w:left="160"/>
              <w:spacing w:after="0" w:line="135" w:lineRule="exact"/>
              <w:rPr>
                <w:sz w:val="20"/>
                <w:szCs w:val="20"/>
                <w:color w:val="auto"/>
              </w:rPr>
            </w:pPr>
            <w:r>
              <w:rPr>
                <w:rFonts w:ascii="Arial" w:cs="Arial" w:eastAsia="Arial" w:hAnsi="Arial"/>
                <w:sz w:val="10"/>
                <w:szCs w:val="10"/>
                <w:color w:val="auto"/>
              </w:rPr>
              <w:t xml:space="preserve">Regional </w:t>
            </w:r>
            <w:r>
              <w:rPr>
                <w:rFonts w:ascii="Arial" w:cs="Arial" w:eastAsia="Arial" w:hAnsi="Arial"/>
                <w:sz w:val="12"/>
                <w:szCs w:val="12"/>
                <w:color w:val="auto"/>
                <w:vertAlign w:val="superscript"/>
              </w:rPr>
              <w:t>(3)</w:t>
            </w:r>
          </w:p>
        </w:tc>
        <w:tc>
          <w:tcPr>
            <w:tcW w:w="440" w:type="dxa"/>
            <w:vAlign w:val="bottom"/>
          </w:tcPr>
          <w:p>
            <w:pPr>
              <w:jc w:val="right"/>
              <w:spacing w:after="0"/>
              <w:rPr>
                <w:sz w:val="20"/>
                <w:szCs w:val="20"/>
                <w:color w:val="auto"/>
              </w:rPr>
            </w:pPr>
            <w:r>
              <w:rPr>
                <w:rFonts w:ascii="Arial" w:cs="Arial" w:eastAsia="Arial" w:hAnsi="Arial"/>
                <w:sz w:val="10"/>
                <w:szCs w:val="10"/>
                <w:color w:val="auto"/>
              </w:rPr>
              <w:t>30,700</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29,200</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5.1 %</w:t>
            </w:r>
          </w:p>
        </w:tc>
        <w:tc>
          <w:tcPr>
            <w:tcW w:w="0" w:type="dxa"/>
            <w:vAlign w:val="bottom"/>
          </w:tcPr>
          <w:p>
            <w:pPr>
              <w:spacing w:after="0"/>
              <w:rPr>
                <w:sz w:val="1"/>
                <w:szCs w:val="1"/>
                <w:color w:val="auto"/>
              </w:rPr>
            </w:pPr>
          </w:p>
        </w:tc>
      </w:tr>
      <w:tr>
        <w:trPr>
          <w:trHeight w:val="135"/>
        </w:trPr>
        <w:tc>
          <w:tcPr>
            <w:tcW w:w="79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133,100</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132,800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0.2 %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Amounts may not recalculate due to rounding.</w:t>
      </w:r>
    </w:p>
    <w:p>
      <w:pPr>
        <w:spacing w:after="0" w:line="52"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Unless otherwise noted, operating statistics include mainline and regional operations. Regional includes wholly-owned regional airline subsidiaries and operating results from capacity purchase carriers.</w:t>
      </w:r>
    </w:p>
    <w:p>
      <w:pPr>
        <w:spacing w:after="0" w:line="39" w:lineRule="exact"/>
        <w:rPr>
          <w:rFonts w:ascii="Arial" w:cs="Arial" w:eastAsia="Arial" w:hAnsi="Arial"/>
          <w:sz w:val="14"/>
          <w:szCs w:val="14"/>
          <w:color w:val="auto"/>
          <w:vertAlign w:val="superscript"/>
        </w:rPr>
      </w:pPr>
    </w:p>
    <w:p>
      <w:pPr>
        <w:ind w:left="208" w:hanging="208"/>
        <w:spacing w:after="0" w:line="215" w:lineRule="auto"/>
        <w:tabs>
          <w:tab w:leader="none" w:pos="204"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Includes aircraft owned and leased by American as well as aircraft operated by third-party regional carriers under capacity purchase agreements. Excluded from the aircraft count above are six regional aircraft in temporary storage as of March 31, 2025 as follows: four Bombardier CRJ 900 and two Embraer 145.</w:t>
      </w:r>
    </w:p>
    <w:p>
      <w:pPr>
        <w:spacing w:after="0" w:line="1" w:lineRule="exact"/>
        <w:rPr>
          <w:rFonts w:ascii="Arial" w:cs="Arial" w:eastAsia="Arial" w:hAnsi="Arial"/>
          <w:sz w:val="14"/>
          <w:szCs w:val="14"/>
          <w:color w:val="auto"/>
          <w:vertAlign w:val="superscript"/>
        </w:rPr>
      </w:pPr>
    </w:p>
    <w:p>
      <w:pPr>
        <w:ind w:left="208" w:hanging="208"/>
        <w:spacing w:after="0"/>
        <w:tabs>
          <w:tab w:leader="none" w:pos="208"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Regional full-time equivalent employees only include our wholly-owned regional airline subsidiaries.</w:t>
      </w:r>
    </w:p>
    <w:p>
      <w:pPr>
        <w:sectPr>
          <w:pgSz w:w="11900" w:h="16838" w:orient="portrait"/>
          <w:cols w:equalWidth="0" w:num="1">
            <w:col w:w="11308"/>
          </w:cols>
          <w:pgMar w:left="292" w:top="12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7</w:t>
      </w:r>
    </w:p>
    <w:p>
      <w:pPr>
        <w:spacing w:after="0" w:line="214" w:lineRule="exact"/>
        <w:rPr>
          <w:sz w:val="20"/>
          <w:szCs w:val="20"/>
          <w:color w:val="auto"/>
        </w:rPr>
      </w:pPr>
    </w:p>
    <w:p>
      <w:pPr>
        <w:jc w:val="center"/>
        <w:ind w:right="-107"/>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ind w:right="-107"/>
        <w:spacing w:after="0"/>
        <w:rPr>
          <w:sz w:val="20"/>
          <w:szCs w:val="20"/>
          <w:color w:val="auto"/>
        </w:rPr>
      </w:pPr>
      <w:r>
        <w:rPr>
          <w:rFonts w:ascii="Arial" w:cs="Arial" w:eastAsia="Arial" w:hAnsi="Arial"/>
          <w:sz w:val="11"/>
          <w:szCs w:val="11"/>
          <w:b w:val="1"/>
          <w:bCs w:val="1"/>
          <w:color w:val="auto"/>
        </w:rPr>
        <w:t>Consolidated Revenue Statistics by Region</w:t>
      </w:r>
    </w:p>
    <w:p>
      <w:pPr>
        <w:spacing w:after="0" w:line="9" w:lineRule="exact"/>
        <w:rPr>
          <w:sz w:val="20"/>
          <w:szCs w:val="20"/>
          <w:color w:val="auto"/>
        </w:rPr>
      </w:pPr>
    </w:p>
    <w:p>
      <w:pPr>
        <w:jc w:val="center"/>
        <w:ind w:right="-107"/>
        <w:spacing w:after="0"/>
        <w:rPr>
          <w:sz w:val="20"/>
          <w:szCs w:val="20"/>
          <w:color w:val="auto"/>
        </w:rPr>
      </w:pPr>
      <w:r>
        <w:rPr>
          <w:rFonts w:ascii="Arial" w:cs="Arial" w:eastAsia="Arial" w:hAnsi="Arial"/>
          <w:sz w:val="11"/>
          <w:szCs w:val="11"/>
          <w:b w:val="1"/>
          <w:bCs w:val="1"/>
          <w:color w:val="auto"/>
        </w:rPr>
        <w:t>(Unaudited)</w:t>
      </w:r>
    </w:p>
    <w:p>
      <w:pPr>
        <w:spacing w:after="0" w:line="61" w:lineRule="exact"/>
        <w:rPr>
          <w:sz w:val="20"/>
          <w:szCs w:val="20"/>
          <w:color w:val="auto"/>
        </w:rPr>
      </w:pPr>
    </w:p>
    <w:tbl>
      <w:tblPr>
        <w:tblLayout w:type="fixed"/>
        <w:tblInd w:w="118"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gridSpan w:val="3"/>
          </w:tcPr>
          <w:p>
            <w:pPr>
              <w:jc w:val="center"/>
              <w:spacing w:after="0"/>
              <w:rPr>
                <w:sz w:val="20"/>
                <w:szCs w:val="20"/>
                <w:color w:val="auto"/>
              </w:rPr>
            </w:pPr>
            <w:r>
              <w:rPr>
                <w:rFonts w:ascii="Arial" w:cs="Arial" w:eastAsia="Arial" w:hAnsi="Arial"/>
                <w:sz w:val="11"/>
                <w:szCs w:val="11"/>
                <w:color w:val="auto"/>
                <w:w w:val="97"/>
              </w:rPr>
              <w:t>3 Months Ended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restart"/>
          </w:tcPr>
          <w:p>
            <w:pPr>
              <w:jc w:val="right"/>
              <w:ind w:right="366"/>
              <w:spacing w:after="0"/>
              <w:rPr>
                <w:sz w:val="20"/>
                <w:szCs w:val="20"/>
                <w:color w:val="auto"/>
              </w:rPr>
            </w:pPr>
            <w:r>
              <w:rPr>
                <w:rFonts w:ascii="Arial" w:cs="Arial" w:eastAsia="Arial" w:hAnsi="Arial"/>
                <w:sz w:val="11"/>
                <w:szCs w:val="11"/>
                <w:color w:val="auto"/>
              </w:rPr>
              <w:t>Increase</w:t>
            </w:r>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gridSpan w:val="3"/>
          </w:tcPr>
          <w:p>
            <w:pPr>
              <w:jc w:val="center"/>
              <w:spacing w:after="0"/>
              <w:rPr>
                <w:sz w:val="20"/>
                <w:szCs w:val="20"/>
                <w:color w:val="auto"/>
              </w:rPr>
            </w:pPr>
            <w:r>
              <w:rPr>
                <w:rFonts w:ascii="Arial" w:cs="Arial" w:eastAsia="Arial" w:hAnsi="Arial"/>
                <w:sz w:val="11"/>
                <w:szCs w:val="11"/>
                <w:color w:val="auto"/>
                <w:w w:val="98"/>
              </w:rPr>
              <w:t>March 31,</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920" w:type="dxa"/>
            <w:vAlign w:val="bottom"/>
            <w:gridSpan w:val="6"/>
          </w:tcPr>
          <w:p>
            <w:pPr>
              <w:ind w:left="7600"/>
              <w:spacing w:after="0"/>
              <w:rPr>
                <w:sz w:val="20"/>
                <w:szCs w:val="20"/>
                <w:color w:val="auto"/>
              </w:rPr>
            </w:pPr>
            <w:r>
              <w:rPr>
                <w:rFonts w:ascii="Arial" w:cs="Arial" w:eastAsia="Arial" w:hAnsi="Arial"/>
                <w:sz w:val="11"/>
                <w:szCs w:val="11"/>
                <w:color w:val="auto"/>
              </w:rPr>
              <w:t>2025</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ind w:right="466"/>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3"/>
                <w:szCs w:val="13"/>
                <w:color w:val="auto"/>
              </w:rPr>
            </w:pPr>
          </w:p>
        </w:tc>
        <w:tc>
          <w:tcPr>
            <w:tcW w:w="1280" w:type="dxa"/>
            <w:vAlign w:val="bottom"/>
          </w:tcPr>
          <w:p>
            <w:pPr>
              <w:jc w:val="right"/>
              <w:ind w:right="306"/>
              <w:spacing w:after="0"/>
              <w:rPr>
                <w:sz w:val="20"/>
                <w:szCs w:val="20"/>
                <w:color w:val="auto"/>
              </w:rPr>
            </w:pPr>
            <w:r>
              <w:rPr>
                <w:rFonts w:ascii="Arial" w:cs="Arial" w:eastAsia="Arial" w:hAnsi="Arial"/>
                <w:sz w:val="11"/>
                <w:szCs w:val="11"/>
                <w:color w:val="auto"/>
              </w:rPr>
              <w:t>(Decrease)</w:t>
            </w:r>
          </w:p>
        </w:tc>
        <w:tc>
          <w:tcPr>
            <w:tcW w:w="0" w:type="dxa"/>
            <w:vAlign w:val="bottom"/>
          </w:tcPr>
          <w:p>
            <w:pPr>
              <w:spacing w:after="0"/>
              <w:rPr>
                <w:sz w:val="1"/>
                <w:szCs w:val="1"/>
                <w:color w:val="auto"/>
              </w:rPr>
            </w:pPr>
          </w:p>
        </w:tc>
      </w:tr>
      <w:tr>
        <w:trPr>
          <w:trHeight w:val="98"/>
        </w:trPr>
        <w:tc>
          <w:tcPr>
            <w:tcW w:w="7100" w:type="dxa"/>
            <w:vAlign w:val="bottom"/>
            <w:tcBorders>
              <w:top w:val="single" w:sz="8" w:color="CCEEFF"/>
              <w:left w:val="single" w:sz="8" w:color="CCEEFF"/>
            </w:tcBorders>
            <w:gridSpan w:val="5"/>
            <w:shd w:val="clear" w:color="auto" w:fill="CCEEFF"/>
          </w:tcPr>
          <w:p>
            <w:pPr>
              <w:ind w:left="20"/>
              <w:spacing w:after="0" w:line="98" w:lineRule="exact"/>
              <w:rPr>
                <w:sz w:val="20"/>
                <w:szCs w:val="20"/>
                <w:color w:val="auto"/>
              </w:rPr>
            </w:pPr>
            <w:r>
              <w:rPr>
                <w:rFonts w:ascii="Arial" w:cs="Arial" w:eastAsia="Arial" w:hAnsi="Arial"/>
                <w:sz w:val="9"/>
                <w:szCs w:val="9"/>
                <w:b w:val="1"/>
                <w:bCs w:val="1"/>
                <w:color w:val="auto"/>
              </w:rPr>
              <w:t xml:space="preserve">Domestic </w:t>
            </w:r>
            <w:r>
              <w:rPr>
                <w:rFonts w:ascii="Arial" w:cs="Arial" w:eastAsia="Arial" w:hAnsi="Arial"/>
                <w:sz w:val="11"/>
                <w:szCs w:val="11"/>
                <w:b w:val="1"/>
                <w:bCs w:val="1"/>
                <w:color w:val="auto"/>
                <w:vertAlign w:val="superscript"/>
              </w:rPr>
              <w:t>(1)</w:t>
            </w:r>
          </w:p>
        </w:tc>
        <w:tc>
          <w:tcPr>
            <w:tcW w:w="82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37,693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38,812</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(ASM)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46,669</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47,102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(0.9)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80.8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82.4</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(1.6)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21.56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21.29</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(0.7)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920" w:type="dxa"/>
            <w:vAlign w:val="bottom"/>
            <w:tcBorders>
              <w:left w:val="single" w:sz="8" w:color="CCEEFF"/>
            </w:tcBorders>
            <w:gridSpan w:val="6"/>
            <w:shd w:val="clear" w:color="auto" w:fill="CCEEFF"/>
          </w:tcPr>
          <w:p>
            <w:pPr>
              <w:ind w:left="20"/>
              <w:spacing w:after="0" w:line="117" w:lineRule="exact"/>
              <w:rPr>
                <w:sz w:val="20"/>
                <w:szCs w:val="20"/>
                <w:color w:val="auto"/>
              </w:rPr>
            </w:pPr>
            <w:r>
              <w:rPr>
                <w:rFonts w:ascii="Arial" w:cs="Arial" w:eastAsia="Arial" w:hAnsi="Arial"/>
                <w:sz w:val="10"/>
                <w:szCs w:val="10"/>
                <w:b w:val="1"/>
                <w:bCs w:val="1"/>
                <w:color w:val="auto"/>
              </w:rPr>
              <w:t xml:space="preserve">Latin America </w:t>
            </w:r>
            <w:r>
              <w:rPr>
                <w:rFonts w:ascii="Arial" w:cs="Arial" w:eastAsia="Arial" w:hAnsi="Arial"/>
                <w:sz w:val="13"/>
                <w:szCs w:val="13"/>
                <w:b w:val="1"/>
                <w:bCs w:val="1"/>
                <w:color w:val="auto"/>
                <w:vertAlign w:val="superscript"/>
              </w:rPr>
              <w:t>(2)</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10,022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10,096</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(0.7)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86.0</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19.01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18.84</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0.9 %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20" w:type="dxa"/>
            <w:vAlign w:val="bottom"/>
            <w:tcBorders>
              <w:left w:val="single" w:sz="8" w:color="CCEEFF"/>
              <w:bottom w:val="single" w:sz="8" w:color="auto"/>
              <w:right w:val="single" w:sz="8" w:color="CCEEFF"/>
            </w:tcBorders>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w w:val="89"/>
              </w:rPr>
              <w:t>Atlantic</w:t>
            </w:r>
          </w:p>
        </w:tc>
        <w:tc>
          <w:tcPr>
            <w:tcW w:w="7500" w:type="dxa"/>
            <w:vAlign w:val="bottom"/>
            <w:tcBorders>
              <w:bottom w:val="single" w:sz="8" w:color="CCEEFF"/>
            </w:tcBorders>
            <w:gridSpan w:val="5"/>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5,934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6,455</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(8.1)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9,042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(11.9)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74.5</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71.4</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3.1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16.27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15.37</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5.9 %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10.5 %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920" w:type="dxa"/>
            <w:vAlign w:val="bottom"/>
            <w:tcBorders>
              <w:left w:val="single" w:sz="8" w:color="CCEEFF"/>
            </w:tcBorders>
            <w:gridSpan w:val="6"/>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Pacific</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2,707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2,110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28.3 %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24.1 %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82.8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80.1</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2.7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30.2 %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14.51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14.30</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4.9 %</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920" w:type="dxa"/>
            <w:vAlign w:val="bottom"/>
            <w:tcBorders>
              <w:left w:val="single" w:sz="8" w:color="CCEEFF"/>
            </w:tcBorders>
            <w:gridSpan w:val="6"/>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Total International</w:t>
            </w: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tcBorders>
              <w:left w:val="single" w:sz="8" w:color="CCEEFF"/>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Revenue passenger miles (millions)</w:t>
            </w:r>
          </w:p>
        </w:tc>
        <w:tc>
          <w:tcPr>
            <w:tcW w:w="440" w:type="dxa"/>
            <w:vAlign w:val="bottom"/>
          </w:tcPr>
          <w:p>
            <w:pPr>
              <w:jc w:val="right"/>
              <w:spacing w:after="0"/>
              <w:rPr>
                <w:sz w:val="20"/>
                <w:szCs w:val="20"/>
                <w:color w:val="auto"/>
              </w:rPr>
            </w:pPr>
            <w:r>
              <w:rPr>
                <w:rFonts w:ascii="Arial" w:cs="Arial" w:eastAsia="Arial" w:hAnsi="Arial"/>
                <w:sz w:val="11"/>
                <w:szCs w:val="11"/>
                <w:color w:val="auto"/>
              </w:rPr>
              <w:t>18,663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18,661</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Available seat miles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23,235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Passenger load factor (percent)</w:t>
            </w:r>
          </w:p>
        </w:tc>
        <w:tc>
          <w:tcPr>
            <w:tcW w:w="440" w:type="dxa"/>
            <w:vAlign w:val="bottom"/>
          </w:tcPr>
          <w:p>
            <w:pPr>
              <w:jc w:val="right"/>
              <w:spacing w:after="0"/>
              <w:rPr>
                <w:sz w:val="20"/>
                <w:szCs w:val="20"/>
                <w:color w:val="auto"/>
              </w:rPr>
            </w:pPr>
            <w:r>
              <w:rPr>
                <w:rFonts w:ascii="Arial" w:cs="Arial" w:eastAsia="Arial" w:hAnsi="Arial"/>
                <w:sz w:val="11"/>
                <w:szCs w:val="11"/>
                <w:color w:val="auto"/>
              </w:rPr>
              <w:t>80.3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79.7</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0.6 pts</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(dollars in millions)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43"/>
        </w:trPr>
        <w:tc>
          <w:tcPr>
            <w:tcW w:w="7920" w:type="dxa"/>
            <w:vAlign w:val="bottom"/>
            <w:gridSpan w:val="6"/>
          </w:tcPr>
          <w:p>
            <w:pPr>
              <w:ind w:left="20"/>
              <w:spacing w:after="0"/>
              <w:rPr>
                <w:sz w:val="20"/>
                <w:szCs w:val="20"/>
                <w:color w:val="auto"/>
              </w:rPr>
            </w:pPr>
            <w:r>
              <w:rPr>
                <w:rFonts w:ascii="Arial" w:cs="Arial" w:eastAsia="Arial" w:hAnsi="Arial"/>
                <w:sz w:val="11"/>
                <w:szCs w:val="11"/>
                <w:color w:val="auto"/>
              </w:rPr>
              <w:t>Yield (cents)</w:t>
            </w:r>
          </w:p>
        </w:tc>
        <w:tc>
          <w:tcPr>
            <w:tcW w:w="440" w:type="dxa"/>
            <w:vAlign w:val="bottom"/>
          </w:tcPr>
          <w:p>
            <w:pPr>
              <w:jc w:val="right"/>
              <w:spacing w:after="0"/>
              <w:rPr>
                <w:sz w:val="20"/>
                <w:szCs w:val="20"/>
                <w:color w:val="auto"/>
              </w:rPr>
            </w:pPr>
            <w:r>
              <w:rPr>
                <w:rFonts w:ascii="Arial" w:cs="Arial" w:eastAsia="Arial" w:hAnsi="Arial"/>
                <w:sz w:val="11"/>
                <w:szCs w:val="11"/>
                <w:color w:val="auto"/>
              </w:rPr>
              <w:t>17.49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17.13</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45"/>
        </w:trPr>
        <w:tc>
          <w:tcPr>
            <w:tcW w:w="79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1"/>
                <w:szCs w:val="11"/>
                <w:color w:val="auto"/>
              </w:rPr>
              <w:t>Passenger revenue per ASM (cents)</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14.05</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 Amounts may not recalculate due to rounding.</w:t>
      </w:r>
    </w:p>
    <w:p>
      <w:pPr>
        <w:spacing w:after="0" w:line="52"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Domestic results include Canada, Puerto Rico and U.S. Virgin Islands.</w:t>
      </w:r>
    </w:p>
    <w:p>
      <w:pPr>
        <w:spacing w:after="0" w:line="39" w:lineRule="exact"/>
        <w:rPr>
          <w:rFonts w:ascii="Arial" w:cs="Arial" w:eastAsia="Arial" w:hAnsi="Arial"/>
          <w:sz w:val="14"/>
          <w:szCs w:val="14"/>
          <w:color w:val="auto"/>
          <w:vertAlign w:val="superscript"/>
        </w:rPr>
      </w:pPr>
    </w:p>
    <w:p>
      <w:pPr>
        <w:ind w:left="208" w:hanging="208"/>
        <w:spacing w:after="0" w:line="196" w:lineRule="auto"/>
        <w:tabs>
          <w:tab w:leader="none" w:pos="208"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Latin America results include the Caribbean.</w:t>
      </w:r>
    </w:p>
    <w:p>
      <w:pPr>
        <w:sectPr>
          <w:pgSz w:w="11900" w:h="16838" w:orient="portrait"/>
          <w:cols w:equalWidth="0" w:num="1">
            <w:col w:w="11188"/>
          </w:cols>
          <w:pgMar w:left="292" w:top="128" w:right="41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8</w:t>
      </w: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Reconciliation of GAAP Financial Information to Non-GAAP Financial Information</w:t>
      </w:r>
    </w:p>
    <w:p>
      <w:pPr>
        <w:spacing w:after="0" w:line="58" w:lineRule="exact"/>
        <w:rPr>
          <w:sz w:val="20"/>
          <w:szCs w:val="20"/>
          <w:color w:val="auto"/>
        </w:rPr>
      </w:pPr>
    </w:p>
    <w:p>
      <w:pPr>
        <w:jc w:val="both"/>
        <w:spacing w:after="0" w:line="244" w:lineRule="auto"/>
        <w:rPr>
          <w:sz w:val="20"/>
          <w:szCs w:val="20"/>
          <w:color w:val="auto"/>
        </w:rPr>
      </w:pPr>
      <w:r>
        <w:rPr>
          <w:rFonts w:ascii="Arial" w:cs="Arial" w:eastAsia="Arial" w:hAnsi="Arial"/>
          <w:sz w:val="10"/>
          <w:szCs w:val="10"/>
          <w:color w:val="auto"/>
        </w:rPr>
        <w:t>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w:t>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auto"/>
        </w:rPr>
        <w:t>The tables below present the reconciliations of the following GAAP measures to their non-GAAP measures:</w:t>
      </w:r>
    </w:p>
    <w:p>
      <w:pPr>
        <w:spacing w:after="0" w:line="56" w:lineRule="exact"/>
        <w:rPr>
          <w:sz w:val="20"/>
          <w:szCs w:val="20"/>
          <w:color w:val="auto"/>
        </w:rPr>
      </w:pPr>
    </w:p>
    <w:p>
      <w:pPr>
        <w:spacing w:after="0"/>
        <w:rPr>
          <w:sz w:val="20"/>
          <w:szCs w:val="20"/>
          <w:color w:val="auto"/>
        </w:rPr>
      </w:pPr>
      <w:r>
        <w:rPr>
          <w:rFonts w:ascii="Arial" w:cs="Arial" w:eastAsia="Arial" w:hAnsi="Arial"/>
          <w:sz w:val="10"/>
          <w:szCs w:val="10"/>
          <w:color w:val="auto"/>
        </w:rPr>
        <w:t>–  Operating Income (Loss) (GAAP measure) to Operating Income (Loss) Excluding Net Special Items (non-GAAP measure)</w:t>
      </w:r>
    </w:p>
    <w:p>
      <w:pPr>
        <w:spacing w:after="0" w:line="9" w:lineRule="exact"/>
        <w:rPr>
          <w:sz w:val="20"/>
          <w:szCs w:val="20"/>
          <w:color w:val="auto"/>
        </w:rPr>
      </w:pPr>
    </w:p>
    <w:p>
      <w:pPr>
        <w:spacing w:after="0" w:line="225" w:lineRule="auto"/>
        <w:rPr>
          <w:sz w:val="20"/>
          <w:szCs w:val="20"/>
          <w:color w:val="auto"/>
        </w:rPr>
      </w:pPr>
      <w:r>
        <w:rPr>
          <w:rFonts w:ascii="Arial" w:cs="Arial" w:eastAsia="Arial" w:hAnsi="Arial"/>
          <w:sz w:val="10"/>
          <w:szCs w:val="10"/>
          <w:color w:val="auto"/>
        </w:rPr>
        <w:t>–  Operating Margin (GAAP measure) to Operating Margin Excluding Net Special Items (non-GAAP measure)</w:t>
      </w:r>
    </w:p>
    <w:p>
      <w:pPr>
        <w:spacing w:after="0"/>
        <w:rPr>
          <w:sz w:val="20"/>
          <w:szCs w:val="20"/>
          <w:color w:val="auto"/>
        </w:rPr>
      </w:pPr>
      <w:r>
        <w:rPr>
          <w:rFonts w:ascii="Arial" w:cs="Arial" w:eastAsia="Arial" w:hAnsi="Arial"/>
          <w:sz w:val="10"/>
          <w:szCs w:val="10"/>
          <w:color w:val="auto"/>
        </w:rPr>
        <w:t>–  Pre-Tax Loss (GAAP measure) to Pre-Tax Loss Excluding Net Special Items (non-GAAP measure)</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  Pre-Tax Margin (GAAP measure) to Pre-Tax Margin Excluding Net Special Items (non-GAAP measure)</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  Net Loss (GAAP measure) to Net Loss Excluding Net Special Items (non-GAAP measure)</w:t>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color w:val="auto"/>
        </w:rPr>
        <w:t>–  Basic and Diluted Loss Per Share (GAAP measure) to Basic and Diluted Loss Per Share Excluding Net Special Items (non-GAAP measure)</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10"/>
          <w:szCs w:val="10"/>
          <w:color w:val="auto"/>
        </w:rPr>
        <w:t>Management uses these non-GAAP financial measures to evaluate the Company's current operating performance and to allow for period-to-period comparisons. As net special items may vary from period-to-period in nature and amount, the adjustment to exclude net special items allows management an additional tool to understand the Company’s core operating performance.</w:t>
      </w:r>
    </w:p>
    <w:p>
      <w:pPr>
        <w:spacing w:after="0" w:line="44" w:lineRule="exact"/>
        <w:rPr>
          <w:sz w:val="20"/>
          <w:szCs w:val="20"/>
          <w:color w:val="auto"/>
        </w:rPr>
      </w:pPr>
    </w:p>
    <w:p>
      <w:pPr>
        <w:jc w:val="both"/>
        <w:spacing w:after="0" w:line="251" w:lineRule="auto"/>
        <w:rPr>
          <w:sz w:val="20"/>
          <w:szCs w:val="20"/>
          <w:color w:val="auto"/>
        </w:rPr>
      </w:pPr>
      <w:r>
        <w:rPr>
          <w:rFonts w:ascii="Arial" w:cs="Arial" w:eastAsia="Arial" w:hAnsi="Arial"/>
          <w:sz w:val="10"/>
          <w:szCs w:val="10"/>
          <w:color w:val="auto"/>
        </w:rPr>
        <w:t>Additionally, the tables below present the reconciliations of total operating costs (GAAP measure) to total operating costs excluding net special items and fuel (non-GAAP measure) and total operating costs per ASM (CASM) to CASM excluding net special items and fuel. Management uses total operating costs excluding net special items and fuel and CASM excluding net special items and fuel to evaluate the Company's current operating performance and for period-to-period comparisons. The price of fuel, over which the Company has no control, impacts the comparability of period-to-period financial performance. The adjustment to exclude fuel and net special items allows management an additional tool to understand and analyze the Company’s non-fuel costs and core operating performance.</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3"/>
          </w:tcPr>
          <w:p>
            <w:pPr>
              <w:jc w:val="right"/>
              <w:ind w:right="192"/>
              <w:spacing w:after="0"/>
              <w:rPr>
                <w:sz w:val="20"/>
                <w:szCs w:val="20"/>
                <w:color w:val="auto"/>
              </w:rPr>
            </w:pPr>
            <w:r>
              <w:rPr>
                <w:rFonts w:ascii="Arial" w:cs="Arial" w:eastAsia="Arial" w:hAnsi="Arial"/>
                <w:sz w:val="10"/>
                <w:szCs w:val="10"/>
                <w:color w:val="auto"/>
              </w:rPr>
              <w:t>3 Months Ended</w:t>
            </w: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w w:val="92"/>
              </w:rPr>
              <w:t>Percent</w:t>
            </w:r>
          </w:p>
        </w:tc>
        <w:tc>
          <w:tcPr>
            <w:tcW w:w="0" w:type="dxa"/>
            <w:vAlign w:val="bottom"/>
          </w:tcPr>
          <w:p>
            <w:pPr>
              <w:spacing w:after="0"/>
              <w:rPr>
                <w:sz w:val="1"/>
                <w:szCs w:val="1"/>
                <w:color w:val="auto"/>
              </w:rPr>
            </w:pPr>
          </w:p>
        </w:tc>
      </w:tr>
      <w:tr>
        <w:trPr>
          <w:trHeight w:val="126"/>
        </w:trPr>
        <w:tc>
          <w:tcPr>
            <w:tcW w:w="6220" w:type="dxa"/>
            <w:vAlign w:val="bottom"/>
            <w:vMerge w:val="restart"/>
          </w:tcPr>
          <w:p>
            <w:pPr>
              <w:spacing w:after="0"/>
              <w:rPr>
                <w:sz w:val="20"/>
                <w:szCs w:val="20"/>
                <w:color w:val="auto"/>
              </w:rPr>
            </w:pPr>
            <w:r>
              <w:rPr>
                <w:rFonts w:ascii="Arial" w:cs="Arial" w:eastAsia="Arial" w:hAnsi="Arial"/>
                <w:sz w:val="10"/>
                <w:szCs w:val="10"/>
                <w:b w:val="1"/>
                <w:bCs w:val="1"/>
                <w:color w:val="auto"/>
              </w:rPr>
              <w:t>Reconciliation of Operating Income (Loss) Excluding Net Special Items</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0" w:type="dxa"/>
            <w:vAlign w:val="bottom"/>
            <w:gridSpan w:val="3"/>
          </w:tcPr>
          <w:p>
            <w:pPr>
              <w:jc w:val="right"/>
              <w:ind w:right="332"/>
              <w:spacing w:after="0"/>
              <w:rPr>
                <w:sz w:val="20"/>
                <w:szCs w:val="20"/>
                <w:color w:val="auto"/>
              </w:rPr>
            </w:pPr>
            <w:r>
              <w:rPr>
                <w:rFonts w:ascii="Arial" w:cs="Arial" w:eastAsia="Arial" w:hAnsi="Arial"/>
                <w:sz w:val="10"/>
                <w:szCs w:val="10"/>
                <w:color w:val="auto"/>
              </w:rPr>
              <w:t>March 31,</w:t>
            </w: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w w:val="93"/>
              </w:rPr>
              <w:t>Increase</w:t>
            </w:r>
          </w:p>
        </w:tc>
        <w:tc>
          <w:tcPr>
            <w:tcW w:w="0" w:type="dxa"/>
            <w:vAlign w:val="bottom"/>
          </w:tcPr>
          <w:p>
            <w:pPr>
              <w:spacing w:after="0"/>
              <w:rPr>
                <w:sz w:val="1"/>
                <w:szCs w:val="1"/>
                <w:color w:val="auto"/>
              </w:rPr>
            </w:pPr>
          </w:p>
        </w:tc>
      </w:tr>
      <w:tr>
        <w:trPr>
          <w:trHeight w:val="130"/>
        </w:trPr>
        <w:tc>
          <w:tcPr>
            <w:tcW w:w="62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rPr>
              <w:t>2025</w:t>
            </w: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rPr>
              <w:t>2024</w:t>
            </w:r>
          </w:p>
        </w:tc>
        <w:tc>
          <w:tcPr>
            <w:tcW w:w="10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(Decrease)</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0" w:type="dxa"/>
            <w:vAlign w:val="bottom"/>
            <w:gridSpan w:val="3"/>
          </w:tcPr>
          <w:p>
            <w:pPr>
              <w:jc w:val="right"/>
              <w:ind w:right="332"/>
              <w:spacing w:after="0"/>
              <w:rPr>
                <w:sz w:val="20"/>
                <w:szCs w:val="20"/>
                <w:color w:val="auto"/>
              </w:rPr>
            </w:pPr>
            <w:r>
              <w:rPr>
                <w:rFonts w:ascii="Arial" w:cs="Arial" w:eastAsia="Arial" w:hAnsi="Arial"/>
                <w:sz w:val="8"/>
                <w:szCs w:val="8"/>
                <w:color w:val="auto"/>
              </w:rPr>
              <w:t>(in millions)</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Operating income (loss) as reported</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(270)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20"/>
                <w:szCs w:val="20"/>
                <w:color w:val="auto"/>
              </w:rPr>
            </w:pPr>
            <w:r>
              <w:rPr>
                <w:rFonts w:ascii="Arial" w:cs="Arial" w:eastAsia="Arial" w:hAnsi="Arial"/>
                <w:sz w:val="10"/>
                <w:szCs w:val="10"/>
                <w:color w:val="auto"/>
              </w:rPr>
              <w:t>Operating net special items: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220" w:type="dxa"/>
            <w:vAlign w:val="bottom"/>
          </w:tcPr>
          <w:p>
            <w:pPr>
              <w:spacing w:after="0"/>
              <w:rPr>
                <w:sz w:val="20"/>
                <w:szCs w:val="20"/>
                <w:color w:val="auto"/>
              </w:rPr>
            </w:pPr>
            <w:r>
              <w:rPr>
                <w:rFonts w:ascii="Arial" w:cs="Arial" w:eastAsia="Arial" w:hAnsi="Arial"/>
                <w:sz w:val="10"/>
                <w:szCs w:val="10"/>
                <w:color w:val="auto"/>
              </w:rPr>
              <w:t>Operating income (loss) excluding net special items</w:t>
            </w:r>
          </w:p>
        </w:tc>
        <w:tc>
          <w:tcPr>
            <w:tcW w:w="5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92"/>
              <w:spacing w:after="0"/>
              <w:rPr>
                <w:sz w:val="20"/>
                <w:szCs w:val="20"/>
                <w:color w:val="auto"/>
              </w:rPr>
            </w:pPr>
            <w:r>
              <w:rPr>
                <w:rFonts w:ascii="Arial" w:cs="Arial" w:eastAsia="Arial" w:hAnsi="Arial"/>
                <w:sz w:val="10"/>
                <w:szCs w:val="10"/>
                <w:color w:val="auto"/>
              </w:rPr>
              <w:t>(200)</w:t>
            </w:r>
          </w:p>
        </w:tc>
        <w:tc>
          <w:tcPr>
            <w:tcW w:w="100" w:type="dxa"/>
            <w:vAlign w:val="bottom"/>
          </w:tcPr>
          <w:p>
            <w:pPr>
              <w:spacing w:after="0"/>
              <w:rPr>
                <w:sz w:val="10"/>
                <w:szCs w:val="10"/>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rPr>
              <w:t>nm</w:t>
            </w: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Calculation of Operating Margin</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Operating income (loss) as reported</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(270)</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20"/>
                <w:szCs w:val="20"/>
                <w:color w:val="auto"/>
              </w:rPr>
            </w:pPr>
            <w:r>
              <w:rPr>
                <w:rFonts w:ascii="Arial" w:cs="Arial" w:eastAsia="Arial" w:hAnsi="Arial"/>
                <w:sz w:val="10"/>
                <w:szCs w:val="10"/>
                <w:color w:val="auto"/>
              </w:rPr>
              <w:t>Total operating revenues as reported</w:t>
            </w:r>
          </w:p>
        </w:tc>
        <w:tc>
          <w:tcPr>
            <w:tcW w:w="5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112"/>
              <w:spacing w:after="0"/>
              <w:rPr>
                <w:sz w:val="20"/>
                <w:szCs w:val="20"/>
                <w:color w:val="auto"/>
              </w:rPr>
            </w:pPr>
            <w:r>
              <w:rPr>
                <w:rFonts w:ascii="Arial" w:cs="Arial" w:eastAsia="Arial" w:hAnsi="Arial"/>
                <w:sz w:val="10"/>
                <w:szCs w:val="10"/>
                <w:color w:val="auto"/>
              </w:rPr>
              <w:t>12,551</w:t>
            </w:r>
          </w:p>
        </w:tc>
        <w:tc>
          <w:tcPr>
            <w:tcW w:w="100" w:type="dxa"/>
            <w:vAlign w:val="bottom"/>
          </w:tcPr>
          <w:p>
            <w:pPr>
              <w:spacing w:after="0"/>
              <w:rPr>
                <w:sz w:val="11"/>
                <w:szCs w:val="11"/>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0"/>
                <w:szCs w:val="10"/>
                <w:color w:val="auto"/>
              </w:rPr>
              <w:t>12,570</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Operating margin</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(2.2 %)</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0.1 %</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Calculation of Operating Margin Excluding Net Special Items</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220" w:type="dxa"/>
            <w:vAlign w:val="bottom"/>
          </w:tcPr>
          <w:p>
            <w:pPr>
              <w:spacing w:after="0"/>
              <w:rPr>
                <w:sz w:val="20"/>
                <w:szCs w:val="20"/>
                <w:color w:val="auto"/>
              </w:rPr>
            </w:pPr>
            <w:r>
              <w:rPr>
                <w:rFonts w:ascii="Arial" w:cs="Arial" w:eastAsia="Arial" w:hAnsi="Arial"/>
                <w:sz w:val="10"/>
                <w:szCs w:val="10"/>
                <w:color w:val="auto"/>
              </w:rPr>
              <w:t>Operating income (loss) excluding net special items</w:t>
            </w:r>
          </w:p>
        </w:tc>
        <w:tc>
          <w:tcPr>
            <w:tcW w:w="5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92"/>
              <w:spacing w:after="0"/>
              <w:rPr>
                <w:sz w:val="20"/>
                <w:szCs w:val="20"/>
                <w:color w:val="auto"/>
              </w:rPr>
            </w:pPr>
            <w:r>
              <w:rPr>
                <w:rFonts w:ascii="Arial" w:cs="Arial" w:eastAsia="Arial" w:hAnsi="Arial"/>
                <w:sz w:val="10"/>
                <w:szCs w:val="10"/>
                <w:color w:val="auto"/>
              </w:rPr>
              <w:t>(200)</w:t>
            </w:r>
          </w:p>
        </w:tc>
        <w:tc>
          <w:tcPr>
            <w:tcW w:w="100" w:type="dxa"/>
            <w:vAlign w:val="bottom"/>
          </w:tcPr>
          <w:p>
            <w:pPr>
              <w:spacing w:after="0"/>
              <w:rPr>
                <w:sz w:val="10"/>
                <w:szCs w:val="10"/>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Total operating revenues as reported</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12,551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12,570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20"/>
                <w:szCs w:val="20"/>
                <w:color w:val="auto"/>
              </w:rPr>
            </w:pPr>
            <w:r>
              <w:rPr>
                <w:rFonts w:ascii="Arial" w:cs="Arial" w:eastAsia="Arial" w:hAnsi="Arial"/>
                <w:sz w:val="10"/>
                <w:szCs w:val="10"/>
                <w:color w:val="auto"/>
              </w:rPr>
              <w:t>Operating margin excluding net special items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(1.6 %)</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0.6 %</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Pre-Tax Loss Excluding Net Special Items</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Pre-tax loss as reported</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(648)</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(413)</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20"/>
                <w:szCs w:val="20"/>
                <w:color w:val="auto"/>
              </w:rPr>
            </w:pPr>
            <w:r>
              <w:rPr>
                <w:rFonts w:ascii="Arial" w:cs="Arial" w:eastAsia="Arial" w:hAnsi="Arial"/>
                <w:sz w:val="10"/>
                <w:szCs w:val="10"/>
                <w:color w:val="auto"/>
              </w:rPr>
              <w:t>Pre-tax net special items: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2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0"/>
                <w:szCs w:val="10"/>
                <w:color w:val="auto"/>
              </w:rPr>
              <w:t xml:space="preserve">Nonoperating special items, net </w:t>
            </w:r>
            <w:r>
              <w:rPr>
                <w:rFonts w:ascii="Arial" w:cs="Arial" w:eastAsia="Arial" w:hAnsi="Arial"/>
                <w:sz w:val="12"/>
                <w:szCs w:val="12"/>
                <w:color w:val="auto"/>
                <w:vertAlign w:val="superscript"/>
              </w:rPr>
              <w:t>(2)</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48</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46</w:t>
            </w: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Total pre-tax net special items</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118</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116</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Pre-tax loss excluding net special items</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(530)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(297)</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0"/>
                <w:szCs w:val="10"/>
                <w:color w:val="auto"/>
                <w:w w:val="98"/>
              </w:rPr>
              <w:t>78.1%</w:t>
            </w:r>
          </w:p>
        </w:tc>
        <w:tc>
          <w:tcPr>
            <w:tcW w:w="0" w:type="dxa"/>
            <w:vAlign w:val="bottom"/>
          </w:tcPr>
          <w:p>
            <w:pPr>
              <w:spacing w:after="0"/>
              <w:rPr>
                <w:sz w:val="1"/>
                <w:szCs w:val="1"/>
                <w:color w:val="auto"/>
              </w:rPr>
            </w:pPr>
          </w:p>
        </w:tc>
      </w:tr>
      <w:tr>
        <w:trPr>
          <w:trHeight w:val="135"/>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Calculation of Pre-Tax Margin</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220" w:type="dxa"/>
            <w:vAlign w:val="bottom"/>
          </w:tcPr>
          <w:p>
            <w:pPr>
              <w:spacing w:after="0"/>
              <w:rPr>
                <w:sz w:val="20"/>
                <w:szCs w:val="20"/>
                <w:color w:val="auto"/>
              </w:rPr>
            </w:pPr>
            <w:r>
              <w:rPr>
                <w:rFonts w:ascii="Arial" w:cs="Arial" w:eastAsia="Arial" w:hAnsi="Arial"/>
                <w:sz w:val="10"/>
                <w:szCs w:val="10"/>
                <w:color w:val="auto"/>
              </w:rPr>
              <w:t>Pre-tax loss as reported</w:t>
            </w:r>
          </w:p>
        </w:tc>
        <w:tc>
          <w:tcPr>
            <w:tcW w:w="5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92"/>
              <w:spacing w:after="0"/>
              <w:rPr>
                <w:sz w:val="20"/>
                <w:szCs w:val="20"/>
                <w:color w:val="auto"/>
              </w:rPr>
            </w:pPr>
            <w:r>
              <w:rPr>
                <w:rFonts w:ascii="Arial" w:cs="Arial" w:eastAsia="Arial" w:hAnsi="Arial"/>
                <w:sz w:val="10"/>
                <w:szCs w:val="10"/>
                <w:color w:val="auto"/>
              </w:rPr>
              <w:t>(648)</w:t>
            </w:r>
          </w:p>
        </w:tc>
        <w:tc>
          <w:tcPr>
            <w:tcW w:w="100" w:type="dxa"/>
            <w:vAlign w:val="bottom"/>
          </w:tcPr>
          <w:p>
            <w:pPr>
              <w:spacing w:after="0"/>
              <w:rPr>
                <w:sz w:val="10"/>
                <w:szCs w:val="10"/>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(413)</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Total operating revenues as reported</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12,551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12,570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20"/>
                <w:szCs w:val="20"/>
                <w:color w:val="auto"/>
              </w:rPr>
            </w:pPr>
            <w:r>
              <w:rPr>
                <w:rFonts w:ascii="Arial" w:cs="Arial" w:eastAsia="Arial" w:hAnsi="Arial"/>
                <w:sz w:val="10"/>
                <w:szCs w:val="10"/>
                <w:color w:val="auto"/>
              </w:rPr>
              <w:t>Pre-tax margin</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(5.2 %)</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(3.3 %)</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Calculation of Pre-Tax Margin Excluding Net Special Items</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Pre-tax loss excluding net special items</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(530)</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(297)</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220" w:type="dxa"/>
            <w:vAlign w:val="bottom"/>
          </w:tcPr>
          <w:p>
            <w:pPr>
              <w:spacing w:after="0"/>
              <w:rPr>
                <w:sz w:val="20"/>
                <w:szCs w:val="20"/>
                <w:color w:val="auto"/>
              </w:rPr>
            </w:pPr>
            <w:r>
              <w:rPr>
                <w:rFonts w:ascii="Arial" w:cs="Arial" w:eastAsia="Arial" w:hAnsi="Arial"/>
                <w:sz w:val="10"/>
                <w:szCs w:val="10"/>
                <w:color w:val="auto"/>
              </w:rPr>
              <w:t>Total operating revenues as reported</w:t>
            </w:r>
          </w:p>
        </w:tc>
        <w:tc>
          <w:tcPr>
            <w:tcW w:w="52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112"/>
              <w:spacing w:after="0"/>
              <w:rPr>
                <w:sz w:val="20"/>
                <w:szCs w:val="20"/>
                <w:color w:val="auto"/>
              </w:rPr>
            </w:pPr>
            <w:r>
              <w:rPr>
                <w:rFonts w:ascii="Arial" w:cs="Arial" w:eastAsia="Arial" w:hAnsi="Arial"/>
                <w:sz w:val="10"/>
                <w:szCs w:val="10"/>
                <w:color w:val="auto"/>
              </w:rPr>
              <w:t>12,551</w:t>
            </w:r>
          </w:p>
        </w:tc>
        <w:tc>
          <w:tcPr>
            <w:tcW w:w="100" w:type="dxa"/>
            <w:vAlign w:val="bottom"/>
          </w:tcPr>
          <w:p>
            <w:pPr>
              <w:spacing w:after="0"/>
              <w:rPr>
                <w:sz w:val="11"/>
                <w:szCs w:val="11"/>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0"/>
                <w:szCs w:val="10"/>
                <w:color w:val="auto"/>
              </w:rPr>
              <w:t>12,570</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20" w:type="dxa"/>
            <w:vAlign w:val="bottom"/>
            <w:shd w:val="clear" w:color="auto" w:fill="CCEEFF"/>
          </w:tcPr>
          <w:p>
            <w:pPr>
              <w:spacing w:after="0"/>
              <w:rPr>
                <w:sz w:val="20"/>
                <w:szCs w:val="20"/>
                <w:color w:val="auto"/>
              </w:rPr>
            </w:pPr>
            <w:r>
              <w:rPr>
                <w:rFonts w:ascii="Arial" w:cs="Arial" w:eastAsia="Arial" w:hAnsi="Arial"/>
                <w:sz w:val="10"/>
                <w:szCs w:val="10"/>
                <w:color w:val="auto"/>
              </w:rPr>
              <w:t>Pre-tax margin excluding net special items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(4.2 %)</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(2.4 %)</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8"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9</w:t>
      </w:r>
    </w:p>
    <w:p>
      <w:pPr>
        <w:spacing w:after="0" w:line="238" w:lineRule="exact"/>
        <w:rPr>
          <w:sz w:val="20"/>
          <w:szCs w:val="20"/>
          <w:color w:val="auto"/>
        </w:rPr>
      </w:pPr>
    </w:p>
    <w:tbl>
      <w:tblPr>
        <w:tblLayout w:type="fixed"/>
        <w:tblInd w:w="48"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gridSpan w:val="3"/>
          </w:tcPr>
          <w:p>
            <w:pPr>
              <w:jc w:val="center"/>
              <w:ind w:right="532"/>
              <w:spacing w:after="0"/>
              <w:rPr>
                <w:sz w:val="20"/>
                <w:szCs w:val="20"/>
                <w:color w:val="auto"/>
              </w:rPr>
            </w:pPr>
            <w:r>
              <w:rPr>
                <w:rFonts w:ascii="Arial" w:cs="Arial" w:eastAsia="Arial" w:hAnsi="Arial"/>
                <w:sz w:val="10"/>
                <w:szCs w:val="10"/>
                <w:color w:val="auto"/>
                <w:w w:val="96"/>
              </w:rPr>
              <w:t>3 Months Ended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color w:val="auto"/>
                <w:w w:val="92"/>
              </w:rPr>
              <w:t>Percent</w:t>
            </w:r>
          </w:p>
        </w:tc>
        <w:tc>
          <w:tcPr>
            <w:tcW w:w="0" w:type="dxa"/>
            <w:vAlign w:val="bottom"/>
          </w:tcPr>
          <w:p>
            <w:pPr>
              <w:spacing w:after="0"/>
              <w:rPr>
                <w:sz w:val="1"/>
                <w:szCs w:val="1"/>
                <w:color w:val="auto"/>
              </w:rPr>
            </w:pPr>
          </w:p>
        </w:tc>
      </w:tr>
      <w:tr>
        <w:trPr>
          <w:trHeight w:val="135"/>
        </w:trPr>
        <w:tc>
          <w:tcPr>
            <w:tcW w:w="6380" w:type="dxa"/>
            <w:vAlign w:val="bottom"/>
            <w:vMerge w:val="restart"/>
          </w:tcPr>
          <w:p>
            <w:pPr>
              <w:spacing w:after="0"/>
              <w:rPr>
                <w:sz w:val="20"/>
                <w:szCs w:val="20"/>
                <w:color w:val="auto"/>
              </w:rPr>
            </w:pPr>
            <w:r>
              <w:rPr>
                <w:rFonts w:ascii="Arial" w:cs="Arial" w:eastAsia="Arial" w:hAnsi="Arial"/>
                <w:sz w:val="10"/>
                <w:szCs w:val="10"/>
                <w:b w:val="1"/>
                <w:bCs w:val="1"/>
                <w:color w:val="auto"/>
              </w:rPr>
              <w:t>Reconciliation of Net Loss Excluding Net Special Items</w:t>
            </w:r>
          </w:p>
        </w:tc>
        <w:tc>
          <w:tcPr>
            <w:tcW w:w="8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3"/>
          </w:tcPr>
          <w:p>
            <w:pPr>
              <w:jc w:val="center"/>
              <w:ind w:right="512"/>
              <w:spacing w:after="0"/>
              <w:rPr>
                <w:sz w:val="20"/>
                <w:szCs w:val="20"/>
                <w:color w:val="auto"/>
              </w:rPr>
            </w:pPr>
            <w:r>
              <w:rPr>
                <w:rFonts w:ascii="Arial" w:cs="Arial" w:eastAsia="Arial" w:hAnsi="Arial"/>
                <w:sz w:val="10"/>
                <w:szCs w:val="10"/>
                <w:color w:val="auto"/>
                <w:w w:val="98"/>
              </w:rPr>
              <w:t>March 31,</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Arial" w:cs="Arial" w:eastAsia="Arial" w:hAnsi="Arial"/>
                <w:sz w:val="10"/>
                <w:szCs w:val="10"/>
                <w:color w:val="auto"/>
                <w:w w:val="93"/>
              </w:rPr>
              <w:t>Increase</w:t>
            </w:r>
          </w:p>
        </w:tc>
        <w:tc>
          <w:tcPr>
            <w:tcW w:w="0" w:type="dxa"/>
            <w:vAlign w:val="bottom"/>
          </w:tcPr>
          <w:p>
            <w:pPr>
              <w:spacing w:after="0"/>
              <w:rPr>
                <w:sz w:val="1"/>
                <w:szCs w:val="1"/>
                <w:color w:val="auto"/>
              </w:rPr>
            </w:pPr>
          </w:p>
        </w:tc>
      </w:tr>
      <w:tr>
        <w:trPr>
          <w:trHeight w:val="130"/>
        </w:trPr>
        <w:tc>
          <w:tcPr>
            <w:tcW w:w="63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0"/>
                <w:szCs w:val="10"/>
                <w:color w:val="auto"/>
              </w:rPr>
              <w:t>2025</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2024</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(Decrease)</w:t>
            </w:r>
          </w:p>
        </w:tc>
        <w:tc>
          <w:tcPr>
            <w:tcW w:w="0" w:type="dxa"/>
            <w:vAlign w:val="bottom"/>
          </w:tcPr>
          <w:p>
            <w:pPr>
              <w:spacing w:after="0"/>
              <w:rPr>
                <w:sz w:val="1"/>
                <w:szCs w:val="1"/>
                <w:color w:val="auto"/>
              </w:rPr>
            </w:pPr>
          </w:p>
        </w:tc>
      </w:tr>
      <w:tr>
        <w:trPr>
          <w:trHeight w:val="120"/>
        </w:trPr>
        <w:tc>
          <w:tcPr>
            <w:tcW w:w="6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4"/>
          </w:tcPr>
          <w:p>
            <w:pPr>
              <w:jc w:val="center"/>
              <w:ind w:left="533"/>
              <w:spacing w:after="0"/>
              <w:rPr>
                <w:sz w:val="20"/>
                <w:szCs w:val="20"/>
                <w:color w:val="auto"/>
              </w:rPr>
            </w:pPr>
            <w:r>
              <w:rPr>
                <w:rFonts w:ascii="Arial" w:cs="Arial" w:eastAsia="Arial" w:hAnsi="Arial"/>
                <w:sz w:val="8"/>
                <w:szCs w:val="8"/>
                <w:color w:val="auto"/>
              </w:rPr>
              <w:t>(in millions, except share and per share amounts)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loss as reported</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60" w:type="dxa"/>
            <w:vAlign w:val="bottom"/>
            <w:gridSpan w:val="2"/>
          </w:tcPr>
          <w:p>
            <w:pPr>
              <w:spacing w:after="0"/>
              <w:rPr>
                <w:sz w:val="20"/>
                <w:szCs w:val="20"/>
                <w:color w:val="auto"/>
              </w:rPr>
            </w:pPr>
            <w:r>
              <w:rPr>
                <w:rFonts w:ascii="Arial" w:cs="Arial" w:eastAsia="Arial" w:hAnsi="Arial"/>
                <w:sz w:val="10"/>
                <w:szCs w:val="10"/>
                <w:color w:val="auto"/>
              </w:rPr>
              <w:t>Net special items:</w:t>
            </w: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xml:space="preserve">Total pre-tax net special items </w:t>
            </w:r>
            <w:r>
              <w:rPr>
                <w:rFonts w:ascii="Arial" w:cs="Arial" w:eastAsia="Arial" w:hAnsi="Arial"/>
                <w:sz w:val="12"/>
                <w:szCs w:val="12"/>
                <w:color w:val="auto"/>
                <w:vertAlign w:val="superscript"/>
              </w:rPr>
              <w:t>(1), (2)</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116</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color w:val="auto"/>
              </w:rPr>
              <w:t>Net tax effect of net special items</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loss excluding net special items</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(386)</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0"/>
                <w:szCs w:val="10"/>
                <w:color w:val="auto"/>
                <w:w w:val="98"/>
              </w:rPr>
              <w:t>71.0%</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Reconciliation of Basic and Diluted Loss Per Share Excluding Net Special Items</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gridSpan w:val="2"/>
          </w:tcPr>
          <w:p>
            <w:pPr>
              <w:spacing w:after="0"/>
              <w:rPr>
                <w:sz w:val="20"/>
                <w:szCs w:val="20"/>
                <w:color w:val="auto"/>
              </w:rPr>
            </w:pPr>
            <w:r>
              <w:rPr>
                <w:rFonts w:ascii="Arial" w:cs="Arial" w:eastAsia="Arial" w:hAnsi="Arial"/>
                <w:sz w:val="10"/>
                <w:szCs w:val="10"/>
                <w:color w:val="auto"/>
              </w:rPr>
              <w:t>Net loss excluding net special items</w:t>
            </w:r>
          </w:p>
        </w:tc>
        <w:tc>
          <w:tcPr>
            <w:tcW w:w="1140" w:type="dxa"/>
            <w:vAlign w:val="bottom"/>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(386)</w:t>
            </w:r>
          </w:p>
        </w:tc>
        <w:tc>
          <w:tcPr>
            <w:tcW w:w="80" w:type="dxa"/>
            <w:vAlign w:val="bottom"/>
          </w:tcPr>
          <w:p>
            <w:pPr>
              <w:spacing w:after="0"/>
              <w:rPr>
                <w:sz w:val="10"/>
                <w:szCs w:val="10"/>
                <w:color w:val="auto"/>
              </w:rPr>
            </w:pP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(226)</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Shares used for computation (in thousands):</w:t>
            </w: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color w:val="auto"/>
              </w:rPr>
              <w:t>Basic and diluted</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658,880</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655,847</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460" w:type="dxa"/>
            <w:vAlign w:val="bottom"/>
            <w:gridSpan w:val="2"/>
            <w:shd w:val="clear" w:color="auto" w:fill="CCEEFF"/>
          </w:tcPr>
          <w:p>
            <w:pPr>
              <w:spacing w:after="0" w:line="111" w:lineRule="exact"/>
              <w:rPr>
                <w:sz w:val="20"/>
                <w:szCs w:val="20"/>
                <w:color w:val="auto"/>
              </w:rPr>
            </w:pPr>
            <w:r>
              <w:rPr>
                <w:rFonts w:ascii="Arial" w:cs="Arial" w:eastAsia="Arial" w:hAnsi="Arial"/>
                <w:sz w:val="10"/>
                <w:szCs w:val="10"/>
                <w:color w:val="auto"/>
              </w:rPr>
              <w:t>Loss per share excluding net special items:</w:t>
            </w: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0"/>
                <w:szCs w:val="10"/>
                <w:color w:val="auto"/>
              </w:rPr>
              <w:t>Basic and diluted</w:t>
            </w:r>
          </w:p>
        </w:tc>
        <w:tc>
          <w:tcPr>
            <w:tcW w:w="1140" w:type="dxa"/>
            <w:vAlign w:val="bottom"/>
            <w:tcBorders>
              <w:bottom w:val="single" w:sz="8" w:color="auto"/>
            </w:tcBorders>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(0.59)</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(0.34)</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Reconciliation of Total Operating Costs per ASM Excluding Net Special Items and Fuel</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as reported</w:t>
            </w:r>
          </w:p>
        </w:tc>
        <w:tc>
          <w:tcPr>
            <w:tcW w:w="1140" w:type="dxa"/>
            <w:vAlign w:val="bottom"/>
            <w:shd w:val="clear" w:color="auto" w:fill="CCEEFF"/>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12,821</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12,563</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net special items:</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60" w:type="dxa"/>
            <w:vAlign w:val="bottom"/>
            <w:tcBorders>
              <w:bottom w:val="single" w:sz="8" w:color="CCEEFF"/>
            </w:tcBorders>
            <w:gridSpan w:val="2"/>
          </w:tcPr>
          <w:p>
            <w:pPr>
              <w:ind w:left="220"/>
              <w:spacing w:after="0" w:line="135" w:lineRule="exact"/>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excluding net special items</w:t>
            </w: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12,751</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12,493</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Aircraft fuel and related taxes</w:t>
            </w:r>
          </w:p>
        </w:tc>
        <w:tc>
          <w:tcPr>
            <w:tcW w:w="1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(2,587)</w:t>
            </w:r>
          </w:p>
        </w:tc>
        <w:tc>
          <w:tcPr>
            <w:tcW w:w="8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(2,980)</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gridSpan w:val="2"/>
          </w:tcPr>
          <w:p>
            <w:pPr>
              <w:spacing w:after="0"/>
              <w:rPr>
                <w:sz w:val="20"/>
                <w:szCs w:val="20"/>
                <w:color w:val="auto"/>
              </w:rPr>
            </w:pPr>
            <w:r>
              <w:rPr>
                <w:rFonts w:ascii="Arial" w:cs="Arial" w:eastAsia="Arial" w:hAnsi="Arial"/>
                <w:sz w:val="10"/>
                <w:szCs w:val="10"/>
                <w:color w:val="auto"/>
              </w:rPr>
              <w:t>Total operating expenses excluding net special items and fuel</w:t>
            </w:r>
          </w:p>
        </w:tc>
        <w:tc>
          <w:tcPr>
            <w:tcW w:w="1140" w:type="dxa"/>
            <w:vAlign w:val="bottom"/>
          </w:tcPr>
          <w:p>
            <w:pPr>
              <w:jc w:val="right"/>
              <w:ind w:right="1033"/>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10,164</w:t>
            </w:r>
          </w:p>
        </w:tc>
        <w:tc>
          <w:tcPr>
            <w:tcW w:w="80" w:type="dxa"/>
            <w:vAlign w:val="bottom"/>
          </w:tcPr>
          <w:p>
            <w:pPr>
              <w:spacing w:after="0"/>
              <w:rPr>
                <w:sz w:val="10"/>
                <w:szCs w:val="10"/>
                <w:color w:val="auto"/>
              </w:rPr>
            </w:pP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9,513</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jc w:val="center"/>
              <w:ind w:right="512"/>
              <w:spacing w:after="0"/>
              <w:rPr>
                <w:sz w:val="20"/>
                <w:szCs w:val="20"/>
                <w:color w:val="auto"/>
              </w:rPr>
            </w:pPr>
            <w:r>
              <w:rPr>
                <w:rFonts w:ascii="Arial" w:cs="Arial" w:eastAsia="Arial" w:hAnsi="Arial"/>
                <w:sz w:val="8"/>
                <w:szCs w:val="8"/>
                <w:color w:val="auto"/>
              </w:rPr>
              <w:t>(in cents)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60" w:type="dxa"/>
            <w:vAlign w:val="bottom"/>
            <w:gridSpan w:val="2"/>
          </w:tcPr>
          <w:p>
            <w:pPr>
              <w:spacing w:after="0"/>
              <w:rPr>
                <w:sz w:val="20"/>
                <w:szCs w:val="20"/>
                <w:color w:val="auto"/>
              </w:rPr>
            </w:pPr>
            <w:r>
              <w:rPr>
                <w:rFonts w:ascii="Arial" w:cs="Arial" w:eastAsia="Arial" w:hAnsi="Arial"/>
                <w:sz w:val="10"/>
                <w:szCs w:val="10"/>
                <w:color w:val="auto"/>
              </w:rPr>
              <w:t>Total operating expenses per ASM as reported</w:t>
            </w:r>
          </w:p>
        </w:tc>
        <w:tc>
          <w:tcPr>
            <w:tcW w:w="1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18.34</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17.82</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60" w:type="dxa"/>
            <w:vAlign w:val="bottom"/>
            <w:gridSpan w:val="2"/>
          </w:tcPr>
          <w:p>
            <w:pPr>
              <w:spacing w:after="0"/>
              <w:rPr>
                <w:sz w:val="20"/>
                <w:szCs w:val="20"/>
                <w:color w:val="auto"/>
              </w:rPr>
            </w:pPr>
            <w:r>
              <w:rPr>
                <w:rFonts w:ascii="Arial" w:cs="Arial" w:eastAsia="Arial" w:hAnsi="Arial"/>
                <w:sz w:val="10"/>
                <w:szCs w:val="10"/>
                <w:color w:val="auto"/>
              </w:rPr>
              <w:t>Operating net special items per ASM:</w:t>
            </w: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 xml:space="preserve">Mainline operating special items, net </w:t>
            </w:r>
            <w:r>
              <w:rPr>
                <w:rFonts w:ascii="Arial" w:cs="Arial" w:eastAsia="Arial" w:hAnsi="Arial"/>
                <w:sz w:val="12"/>
                <w:szCs w:val="12"/>
                <w:color w:val="auto"/>
                <w:vertAlign w:val="superscript"/>
              </w:rPr>
              <w:t>(1)</w:t>
            </w:r>
          </w:p>
        </w:tc>
        <w:tc>
          <w:tcPr>
            <w:tcW w:w="1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(0.10)</w:t>
            </w:r>
          </w:p>
        </w:tc>
        <w:tc>
          <w:tcPr>
            <w:tcW w:w="8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(0.10)</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460" w:type="dxa"/>
            <w:vAlign w:val="bottom"/>
            <w:gridSpan w:val="2"/>
          </w:tcPr>
          <w:p>
            <w:pPr>
              <w:spacing w:after="0"/>
              <w:rPr>
                <w:sz w:val="20"/>
                <w:szCs w:val="20"/>
                <w:color w:val="auto"/>
              </w:rPr>
            </w:pPr>
            <w:r>
              <w:rPr>
                <w:rFonts w:ascii="Arial" w:cs="Arial" w:eastAsia="Arial" w:hAnsi="Arial"/>
                <w:sz w:val="10"/>
                <w:szCs w:val="10"/>
                <w:color w:val="auto"/>
              </w:rPr>
              <w:t>Total operating expenses per ASM excluding net special items</w:t>
            </w:r>
          </w:p>
        </w:tc>
        <w:tc>
          <w:tcPr>
            <w:tcW w:w="114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18.24</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17.72</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6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4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Aircraft fuel and related taxes per ASM</w:t>
            </w: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(3.70)</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(4.23)</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4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operating expenses per ASM excluding net special items and fuel</w:t>
            </w: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14.54</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13.49</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Note: Amounts may not recalculate due to rounding.</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0"/>
          <w:szCs w:val="10"/>
          <w:b w:val="1"/>
          <w:bCs w:val="1"/>
          <w:u w:val="single" w:color="auto"/>
          <w:color w:val="auto"/>
        </w:rPr>
        <w:t>FOOTNOTES:</w:t>
      </w:r>
    </w:p>
    <w:p>
      <w:pPr>
        <w:spacing w:after="0" w:line="58" w:lineRule="exact"/>
        <w:rPr>
          <w:sz w:val="20"/>
          <w:szCs w:val="20"/>
          <w:color w:val="auto"/>
        </w:rPr>
      </w:pPr>
    </w:p>
    <w:p>
      <w:pPr>
        <w:ind w:left="208" w:right="20" w:hanging="208"/>
        <w:spacing w:after="0" w:line="264" w:lineRule="auto"/>
        <w:tabs>
          <w:tab w:leader="none" w:pos="203" w:val="left"/>
        </w:tabs>
        <w:numPr>
          <w:ilvl w:val="0"/>
          <w:numId w:val="11"/>
        </w:numPr>
        <w:rPr>
          <w:rFonts w:ascii="Arial" w:cs="Arial" w:eastAsia="Arial" w:hAnsi="Arial"/>
          <w:sz w:val="6"/>
          <w:szCs w:val="6"/>
          <w:color w:val="auto"/>
        </w:rPr>
      </w:pPr>
      <w:r>
        <w:rPr>
          <w:rFonts w:ascii="Arial" w:cs="Arial" w:eastAsia="Arial" w:hAnsi="Arial"/>
          <w:sz w:val="10"/>
          <w:szCs w:val="10"/>
          <w:color w:val="auto"/>
        </w:rPr>
        <w:t>The 2025 first quarter mainline operating special items, net included a one-time charge for adjustments to vacation accruals resulting from pay rate increases effective January 1, 2025, related to the ratification of the contract extension in the fourth quarter of 2024 with our mainline maintenance and fleet service team members and an adjustment to litigation reserves.</w:t>
      </w:r>
    </w:p>
    <w:p>
      <w:pPr>
        <w:spacing w:after="0" w:line="53" w:lineRule="exact"/>
        <w:rPr>
          <w:rFonts w:ascii="Arial" w:cs="Arial" w:eastAsia="Arial" w:hAnsi="Arial"/>
          <w:sz w:val="6"/>
          <w:szCs w:val="6"/>
          <w:color w:val="auto"/>
        </w:rPr>
      </w:pPr>
    </w:p>
    <w:p>
      <w:pPr>
        <w:ind w:left="208"/>
        <w:spacing w:after="0" w:line="264" w:lineRule="auto"/>
        <w:rPr>
          <w:rFonts w:ascii="Arial" w:cs="Arial" w:eastAsia="Arial" w:hAnsi="Arial"/>
          <w:sz w:val="6"/>
          <w:szCs w:val="6"/>
          <w:color w:val="auto"/>
        </w:rPr>
      </w:pPr>
      <w:r>
        <w:rPr>
          <w:rFonts w:ascii="Arial" w:cs="Arial" w:eastAsia="Arial" w:hAnsi="Arial"/>
          <w:sz w:val="10"/>
          <w:szCs w:val="10"/>
          <w:color w:val="auto"/>
        </w:rPr>
        <w:t>The 2024 first quarter mainline operating special items, net principally included $57 million of one-time charges resulting from the ratification of a new collective bargaining agreement with our mainline passenger service team members, including a one-time signing bonus.</w:t>
      </w:r>
    </w:p>
    <w:p>
      <w:pPr>
        <w:spacing w:after="0" w:line="44" w:lineRule="exact"/>
        <w:rPr>
          <w:rFonts w:ascii="Arial" w:cs="Arial" w:eastAsia="Arial" w:hAnsi="Arial"/>
          <w:sz w:val="6"/>
          <w:szCs w:val="6"/>
          <w:color w:val="auto"/>
        </w:rPr>
      </w:pPr>
    </w:p>
    <w:p>
      <w:pPr>
        <w:ind w:left="208" w:hanging="208"/>
        <w:spacing w:after="0"/>
        <w:tabs>
          <w:tab w:leader="none" w:pos="208" w:val="left"/>
        </w:tabs>
        <w:numPr>
          <w:ilvl w:val="0"/>
          <w:numId w:val="11"/>
        </w:numPr>
        <w:rPr>
          <w:rFonts w:ascii="Arial" w:cs="Arial" w:eastAsia="Arial" w:hAnsi="Arial"/>
          <w:sz w:val="6"/>
          <w:szCs w:val="6"/>
          <w:color w:val="auto"/>
        </w:rPr>
      </w:pPr>
      <w:r>
        <w:rPr>
          <w:rFonts w:ascii="Arial" w:cs="Arial" w:eastAsia="Arial" w:hAnsi="Arial"/>
          <w:sz w:val="10"/>
          <w:szCs w:val="10"/>
          <w:color w:val="auto"/>
        </w:rPr>
        <w:t>Principally included mark-to-market net unrealized gains and losses associated with certain equity investments as well as charges associated with debt refinancings and extinguishments.</w:t>
      </w:r>
    </w:p>
    <w:p>
      <w:pPr>
        <w:sectPr>
          <w:pgSz w:w="11900" w:h="16838" w:orient="portrait"/>
          <w:cols w:equalWidth="0" w:num="1">
            <w:col w:w="11308"/>
          </w:cols>
          <w:pgMar w:left="292" w:top="128" w:right="299" w:bottom="1440" w:gutter="0" w:footer="0" w:header="0"/>
        </w:sectPr>
      </w:pPr>
    </w:p>
    <w:bookmarkStart w:id="12" w:name="page13"/>
    <w:bookmarkEnd w:id="12"/>
    <w:p>
      <w:pPr>
        <w:ind w:left="8"/>
        <w:spacing w:after="0"/>
        <w:rPr>
          <w:sz w:val="20"/>
          <w:szCs w:val="20"/>
          <w:color w:val="auto"/>
        </w:rPr>
      </w:pPr>
      <w:r>
        <w:rPr>
          <w:rFonts w:ascii="Arial" w:cs="Arial" w:eastAsia="Arial" w:hAnsi="Arial"/>
          <w:sz w:val="11"/>
          <w:szCs w:val="11"/>
          <w:b w:val="1"/>
          <w:bCs w:val="1"/>
          <w:color w:val="auto"/>
        </w:rPr>
        <w:t>American Airlines Reports First-Quarter 2025 Financial Results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cash provided by operating activities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Cash flows from investing activities:</w:t>
      </w:r>
    </w:p>
    <w:p>
      <w:pPr>
        <w:spacing w:after="0" w:line="21" w:lineRule="exact"/>
        <w:rPr>
          <w:sz w:val="20"/>
          <w:szCs w:val="20"/>
          <w:color w:val="auto"/>
        </w:rPr>
      </w:pPr>
    </w:p>
    <w:p>
      <w:pPr>
        <w:ind w:left="148"/>
        <w:spacing w:after="0"/>
        <w:rPr>
          <w:sz w:val="20"/>
          <w:szCs w:val="20"/>
          <w:color w:val="auto"/>
        </w:rPr>
      </w:pPr>
      <w:r>
        <w:rPr>
          <w:rFonts w:ascii="Arial" w:cs="Arial" w:eastAsia="Arial" w:hAnsi="Arial"/>
          <w:sz w:val="11"/>
          <w:szCs w:val="11"/>
          <w:color w:val="auto"/>
        </w:rPr>
        <w:t>Capital expenditures and aircraft purchase deposits</w:t>
      </w:r>
    </w:p>
    <w:p>
      <w:pPr>
        <w:spacing w:after="0" w:line="14" w:lineRule="exact"/>
        <w:rPr>
          <w:sz w:val="20"/>
          <w:szCs w:val="20"/>
          <w:color w:val="auto"/>
        </w:rPr>
      </w:pPr>
    </w:p>
    <w:p>
      <w:pPr>
        <w:ind w:left="148"/>
        <w:spacing w:after="0"/>
        <w:rPr>
          <w:sz w:val="20"/>
          <w:szCs w:val="20"/>
          <w:color w:val="auto"/>
        </w:rPr>
      </w:pPr>
      <w:r>
        <w:rPr>
          <w:rFonts w:ascii="Arial" w:cs="Arial" w:eastAsia="Arial" w:hAnsi="Arial"/>
          <w:sz w:val="11"/>
          <w:szCs w:val="11"/>
          <w:color w:val="auto"/>
        </w:rPr>
        <w:t>Purchases of short-term investments</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Sales of short-term investments</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Decrease in restricted short-term investments</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Other investing activities</w:t>
      </w:r>
    </w:p>
    <w:p>
      <w:pPr>
        <w:spacing w:after="0" w:line="18" w:lineRule="exact"/>
        <w:rPr>
          <w:sz w:val="20"/>
          <w:szCs w:val="20"/>
          <w:color w:val="auto"/>
        </w:rPr>
      </w:pPr>
    </w:p>
    <w:p>
      <w:pPr>
        <w:ind w:left="368"/>
        <w:spacing w:after="0"/>
        <w:rPr>
          <w:sz w:val="20"/>
          <w:szCs w:val="20"/>
          <w:color w:val="auto"/>
        </w:rPr>
      </w:pPr>
      <w:r>
        <w:rPr>
          <w:rFonts w:ascii="Arial" w:cs="Arial" w:eastAsia="Arial" w:hAnsi="Arial"/>
          <w:sz w:val="11"/>
          <w:szCs w:val="11"/>
          <w:color w:val="auto"/>
        </w:rPr>
        <w:t>Net cash used in investing activities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Cash flows from financing activities:</w:t>
      </w:r>
    </w:p>
    <w:p>
      <w:pPr>
        <w:spacing w:after="0" w:line="21" w:lineRule="exact"/>
        <w:rPr>
          <w:sz w:val="20"/>
          <w:szCs w:val="20"/>
          <w:color w:val="auto"/>
        </w:rPr>
      </w:pPr>
    </w:p>
    <w:p>
      <w:pPr>
        <w:ind w:left="148"/>
        <w:spacing w:after="0"/>
        <w:rPr>
          <w:sz w:val="20"/>
          <w:szCs w:val="20"/>
          <w:color w:val="auto"/>
        </w:rPr>
      </w:pPr>
      <w:r>
        <w:rPr>
          <w:rFonts w:ascii="Arial" w:cs="Arial" w:eastAsia="Arial" w:hAnsi="Arial"/>
          <w:sz w:val="11"/>
          <w:szCs w:val="11"/>
          <w:color w:val="auto"/>
        </w:rPr>
        <w:t>Payments on long-term debt and finance leases</w:t>
      </w:r>
    </w:p>
    <w:p>
      <w:pPr>
        <w:spacing w:after="0" w:line="14" w:lineRule="exact"/>
        <w:rPr>
          <w:sz w:val="20"/>
          <w:szCs w:val="20"/>
          <w:color w:val="auto"/>
        </w:rPr>
      </w:pPr>
    </w:p>
    <w:p>
      <w:pPr>
        <w:ind w:left="148"/>
        <w:spacing w:after="0"/>
        <w:rPr>
          <w:sz w:val="20"/>
          <w:szCs w:val="20"/>
          <w:color w:val="auto"/>
        </w:rPr>
      </w:pPr>
      <w:r>
        <w:rPr>
          <w:rFonts w:ascii="Arial" w:cs="Arial" w:eastAsia="Arial" w:hAnsi="Arial"/>
          <w:sz w:val="11"/>
          <w:szCs w:val="11"/>
          <w:color w:val="auto"/>
        </w:rPr>
        <w:t>Proceeds from issuance of long-term debt</w:t>
      </w:r>
    </w:p>
    <w:p>
      <w:pPr>
        <w:spacing w:after="0" w:line="18" w:lineRule="exact"/>
        <w:rPr>
          <w:sz w:val="20"/>
          <w:szCs w:val="20"/>
          <w:color w:val="auto"/>
        </w:rPr>
      </w:pPr>
    </w:p>
    <w:p>
      <w:pPr>
        <w:ind w:left="148"/>
        <w:spacing w:after="0"/>
        <w:rPr>
          <w:sz w:val="20"/>
          <w:szCs w:val="20"/>
          <w:color w:val="auto"/>
        </w:rPr>
      </w:pPr>
      <w:r>
        <w:rPr>
          <w:rFonts w:ascii="Arial" w:cs="Arial" w:eastAsia="Arial" w:hAnsi="Arial"/>
          <w:sz w:val="11"/>
          <w:szCs w:val="11"/>
          <w:color w:val="auto"/>
        </w:rPr>
        <w:t>Other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320"/>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ind w:right="4320"/>
        <w:spacing w:after="0"/>
        <w:rPr>
          <w:sz w:val="20"/>
          <w:szCs w:val="20"/>
          <w:color w:val="auto"/>
        </w:rPr>
      </w:pPr>
      <w:r>
        <w:rPr>
          <w:rFonts w:ascii="Arial" w:cs="Arial" w:eastAsia="Arial" w:hAnsi="Arial"/>
          <w:sz w:val="10"/>
          <w:szCs w:val="10"/>
          <w:b w:val="1"/>
          <w:bCs w:val="1"/>
          <w:color w:val="auto"/>
        </w:rPr>
        <w:t>Condensed Consolidated Statements of Cash Flows</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1"/>
          <w:szCs w:val="11"/>
          <w:b w:val="1"/>
          <w:bCs w:val="1"/>
          <w:color w:val="auto"/>
        </w:rPr>
        <w:t>(In millions)(Unaudited)</w:t>
      </w:r>
    </w:p>
    <w:p>
      <w:pPr>
        <w:spacing w:after="0" w:line="116" w:lineRule="exact"/>
        <w:rPr>
          <w:sz w:val="20"/>
          <w:szCs w:val="20"/>
          <w:color w:val="auto"/>
        </w:rPr>
      </w:pPr>
    </w:p>
    <w:p>
      <w:pPr>
        <w:jc w:val="center"/>
        <w:ind w:left="-2399"/>
        <w:spacing w:after="0"/>
        <w:rPr>
          <w:sz w:val="20"/>
          <w:szCs w:val="20"/>
          <w:color w:val="auto"/>
        </w:rPr>
      </w:pPr>
      <w:r>
        <w:rPr>
          <w:rFonts w:ascii="Arial" w:cs="Arial" w:eastAsia="Arial" w:hAnsi="Arial"/>
          <w:sz w:val="11"/>
          <w:szCs w:val="11"/>
          <w:color w:val="auto"/>
        </w:rPr>
        <w:t>3 Months Ended</w:t>
      </w:r>
    </w:p>
    <w:p>
      <w:pPr>
        <w:jc w:val="center"/>
        <w:ind w:left="-2399"/>
        <w:spacing w:after="0"/>
        <w:rPr>
          <w:sz w:val="20"/>
          <w:szCs w:val="20"/>
          <w:color w:val="auto"/>
        </w:rPr>
      </w:pPr>
      <w:r>
        <w:rPr>
          <w:rFonts w:ascii="Arial" w:cs="Arial" w:eastAsia="Arial" w:hAnsi="Arial"/>
          <w:sz w:val="11"/>
          <w:szCs w:val="11"/>
          <w:color w:val="auto"/>
        </w:rPr>
        <w:t>March 31,</w:t>
      </w:r>
    </w:p>
    <w:p>
      <w:pPr>
        <w:spacing w:after="0" w:line="8" w:lineRule="exact"/>
        <w:rPr>
          <w:sz w:val="20"/>
          <w:szCs w:val="20"/>
          <w:color w:val="auto"/>
        </w:rPr>
      </w:pPr>
    </w:p>
    <w:tbl>
      <w:tblPr>
        <w:tblLayout w:type="fixed"/>
        <w:tblInd w:w="2720" w:type="dxa"/>
        <w:tblCellMar>
          <w:top w:w="0" w:type="dxa"/>
          <w:left w:w="0" w:type="dxa"/>
          <w:bottom w:w="0" w:type="dxa"/>
          <w:right w:w="0" w:type="dxa"/>
        </w:tblCellMar>
      </w:tblPr>
      <w:tr>
        <w:trPr>
          <w:trHeight w:val="143"/>
        </w:trPr>
        <w:tc>
          <w:tcPr>
            <w:tcW w:w="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rPr>
              <w:t>2025</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86"/>
              <w:spacing w:after="0"/>
              <w:rPr>
                <w:sz w:val="20"/>
                <w:szCs w:val="20"/>
                <w:color w:val="auto"/>
              </w:rPr>
            </w:pPr>
            <w:r>
              <w:rPr>
                <w:rFonts w:ascii="Arial" w:cs="Arial" w:eastAsia="Arial" w:hAnsi="Arial"/>
                <w:sz w:val="11"/>
                <w:szCs w:val="11"/>
                <w:color w:val="auto"/>
              </w:rPr>
              <w:t>2024</w:t>
            </w:r>
          </w:p>
        </w:tc>
      </w:tr>
      <w:tr>
        <w:trPr>
          <w:trHeight w:val="132"/>
        </w:trPr>
        <w:tc>
          <w:tcPr>
            <w:tcW w:w="500" w:type="dxa"/>
            <w:vAlign w:val="bottom"/>
          </w:tcPr>
          <w:p>
            <w:pPr>
              <w:jc w:val="right"/>
              <w:ind w:right="391"/>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spacing w:after="0"/>
              <w:rPr>
                <w:sz w:val="20"/>
                <w:szCs w:val="20"/>
                <w:color w:val="auto"/>
              </w:rPr>
            </w:pPr>
            <w:r>
              <w:rPr>
                <w:rFonts w:ascii="Arial" w:cs="Arial" w:eastAsia="Arial" w:hAnsi="Arial"/>
                <w:sz w:val="11"/>
                <w:szCs w:val="11"/>
                <w:color w:val="auto"/>
              </w:rPr>
              <w:t>2,456</w:t>
            </w:r>
          </w:p>
        </w:tc>
        <w:tc>
          <w:tcPr>
            <w:tcW w:w="100" w:type="dxa"/>
            <w:vAlign w:val="bottom"/>
          </w:tcPr>
          <w:p>
            <w:pPr>
              <w:spacing w:after="0"/>
              <w:rPr>
                <w:sz w:val="11"/>
                <w:szCs w:val="11"/>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2,180</w:t>
            </w:r>
          </w:p>
        </w:tc>
      </w:tr>
      <w:tr>
        <w:trPr>
          <w:trHeight w:val="288"/>
        </w:trPr>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(824)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(824)</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(1,806)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(3,287)</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1,349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2,585</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12</w:t>
            </w:r>
          </w:p>
        </w:tc>
      </w:tr>
      <w:tr>
        <w:trPr>
          <w:trHeight w:val="145"/>
        </w:trPr>
        <w:tc>
          <w:tcPr>
            <w:tcW w:w="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r>
      <w:tr>
        <w:trPr>
          <w:trHeight w:val="132"/>
        </w:trPr>
        <w:tc>
          <w:tcPr>
            <w:tcW w:w="50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(1,204)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(1,516)</w:t>
            </w:r>
          </w:p>
        </w:tc>
      </w:tr>
      <w:tr>
        <w:trPr>
          <w:trHeight w:val="288"/>
        </w:trPr>
        <w:tc>
          <w:tcPr>
            <w:tcW w:w="5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(1,362)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(873)</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325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248</w:t>
            </w:r>
          </w:p>
        </w:tc>
      </w:tr>
      <w:tr>
        <w:trPr>
          <w:trHeight w:val="144"/>
        </w:trPr>
        <w:tc>
          <w:tcPr>
            <w:tcW w:w="5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-1106805</wp:posOffset>
            </wp:positionV>
            <wp:extent cx="717804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-918210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-735330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-552450</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-363855</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-180975</wp:posOffset>
            </wp:positionV>
            <wp:extent cx="7178040"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588" w:space="720"/>
            <w:col w:w="7000"/>
          </w:cols>
          <w:pgMar w:left="292" w:top="128" w:right="299" w:bottom="1440" w:gutter="0" w:footer="0" w:header="0"/>
        </w:sectPr>
      </w:pPr>
    </w:p>
    <w:tbl>
      <w:tblPr>
        <w:tblLayout w:type="fixed"/>
        <w:tblInd w:w="8" w:type="dxa"/>
        <w:tblCellMar>
          <w:top w:w="0" w:type="dxa"/>
          <w:left w:w="0" w:type="dxa"/>
          <w:bottom w:w="0" w:type="dxa"/>
          <w:right w:w="0" w:type="dxa"/>
        </w:tblCellMar>
      </w:tblPr>
      <w:tr>
        <w:trPr>
          <w:trHeight w:val="135"/>
        </w:trPr>
        <w:tc>
          <w:tcPr>
            <w:tcW w:w="702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Net cash used in financing activities</w:t>
            </w:r>
          </w:p>
        </w:tc>
        <w:tc>
          <w:tcPr>
            <w:tcW w:w="90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(1,223)</w:t>
            </w: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(642)</w:t>
            </w:r>
          </w:p>
        </w:tc>
      </w:tr>
      <w:tr>
        <w:trPr>
          <w:trHeight w:val="132"/>
        </w:trPr>
        <w:tc>
          <w:tcPr>
            <w:tcW w:w="7020" w:type="dxa"/>
            <w:vAlign w:val="bottom"/>
            <w:gridSpan w:val="2"/>
          </w:tcPr>
          <w:p>
            <w:pPr>
              <w:spacing w:after="0" w:line="122" w:lineRule="exact"/>
              <w:rPr>
                <w:sz w:val="20"/>
                <w:szCs w:val="20"/>
                <w:color w:val="auto"/>
              </w:rPr>
            </w:pPr>
            <w:r>
              <w:rPr>
                <w:rFonts w:ascii="Arial" w:cs="Arial" w:eastAsia="Arial" w:hAnsi="Arial"/>
                <w:sz w:val="11"/>
                <w:szCs w:val="11"/>
                <w:color w:val="auto"/>
              </w:rPr>
              <w:t>Net increase in cash and restricted cash</w:t>
            </w:r>
          </w:p>
        </w:tc>
        <w:tc>
          <w:tcPr>
            <w:tcW w:w="9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22</w:t>
            </w:r>
          </w:p>
        </w:tc>
      </w:tr>
      <w:tr>
        <w:trPr>
          <w:trHeight w:val="145"/>
        </w:trPr>
        <w:tc>
          <w:tcPr>
            <w:tcW w:w="7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 and restricted cash at beginning of period</w:t>
            </w:r>
          </w:p>
        </w:tc>
        <w:tc>
          <w:tcPr>
            <w:tcW w:w="9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902</w:t>
            </w:r>
          </w:p>
        </w:tc>
        <w:tc>
          <w:tcPr>
            <w:tcW w:w="10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681</w:t>
            </w:r>
          </w:p>
        </w:tc>
      </w:tr>
      <w:tr>
        <w:trPr>
          <w:trHeight w:val="133"/>
        </w:trPr>
        <w:tc>
          <w:tcPr>
            <w:tcW w:w="7020" w:type="dxa"/>
            <w:vAlign w:val="bottom"/>
            <w:gridSpan w:val="2"/>
          </w:tcPr>
          <w:p>
            <w:pPr>
              <w:spacing w:after="0" w:line="133" w:lineRule="exact"/>
              <w:rPr>
                <w:sz w:val="20"/>
                <w:szCs w:val="20"/>
                <w:color w:val="auto"/>
              </w:rPr>
            </w:pPr>
            <w:r>
              <w:rPr>
                <w:rFonts w:ascii="Arial" w:cs="Arial" w:eastAsia="Arial" w:hAnsi="Arial"/>
                <w:sz w:val="11"/>
                <w:szCs w:val="11"/>
                <w:color w:val="auto"/>
              </w:rPr>
              <w:t xml:space="preserve">Cash and restricted cash at end of period </w:t>
            </w:r>
            <w:r>
              <w:rPr>
                <w:rFonts w:ascii="Arial" w:cs="Arial" w:eastAsia="Arial" w:hAnsi="Arial"/>
                <w:sz w:val="14"/>
                <w:szCs w:val="14"/>
                <w:color w:val="auto"/>
                <w:vertAlign w:val="superscript"/>
              </w:rPr>
              <w:t>(1)</w:t>
            </w:r>
          </w:p>
        </w:tc>
        <w:tc>
          <w:tcPr>
            <w:tcW w:w="900" w:type="dxa"/>
            <w:vAlign w:val="bottom"/>
            <w:tcBorders>
              <w:bottom w:val="single" w:sz="8" w:color="auto"/>
            </w:tcBorders>
          </w:tcPr>
          <w:p>
            <w:pPr>
              <w:jc w:val="right"/>
              <w:ind w:right="79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right"/>
              <w:ind w:right="80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703</w:t>
            </w:r>
          </w:p>
        </w:tc>
      </w:tr>
      <w:tr>
        <w:trPr>
          <w:trHeight w:val="20"/>
        </w:trPr>
        <w:tc>
          <w:tcPr>
            <w:tcW w:w="2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3"/>
        </w:trPr>
        <w:tc>
          <w:tcPr>
            <w:tcW w:w="218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26"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The following table provides a reconciliation of cash and restricted cash to amounts reported within the condensed consolidated balance sheets: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w:t>
            </w:r>
          </w:p>
        </w:tc>
        <w:tc>
          <w:tcPr>
            <w:tcW w:w="980" w:type="dxa"/>
            <w:vAlign w:val="bottom"/>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604</w:t>
            </w:r>
          </w:p>
        </w:tc>
      </w:tr>
      <w:tr>
        <w:trPr>
          <w:trHeight w:val="14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Restricted cash included in restricted cash and short-term investments</w:t>
            </w: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w:t>
            </w:r>
          </w:p>
        </w:tc>
      </w:tr>
      <w:tr>
        <w:trPr>
          <w:trHeight w:val="150"/>
        </w:trPr>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Total cash and restricted cash</w:t>
            </w:r>
          </w:p>
        </w:tc>
        <w:tc>
          <w:tcPr>
            <w:tcW w:w="98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931</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703</w:t>
            </w:r>
          </w:p>
        </w:tc>
      </w:tr>
    </w:tbl>
    <w:p>
      <w:pPr>
        <w:sectPr>
          <w:pgSz w:w="11900" w:h="16838" w:orient="portrait"/>
          <w:cols w:equalWidth="0" w:num="1">
            <w:col w:w="11308"/>
          </w:cols>
          <w:pgMar w:left="292" w:top="128" w:right="299" w:bottom="1440" w:gutter="0" w:footer="0" w:header="0"/>
          <w:type w:val="continuous"/>
        </w:sectPr>
      </w:pPr>
    </w:p>
    <w:bookmarkStart w:id="13" w:name="page14"/>
    <w:bookmarkEnd w:id="13"/>
    <w:p>
      <w:pPr>
        <w:ind w:left="8"/>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Page 11</w:t>
      </w:r>
    </w:p>
    <w:p>
      <w:pPr>
        <w:spacing w:after="0" w:line="32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Free Cash Flow</w:t>
      </w:r>
    </w:p>
    <w:p>
      <w:pPr>
        <w:spacing w:after="0" w:line="54" w:lineRule="exact"/>
        <w:rPr>
          <w:sz w:val="20"/>
          <w:szCs w:val="20"/>
          <w:color w:val="auto"/>
        </w:rPr>
      </w:pPr>
    </w:p>
    <w:p>
      <w:pPr>
        <w:jc w:val="both"/>
        <w:ind w:left="8"/>
        <w:spacing w:after="0" w:line="260" w:lineRule="auto"/>
        <w:rPr>
          <w:sz w:val="20"/>
          <w:szCs w:val="20"/>
          <w:color w:val="auto"/>
        </w:rPr>
      </w:pPr>
      <w:r>
        <w:rPr>
          <w:rFonts w:ascii="Arial" w:cs="Arial" w:eastAsia="Arial" w:hAnsi="Arial"/>
          <w:sz w:val="11"/>
          <w:szCs w:val="11"/>
          <w:color w:val="auto"/>
        </w:rPr>
        <w:t>The Company's free cash flow summary is presented in the table below, which is a non-GAAP measure that management believes is useful information to investors and others in evaluating the Company's ability to generate cash from its core operating performance that is available for use to reinvest in the business or to reduce debt. The Company defines free cash flows as net cash provided by operating activities less net cash used in investing activities, adjusted for (1) net purchases of short-term investments and (2) change in restricted cash. We believe that calculating free cash flow as adjusted for these items is more useful for investors because short-term investment activity and restricted cash are not representative of activity core to our operations.</w:t>
      </w:r>
    </w:p>
    <w:p>
      <w:pPr>
        <w:spacing w:after="0" w:line="82"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This non-GAAP measure may not be comparable to similarly titled non-GAAP measures of other companies, and should be considered in addition to, and not as a substitute for or superior to, any measure of performance, cash flow or liquidity prepared in accordance with GAAP. Our calculation of free cash flow is not intended, and should not be used, to measure the residual cash flow available for discretionary expenditures because, among other things, it excludes mandatory debt service requirements and certain other non-discretionary expenditures.</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tcPr>
          <w:p>
            <w:pPr>
              <w:jc w:val="center"/>
              <w:ind w:right="306"/>
              <w:spacing w:after="0"/>
              <w:rPr>
                <w:sz w:val="20"/>
                <w:szCs w:val="20"/>
                <w:color w:val="auto"/>
              </w:rPr>
            </w:pPr>
            <w:r>
              <w:rPr>
                <w:rFonts w:ascii="Arial" w:cs="Arial" w:eastAsia="Arial" w:hAnsi="Arial"/>
                <w:sz w:val="11"/>
                <w:szCs w:val="11"/>
                <w:color w:val="auto"/>
                <w:w w:val="97"/>
              </w:rPr>
              <w:t>3 Months Ended</w:t>
            </w:r>
          </w:p>
        </w:tc>
      </w:tr>
      <w:tr>
        <w:trPr>
          <w:trHeight w:val="143"/>
        </w:trPr>
        <w:tc>
          <w:tcPr>
            <w:tcW w:w="218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ind w:right="306"/>
              <w:spacing w:after="0"/>
              <w:rPr>
                <w:sz w:val="20"/>
                <w:szCs w:val="20"/>
                <w:color w:val="auto"/>
              </w:rPr>
            </w:pPr>
            <w:r>
              <w:rPr>
                <w:rFonts w:ascii="Arial" w:cs="Arial" w:eastAsia="Arial" w:hAnsi="Arial"/>
                <w:sz w:val="11"/>
                <w:szCs w:val="11"/>
                <w:color w:val="auto"/>
                <w:w w:val="96"/>
              </w:rPr>
              <w:t>March 31, 2025</w:t>
            </w:r>
          </w:p>
        </w:tc>
      </w:tr>
      <w:tr>
        <w:trPr>
          <w:trHeight w:val="133"/>
        </w:trPr>
        <w:tc>
          <w:tcPr>
            <w:tcW w:w="218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tcPr>
          <w:p>
            <w:pPr>
              <w:jc w:val="center"/>
              <w:ind w:right="306"/>
              <w:spacing w:after="0"/>
              <w:rPr>
                <w:sz w:val="20"/>
                <w:szCs w:val="20"/>
                <w:color w:val="auto"/>
              </w:rPr>
            </w:pPr>
            <w:r>
              <w:rPr>
                <w:rFonts w:ascii="Arial" w:cs="Arial" w:eastAsia="Arial" w:hAnsi="Arial"/>
                <w:sz w:val="11"/>
                <w:szCs w:val="11"/>
                <w:color w:val="auto"/>
                <w:w w:val="97"/>
              </w:rPr>
              <w:t>(in millions)</w:t>
            </w:r>
          </w:p>
        </w:tc>
      </w:tr>
      <w:tr>
        <w:trPr>
          <w:trHeight w:val="145"/>
        </w:trPr>
        <w:tc>
          <w:tcPr>
            <w:tcW w:w="9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2,456</w:t>
            </w:r>
          </w:p>
        </w:tc>
      </w:tr>
      <w:tr>
        <w:trPr>
          <w:trHeight w:val="144"/>
        </w:trPr>
        <w:tc>
          <w:tcPr>
            <w:tcW w:w="920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1"/>
                <w:szCs w:val="11"/>
                <w:b w:val="1"/>
                <w:bCs w:val="1"/>
                <w:color w:val="auto"/>
              </w:rPr>
              <w:t xml:space="preserve">Adjusted net cash used in investing activities </w:t>
            </w:r>
            <w:r>
              <w:rPr>
                <w:rFonts w:ascii="Arial" w:cs="Arial" w:eastAsia="Arial" w:hAnsi="Arial"/>
                <w:sz w:val="14"/>
                <w:szCs w:val="14"/>
                <w:b w:val="1"/>
                <w:bCs w:val="1"/>
                <w:color w:val="auto"/>
                <w:vertAlign w:val="superscript"/>
              </w:rPr>
              <w:t>(1)</w:t>
            </w:r>
          </w:p>
        </w:tc>
        <w:tc>
          <w:tcPr>
            <w:tcW w:w="3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(745)</w:t>
            </w:r>
          </w:p>
        </w:tc>
      </w:tr>
      <w:tr>
        <w:trPr>
          <w:trHeight w:val="149"/>
        </w:trPr>
        <w:tc>
          <w:tcPr>
            <w:tcW w:w="9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Free cash flow</w:t>
            </w: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1,711</w:t>
            </w:r>
          </w:p>
        </w:tc>
      </w:tr>
      <w:tr>
        <w:trPr>
          <w:trHeight w:val="117"/>
        </w:trPr>
        <w:tc>
          <w:tcPr>
            <w:tcW w:w="2180" w:type="dxa"/>
            <w:vAlign w:val="bottom"/>
            <w:tcBorders>
              <w:bottom w:val="single" w:sz="8" w:color="auto"/>
            </w:tcBorders>
          </w:tcPr>
          <w:p>
            <w:pPr>
              <w:spacing w:after="0"/>
              <w:rPr>
                <w:sz w:val="10"/>
                <w:szCs w:val="10"/>
                <w:color w:val="auto"/>
              </w:rPr>
            </w:pPr>
          </w:p>
        </w:tc>
        <w:tc>
          <w:tcPr>
            <w:tcW w:w="7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r>
    </w:tbl>
    <w:p>
      <w:pPr>
        <w:spacing w:after="0" w:line="26"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The following table provides a reconciliation of adjusted net cash used in investing activities for the three months ended March 31, 2025 (in millions):</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20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investing activities</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(1,204)</w:t>
            </w:r>
          </w:p>
        </w:tc>
      </w:tr>
      <w:tr>
        <w:trPr>
          <w:trHeight w:val="143"/>
        </w:trPr>
        <w:tc>
          <w:tcPr>
            <w:tcW w:w="9200" w:type="dxa"/>
            <w:vAlign w:val="bottom"/>
          </w:tcPr>
          <w:p>
            <w:pPr>
              <w:spacing w:after="0"/>
              <w:rPr>
                <w:sz w:val="20"/>
                <w:szCs w:val="20"/>
                <w:color w:val="auto"/>
              </w:rPr>
            </w:pPr>
            <w:r>
              <w:rPr>
                <w:rFonts w:ascii="Arial" w:cs="Arial" w:eastAsia="Arial" w:hAnsi="Arial"/>
                <w:sz w:val="11"/>
                <w:szCs w:val="11"/>
                <w:color w:val="auto"/>
              </w:rPr>
              <w:t>Adjustments:</w:t>
            </w: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5"/>
        </w:trPr>
        <w:tc>
          <w:tcPr>
            <w:tcW w:w="92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purchases of short-term investments</w:t>
            </w:r>
          </w:p>
        </w:tc>
        <w:tc>
          <w:tcPr>
            <w:tcW w:w="9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457</w:t>
            </w:r>
          </w:p>
        </w:tc>
      </w:tr>
      <w:tr>
        <w:trPr>
          <w:trHeight w:val="143"/>
        </w:trPr>
        <w:tc>
          <w:tcPr>
            <w:tcW w:w="92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Decrease in restricted cash</w:t>
            </w: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r>
      <w:tr>
        <w:trPr>
          <w:trHeight w:val="150"/>
        </w:trPr>
        <w:tc>
          <w:tcPr>
            <w:tcW w:w="9200" w:type="dxa"/>
            <w:vAlign w:val="bottom"/>
            <w:tcBorders>
              <w:bottom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Adjusted net cash used in investing activities</w:t>
            </w: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(745)</w:t>
            </w:r>
          </w:p>
        </w:tc>
      </w:tr>
    </w:tbl>
    <w:p>
      <w:pPr>
        <w:sectPr>
          <w:pgSz w:w="11900" w:h="16838" w:orient="portrait"/>
          <w:cols w:equalWidth="0" w:num="1">
            <w:col w:w="11308"/>
          </w:cols>
          <w:pgMar w:left="292" w:top="128"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American Airlines Reports First-Quarter 2025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April 24, 2025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Page 12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American Airlines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(In millions, except shares)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240" w:type="dxa"/>
            <w:vAlign w:val="bottom"/>
          </w:tcPr>
          <w:p>
            <w:pPr>
              <w:spacing w:after="0"/>
              <w:rPr>
                <w:sz w:val="11"/>
                <w:szCs w:val="11"/>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March 31, 2025</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rPr>
              <w:t>December 31, 2024</w:t>
            </w:r>
          </w:p>
        </w:tc>
      </w:tr>
      <w:tr>
        <w:trPr>
          <w:trHeight w:val="124"/>
        </w:trPr>
        <w:tc>
          <w:tcPr>
            <w:tcW w:w="7240" w:type="dxa"/>
            <w:vAlign w:val="bottom"/>
          </w:tcPr>
          <w:p>
            <w:pPr>
              <w:spacing w:after="0"/>
              <w:rPr>
                <w:sz w:val="10"/>
                <w:szCs w:val="10"/>
                <w:color w:val="auto"/>
              </w:rPr>
            </w:pPr>
          </w:p>
        </w:tc>
        <w:tc>
          <w:tcPr>
            <w:tcW w:w="1460" w:type="dxa"/>
            <w:vAlign w:val="bottom"/>
          </w:tcPr>
          <w:p>
            <w:pPr>
              <w:jc w:val="right"/>
              <w:ind w:right="170"/>
              <w:spacing w:after="0"/>
              <w:rPr>
                <w:sz w:val="20"/>
                <w:szCs w:val="20"/>
                <w:color w:val="auto"/>
              </w:rPr>
            </w:pPr>
            <w:r>
              <w:rPr>
                <w:rFonts w:ascii="Arial" w:cs="Arial" w:eastAsia="Arial" w:hAnsi="Arial"/>
                <w:sz w:val="10"/>
                <w:szCs w:val="10"/>
                <w:color w:val="auto"/>
              </w:rPr>
              <w:t>(unaudited)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spacing w:after="0"/>
              <w:rPr>
                <w:sz w:val="10"/>
                <w:szCs w:val="10"/>
                <w:color w:val="auto"/>
              </w:rPr>
            </w:pPr>
          </w:p>
        </w:tc>
      </w:tr>
      <w:tr>
        <w:trPr>
          <w:trHeight w:val="138"/>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Current assets</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Cash</w:t>
            </w:r>
          </w:p>
        </w:tc>
        <w:tc>
          <w:tcPr>
            <w:tcW w:w="1460" w:type="dxa"/>
            <w:vAlign w:val="bottom"/>
            <w:shd w:val="clear" w:color="auto" w:fill="CCEEFF"/>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804</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Short-term investments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6,631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6,180</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Restricted cash and short-term investments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732</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Accounts receivable, net</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1,928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2,006</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Aircraft fuel, spare parts and supplies, net</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2,638</w:t>
            </w:r>
          </w:p>
        </w:tc>
      </w:tr>
      <w:tr>
        <w:trPr>
          <w:trHeight w:val="13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Prepaid expenses and other</w:t>
            </w: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909</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794</w:t>
            </w:r>
          </w:p>
        </w:tc>
      </w:tr>
      <w:tr>
        <w:trPr>
          <w:trHeight w:val="124"/>
        </w:trPr>
        <w:tc>
          <w:tcPr>
            <w:tcW w:w="7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current assets</w:t>
            </w:r>
          </w:p>
        </w:tc>
        <w:tc>
          <w:tcPr>
            <w:tcW w:w="14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13,603</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13,154</w:t>
            </w: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Operating property and equipment</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Flight equipment</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43,738</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43,521</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Ground property and equipment</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10,306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10,202</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Equipment purchase deposits</w:t>
            </w:r>
          </w:p>
        </w:tc>
        <w:tc>
          <w:tcPr>
            <w:tcW w:w="14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1,063</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1,012</w:t>
            </w:r>
          </w:p>
        </w:tc>
      </w:tr>
      <w:tr>
        <w:trPr>
          <w:trHeight w:val="124"/>
        </w:trPr>
        <w:tc>
          <w:tcPr>
            <w:tcW w:w="7240" w:type="dxa"/>
            <w:vAlign w:val="bottom"/>
          </w:tcPr>
          <w:p>
            <w:pPr>
              <w:ind w:left="360"/>
              <w:spacing w:after="0"/>
              <w:rPr>
                <w:sz w:val="20"/>
                <w:szCs w:val="20"/>
                <w:color w:val="auto"/>
              </w:rPr>
            </w:pPr>
            <w:r>
              <w:rPr>
                <w:rFonts w:ascii="Arial" w:cs="Arial" w:eastAsia="Arial" w:hAnsi="Arial"/>
                <w:sz w:val="10"/>
                <w:szCs w:val="10"/>
                <w:color w:val="auto"/>
              </w:rPr>
              <w:t>Total property and equipment, at cost</w:t>
            </w:r>
          </w:p>
        </w:tc>
        <w:tc>
          <w:tcPr>
            <w:tcW w:w="14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55,107</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54,735</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Less accumulated depreciation and amortization</w:t>
            </w:r>
          </w:p>
        </w:tc>
        <w:tc>
          <w:tcPr>
            <w:tcW w:w="14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(23,792)</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(23,608)</w:t>
            </w:r>
          </w:p>
        </w:tc>
      </w:tr>
      <w:tr>
        <w:trPr>
          <w:trHeight w:val="124"/>
        </w:trPr>
        <w:tc>
          <w:tcPr>
            <w:tcW w:w="7240" w:type="dxa"/>
            <w:vAlign w:val="bottom"/>
          </w:tcPr>
          <w:p>
            <w:pPr>
              <w:ind w:left="360"/>
              <w:spacing w:after="0"/>
              <w:rPr>
                <w:sz w:val="20"/>
                <w:szCs w:val="20"/>
                <w:color w:val="auto"/>
              </w:rPr>
            </w:pPr>
            <w:r>
              <w:rPr>
                <w:rFonts w:ascii="Arial" w:cs="Arial" w:eastAsia="Arial" w:hAnsi="Arial"/>
                <w:sz w:val="10"/>
                <w:szCs w:val="10"/>
                <w:color w:val="auto"/>
              </w:rPr>
              <w:t>Total property and equipment, net</w:t>
            </w:r>
          </w:p>
        </w:tc>
        <w:tc>
          <w:tcPr>
            <w:tcW w:w="14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31,315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31,127</w:t>
            </w: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lease right-of-use assets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7,442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7,333</w:t>
            </w: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Other assets</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Goodwill</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4,091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4,091</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Intangibles, net</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2,042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2,044</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Deferred tax asset</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2,485</w:t>
            </w:r>
          </w:p>
        </w:tc>
      </w:tr>
      <w:tr>
        <w:trPr>
          <w:trHeight w:val="13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Other assets</w:t>
            </w: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1,549</w:t>
            </w:r>
          </w:p>
        </w:tc>
      </w:tr>
      <w:tr>
        <w:trPr>
          <w:trHeight w:val="124"/>
        </w:trPr>
        <w:tc>
          <w:tcPr>
            <w:tcW w:w="7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other assets</w:t>
            </w:r>
          </w:p>
        </w:tc>
        <w:tc>
          <w:tcPr>
            <w:tcW w:w="14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10,249</w:t>
            </w:r>
          </w:p>
        </w:tc>
        <w:tc>
          <w:tcPr>
            <w:tcW w:w="10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10,169</w:t>
            </w:r>
          </w:p>
        </w:tc>
      </w:tr>
      <w:tr>
        <w:trPr>
          <w:trHeight w:val="140"/>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assets</w:t>
            </w:r>
          </w:p>
        </w:tc>
        <w:tc>
          <w:tcPr>
            <w:tcW w:w="1460" w:type="dxa"/>
            <w:vAlign w:val="bottom"/>
            <w:tcBorders>
              <w:bottom w:val="single" w:sz="8" w:color="auto"/>
            </w:tcBorders>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62,609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61,783</w:t>
            </w:r>
          </w:p>
        </w:tc>
      </w:tr>
      <w:tr>
        <w:trPr>
          <w:trHeight w:val="117"/>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 and Stockholders’ Equity (Deficit)</w:t>
            </w:r>
          </w:p>
        </w:tc>
        <w:tc>
          <w:tcPr>
            <w:tcW w:w="14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Current liabilities</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Current maturities of long-term debt and finance leases</w:t>
            </w:r>
          </w:p>
        </w:tc>
        <w:tc>
          <w:tcPr>
            <w:tcW w:w="1460" w:type="dxa"/>
            <w:vAlign w:val="bottom"/>
            <w:shd w:val="clear" w:color="auto" w:fill="CCEEFF"/>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4,729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5,322</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Accounts payable</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3,114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2,455</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Accrued salaries and wages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2,150</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Air traffic liability</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8,932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6,759</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Loyalty program liability</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3,556</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Operating lease liabilities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1,096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1,092</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Other accrued liabilities</w:t>
            </w:r>
          </w:p>
        </w:tc>
        <w:tc>
          <w:tcPr>
            <w:tcW w:w="14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2,751</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2,961</w:t>
            </w:r>
          </w:p>
        </w:tc>
      </w:tr>
      <w:tr>
        <w:trPr>
          <w:trHeight w:val="124"/>
        </w:trPr>
        <w:tc>
          <w:tcPr>
            <w:tcW w:w="7240" w:type="dxa"/>
            <w:vAlign w:val="bottom"/>
          </w:tcPr>
          <w:p>
            <w:pPr>
              <w:ind w:left="360"/>
              <w:spacing w:after="0"/>
              <w:rPr>
                <w:sz w:val="20"/>
                <w:szCs w:val="20"/>
                <w:color w:val="auto"/>
              </w:rPr>
            </w:pPr>
            <w:r>
              <w:rPr>
                <w:rFonts w:ascii="Arial" w:cs="Arial" w:eastAsia="Arial" w:hAnsi="Arial"/>
                <w:sz w:val="10"/>
                <w:szCs w:val="10"/>
                <w:color w:val="auto"/>
              </w:rPr>
              <w:t>Total current liabilities</w:t>
            </w:r>
          </w:p>
        </w:tc>
        <w:tc>
          <w:tcPr>
            <w:tcW w:w="14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26,112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24,295</w:t>
            </w:r>
          </w:p>
        </w:tc>
      </w:tr>
      <w:tr>
        <w:trPr>
          <w:trHeight w:val="135"/>
        </w:trPr>
        <w:tc>
          <w:tcPr>
            <w:tcW w:w="72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Noncurrent liabilities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Long-term debt and finance leases, net of current maturities</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24,713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25,154</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Pension and postretirement benefits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2,128</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Loyalty program liability</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6,708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6,498</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Operating lease liabilities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6,062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5,976</w:t>
            </w:r>
          </w:p>
        </w:tc>
      </w:tr>
      <w:tr>
        <w:trPr>
          <w:trHeight w:val="13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Other liabilities</w:t>
            </w: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1,653</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1,709</w:t>
            </w:r>
          </w:p>
        </w:tc>
      </w:tr>
      <w:tr>
        <w:trPr>
          <w:trHeight w:val="124"/>
        </w:trPr>
        <w:tc>
          <w:tcPr>
            <w:tcW w:w="7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noncurrent liabilities</w:t>
            </w:r>
          </w:p>
        </w:tc>
        <w:tc>
          <w:tcPr>
            <w:tcW w:w="14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41,005</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41,465</w:t>
            </w:r>
          </w:p>
        </w:tc>
      </w:tr>
      <w:tr>
        <w:trPr>
          <w:trHeight w:val="135"/>
        </w:trPr>
        <w:tc>
          <w:tcPr>
            <w:tcW w:w="7240" w:type="dxa"/>
            <w:vAlign w:val="bottom"/>
          </w:tcPr>
          <w:p>
            <w:pPr>
              <w:spacing w:after="0"/>
              <w:rPr>
                <w:sz w:val="20"/>
                <w:szCs w:val="20"/>
                <w:color w:val="auto"/>
              </w:rPr>
            </w:pPr>
            <w:r>
              <w:rPr>
                <w:rFonts w:ascii="Arial" w:cs="Arial" w:eastAsia="Arial" w:hAnsi="Arial"/>
                <w:sz w:val="10"/>
                <w:szCs w:val="10"/>
                <w:b w:val="1"/>
                <w:bCs w:val="1"/>
                <w:color w:val="auto"/>
              </w:rPr>
              <w:t>Stockholders' equity (deficit)</w:t>
            </w:r>
          </w:p>
        </w:tc>
        <w:tc>
          <w:tcPr>
            <w:tcW w:w="1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Common stock, 659,481,003 shares outstanding at March 31, 2025</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w:t>
            </w:r>
          </w:p>
        </w:tc>
      </w:tr>
      <w:tr>
        <w:trPr>
          <w:trHeight w:val="135"/>
        </w:trPr>
        <w:tc>
          <w:tcPr>
            <w:tcW w:w="7240" w:type="dxa"/>
            <w:vAlign w:val="bottom"/>
          </w:tcPr>
          <w:p>
            <w:pPr>
              <w:ind w:left="220"/>
              <w:spacing w:after="0"/>
              <w:rPr>
                <w:sz w:val="20"/>
                <w:szCs w:val="20"/>
                <w:color w:val="auto"/>
              </w:rPr>
            </w:pPr>
            <w:r>
              <w:rPr>
                <w:rFonts w:ascii="Arial" w:cs="Arial" w:eastAsia="Arial" w:hAnsi="Arial"/>
                <w:sz w:val="10"/>
                <w:szCs w:val="10"/>
                <w:color w:val="auto"/>
              </w:rPr>
              <w:t>Additional paid-in capital</w:t>
            </w:r>
          </w:p>
        </w:tc>
        <w:tc>
          <w:tcPr>
            <w:tcW w:w="14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7,348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jc w:val="right"/>
              <w:ind w:right="9"/>
              <w:spacing w:after="0"/>
              <w:rPr>
                <w:sz w:val="20"/>
                <w:szCs w:val="20"/>
                <w:color w:val="auto"/>
              </w:rPr>
            </w:pPr>
            <w:r>
              <w:rPr>
                <w:rFonts w:ascii="Arial" w:cs="Arial" w:eastAsia="Arial" w:hAnsi="Arial"/>
                <w:sz w:val="10"/>
                <w:szCs w:val="10"/>
                <w:color w:val="auto"/>
              </w:rPr>
              <w:t>7,424</w:t>
            </w:r>
          </w:p>
        </w:tc>
      </w:tr>
      <w:tr>
        <w:trPr>
          <w:trHeight w:val="135"/>
        </w:trPr>
        <w:tc>
          <w:tcPr>
            <w:tcW w:w="724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Accumulated other comprehensive loss</w:t>
            </w:r>
          </w:p>
        </w:tc>
        <w:tc>
          <w:tcPr>
            <w:tcW w:w="1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(4,565)</w:t>
            </w:r>
          </w:p>
        </w:tc>
      </w:tr>
      <w:tr>
        <w:trPr>
          <w:trHeight w:val="13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Retained deficit</w:t>
            </w: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(7,316)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(6,843)</w:t>
            </w:r>
          </w:p>
        </w:tc>
      </w:tr>
      <w:tr>
        <w:trPr>
          <w:trHeight w:val="124"/>
        </w:trPr>
        <w:tc>
          <w:tcPr>
            <w:tcW w:w="7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stockholders' deficit</w:t>
            </w:r>
          </w:p>
        </w:tc>
        <w:tc>
          <w:tcPr>
            <w:tcW w:w="14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(4,508)</w:t>
            </w:r>
          </w:p>
        </w:tc>
        <w:tc>
          <w:tcPr>
            <w:tcW w:w="10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(3,977)</w:t>
            </w:r>
          </w:p>
        </w:tc>
      </w:tr>
      <w:tr>
        <w:trPr>
          <w:trHeight w:val="124"/>
        </w:trPr>
        <w:tc>
          <w:tcPr>
            <w:tcW w:w="7240" w:type="dxa"/>
            <w:vAlign w:val="bottom"/>
          </w:tcPr>
          <w:p>
            <w:pPr>
              <w:ind w:left="360"/>
              <w:spacing w:after="0"/>
              <w:rPr>
                <w:sz w:val="20"/>
                <w:szCs w:val="20"/>
                <w:color w:val="auto"/>
              </w:rPr>
            </w:pPr>
            <w:r>
              <w:rPr>
                <w:rFonts w:ascii="Arial" w:cs="Arial" w:eastAsia="Arial" w:hAnsi="Arial"/>
                <w:sz w:val="10"/>
                <w:szCs w:val="10"/>
                <w:b w:val="1"/>
                <w:bCs w:val="1"/>
                <w:color w:val="auto"/>
              </w:rPr>
              <w:t>Total liabilities and stockholders’ equity (deficit)</w:t>
            </w:r>
          </w:p>
        </w:tc>
        <w:tc>
          <w:tcPr>
            <w:tcW w:w="1460" w:type="dxa"/>
            <w:vAlign w:val="bottom"/>
            <w:tcBorders>
              <w:bottom w:val="single" w:sz="8" w:color="auto"/>
            </w:tcBorders>
          </w:tcPr>
          <w:p>
            <w:pPr>
              <w:jc w:val="right"/>
              <w:ind w:right="133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62,609</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61,783</w:t>
            </w:r>
          </w:p>
        </w:tc>
      </w:tr>
      <w:tr>
        <w:trPr>
          <w:trHeight w:val="20"/>
        </w:trPr>
        <w:tc>
          <w:tcPr>
            <w:tcW w:w="7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28" w:right="29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2717165</wp:posOffset>
            </wp:positionH>
            <wp:positionV relativeFrom="page">
              <wp:posOffset>88900</wp:posOffset>
            </wp:positionV>
            <wp:extent cx="2114550" cy="320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114550" cy="320040"/>
                    </a:xfrm>
                    <a:prstGeom prst="rect">
                      <a:avLst/>
                    </a:prstGeom>
                    <a:noFill/>
                  </pic:spPr>
                </pic:pic>
              </a:graphicData>
            </a:graphic>
          </wp:anchor>
        </w:drawing>
        <w:t>Exhibit 99.3</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Update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April 24, 2025</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General Overview</w:t>
      </w:r>
    </w:p>
    <w:p>
      <w:pPr>
        <w:spacing w:after="0" w:line="135" w:lineRule="exact"/>
        <w:rPr>
          <w:sz w:val="20"/>
          <w:szCs w:val="20"/>
          <w:color w:val="auto"/>
        </w:rPr>
      </w:pPr>
    </w:p>
    <w:p>
      <w:pPr>
        <w:ind w:left="240" w:hanging="236"/>
        <w:spacing w:after="0"/>
        <w:tabs>
          <w:tab w:leader="none" w:pos="240" w:val="left"/>
        </w:tabs>
        <w:numPr>
          <w:ilvl w:val="0"/>
          <w:numId w:val="14"/>
        </w:numPr>
        <w:rPr>
          <w:rFonts w:ascii="Arial" w:cs="Arial" w:eastAsia="Arial" w:hAnsi="Arial"/>
          <w:sz w:val="11"/>
          <w:szCs w:val="11"/>
          <w:color w:val="auto"/>
        </w:rPr>
      </w:pPr>
      <w:r>
        <w:rPr>
          <w:rFonts w:ascii="Arial" w:cs="Arial" w:eastAsia="Arial" w:hAnsi="Arial"/>
          <w:sz w:val="11"/>
          <w:szCs w:val="11"/>
          <w:b w:val="1"/>
          <w:bCs w:val="1"/>
          <w:color w:val="auto"/>
        </w:rPr>
        <w:t xml:space="preserve">Capacity </w:t>
      </w:r>
      <w:r>
        <w:rPr>
          <w:rFonts w:ascii="Arial" w:cs="Arial" w:eastAsia="Arial" w:hAnsi="Arial"/>
          <w:sz w:val="11"/>
          <w:szCs w:val="11"/>
          <w:color w:val="auto"/>
        </w:rPr>
        <w:t>- The company expects its second-quarter capacity to be up approximately 2.0% to 4.0% versus the second quarter of 2024.</w:t>
      </w:r>
    </w:p>
    <w:p>
      <w:pPr>
        <w:spacing w:after="0" w:line="71" w:lineRule="exact"/>
        <w:rPr>
          <w:rFonts w:ascii="Arial" w:cs="Arial" w:eastAsia="Arial" w:hAnsi="Arial"/>
          <w:sz w:val="11"/>
          <w:szCs w:val="11"/>
          <w:color w:val="auto"/>
        </w:rPr>
      </w:pPr>
    </w:p>
    <w:p>
      <w:pPr>
        <w:ind w:left="240" w:hanging="236"/>
        <w:spacing w:after="0"/>
        <w:tabs>
          <w:tab w:leader="none" w:pos="240" w:val="left"/>
        </w:tabs>
        <w:numPr>
          <w:ilvl w:val="0"/>
          <w:numId w:val="14"/>
        </w:numPr>
        <w:rPr>
          <w:rFonts w:ascii="Arial" w:cs="Arial" w:eastAsia="Arial" w:hAnsi="Arial"/>
          <w:sz w:val="11"/>
          <w:szCs w:val="11"/>
          <w:color w:val="auto"/>
        </w:rPr>
      </w:pPr>
      <w:r>
        <w:rPr>
          <w:rFonts w:ascii="Arial" w:cs="Arial" w:eastAsia="Arial" w:hAnsi="Arial"/>
          <w:sz w:val="11"/>
          <w:szCs w:val="11"/>
          <w:b w:val="1"/>
          <w:bCs w:val="1"/>
          <w:color w:val="auto"/>
        </w:rPr>
        <w:t xml:space="preserve">Total revenue </w:t>
      </w:r>
      <w:r>
        <w:rPr>
          <w:rFonts w:ascii="Arial" w:cs="Arial" w:eastAsia="Arial" w:hAnsi="Arial"/>
          <w:sz w:val="11"/>
          <w:szCs w:val="11"/>
          <w:color w:val="auto"/>
        </w:rPr>
        <w:t>- Second-quarter total revenue is expected to be down approximately 2.0% to up approximately 1.0% versus the second quarter of 2024.</w:t>
      </w:r>
    </w:p>
    <w:p>
      <w:pPr>
        <w:spacing w:after="0" w:line="71" w:lineRule="exact"/>
        <w:rPr>
          <w:rFonts w:ascii="Arial" w:cs="Arial" w:eastAsia="Arial" w:hAnsi="Arial"/>
          <w:sz w:val="11"/>
          <w:szCs w:val="11"/>
          <w:color w:val="auto"/>
        </w:rPr>
      </w:pPr>
    </w:p>
    <w:p>
      <w:pPr>
        <w:ind w:left="240" w:hanging="236"/>
        <w:spacing w:after="0"/>
        <w:tabs>
          <w:tab w:leader="none" w:pos="240" w:val="left"/>
        </w:tabs>
        <w:numPr>
          <w:ilvl w:val="0"/>
          <w:numId w:val="14"/>
        </w:numPr>
        <w:rPr>
          <w:rFonts w:ascii="Arial" w:cs="Arial" w:eastAsia="Arial" w:hAnsi="Arial"/>
          <w:sz w:val="11"/>
          <w:szCs w:val="11"/>
          <w:color w:val="auto"/>
        </w:rPr>
      </w:pPr>
      <w:r>
        <w:rPr>
          <w:rFonts w:ascii="Arial" w:cs="Arial" w:eastAsia="Arial" w:hAnsi="Arial"/>
          <w:sz w:val="11"/>
          <w:szCs w:val="11"/>
          <w:b w:val="1"/>
          <w:bCs w:val="1"/>
          <w:color w:val="auto"/>
        </w:rPr>
        <w:t>CASM-ex</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 xml:space="preserve"> </w:t>
      </w:r>
      <w:r>
        <w:rPr>
          <w:rFonts w:ascii="Arial" w:cs="Arial" w:eastAsia="Arial" w:hAnsi="Arial"/>
          <w:sz w:val="11"/>
          <w:szCs w:val="11"/>
          <w:color w:val="auto"/>
        </w:rPr>
        <w:t>- The company expects its second-quarter CASM-ex to be up approximately 3.0% to 5.0% versus the second quarter of 2024.</w:t>
      </w:r>
    </w:p>
    <w:p>
      <w:pPr>
        <w:spacing w:after="0" w:line="37" w:lineRule="exact"/>
        <w:rPr>
          <w:rFonts w:ascii="Arial" w:cs="Arial" w:eastAsia="Arial" w:hAnsi="Arial"/>
          <w:sz w:val="11"/>
          <w:szCs w:val="11"/>
          <w:color w:val="auto"/>
        </w:rPr>
      </w:pPr>
    </w:p>
    <w:p>
      <w:pPr>
        <w:ind w:left="240" w:hanging="236"/>
        <w:spacing w:after="0"/>
        <w:tabs>
          <w:tab w:leader="none" w:pos="240" w:val="left"/>
        </w:tabs>
        <w:numPr>
          <w:ilvl w:val="0"/>
          <w:numId w:val="14"/>
        </w:numPr>
        <w:rPr>
          <w:rFonts w:ascii="Arial" w:cs="Arial" w:eastAsia="Arial" w:hAnsi="Arial"/>
          <w:sz w:val="11"/>
          <w:szCs w:val="11"/>
          <w:color w:val="auto"/>
        </w:rPr>
      </w:pPr>
      <w:r>
        <w:rPr>
          <w:rFonts w:ascii="Arial" w:cs="Arial" w:eastAsia="Arial" w:hAnsi="Arial"/>
          <w:sz w:val="11"/>
          <w:szCs w:val="11"/>
          <w:b w:val="1"/>
          <w:bCs w:val="1"/>
          <w:color w:val="auto"/>
        </w:rPr>
        <w:t>Adjusted operating margin</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 xml:space="preserve"> </w:t>
      </w:r>
      <w:r>
        <w:rPr>
          <w:rFonts w:ascii="Arial" w:cs="Arial" w:eastAsia="Arial" w:hAnsi="Arial"/>
          <w:sz w:val="11"/>
          <w:szCs w:val="11"/>
          <w:color w:val="auto"/>
        </w:rPr>
        <w:t>- Based on current assumptions, the company expects its second-quarter adjusted operating margin to be approximately 6.0% to 8.5%.</w:t>
      </w:r>
    </w:p>
    <w:p>
      <w:pPr>
        <w:spacing w:after="0" w:line="37" w:lineRule="exact"/>
        <w:rPr>
          <w:rFonts w:ascii="Arial" w:cs="Arial" w:eastAsia="Arial" w:hAnsi="Arial"/>
          <w:sz w:val="11"/>
          <w:szCs w:val="11"/>
          <w:color w:val="auto"/>
        </w:rPr>
      </w:pPr>
    </w:p>
    <w:p>
      <w:pPr>
        <w:ind w:left="240" w:hanging="236"/>
        <w:spacing w:after="0"/>
        <w:tabs>
          <w:tab w:leader="none" w:pos="240" w:val="left"/>
        </w:tabs>
        <w:numPr>
          <w:ilvl w:val="0"/>
          <w:numId w:val="14"/>
        </w:numPr>
        <w:rPr>
          <w:rFonts w:ascii="Arial" w:cs="Arial" w:eastAsia="Arial" w:hAnsi="Arial"/>
          <w:sz w:val="11"/>
          <w:szCs w:val="11"/>
          <w:color w:val="auto"/>
        </w:rPr>
      </w:pPr>
      <w:r>
        <w:rPr>
          <w:rFonts w:ascii="Arial" w:cs="Arial" w:eastAsia="Arial" w:hAnsi="Arial"/>
          <w:sz w:val="11"/>
          <w:szCs w:val="11"/>
          <w:b w:val="1"/>
          <w:bCs w:val="1"/>
          <w:color w:val="auto"/>
        </w:rPr>
        <w:t xml:space="preserve">Taxes </w:t>
      </w:r>
      <w:r>
        <w:rPr>
          <w:rFonts w:ascii="Arial" w:cs="Arial" w:eastAsia="Arial" w:hAnsi="Arial"/>
          <w:sz w:val="11"/>
          <w:szCs w:val="11"/>
          <w:color w:val="auto"/>
        </w:rPr>
        <w:t>- The company expects a provision for income taxes at an estimated effective tax rate of approximately 27% for the second quarter, which is expected to be substantially non-cash.</w:t>
      </w:r>
    </w:p>
    <w:p>
      <w:pPr>
        <w:spacing w:after="0" w:line="71" w:lineRule="exact"/>
        <w:rPr>
          <w:rFonts w:ascii="Arial" w:cs="Arial" w:eastAsia="Arial" w:hAnsi="Arial"/>
          <w:sz w:val="11"/>
          <w:szCs w:val="11"/>
          <w:color w:val="auto"/>
        </w:rPr>
      </w:pPr>
    </w:p>
    <w:p>
      <w:pPr>
        <w:ind w:left="240" w:hanging="236"/>
        <w:spacing w:after="0"/>
        <w:tabs>
          <w:tab w:leader="none" w:pos="240" w:val="left"/>
        </w:tabs>
        <w:numPr>
          <w:ilvl w:val="0"/>
          <w:numId w:val="14"/>
        </w:numPr>
        <w:rPr>
          <w:rFonts w:ascii="Arial" w:cs="Arial" w:eastAsia="Arial" w:hAnsi="Arial"/>
          <w:sz w:val="10"/>
          <w:szCs w:val="10"/>
          <w:color w:val="auto"/>
        </w:rPr>
      </w:pPr>
      <w:r>
        <w:rPr>
          <w:rFonts w:ascii="Arial" w:cs="Arial" w:eastAsia="Arial" w:hAnsi="Arial"/>
          <w:sz w:val="10"/>
          <w:szCs w:val="10"/>
          <w:b w:val="1"/>
          <w:bCs w:val="1"/>
          <w:color w:val="auto"/>
        </w:rPr>
        <w:t>Adjusted EPS</w:t>
      </w:r>
      <w:r>
        <w:rPr>
          <w:rFonts w:ascii="Arial" w:cs="Arial" w:eastAsia="Arial" w:hAnsi="Arial"/>
          <w:sz w:val="13"/>
          <w:szCs w:val="13"/>
          <w:b w:val="1"/>
          <w:bCs w:val="1"/>
          <w:color w:val="auto"/>
          <w:vertAlign w:val="superscript"/>
        </w:rPr>
        <w:t>1</w:t>
      </w:r>
      <w:r>
        <w:rPr>
          <w:rFonts w:ascii="Arial" w:cs="Arial" w:eastAsia="Arial" w:hAnsi="Arial"/>
          <w:sz w:val="10"/>
          <w:szCs w:val="10"/>
          <w:b w:val="1"/>
          <w:bCs w:val="1"/>
          <w:color w:val="auto"/>
        </w:rPr>
        <w:t xml:space="preserve"> </w:t>
      </w:r>
      <w:r>
        <w:rPr>
          <w:rFonts w:ascii="Arial" w:cs="Arial" w:eastAsia="Arial" w:hAnsi="Arial"/>
          <w:sz w:val="10"/>
          <w:szCs w:val="10"/>
          <w:color w:val="auto"/>
        </w:rPr>
        <w:t>- Based on the assumptions outlined above, the company expects its second-quarter adjusted earnings per diluted share to be between $0.50 and $1.00 based on an expected share count of 660.4 million shares.</w:t>
      </w:r>
    </w:p>
    <w:p>
      <w:pPr>
        <w:spacing w:after="0" w:line="64" w:lineRule="exact"/>
        <w:rPr>
          <w:sz w:val="20"/>
          <w:szCs w:val="20"/>
          <w:color w:val="auto"/>
        </w:rPr>
      </w:pPr>
    </w:p>
    <w:tbl>
      <w:tblPr>
        <w:tblLayout w:type="fixed"/>
        <w:tblInd w:w="90" w:type="dxa"/>
        <w:tblCellMar>
          <w:top w:w="0" w:type="dxa"/>
          <w:left w:w="0" w:type="dxa"/>
          <w:bottom w:w="0" w:type="dxa"/>
          <w:right w:w="0" w:type="dxa"/>
        </w:tblCellMar>
      </w:tblPr>
      <w:tr>
        <w:trPr>
          <w:trHeight w:val="153"/>
        </w:trPr>
        <w:tc>
          <w:tcPr>
            <w:tcW w:w="5640" w:type="dxa"/>
            <w:vAlign w:val="bottom"/>
            <w:tcBorders>
              <w:top w:val="single" w:sz="8" w:color="auto"/>
              <w:left w:val="single" w:sz="8" w:color="auto"/>
            </w:tcBorders>
          </w:tcPr>
          <w:p>
            <w:pPr>
              <w:spacing w:after="0"/>
              <w:rPr>
                <w:sz w:val="13"/>
                <w:szCs w:val="13"/>
                <w:color w:val="auto"/>
              </w:rPr>
            </w:pPr>
          </w:p>
        </w:tc>
        <w:tc>
          <w:tcPr>
            <w:tcW w:w="3720" w:type="dxa"/>
            <w:vAlign w:val="bottom"/>
            <w:tcBorders>
              <w:top w:val="single" w:sz="8" w:color="auto"/>
              <w:bottom w:val="single" w:sz="8" w:color="auto"/>
            </w:tcBorders>
          </w:tcPr>
          <w:p>
            <w:pPr>
              <w:jc w:val="center"/>
              <w:ind w:left="1726"/>
              <w:spacing w:after="0" w:line="153" w:lineRule="exact"/>
              <w:rPr>
                <w:sz w:val="20"/>
                <w:szCs w:val="20"/>
                <w:color w:val="auto"/>
              </w:rPr>
            </w:pPr>
            <w:r>
              <w:rPr>
                <w:rFonts w:ascii="Arial" w:cs="Arial" w:eastAsia="Arial" w:hAnsi="Arial"/>
                <w:sz w:val="11"/>
                <w:szCs w:val="11"/>
                <w:b w:val="1"/>
                <w:bCs w:val="1"/>
                <w:color w:val="auto"/>
                <w:w w:val="96"/>
              </w:rPr>
              <w:t>Q2 2025</w:t>
            </w:r>
            <w:r>
              <w:rPr>
                <w:rFonts w:ascii="Arial" w:cs="Arial" w:eastAsia="Arial" w:hAnsi="Arial"/>
                <w:sz w:val="14"/>
                <w:szCs w:val="14"/>
                <w:b w:val="1"/>
                <w:bCs w:val="1"/>
                <w:color w:val="auto"/>
                <w:w w:val="96"/>
                <w:vertAlign w:val="superscript"/>
              </w:rPr>
              <w:t>1</w:t>
            </w:r>
          </w:p>
        </w:tc>
        <w:tc>
          <w:tcPr>
            <w:tcW w:w="1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right w:val="single" w:sz="8" w:color="auto"/>
            </w:tcBorders>
          </w:tcPr>
          <w:p>
            <w:pPr>
              <w:spacing w:after="0"/>
              <w:rPr>
                <w:sz w:val="13"/>
                <w:szCs w:val="13"/>
                <w:color w:val="auto"/>
              </w:rPr>
            </w:pPr>
          </w:p>
        </w:tc>
      </w:tr>
      <w:tr>
        <w:trPr>
          <w:trHeight w:val="131"/>
        </w:trPr>
        <w:tc>
          <w:tcPr>
            <w:tcW w:w="5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Available seat miles (ASMs)</w:t>
            </w:r>
          </w:p>
        </w:tc>
        <w:tc>
          <w:tcPr>
            <w:tcW w:w="37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 +2.0% to +4.0%</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9"/>
              </w:rPr>
              <w:t>(vs. Q2 24)</w:t>
            </w:r>
          </w:p>
        </w:tc>
      </w:tr>
      <w:tr>
        <w:trPr>
          <w:trHeight w:val="144"/>
        </w:trPr>
        <w:tc>
          <w:tcPr>
            <w:tcW w:w="5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Total revenue</w:t>
            </w:r>
          </w:p>
        </w:tc>
        <w:tc>
          <w:tcPr>
            <w:tcW w:w="37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 -2.0% to +1.0%</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9"/>
              </w:rPr>
              <w:t>(vs. Q2 24)</w:t>
            </w:r>
          </w:p>
        </w:tc>
      </w:tr>
      <w:tr>
        <w:trPr>
          <w:trHeight w:val="144"/>
        </w:trPr>
        <w:tc>
          <w:tcPr>
            <w:tcW w:w="5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CASM excluding fuel and net special items</w:t>
            </w:r>
          </w:p>
        </w:tc>
        <w:tc>
          <w:tcPr>
            <w:tcW w:w="37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 +3.0% to +5.0%</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9"/>
              </w:rPr>
              <w:t>(vs. Q2 24)</w:t>
            </w:r>
          </w:p>
        </w:tc>
      </w:tr>
      <w:tr>
        <w:trPr>
          <w:trHeight w:val="144"/>
        </w:trPr>
        <w:tc>
          <w:tcPr>
            <w:tcW w:w="5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Adjusted operating margin</w:t>
            </w:r>
          </w:p>
        </w:tc>
        <w:tc>
          <w:tcPr>
            <w:tcW w:w="3720" w:type="dxa"/>
            <w:vAlign w:val="bottom"/>
          </w:tcPr>
          <w:p>
            <w:pPr>
              <w:spacing w:after="0"/>
              <w:rPr>
                <w:sz w:val="12"/>
                <w:szCs w:val="12"/>
                <w:color w:val="auto"/>
              </w:rPr>
            </w:pPr>
          </w:p>
        </w:tc>
        <w:tc>
          <w:tcPr>
            <w:tcW w:w="1780" w:type="dxa"/>
            <w:vAlign w:val="bottom"/>
            <w:tcBorders>
              <w:right w:val="single" w:sz="8" w:color="auto"/>
            </w:tcBorders>
            <w:gridSpan w:val="2"/>
          </w:tcPr>
          <w:p>
            <w:pPr>
              <w:jc w:val="right"/>
              <w:spacing w:after="0"/>
              <w:rPr>
                <w:sz w:val="20"/>
                <w:szCs w:val="20"/>
                <w:color w:val="auto"/>
              </w:rPr>
            </w:pPr>
            <w:r>
              <w:rPr>
                <w:rFonts w:ascii="Arial" w:cs="Arial" w:eastAsia="Arial" w:hAnsi="Arial"/>
                <w:sz w:val="11"/>
                <w:szCs w:val="11"/>
                <w:color w:val="auto"/>
              </w:rPr>
              <w:t>~ 6.0% to 8.5%</w:t>
            </w:r>
          </w:p>
        </w:tc>
      </w:tr>
      <w:tr>
        <w:trPr>
          <w:trHeight w:val="144"/>
        </w:trPr>
        <w:tc>
          <w:tcPr>
            <w:tcW w:w="5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Adjusted earnings per diluted share ($/share)</w:t>
            </w:r>
          </w:p>
        </w:tc>
        <w:tc>
          <w:tcPr>
            <w:tcW w:w="3720" w:type="dxa"/>
            <w:vAlign w:val="bottom"/>
          </w:tcPr>
          <w:p>
            <w:pPr>
              <w:spacing w:after="0"/>
              <w:rPr>
                <w:sz w:val="12"/>
                <w:szCs w:val="12"/>
                <w:color w:val="auto"/>
              </w:rPr>
            </w:pPr>
          </w:p>
        </w:tc>
        <w:tc>
          <w:tcPr>
            <w:tcW w:w="1780" w:type="dxa"/>
            <w:vAlign w:val="bottom"/>
            <w:tcBorders>
              <w:right w:val="single" w:sz="8" w:color="auto"/>
            </w:tcBorders>
            <w:gridSpan w:val="2"/>
          </w:tcPr>
          <w:p>
            <w:pPr>
              <w:jc w:val="right"/>
              <w:spacing w:after="0"/>
              <w:rPr>
                <w:sz w:val="20"/>
                <w:szCs w:val="20"/>
                <w:color w:val="auto"/>
              </w:rPr>
            </w:pPr>
            <w:r>
              <w:rPr>
                <w:rFonts w:ascii="Arial" w:cs="Arial" w:eastAsia="Arial" w:hAnsi="Arial"/>
                <w:sz w:val="11"/>
                <w:szCs w:val="11"/>
                <w:color w:val="auto"/>
              </w:rPr>
              <w:t>~ $0.50 to $1.00</w:t>
            </w:r>
          </w:p>
        </w:tc>
      </w:tr>
      <w:tr>
        <w:trPr>
          <w:trHeight w:val="146"/>
        </w:trPr>
        <w:tc>
          <w:tcPr>
            <w:tcW w:w="5640" w:type="dxa"/>
            <w:vAlign w:val="bottom"/>
            <w:tcBorders>
              <w:left w:val="single" w:sz="8" w:color="auto"/>
            </w:tcBorders>
          </w:tcPr>
          <w:p>
            <w:pPr>
              <w:spacing w:after="0"/>
              <w:rPr>
                <w:sz w:val="12"/>
                <w:szCs w:val="12"/>
                <w:color w:val="auto"/>
              </w:rPr>
            </w:pPr>
          </w:p>
        </w:tc>
        <w:tc>
          <w:tcPr>
            <w:tcW w:w="3720" w:type="dxa"/>
            <w:vAlign w:val="bottom"/>
            <w:tcBorders>
              <w:bottom w:val="single" w:sz="8" w:color="auto"/>
            </w:tcBorders>
          </w:tcPr>
          <w:p>
            <w:pPr>
              <w:jc w:val="center"/>
              <w:ind w:left="1706"/>
              <w:spacing w:after="0"/>
              <w:rPr>
                <w:sz w:val="20"/>
                <w:szCs w:val="20"/>
                <w:color w:val="auto"/>
              </w:rPr>
            </w:pPr>
            <w:r>
              <w:rPr>
                <w:rFonts w:ascii="Arial" w:cs="Arial" w:eastAsia="Arial" w:hAnsi="Arial"/>
                <w:sz w:val="11"/>
                <w:szCs w:val="11"/>
                <w:b w:val="1"/>
                <w:bCs w:val="1"/>
                <w:color w:val="auto"/>
                <w:w w:val="97"/>
              </w:rPr>
              <w:t>Q2 2025 Shares Forecast</w:t>
            </w:r>
          </w:p>
        </w:tc>
        <w:tc>
          <w:tcPr>
            <w:tcW w:w="12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r>
      <w:tr>
        <w:trPr>
          <w:trHeight w:val="133"/>
        </w:trPr>
        <w:tc>
          <w:tcPr>
            <w:tcW w:w="5640" w:type="dxa"/>
            <w:vAlign w:val="bottom"/>
            <w:tcBorders>
              <w:left w:val="single" w:sz="8" w:color="auto"/>
            </w:tcBorders>
          </w:tcPr>
          <w:p>
            <w:pPr>
              <w:spacing w:after="0"/>
              <w:rPr>
                <w:sz w:val="11"/>
                <w:szCs w:val="11"/>
                <w:color w:val="auto"/>
              </w:rPr>
            </w:pPr>
          </w:p>
        </w:tc>
        <w:tc>
          <w:tcPr>
            <w:tcW w:w="3720" w:type="dxa"/>
            <w:vAlign w:val="bottom"/>
            <w:tcBorders>
              <w:bottom w:val="single" w:sz="8" w:color="auto"/>
            </w:tcBorders>
          </w:tcPr>
          <w:p>
            <w:pPr>
              <w:ind w:left="2420"/>
              <w:spacing w:after="0" w:line="133" w:lineRule="exact"/>
              <w:rPr>
                <w:sz w:val="20"/>
                <w:szCs w:val="20"/>
                <w:color w:val="auto"/>
              </w:rPr>
            </w:pPr>
            <w:r>
              <w:rPr>
                <w:rFonts w:ascii="Arial" w:cs="Arial" w:eastAsia="Arial" w:hAnsi="Arial"/>
                <w:sz w:val="11"/>
                <w:szCs w:val="11"/>
                <w:b w:val="1"/>
                <w:bCs w:val="1"/>
                <w:color w:val="auto"/>
              </w:rPr>
              <w:t>Shares (mil)</w:t>
            </w:r>
            <w:r>
              <w:rPr>
                <w:rFonts w:ascii="Arial" w:cs="Arial" w:eastAsia="Arial" w:hAnsi="Arial"/>
                <w:sz w:val="14"/>
                <w:szCs w:val="14"/>
                <w:b w:val="1"/>
                <w:bCs w:val="1"/>
                <w:color w:val="auto"/>
                <w:vertAlign w:val="superscript"/>
              </w:rPr>
              <w:t>2</w:t>
            </w:r>
          </w:p>
        </w:tc>
        <w:tc>
          <w:tcPr>
            <w:tcW w:w="12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r>
      <w:tr>
        <w:trPr>
          <w:trHeight w:val="133"/>
        </w:trPr>
        <w:tc>
          <w:tcPr>
            <w:tcW w:w="5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Earnings level ($ mil)</w:t>
            </w:r>
          </w:p>
        </w:tc>
        <w:tc>
          <w:tcPr>
            <w:tcW w:w="3720" w:type="dxa"/>
            <w:vAlign w:val="bottom"/>
            <w:tcBorders>
              <w:bottom w:val="single" w:sz="8" w:color="auto"/>
            </w:tcBorders>
          </w:tcPr>
          <w:p>
            <w:pPr>
              <w:ind w:left="2440"/>
              <w:spacing w:after="0"/>
              <w:rPr>
                <w:sz w:val="20"/>
                <w:szCs w:val="20"/>
                <w:color w:val="auto"/>
              </w:rPr>
            </w:pPr>
            <w:r>
              <w:rPr>
                <w:rFonts w:ascii="Arial" w:cs="Arial" w:eastAsia="Arial" w:hAnsi="Arial"/>
                <w:sz w:val="11"/>
                <w:szCs w:val="11"/>
                <w:b w:val="1"/>
                <w:bCs w:val="1"/>
                <w:color w:val="auto"/>
              </w:rPr>
              <w:t>Basic</w:t>
            </w:r>
          </w:p>
        </w:tc>
        <w:tc>
          <w:tcPr>
            <w:tcW w:w="12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Diluted</w:t>
            </w:r>
          </w:p>
        </w:tc>
      </w:tr>
      <w:tr>
        <w:trPr>
          <w:trHeight w:val="131"/>
        </w:trPr>
        <w:tc>
          <w:tcPr>
            <w:tcW w:w="564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3720" w:type="dxa"/>
            <w:vAlign w:val="bottom"/>
          </w:tcPr>
          <w:p>
            <w:pPr>
              <w:ind w:left="2420"/>
              <w:spacing w:after="0"/>
              <w:rPr>
                <w:sz w:val="20"/>
                <w:szCs w:val="20"/>
                <w:color w:val="auto"/>
              </w:rPr>
            </w:pPr>
            <w:r>
              <w:rPr>
                <w:rFonts w:ascii="Arial" w:cs="Arial" w:eastAsia="Arial" w:hAnsi="Arial"/>
                <w:sz w:val="11"/>
                <w:szCs w:val="11"/>
                <w:color w:val="auto"/>
              </w:rPr>
              <w:t>660.2</w:t>
            </w:r>
          </w:p>
        </w:tc>
        <w:tc>
          <w:tcPr>
            <w:tcW w:w="1200" w:type="dxa"/>
            <w:vAlign w:val="bottom"/>
          </w:tcPr>
          <w:p>
            <w:pPr>
              <w:spacing w:after="0"/>
              <w:rPr>
                <w:sz w:val="11"/>
                <w:szCs w:val="11"/>
                <w:color w:val="auto"/>
              </w:rPr>
            </w:pPr>
          </w:p>
        </w:tc>
        <w:tc>
          <w:tcPr>
            <w:tcW w:w="58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660.4</w:t>
            </w:r>
          </w:p>
        </w:tc>
      </w:tr>
      <w:tr>
        <w:trPr>
          <w:trHeight w:val="145"/>
        </w:trPr>
        <w:tc>
          <w:tcPr>
            <w:tcW w:w="56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3720" w:type="dxa"/>
            <w:vAlign w:val="bottom"/>
            <w:tcBorders>
              <w:bottom w:val="single" w:sz="8" w:color="auto"/>
            </w:tcBorders>
          </w:tcPr>
          <w:p>
            <w:pPr>
              <w:ind w:left="2420"/>
              <w:spacing w:after="0"/>
              <w:rPr>
                <w:sz w:val="20"/>
                <w:szCs w:val="20"/>
                <w:color w:val="auto"/>
              </w:rPr>
            </w:pPr>
            <w:r>
              <w:rPr>
                <w:rFonts w:ascii="Arial" w:cs="Arial" w:eastAsia="Arial" w:hAnsi="Arial"/>
                <w:sz w:val="11"/>
                <w:szCs w:val="11"/>
                <w:color w:val="auto"/>
              </w:rPr>
              <w:t>660.2</w:t>
            </w:r>
          </w:p>
        </w:tc>
        <w:tc>
          <w:tcPr>
            <w:tcW w:w="12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660.2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Notes:</w:t>
      </w:r>
    </w:p>
    <w:p>
      <w:pPr>
        <w:spacing w:after="0" w:line="45" w:lineRule="exact"/>
        <w:rPr>
          <w:sz w:val="20"/>
          <w:szCs w:val="20"/>
          <w:color w:val="auto"/>
        </w:rPr>
      </w:pPr>
    </w:p>
    <w:p>
      <w:pPr>
        <w:ind w:left="420" w:right="160" w:hanging="416"/>
        <w:spacing w:after="0" w:line="261" w:lineRule="auto"/>
        <w:tabs>
          <w:tab w:leader="none" w:pos="420" w:val="left"/>
        </w:tabs>
        <w:numPr>
          <w:ilvl w:val="0"/>
          <w:numId w:val="15"/>
        </w:numPr>
        <w:rPr>
          <w:rFonts w:ascii="Arial" w:cs="Arial" w:eastAsia="Arial" w:hAnsi="Arial"/>
          <w:sz w:val="11"/>
          <w:szCs w:val="11"/>
          <w:i w:val="1"/>
          <w:iCs w:val="1"/>
          <w:color w:val="auto"/>
        </w:rPr>
      </w:pPr>
      <w:r>
        <w:rPr>
          <w:rFonts w:ascii="Arial" w:cs="Arial" w:eastAsia="Arial" w:hAnsi="Arial"/>
          <w:sz w:val="11"/>
          <w:szCs w:val="11"/>
          <w:i w:val="1"/>
          <w:iCs w:val="1"/>
          <w:color w:val="auto"/>
        </w:rPr>
        <w:t>Includes guidance on certain non-GAAP measures, which exclude, among other things, net special items. CASM-ex is cost per available seat mile (CASM) excluding fuel and net special items and is a non-GAAP measure. All adjusted operating margin and adjusted earnings per diluted share guidance excludes the impact of net special items and are non-GAAP measures. The company is unable to reconcile certain forward-looking information to GAAP as the nature or amount of net special items cannot be determined at this time. Numbers may not recalculate due to rounding.</w:t>
      </w:r>
    </w:p>
    <w:p>
      <w:pPr>
        <w:spacing w:after="0" w:line="10" w:lineRule="exact"/>
        <w:rPr>
          <w:rFonts w:ascii="Arial" w:cs="Arial" w:eastAsia="Arial" w:hAnsi="Arial"/>
          <w:sz w:val="11"/>
          <w:szCs w:val="11"/>
          <w:i w:val="1"/>
          <w:iCs w:val="1"/>
          <w:color w:val="auto"/>
        </w:rPr>
      </w:pPr>
    </w:p>
    <w:p>
      <w:pPr>
        <w:ind w:left="420" w:right="20" w:hanging="416"/>
        <w:spacing w:after="0" w:line="285" w:lineRule="auto"/>
        <w:tabs>
          <w:tab w:leader="none" w:pos="420" w:val="left"/>
        </w:tabs>
        <w:numPr>
          <w:ilvl w:val="0"/>
          <w:numId w:val="15"/>
        </w:numPr>
        <w:rPr>
          <w:rFonts w:ascii="Arial" w:cs="Arial" w:eastAsia="Arial" w:hAnsi="Arial"/>
          <w:sz w:val="11"/>
          <w:szCs w:val="11"/>
          <w:i w:val="1"/>
          <w:iCs w:val="1"/>
          <w:color w:val="auto"/>
        </w:rPr>
      </w:pPr>
      <w:r>
        <w:rPr>
          <w:rFonts w:ascii="Arial" w:cs="Arial" w:eastAsia="Arial" w:hAnsi="Arial"/>
          <w:sz w:val="11"/>
          <w:szCs w:val="11"/>
          <w:i w:val="1"/>
          <w:iCs w:val="1"/>
          <w:color w:val="auto"/>
        </w:rPr>
        <w:t>Shares outstanding are based upon several estimates and assumptions, including average per share stock price and stock award activity. The number of shares in actual calculations of earnings per share will likely be different from those set forth above.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Please refer to the footnotes and the forward-looking statements page of this document for additional information.</w:t>
      </w:r>
    </w:p>
    <w:p>
      <w:pPr>
        <w:sectPr>
          <w:pgSz w:w="11900" w:h="16838" w:orient="portrait"/>
          <w:cols w:equalWidth="0" w:num="1">
            <w:col w:w="11300"/>
          </w:cols>
          <w:pgMar w:left="300" w:top="694"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2717165</wp:posOffset>
            </wp:positionH>
            <wp:positionV relativeFrom="page">
              <wp:posOffset>88900</wp:posOffset>
            </wp:positionV>
            <wp:extent cx="2114550" cy="320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114550" cy="320040"/>
                    </a:xfrm>
                    <a:prstGeom prst="rect">
                      <a:avLst/>
                    </a:prstGeom>
                    <a:noFill/>
                  </pic:spPr>
                </pic:pic>
              </a:graphicData>
            </a:graphic>
          </wp:anchor>
        </w:drawing>
        <w:t>Forward-Looking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April 24, 2025</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1"/>
          <w:szCs w:val="11"/>
          <w:color w:val="auto"/>
        </w:rPr>
        <w:t>Certain of the statements contained in this report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our inability to obtain sufficient financing or other capital to operate successfully; our high level of debt and other obligations; our significant pension and other postretirement benefit funding obligations; any deterioration of our financial condition; any loss of key personnel, or our inability to attract, develop and retain additional qualified personnel; changing economic, geopolitical, commercial, regulatory and other conditions beyond our control, including the recently announced tariffs and other global events that affect travel behavior; changes in current legislation, regulations and economic conditions regarding federal governmental tariffs, the implementation of federal government budget cuts and the potential that any of the foregoing affects the demand for, or restricts the use of, travel by government employees and their families or private sector enterprises that contract or otherwise interface with the federal government; the intensely competitive and dynamic nature of the airline industry; union disputes, employee strikes and other labor-related disruptions; problems with any of our third-party regional operators or third-party service providers; any damage to our reputation or brand image; losses and adverse publicity stemming from any public incidents involving our company, our people or our brand; changes to our business model that may not be successful and may cause operational difficulties or decreased demand; our inability to protect our intellectual property rights, particularly our branding rights; litigation in the normal course of business or otherwise; our inability to use net operating losses and other carryforwards; any new U.S. and international tax legislation; any impairment of goodwill and intangible assets or long-lived assets; any inability of our commercial relationships with other companies to produce the returns or results we expect; our dependence on price and availability of aircraft fuel; extensive government regulation and compliance risks; economic and political instability outside of the U.S. where we have significant operations; ongoing security concerns due to conflicts, terrorist attacks or other acts of violence, domestically or abroad; climate change; environmental and social matters, and compliance risks with environmental, health and noise regulations; a shortage of pilots; our dependence on a limited number of suppliers for aircraft, aircraft engines and parts; any failure of technology and automated systems, including artificial intelligence, that we rely on to operate our business; evolving data privacy requirements, risks from cyberattacks and data privacy incidents, and compliance risks with regulations related therewith; any inability to effectively manage the costs, rights and functionality of third-party distribution channels; any inability to obtain and maintain adequate facilities and infrastructure throughout our system and, at some airports, adequate slots; interruptions or disruptions in service at one or more of our key facilities; increases in insurance costs or reductions in insurance coverage; heavy taxation in the airline industry; risks related to ownership of AAG common stock and convertible notes; and those set forth herein as well as in the company’s Annual Report on Form 10-K for the year ended December 31, 2024 (especially in Part I, Item 1A. Risk Factors) and in the company’s Quarterly Report on Form 10-Q for the quarter ended March 31, 2025 (especially in Part I, Item 2. Management’s Discussion and Analysis of Financial Condition and Results of Operations),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Please refer to the footnotes and the forward-looking statements page of this document for additional information.</w:t>
      </w:r>
    </w:p>
    <w:sectPr>
      <w:pgSz w:w="11900" w:h="16838" w:orient="portrait"/>
      <w:cols w:equalWidth="0" w:num="1">
        <w:col w:w="11280"/>
      </w:cols>
      <w:pgMar w:left="300" w:top="108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682"/>
    </w:lvl>
  </w:abstractNum>
  <w:abstractNum w:abstractNumId="1">
    <w:nsid w:val="515F007C"/>
    <w:multiLevelType w:val="hybridMultilevel"/>
    <w:lvl w:ilvl="0">
      <w:lvlJc w:val="left"/>
      <w:lvlText w:val="(%1)"/>
      <w:numFmt w:val="decimal"/>
      <w:start w:val="682"/>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endash "/>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2025-04-24T06:10:30Z</dcterms:created>
  <dcterms:modified xsi:type="dcterms:W3CDTF">2025-04-24T06:10:30Z</dcterms:modified>
</cp:coreProperties>
</file>