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74930</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3"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57150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77"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3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92075</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45085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84" w:lineRule="exact"/>
        <w:rPr>
          <w:sz w:val="24"/>
          <w:szCs w:val="24"/>
          <w:color w:val="auto"/>
        </w:rPr>
      </w:pPr>
    </w:p>
    <w:tbl>
      <w:tblPr>
        <w:tblLayout w:type="fixed"/>
        <w:tblInd w:w="780" w:type="dxa"/>
        <w:tblCellMar>
          <w:top w:w="0" w:type="dxa"/>
          <w:left w:w="0" w:type="dxa"/>
          <w:bottom w:w="0" w:type="dxa"/>
          <w:right w:w="0" w:type="dxa"/>
        </w:tblCellMar>
      </w:tblPr>
      <w:tr>
        <w:trPr>
          <w:trHeight w:val="215"/>
        </w:trPr>
        <w:tc>
          <w:tcPr>
            <w:tcW w:w="4620" w:type="dxa"/>
            <w:vAlign w:val="bottom"/>
          </w:tcPr>
          <w:p>
            <w:pPr>
              <w:jc w:val="center"/>
              <w:ind w:right="844"/>
              <w:spacing w:after="0"/>
              <w:rPr>
                <w:sz w:val="20"/>
                <w:szCs w:val="20"/>
                <w:color w:val="auto"/>
              </w:rPr>
            </w:pPr>
            <w:r>
              <w:rPr>
                <w:rFonts w:ascii="Arial" w:cs="Arial" w:eastAsia="Arial" w:hAnsi="Arial"/>
                <w:sz w:val="16"/>
                <w:szCs w:val="16"/>
                <w:b w:val="1"/>
                <w:bCs w:val="1"/>
                <w:color w:val="auto"/>
                <w:w w:val="99"/>
              </w:rPr>
              <w:t>Delaware</w:t>
            </w:r>
          </w:p>
        </w:tc>
        <w:tc>
          <w:tcPr>
            <w:tcW w:w="3980" w:type="dxa"/>
            <w:vAlign w:val="bottom"/>
          </w:tcPr>
          <w:p>
            <w:pPr>
              <w:jc w:val="center"/>
              <w:ind w:left="524"/>
              <w:spacing w:after="0"/>
              <w:rPr>
                <w:sz w:val="20"/>
                <w:szCs w:val="20"/>
                <w:color w:val="auto"/>
              </w:rPr>
            </w:pPr>
            <w:r>
              <w:rPr>
                <w:rFonts w:ascii="Arial" w:cs="Arial" w:eastAsia="Arial" w:hAnsi="Arial"/>
                <w:sz w:val="16"/>
                <w:szCs w:val="16"/>
                <w:b w:val="1"/>
                <w:bCs w:val="1"/>
                <w:color w:val="auto"/>
              </w:rPr>
              <w:t>75-1825172</w:t>
            </w:r>
          </w:p>
        </w:tc>
      </w:tr>
      <w:tr>
        <w:trPr>
          <w:trHeight w:val="190"/>
        </w:trPr>
        <w:tc>
          <w:tcPr>
            <w:tcW w:w="4620" w:type="dxa"/>
            <w:vAlign w:val="bottom"/>
          </w:tcPr>
          <w:p>
            <w:pPr>
              <w:jc w:val="center"/>
              <w:ind w:right="844"/>
              <w:spacing w:after="0"/>
              <w:rPr>
                <w:sz w:val="20"/>
                <w:szCs w:val="20"/>
                <w:color w:val="auto"/>
              </w:rPr>
            </w:pPr>
            <w:r>
              <w:rPr>
                <w:rFonts w:ascii="Arial" w:cs="Arial" w:eastAsia="Arial" w:hAnsi="Arial"/>
                <w:sz w:val="14"/>
                <w:szCs w:val="14"/>
                <w:color w:val="auto"/>
              </w:rPr>
              <w:t>(State or other jurisdiction of incorporation or organization)</w:t>
            </w:r>
          </w:p>
        </w:tc>
        <w:tc>
          <w:tcPr>
            <w:tcW w:w="3980" w:type="dxa"/>
            <w:vAlign w:val="bottom"/>
          </w:tcPr>
          <w:p>
            <w:pPr>
              <w:jc w:val="center"/>
              <w:ind w:left="524"/>
              <w:spacing w:after="0"/>
              <w:rPr>
                <w:sz w:val="20"/>
                <w:szCs w:val="20"/>
                <w:color w:val="auto"/>
              </w:rPr>
            </w:pPr>
            <w:r>
              <w:rPr>
                <w:rFonts w:ascii="Arial" w:cs="Arial" w:eastAsia="Arial" w:hAnsi="Arial"/>
                <w:sz w:val="14"/>
                <w:szCs w:val="14"/>
                <w:color w:val="auto"/>
              </w:rPr>
              <w:t>(I.R.S. Employer Identification No.)</w:t>
            </w:r>
          </w:p>
        </w:tc>
      </w:tr>
      <w:tr>
        <w:trPr>
          <w:trHeight w:val="215"/>
        </w:trPr>
        <w:tc>
          <w:tcPr>
            <w:tcW w:w="4620" w:type="dxa"/>
            <w:vAlign w:val="bottom"/>
          </w:tcPr>
          <w:p>
            <w:pPr>
              <w:ind w:left="480"/>
              <w:spacing w:after="0"/>
              <w:rPr>
                <w:sz w:val="20"/>
                <w:szCs w:val="20"/>
                <w:color w:val="auto"/>
              </w:rPr>
            </w:pPr>
            <w:r>
              <w:rPr>
                <w:rFonts w:ascii="Arial" w:cs="Arial" w:eastAsia="Arial" w:hAnsi="Arial"/>
                <w:sz w:val="16"/>
                <w:szCs w:val="16"/>
                <w:b w:val="1"/>
                <w:bCs w:val="1"/>
                <w:color w:val="auto"/>
              </w:rPr>
              <w:t>1 Skyview Drive, Fort Worth,   Texas  76155</w:t>
            </w:r>
          </w:p>
        </w:tc>
        <w:tc>
          <w:tcPr>
            <w:tcW w:w="3980" w:type="dxa"/>
            <w:vAlign w:val="bottom"/>
          </w:tcPr>
          <w:p>
            <w:pPr>
              <w:jc w:val="right"/>
              <w:ind w:right="904"/>
              <w:spacing w:after="0"/>
              <w:rPr>
                <w:sz w:val="20"/>
                <w:szCs w:val="20"/>
                <w:color w:val="auto"/>
              </w:rPr>
            </w:pPr>
            <w:r>
              <w:rPr>
                <w:rFonts w:ascii="Arial" w:cs="Arial" w:eastAsia="Arial" w:hAnsi="Arial"/>
                <w:sz w:val="16"/>
                <w:szCs w:val="16"/>
                <w:b w:val="1"/>
                <w:bCs w:val="1"/>
                <w:color w:val="auto"/>
              </w:rPr>
              <w:t>(682) 278-9000</w:t>
            </w:r>
          </w:p>
        </w:tc>
      </w:tr>
      <w:tr>
        <w:trPr>
          <w:trHeight w:val="196"/>
        </w:trPr>
        <w:tc>
          <w:tcPr>
            <w:tcW w:w="4620" w:type="dxa"/>
            <w:vAlign w:val="bottom"/>
          </w:tcPr>
          <w:p>
            <w:pPr>
              <w:jc w:val="center"/>
              <w:ind w:right="864"/>
              <w:spacing w:after="0"/>
              <w:rPr>
                <w:sz w:val="20"/>
                <w:szCs w:val="20"/>
                <w:color w:val="auto"/>
              </w:rPr>
            </w:pPr>
            <w:r>
              <w:rPr>
                <w:rFonts w:ascii="Arial" w:cs="Arial" w:eastAsia="Arial" w:hAnsi="Arial"/>
                <w:sz w:val="14"/>
                <w:szCs w:val="14"/>
                <w:color w:val="auto"/>
              </w:rPr>
              <w:t>(Address of principal executive offices, including zip code)</w:t>
            </w:r>
          </w:p>
        </w:tc>
        <w:tc>
          <w:tcPr>
            <w:tcW w:w="3980" w:type="dxa"/>
            <w:vAlign w:val="bottom"/>
          </w:tcPr>
          <w:p>
            <w:pPr>
              <w:jc w:val="center"/>
              <w:ind w:left="524"/>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92075</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45085</wp:posOffset>
            </wp:positionV>
            <wp:extent cx="3951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920" w:type="dxa"/>
            <w:vAlign w:val="bottom"/>
            <w:gridSpan w:val="3"/>
          </w:tcPr>
          <w:p>
            <w:pPr>
              <w:jc w:val="center"/>
              <w:ind w:left="262"/>
              <w:spacing w:after="0"/>
              <w:rPr>
                <w:sz w:val="20"/>
                <w:szCs w:val="20"/>
                <w:color w:val="auto"/>
              </w:rPr>
            </w:pPr>
            <w:r>
              <w:rPr>
                <w:rFonts w:ascii="Arial" w:cs="Arial" w:eastAsia="Arial" w:hAnsi="Arial"/>
                <w:sz w:val="16"/>
                <w:szCs w:val="16"/>
                <w:b w:val="1"/>
                <w:bCs w:val="1"/>
                <w:color w:val="auto"/>
                <w:w w:val="99"/>
              </w:rPr>
              <w:t>Delaware</w:t>
            </w:r>
          </w:p>
        </w:tc>
        <w:tc>
          <w:tcPr>
            <w:tcW w:w="1600" w:type="dxa"/>
            <w:vAlign w:val="bottom"/>
          </w:tcPr>
          <w:p>
            <w:pPr>
              <w:spacing w:after="0"/>
              <w:rPr>
                <w:sz w:val="18"/>
                <w:szCs w:val="18"/>
                <w:color w:val="auto"/>
              </w:rPr>
            </w:pPr>
          </w:p>
        </w:tc>
        <w:tc>
          <w:tcPr>
            <w:tcW w:w="4720" w:type="dxa"/>
            <w:vAlign w:val="bottom"/>
            <w:gridSpan w:val="3"/>
          </w:tcPr>
          <w:p>
            <w:pPr>
              <w:jc w:val="center"/>
              <w:ind w:right="2299"/>
              <w:spacing w:after="0"/>
              <w:rPr>
                <w:sz w:val="20"/>
                <w:szCs w:val="20"/>
                <w:color w:val="auto"/>
              </w:rPr>
            </w:pPr>
            <w:r>
              <w:rPr>
                <w:rFonts w:ascii="Arial" w:cs="Arial" w:eastAsia="Arial" w:hAnsi="Arial"/>
                <w:sz w:val="16"/>
                <w:szCs w:val="16"/>
                <w:b w:val="1"/>
                <w:bCs w:val="1"/>
                <w:color w:val="auto"/>
              </w:rPr>
              <w:t>13-1502798</w:t>
            </w:r>
          </w:p>
        </w:tc>
      </w:tr>
      <w:tr>
        <w:trPr>
          <w:trHeight w:val="190"/>
        </w:trPr>
        <w:tc>
          <w:tcPr>
            <w:tcW w:w="4920" w:type="dxa"/>
            <w:vAlign w:val="bottom"/>
            <w:gridSpan w:val="3"/>
          </w:tcPr>
          <w:p>
            <w:pPr>
              <w:jc w:val="center"/>
              <w:ind w:left="262"/>
              <w:spacing w:after="0"/>
              <w:rPr>
                <w:sz w:val="20"/>
                <w:szCs w:val="20"/>
                <w:color w:val="auto"/>
              </w:rPr>
            </w:pPr>
            <w:r>
              <w:rPr>
                <w:rFonts w:ascii="Arial" w:cs="Arial" w:eastAsia="Arial" w:hAnsi="Arial"/>
                <w:sz w:val="14"/>
                <w:szCs w:val="14"/>
                <w:color w:val="auto"/>
              </w:rPr>
              <w:t>(State or other jurisdiction of incorporation or organization)</w:t>
            </w:r>
          </w:p>
        </w:tc>
        <w:tc>
          <w:tcPr>
            <w:tcW w:w="1600" w:type="dxa"/>
            <w:vAlign w:val="bottom"/>
          </w:tcPr>
          <w:p>
            <w:pPr>
              <w:spacing w:after="0"/>
              <w:rPr>
                <w:sz w:val="16"/>
                <w:szCs w:val="16"/>
                <w:color w:val="auto"/>
              </w:rPr>
            </w:pPr>
          </w:p>
        </w:tc>
        <w:tc>
          <w:tcPr>
            <w:tcW w:w="4720" w:type="dxa"/>
            <w:vAlign w:val="bottom"/>
            <w:gridSpan w:val="3"/>
          </w:tcPr>
          <w:p>
            <w:pPr>
              <w:jc w:val="center"/>
              <w:ind w:right="2299"/>
              <w:spacing w:after="0"/>
              <w:rPr>
                <w:sz w:val="20"/>
                <w:szCs w:val="20"/>
                <w:color w:val="auto"/>
              </w:rPr>
            </w:pPr>
            <w:r>
              <w:rPr>
                <w:rFonts w:ascii="Arial" w:cs="Arial" w:eastAsia="Arial" w:hAnsi="Arial"/>
                <w:sz w:val="14"/>
                <w:szCs w:val="14"/>
                <w:color w:val="auto"/>
              </w:rPr>
              <w:t>(I.R.S. Employer Identification No.)</w:t>
            </w:r>
          </w:p>
        </w:tc>
      </w:tr>
      <w:tr>
        <w:trPr>
          <w:trHeight w:val="215"/>
        </w:trPr>
        <w:tc>
          <w:tcPr>
            <w:tcW w:w="4920" w:type="dxa"/>
            <w:vAlign w:val="bottom"/>
            <w:gridSpan w:val="3"/>
          </w:tcPr>
          <w:p>
            <w:pPr>
              <w:ind w:left="1260"/>
              <w:spacing w:after="0"/>
              <w:rPr>
                <w:sz w:val="20"/>
                <w:szCs w:val="20"/>
                <w:color w:val="auto"/>
              </w:rPr>
            </w:pPr>
            <w:r>
              <w:rPr>
                <w:rFonts w:ascii="Arial" w:cs="Arial" w:eastAsia="Arial" w:hAnsi="Arial"/>
                <w:sz w:val="16"/>
                <w:szCs w:val="16"/>
                <w:b w:val="1"/>
                <w:bCs w:val="1"/>
                <w:color w:val="auto"/>
              </w:rPr>
              <w:t>1 Skyview Drive, Fort Worth,   Texas  76155</w:t>
            </w:r>
          </w:p>
        </w:tc>
        <w:tc>
          <w:tcPr>
            <w:tcW w:w="1600" w:type="dxa"/>
            <w:vAlign w:val="bottom"/>
          </w:tcPr>
          <w:p>
            <w:pPr>
              <w:spacing w:after="0"/>
              <w:rPr>
                <w:sz w:val="18"/>
                <w:szCs w:val="18"/>
                <w:color w:val="auto"/>
              </w:rPr>
            </w:pPr>
          </w:p>
        </w:tc>
        <w:tc>
          <w:tcPr>
            <w:tcW w:w="4720" w:type="dxa"/>
            <w:vAlign w:val="bottom"/>
            <w:gridSpan w:val="3"/>
          </w:tcPr>
          <w:p>
            <w:pPr>
              <w:jc w:val="right"/>
              <w:ind w:right="2759"/>
              <w:spacing w:after="0"/>
              <w:rPr>
                <w:sz w:val="20"/>
                <w:szCs w:val="20"/>
                <w:color w:val="auto"/>
              </w:rPr>
            </w:pPr>
            <w:r>
              <w:rPr>
                <w:rFonts w:ascii="Arial" w:cs="Arial" w:eastAsia="Arial" w:hAnsi="Arial"/>
                <w:sz w:val="16"/>
                <w:szCs w:val="16"/>
                <w:b w:val="1"/>
                <w:bCs w:val="1"/>
                <w:color w:val="auto"/>
              </w:rPr>
              <w:t>(682) 278-9000</w:t>
            </w:r>
          </w:p>
        </w:tc>
      </w:tr>
      <w:tr>
        <w:trPr>
          <w:trHeight w:val="196"/>
        </w:trPr>
        <w:tc>
          <w:tcPr>
            <w:tcW w:w="4920" w:type="dxa"/>
            <w:vAlign w:val="bottom"/>
            <w:gridSpan w:val="3"/>
          </w:tcPr>
          <w:p>
            <w:pPr>
              <w:jc w:val="center"/>
              <w:ind w:left="242"/>
              <w:spacing w:after="0"/>
              <w:rPr>
                <w:sz w:val="20"/>
                <w:szCs w:val="20"/>
                <w:color w:val="auto"/>
              </w:rPr>
            </w:pPr>
            <w:r>
              <w:rPr>
                <w:rFonts w:ascii="Arial" w:cs="Arial" w:eastAsia="Arial" w:hAnsi="Arial"/>
                <w:sz w:val="14"/>
                <w:szCs w:val="14"/>
                <w:color w:val="auto"/>
              </w:rPr>
              <w:t>(Address of principal executive offices, including zip code)</w:t>
            </w:r>
          </w:p>
        </w:tc>
        <w:tc>
          <w:tcPr>
            <w:tcW w:w="6320" w:type="dxa"/>
            <w:vAlign w:val="bottom"/>
            <w:gridSpan w:val="4"/>
          </w:tcPr>
          <w:p>
            <w:pPr>
              <w:jc w:val="center"/>
              <w:ind w:right="699"/>
              <w:spacing w:after="0"/>
              <w:rPr>
                <w:sz w:val="20"/>
                <w:szCs w:val="20"/>
                <w:color w:val="auto"/>
              </w:rPr>
            </w:pPr>
            <w:r>
              <w:rPr>
                <w:rFonts w:ascii="Arial" w:cs="Arial" w:eastAsia="Arial" w:hAnsi="Arial"/>
                <w:sz w:val="14"/>
                <w:szCs w:val="14"/>
                <w:color w:val="auto"/>
              </w:rPr>
              <w:t>(Registrant’s telephone number, including area code)</w:t>
            </w:r>
          </w:p>
        </w:tc>
      </w:tr>
      <w:tr>
        <w:trPr>
          <w:trHeight w:val="357"/>
        </w:trPr>
        <w:tc>
          <w:tcPr>
            <w:tcW w:w="492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27"/>
        </w:trPr>
        <w:tc>
          <w:tcPr>
            <w:tcW w:w="4920" w:type="dxa"/>
            <w:vAlign w:val="bottom"/>
            <w:gridSpan w:val="3"/>
          </w:tcPr>
          <w:p>
            <w:pPr>
              <w:jc w:val="center"/>
              <w:ind w:right="1060"/>
              <w:spacing w:after="0"/>
              <w:rPr>
                <w:sz w:val="20"/>
                <w:szCs w:val="20"/>
                <w:color w:val="auto"/>
              </w:rPr>
            </w:pPr>
            <w:r>
              <w:rPr>
                <w:rFonts w:ascii="Arial" w:cs="Arial" w:eastAsia="Arial" w:hAnsi="Arial"/>
                <w:sz w:val="16"/>
                <w:szCs w:val="16"/>
                <w:b w:val="1"/>
                <w:bCs w:val="1"/>
                <w:color w:val="auto"/>
              </w:rPr>
              <w:t>Title of each class</w:t>
            </w:r>
          </w:p>
        </w:tc>
        <w:tc>
          <w:tcPr>
            <w:tcW w:w="1600" w:type="dxa"/>
            <w:vAlign w:val="bottom"/>
          </w:tcPr>
          <w:p>
            <w:pPr>
              <w:jc w:val="center"/>
              <w:ind w:left="2"/>
              <w:spacing w:after="0"/>
              <w:rPr>
                <w:sz w:val="20"/>
                <w:szCs w:val="20"/>
                <w:color w:val="auto"/>
              </w:rPr>
            </w:pPr>
            <w:r>
              <w:rPr>
                <w:rFonts w:ascii="Arial" w:cs="Arial" w:eastAsia="Arial" w:hAnsi="Arial"/>
                <w:sz w:val="16"/>
                <w:szCs w:val="16"/>
                <w:b w:val="1"/>
                <w:bCs w:val="1"/>
                <w:color w:val="auto"/>
                <w:w w:val="99"/>
              </w:rPr>
              <w:t>Trading Symbol(s)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1"/>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7"/>
              </w:rPr>
              <w:t>AAL</w:t>
            </w: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r>
    </w:tbl>
    <w:p>
      <w:pPr>
        <w:spacing w:after="0" w:line="165" w:lineRule="exact"/>
        <w:rPr>
          <w:sz w:val="24"/>
          <w:szCs w:val="24"/>
          <w:color w:val="auto"/>
        </w:rPr>
      </w:pPr>
    </w:p>
    <w:p>
      <w:pPr>
        <w:jc w:val="both"/>
        <w:ind w:firstLine="162"/>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84" w:lineRule="exact"/>
        <w:rPr>
          <w:sz w:val="24"/>
          <w:szCs w:val="24"/>
          <w:color w:val="auto"/>
        </w:rPr>
      </w:pPr>
    </w:p>
    <w:p>
      <w:pPr>
        <w:jc w:val="both"/>
        <w:ind w:firstLine="162"/>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3"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84" w:lineRule="exact"/>
        <w:rPr>
          <w:sz w:val="24"/>
          <w:szCs w:val="24"/>
          <w:color w:val="auto"/>
        </w:rPr>
      </w:pPr>
    </w:p>
    <w:p>
      <w:pPr>
        <w:jc w:val="both"/>
        <w:ind w:firstLine="162"/>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093" w:right="339" w:bottom="909" w:gutter="0" w:footer="0" w:header="0"/>
        </w:sectPr>
      </w:pPr>
    </w:p>
    <w:p>
      <w:pPr>
        <w:spacing w:after="0" w:line="178" w:lineRule="exact"/>
        <w:rPr>
          <w:sz w:val="24"/>
          <w:szCs w:val="24"/>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92" w:lineRule="exact"/>
        <w:rPr>
          <w:sz w:val="24"/>
          <w:szCs w:val="24"/>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4"/>
          <w:szCs w:val="24"/>
          <w:color w:val="auto"/>
        </w:rPr>
      </w:pPr>
      <w:r>
        <w:rPr>
          <w:sz w:val="24"/>
          <w:szCs w:val="24"/>
          <w:color w:val="auto"/>
        </w:rPr>
        <w:br w:type="column"/>
      </w:r>
    </w:p>
    <w:p>
      <w:pPr>
        <w:spacing w:after="0" w:line="385" w:lineRule="exact"/>
        <w:tabs>
          <w:tab w:leader="none" w:pos="260" w:val="left"/>
          <w:tab w:leader="none" w:pos="18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45" w:lineRule="exact"/>
        <w:tabs>
          <w:tab w:leader="none" w:pos="260" w:val="left"/>
          <w:tab w:leader="none" w:pos="1860" w:val="left"/>
        </w:tabs>
        <w:rPr>
          <w:sz w:val="20"/>
          <w:szCs w:val="20"/>
          <w:color w:val="auto"/>
        </w:rPr>
      </w:pPr>
      <w:r>
        <w:rPr>
          <w:rFonts w:ascii="MS PGothic" w:cs="MS PGothic" w:eastAsia="MS PGothic" w:hAnsi="MS PGothic"/>
          <w:sz w:val="28"/>
          <w:szCs w:val="28"/>
          <w:color w:val="auto"/>
          <w:vertAlign w:val="subscript"/>
        </w:rPr>
        <w:t>☐</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2"/>
          <w:szCs w:val="32"/>
          <w:color w:val="auto"/>
          <w:vertAlign w:val="subscript"/>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85"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45" w:lineRule="exact"/>
        <w:tabs>
          <w:tab w:leader="none" w:pos="260" w:val="left"/>
          <w:tab w:leader="none" w:pos="1760" w:val="left"/>
        </w:tabs>
        <w:rPr>
          <w:sz w:val="20"/>
          <w:szCs w:val="20"/>
          <w:color w:val="auto"/>
        </w:rPr>
      </w:pPr>
      <w:r>
        <w:rPr>
          <w:rFonts w:ascii="MS PGothic" w:cs="MS PGothic" w:eastAsia="MS PGothic" w:hAnsi="MS PGothic"/>
          <w:sz w:val="28"/>
          <w:szCs w:val="28"/>
          <w:color w:val="auto"/>
          <w:vertAlign w:val="subscript"/>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32"/>
          <w:szCs w:val="32"/>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2"/>
          <w:szCs w:val="32"/>
          <w:color w:val="auto"/>
        </w:rPr>
        <w:t xml:space="preserve">      </w:t>
      </w:r>
      <w:r>
        <w:rPr>
          <w:rFonts w:ascii="MS PGothic" w:cs="MS PGothic" w:eastAsia="MS PGothic" w:hAnsi="MS PGothic"/>
          <w:sz w:val="32"/>
          <w:szCs w:val="32"/>
          <w:color w:val="auto"/>
          <w:vertAlign w:val="subscript"/>
        </w:rPr>
        <w:t>☐</w:t>
      </w:r>
      <w:r>
        <w:rPr>
          <w:rFonts w:ascii="MS PGothic" w:cs="MS PGothic" w:eastAsia="MS PGothic" w:hAnsi="MS PGothic"/>
          <w:sz w:val="32"/>
          <w:szCs w:val="32"/>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3">
            <w:col w:w="1620" w:space="320"/>
            <w:col w:w="3020" w:space="280"/>
            <w:col w:w="6000"/>
          </w:cols>
          <w:pgMar w:left="320" w:top="1093" w:right="339" w:bottom="909" w:gutter="0" w:footer="0" w:header="0"/>
          <w:type w:val="continuous"/>
        </w:sectPr>
      </w:pPr>
    </w:p>
    <w:p>
      <w:pPr>
        <w:spacing w:after="0" w:line="187" w:lineRule="exact"/>
        <w:rPr>
          <w:sz w:val="24"/>
          <w:szCs w:val="24"/>
          <w:color w:val="auto"/>
        </w:rPr>
      </w:pPr>
    </w:p>
    <w:p>
      <w:pPr>
        <w:ind w:firstLine="162"/>
        <w:spacing w:after="0" w:line="260"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06"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88"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20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98"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17"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16, 2021, there were 647,457,831 shares of American Airlines Group Inc. common stock outstanding.</w:t>
      </w:r>
    </w:p>
    <w:p>
      <w:pPr>
        <w:spacing w:after="0" w:line="11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16, 2021,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3" w:right="339" w:bottom="909"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June 30,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0" w:type="dxa"/>
            <w:vAlign w:val="bottom"/>
            <w:gridSpan w:val="10"/>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 FINANCIAL INFORMATION</w:t>
            </w: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0" w:type="dxa"/>
            <w:vAlign w:val="bottom"/>
            <w:gridSpan w:val="10"/>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20" w:type="dxa"/>
            <w:vAlign w:val="bottom"/>
            <w:gridSpan w:val="2"/>
          </w:tcPr>
          <w:p>
            <w:pPr>
              <w:spacing w:after="0" w:line="189" w:lineRule="exact"/>
              <w:rPr>
                <w:sz w:val="20"/>
                <w:szCs w:val="20"/>
                <w:color w:val="auto"/>
              </w:rPr>
            </w:pPr>
            <w:r>
              <w:rPr>
                <w:rFonts w:ascii="Arial" w:cs="Arial" w:eastAsia="Arial" w:hAnsi="Arial"/>
                <w:sz w:val="18"/>
                <w:szCs w:val="18"/>
                <w:color w:val="auto"/>
              </w:rPr>
              <w:t>Item 1A.</w:t>
            </w:r>
          </w:p>
        </w:tc>
        <w:tc>
          <w:tcPr>
            <w:tcW w:w="6300" w:type="dxa"/>
            <w:vAlign w:val="bottom"/>
            <w:gridSpan w:val="12"/>
          </w:tcPr>
          <w:p>
            <w:pPr>
              <w:spacing w:after="0" w:line="189" w:lineRule="exact"/>
              <w:rPr>
                <w:rFonts w:ascii="Arial" w:cs="Arial" w:eastAsia="Arial" w:hAnsi="Arial"/>
                <w:sz w:val="18"/>
                <w:szCs w:val="18"/>
                <w:color w:val="0000FF"/>
                <w:w w:val="99"/>
              </w:rPr>
            </w:pPr>
            <w:hyperlink w:anchor="page12">
              <w:r>
                <w:rPr>
                  <w:rFonts w:ascii="Arial" w:cs="Arial" w:eastAsia="Arial" w:hAnsi="Arial"/>
                  <w:sz w:val="18"/>
                  <w:szCs w:val="18"/>
                  <w:color w:val="0000FF"/>
                  <w:w w:val="99"/>
                </w:rPr>
                <w:t>Condensed Consolidated Financial Statements of American Airlines Group Inc.</w:t>
              </w:r>
            </w:hyperlink>
          </w:p>
        </w:tc>
        <w:tc>
          <w:tcPr>
            <w:tcW w:w="2700" w:type="dxa"/>
            <w:vAlign w:val="bottom"/>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220" w:type="dxa"/>
            <w:vAlign w:val="bottom"/>
            <w:gridSpan w:val="2"/>
          </w:tcPr>
          <w:p>
            <w:pPr>
              <w:jc w:val="right"/>
              <w:ind w:right="20"/>
              <w:spacing w:after="0" w:line="189" w:lineRule="exact"/>
              <w:rPr>
                <w:rFonts w:ascii="Arial" w:cs="Arial" w:eastAsia="Arial" w:hAnsi="Arial"/>
                <w:sz w:val="18"/>
                <w:szCs w:val="18"/>
                <w:color w:val="0000FF"/>
                <w:w w:val="89"/>
              </w:rPr>
            </w:pPr>
            <w:hyperlink w:anchor="page12">
              <w:r>
                <w:rPr>
                  <w:rFonts w:ascii="Arial" w:cs="Arial" w:eastAsia="Arial" w:hAnsi="Arial"/>
                  <w:sz w:val="18"/>
                  <w:szCs w:val="18"/>
                  <w:color w:val="0000FF"/>
                  <w:w w:val="89"/>
                </w:rPr>
                <w:t>12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6"/>
          </w:tcPr>
          <w:p>
            <w:pPr>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Condensed Consolidated Statements of Operations</w:t>
              </w:r>
            </w:hyperlink>
          </w:p>
        </w:tc>
        <w:tc>
          <w:tcPr>
            <w:tcW w:w="2180" w:type="dxa"/>
            <w:vAlign w:val="bottom"/>
            <w:gridSpan w:val="6"/>
          </w:tcPr>
          <w:p>
            <w:pPr>
              <w:spacing w:after="0"/>
              <w:rPr>
                <w:sz w:val="18"/>
                <w:szCs w:val="18"/>
                <w:color w:val="auto"/>
              </w:rPr>
            </w:pPr>
          </w:p>
        </w:tc>
        <w:tc>
          <w:tcPr>
            <w:tcW w:w="270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Condensed Consolidated Statements of Comprehensive Income (Loss)</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5"/>
          </w:tcPr>
          <w:p>
            <w:pPr>
              <w:spacing w:after="0"/>
              <w:rPr>
                <w:rFonts w:ascii="Arial" w:cs="Arial" w:eastAsia="Arial" w:hAnsi="Arial"/>
                <w:sz w:val="18"/>
                <w:szCs w:val="18"/>
                <w:color w:val="0000FF"/>
                <w:w w:val="99"/>
              </w:rPr>
            </w:pPr>
            <w:hyperlink w:anchor="page14">
              <w:r>
                <w:rPr>
                  <w:rFonts w:ascii="Arial" w:cs="Arial" w:eastAsia="Arial" w:hAnsi="Arial"/>
                  <w:sz w:val="18"/>
                  <w:szCs w:val="18"/>
                  <w:color w:val="0000FF"/>
                  <w:w w:val="99"/>
                </w:rPr>
                <w:t>Condensed Consolidated Balance Sheets</w:t>
              </w:r>
            </w:hyperlink>
          </w:p>
        </w:tc>
        <w:tc>
          <w:tcPr>
            <w:tcW w:w="2340" w:type="dxa"/>
            <w:vAlign w:val="bottom"/>
            <w:gridSpan w:val="5"/>
          </w:tcPr>
          <w:p>
            <w:pPr>
              <w:spacing w:after="0"/>
              <w:rPr>
                <w:sz w:val="18"/>
                <w:szCs w:val="18"/>
                <w:color w:val="auto"/>
              </w:rPr>
            </w:pPr>
          </w:p>
        </w:tc>
        <w:tc>
          <w:tcPr>
            <w:tcW w:w="3320" w:type="dxa"/>
            <w:vAlign w:val="bottom"/>
            <w:gridSpan w:val="4"/>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7"/>
          </w:tcPr>
          <w:p>
            <w:pP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Condensed Consolidated Statements of Cash Flows</w:t>
              </w:r>
            </w:hyperlink>
          </w:p>
        </w:tc>
        <w:tc>
          <w:tcPr>
            <w:tcW w:w="4820" w:type="dxa"/>
            <w:vAlign w:val="bottom"/>
            <w:gridSpan w:val="7"/>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Condensed Consolidated Statements of Stockholders' Deficit</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8"/>
          </w:tcPr>
          <w:p>
            <w:pPr>
              <w:spacing w:after="0"/>
              <w:rPr>
                <w:rFonts w:ascii="Arial" w:cs="Arial" w:eastAsia="Arial" w:hAnsi="Arial"/>
                <w:sz w:val="18"/>
                <w:szCs w:val="18"/>
                <w:color w:val="0000FF"/>
                <w:w w:val="98"/>
              </w:rPr>
            </w:pPr>
            <w:hyperlink w:anchor="page18">
              <w:r>
                <w:rPr>
                  <w:rFonts w:ascii="Arial" w:cs="Arial" w:eastAsia="Arial" w:hAnsi="Arial"/>
                  <w:sz w:val="18"/>
                  <w:szCs w:val="18"/>
                  <w:color w:val="0000FF"/>
                  <w:w w:val="98"/>
                </w:rPr>
                <w:t>Notes to the Condensed Consolidated Financial Statements</w:t>
              </w:r>
            </w:hyperlink>
          </w:p>
        </w:tc>
        <w:tc>
          <w:tcPr>
            <w:tcW w:w="140" w:type="dxa"/>
            <w:vAlign w:val="bottom"/>
          </w:tcPr>
          <w:p>
            <w:pPr>
              <w:spacing w:after="0"/>
              <w:rPr>
                <w:sz w:val="18"/>
                <w:szCs w:val="18"/>
                <w:color w:val="auto"/>
              </w:rPr>
            </w:pPr>
          </w:p>
        </w:tc>
        <w:tc>
          <w:tcPr>
            <w:tcW w:w="4140" w:type="dxa"/>
            <w:vAlign w:val="bottom"/>
            <w:gridSpan w:val="5"/>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800" w:type="dxa"/>
            <w:vAlign w:val="bottom"/>
            <w:gridSpan w:val="11"/>
          </w:tcPr>
          <w:p>
            <w:pP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Condensed Consolidated Financial Statements of American Airlines, Inc.</w:t>
              </w:r>
            </w:hyperlink>
          </w:p>
        </w:tc>
        <w:tc>
          <w:tcPr>
            <w:tcW w:w="3200" w:type="dxa"/>
            <w:vAlign w:val="bottom"/>
            <w:gridSpan w:val="3"/>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6"/>
          </w:tcPr>
          <w:p>
            <w:pP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Condensed Consolidated Statements of Operations</w:t>
              </w:r>
            </w:hyperlink>
          </w:p>
        </w:tc>
        <w:tc>
          <w:tcPr>
            <w:tcW w:w="1680" w:type="dxa"/>
            <w:vAlign w:val="bottom"/>
            <w:gridSpan w:val="5"/>
          </w:tcPr>
          <w:p>
            <w:pPr>
              <w:spacing w:after="0"/>
              <w:rPr>
                <w:sz w:val="18"/>
                <w:szCs w:val="18"/>
                <w:color w:val="auto"/>
              </w:rPr>
            </w:pPr>
          </w:p>
        </w:tc>
        <w:tc>
          <w:tcPr>
            <w:tcW w:w="3200" w:type="dxa"/>
            <w:vAlign w:val="bottom"/>
            <w:gridSpan w:val="3"/>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Condensed Consolidated Statements of Comprehensive Income (Loss)</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5"/>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Condensed Consolidated Balance Sheets</w:t>
              </w:r>
            </w:hyperlink>
          </w:p>
        </w:tc>
        <w:tc>
          <w:tcPr>
            <w:tcW w:w="2340" w:type="dxa"/>
            <w:vAlign w:val="bottom"/>
            <w:gridSpan w:val="5"/>
          </w:tcPr>
          <w:p>
            <w:pPr>
              <w:spacing w:after="0"/>
              <w:rPr>
                <w:sz w:val="18"/>
                <w:szCs w:val="18"/>
                <w:color w:val="auto"/>
              </w:rPr>
            </w:pPr>
          </w:p>
        </w:tc>
        <w:tc>
          <w:tcPr>
            <w:tcW w:w="3320" w:type="dxa"/>
            <w:vAlign w:val="bottom"/>
            <w:gridSpan w:val="4"/>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7"/>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Condensed Consolidated Statements of Cash Flows</w:t>
              </w:r>
            </w:hyperlink>
          </w:p>
        </w:tc>
        <w:tc>
          <w:tcPr>
            <w:tcW w:w="4820" w:type="dxa"/>
            <w:vAlign w:val="bottom"/>
            <w:gridSpan w:val="7"/>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Condensed Consolidated Statements of Stockholder's Equity</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8"/>
          </w:tcPr>
          <w:p>
            <w:pPr>
              <w:spacing w:after="0"/>
              <w:rPr>
                <w:rFonts w:ascii="Arial" w:cs="Arial" w:eastAsia="Arial" w:hAnsi="Arial"/>
                <w:sz w:val="18"/>
                <w:szCs w:val="18"/>
                <w:color w:val="0000FF"/>
                <w:w w:val="98"/>
              </w:rPr>
            </w:pPr>
            <w:hyperlink w:anchor="page41">
              <w:r>
                <w:rPr>
                  <w:rFonts w:ascii="Arial" w:cs="Arial" w:eastAsia="Arial" w:hAnsi="Arial"/>
                  <w:sz w:val="18"/>
                  <w:szCs w:val="18"/>
                  <w:color w:val="0000FF"/>
                  <w:w w:val="98"/>
                </w:rPr>
                <w:t>Notes to the Condensed Consolidated Financial Statements</w:t>
              </w:r>
            </w:hyperlink>
          </w:p>
        </w:tc>
        <w:tc>
          <w:tcPr>
            <w:tcW w:w="140" w:type="dxa"/>
            <w:vAlign w:val="bottom"/>
          </w:tcPr>
          <w:p>
            <w:pPr>
              <w:spacing w:after="0"/>
              <w:rPr>
                <w:sz w:val="18"/>
                <w:szCs w:val="18"/>
                <w:color w:val="auto"/>
              </w:rPr>
            </w:pPr>
          </w:p>
        </w:tc>
        <w:tc>
          <w:tcPr>
            <w:tcW w:w="4140" w:type="dxa"/>
            <w:vAlign w:val="bottom"/>
            <w:gridSpan w:val="5"/>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360" w:type="dxa"/>
            <w:vAlign w:val="bottom"/>
            <w:tcBorders>
              <w:left w:val="single" w:sz="8" w:color="0000FF"/>
            </w:tcBorders>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Management’s Discussion and Analysis of Financial Condition and Results of Operations</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rFonts w:ascii="Arial" w:cs="Arial" w:eastAsia="Arial" w:hAnsi="Arial"/>
                <w:sz w:val="18"/>
                <w:szCs w:val="18"/>
                <w:color w:val="0000FF"/>
                <w:w w:val="99"/>
              </w:rPr>
            </w:pPr>
            <w:hyperlink w:anchor="page83">
              <w:r>
                <w:rPr>
                  <w:rFonts w:ascii="Arial" w:cs="Arial" w:eastAsia="Arial" w:hAnsi="Arial"/>
                  <w:sz w:val="18"/>
                  <w:szCs w:val="18"/>
                  <w:color w:val="0000FF"/>
                  <w:w w:val="99"/>
                </w:rPr>
                <w:t>Quantitative and Qualitative Disclosures About Market Risk</w:t>
              </w:r>
            </w:hyperlink>
          </w:p>
        </w:tc>
        <w:tc>
          <w:tcPr>
            <w:tcW w:w="2360" w:type="dxa"/>
            <w:vAlign w:val="bottom"/>
            <w:gridSpan w:val="5"/>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82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8"/>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Controls and Procedures</w:t>
              </w:r>
            </w:hyperlink>
          </w:p>
        </w:tc>
        <w:tc>
          <w:tcPr>
            <w:tcW w:w="4280" w:type="dxa"/>
            <w:vAlign w:val="bottom"/>
            <w:gridSpan w:val="6"/>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7000" w:type="dxa"/>
            <w:vAlign w:val="bottom"/>
            <w:gridSpan w:val="10"/>
          </w:tcPr>
          <w:p>
            <w:pPr>
              <w:jc w:val="center"/>
              <w:ind w:right="3040"/>
              <w:spacing w:after="0"/>
              <w:rPr>
                <w:sz w:val="20"/>
                <w:szCs w:val="20"/>
                <w:color w:val="auto"/>
              </w:rPr>
            </w:pPr>
            <w:r>
              <w:rPr>
                <w:rFonts w:ascii="Arial" w:cs="Arial" w:eastAsia="Arial" w:hAnsi="Arial"/>
                <w:sz w:val="18"/>
                <w:szCs w:val="18"/>
                <w:b w:val="1"/>
                <w:bCs w:val="1"/>
                <w:color w:val="auto"/>
                <w:w w:val="99"/>
              </w:rPr>
              <w:t>PART II: OTHER INFORMATION</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620" w:type="dxa"/>
            <w:vAlign w:val="bottom"/>
            <w:gridSpan w:val="2"/>
          </w:tcPr>
          <w:p>
            <w:pPr>
              <w:spacing w:after="0" w:line="189" w:lineRule="exact"/>
              <w:rPr>
                <w:sz w:val="20"/>
                <w:szCs w:val="20"/>
                <w:color w:val="auto"/>
              </w:rPr>
            </w:pPr>
            <w:r>
              <w:rPr>
                <w:rFonts w:ascii="Arial" w:cs="Arial" w:eastAsia="Arial" w:hAnsi="Arial"/>
                <w:sz w:val="18"/>
                <w:szCs w:val="18"/>
                <w:color w:val="auto"/>
              </w:rPr>
              <w:t>Item 1.</w:t>
            </w:r>
          </w:p>
        </w:tc>
        <w:tc>
          <w:tcPr>
            <w:tcW w:w="1500" w:type="dxa"/>
            <w:vAlign w:val="bottom"/>
            <w:gridSpan w:val="3"/>
          </w:tcPr>
          <w:p>
            <w:pPr>
              <w:spacing w:after="0" w:line="189" w:lineRule="exact"/>
              <w:rPr>
                <w:rFonts w:ascii="Arial" w:cs="Arial" w:eastAsia="Arial" w:hAnsi="Arial"/>
                <w:sz w:val="18"/>
                <w:szCs w:val="18"/>
                <w:color w:val="0000FF"/>
                <w:w w:val="99"/>
              </w:rPr>
            </w:pPr>
            <w:hyperlink w:anchor="page85">
              <w:r>
                <w:rPr>
                  <w:rFonts w:ascii="Arial" w:cs="Arial" w:eastAsia="Arial" w:hAnsi="Arial"/>
                  <w:sz w:val="18"/>
                  <w:szCs w:val="18"/>
                  <w:color w:val="0000FF"/>
                  <w:w w:val="99"/>
                </w:rPr>
                <w:t>Legal Proceedings</w:t>
              </w:r>
            </w:hyperlink>
          </w:p>
        </w:tc>
        <w:tc>
          <w:tcPr>
            <w:tcW w:w="7500" w:type="dxa"/>
            <w:vAlign w:val="bottom"/>
            <w:gridSpan w:val="11"/>
          </w:tcPr>
          <w:p>
            <w:pPr>
              <w:spacing w:after="0"/>
              <w:rPr>
                <w:sz w:val="16"/>
                <w:szCs w:val="16"/>
                <w:color w:val="auto"/>
              </w:rPr>
            </w:pPr>
          </w:p>
        </w:tc>
        <w:tc>
          <w:tcPr>
            <w:tcW w:w="380" w:type="dxa"/>
            <w:vAlign w:val="bottom"/>
            <w:gridSpan w:val="2"/>
          </w:tcPr>
          <w:p>
            <w:pPr>
              <w:spacing w:after="0"/>
              <w:rPr>
                <w:sz w:val="16"/>
                <w:szCs w:val="16"/>
                <w:color w:val="auto"/>
              </w:rPr>
            </w:pPr>
          </w:p>
        </w:tc>
        <w:tc>
          <w:tcPr>
            <w:tcW w:w="220" w:type="dxa"/>
            <w:vAlign w:val="bottom"/>
            <w:gridSpan w:val="2"/>
          </w:tcPr>
          <w:p>
            <w:pPr>
              <w:jc w:val="right"/>
              <w:ind w:right="20"/>
              <w:spacing w:after="0" w:line="189"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3"/>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Risk Factors</w:t>
              </w:r>
            </w:hyperlink>
          </w:p>
        </w:tc>
        <w:tc>
          <w:tcPr>
            <w:tcW w:w="7500" w:type="dxa"/>
            <w:vAlign w:val="bottom"/>
            <w:gridSpan w:val="11"/>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Borders>
              <w:bottom w:val="single" w:sz="8" w:color="0000FF"/>
            </w:tcBorders>
          </w:tcPr>
          <w:p>
            <w:pPr>
              <w:spacing w:after="0"/>
              <w:rPr>
                <w:rFonts w:ascii="Arial" w:cs="Arial" w:eastAsia="Arial" w:hAnsi="Arial"/>
                <w:sz w:val="18"/>
                <w:szCs w:val="18"/>
                <w:color w:val="0000FF"/>
                <w:w w:val="98"/>
              </w:rPr>
            </w:pPr>
            <w:hyperlink w:anchor="page110">
              <w:r>
                <w:rPr>
                  <w:rFonts w:ascii="Arial" w:cs="Arial" w:eastAsia="Arial" w:hAnsi="Arial"/>
                  <w:sz w:val="18"/>
                  <w:szCs w:val="18"/>
                  <w:color w:val="0000FF"/>
                  <w:w w:val="98"/>
                </w:rPr>
                <w:t>Exhibits</w:t>
              </w:r>
            </w:hyperlink>
          </w:p>
        </w:tc>
        <w:tc>
          <w:tcPr>
            <w:tcW w:w="360" w:type="dxa"/>
            <w:vAlign w:val="bottom"/>
          </w:tcPr>
          <w:p>
            <w:pPr>
              <w:spacing w:after="0"/>
              <w:rPr>
                <w:sz w:val="18"/>
                <w:szCs w:val="18"/>
                <w:color w:val="auto"/>
              </w:rPr>
            </w:pPr>
          </w:p>
        </w:tc>
        <w:tc>
          <w:tcPr>
            <w:tcW w:w="8000" w:type="dxa"/>
            <w:vAlign w:val="bottom"/>
            <w:gridSpan w:val="12"/>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93"/>
              </w:rPr>
            </w:pPr>
            <w:hyperlink w:anchor="page110">
              <w:r>
                <w:rPr>
                  <w:rFonts w:ascii="Arial" w:cs="Arial" w:eastAsia="Arial" w:hAnsi="Arial"/>
                  <w:sz w:val="18"/>
                  <w:szCs w:val="18"/>
                  <w:color w:val="0000FF"/>
                  <w:w w:val="93"/>
                </w:rPr>
                <w:t>110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gridSpan w:val="2"/>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SIGNATURES</w:t>
              </w:r>
            </w:hyperlink>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0" w:type="dxa"/>
            <w:vAlign w:val="bottom"/>
            <w:gridSpan w:val="3"/>
          </w:tcPr>
          <w:p>
            <w:pPr>
              <w:jc w:val="right"/>
              <w:spacing w:after="0"/>
              <w:rPr>
                <w:rFonts w:ascii="Arial" w:cs="Arial" w:eastAsia="Arial" w:hAnsi="Arial"/>
                <w:sz w:val="18"/>
                <w:szCs w:val="18"/>
                <w:color w:val="0000FF"/>
              </w:rPr>
            </w:pPr>
            <w:hyperlink w:anchor="page111">
              <w:r>
                <w:rPr>
                  <w:rFonts w:ascii="Arial" w:cs="Arial" w:eastAsia="Arial" w:hAnsi="Arial"/>
                  <w:sz w:val="18"/>
                  <w:szCs w:val="18"/>
                  <w:color w:val="0000FF"/>
                </w:rPr>
                <w:t>111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112"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112" w:lineRule="exact"/>
        <w:rPr>
          <w:sz w:val="20"/>
          <w:szCs w:val="20"/>
          <w:color w:val="auto"/>
        </w:rPr>
      </w:pPr>
    </w:p>
    <w:p>
      <w:pPr>
        <w:jc w:val="both"/>
        <w:ind w:right="20" w:firstLine="243"/>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the convenience of the reader, the definitions of certain capitalized industry and other terms used in this report have been consolidated into a Glossary beginning on page </w:t>
      </w:r>
      <w:hyperlink w:anchor="page5">
        <w:r>
          <w:rPr>
            <w:rFonts w:ascii="Arial" w:cs="Arial" w:eastAsia="Arial" w:hAnsi="Arial"/>
            <w:sz w:val="18"/>
            <w:szCs w:val="18"/>
            <w:u w:val="single" w:color="auto"/>
            <w:color w:val="0000FF"/>
          </w:rPr>
          <w:t>5</w:t>
        </w:r>
      </w:hyperlink>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1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57" w:lineRule="exact"/>
        <w:rPr>
          <w:sz w:val="20"/>
          <w:szCs w:val="20"/>
          <w:color w:val="auto"/>
        </w:rPr>
      </w:pPr>
    </w:p>
    <w:p>
      <w:pPr>
        <w:jc w:val="both"/>
        <w:ind w:firstLine="202"/>
        <w:spacing w:after="0" w:line="269" w:lineRule="auto"/>
        <w:rPr>
          <w:sz w:val="20"/>
          <w:szCs w:val="20"/>
          <w:color w:val="auto"/>
        </w:rPr>
      </w:pPr>
      <w:r>
        <w:rPr>
          <w:rFonts w:ascii="Arial" w:cs="Arial" w:eastAsia="Arial" w:hAnsi="Arial"/>
          <w:sz w:val="17"/>
          <w:szCs w:val="17"/>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In particular, the consequences of the coronavirus outbreak to economic conditions and the travel industry in general and our financial position and operating results in particular have been material, are changing rapidly, and cannot be predicted.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II, Item 1A. Risk Factors. These risks include, among others, the following:</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53" w:lineRule="exact"/>
        <w:rPr>
          <w:sz w:val="20"/>
          <w:szCs w:val="20"/>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outbreak and global spread of COVID-19 has resulted in a severe decline in demand for air travel which has and will continue to adversely impact our business, operating results, financial condition and liquidity.</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Downturns in economic conditions and related depressed demand for air travel could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201"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162" w:lineRule="exact"/>
        <w:rPr>
          <w:rFonts w:ascii="Arial" w:cs="Arial" w:eastAsia="Arial" w:hAnsi="Arial"/>
          <w:sz w:val="22"/>
          <w:szCs w:val="22"/>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84" w:lineRule="exact"/>
        <w:rPr>
          <w:rFonts w:ascii="Arial" w:cs="Arial" w:eastAsia="Arial" w:hAnsi="Arial"/>
          <w:sz w:val="18"/>
          <w:szCs w:val="18"/>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loss of key personnel upon whom we depend to operate our business or the inability to attract and develop additional qualified personnel could adversely affect our business.</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Union disputes, employee strikes and other labor-related disruptions, or our inability to otherwise maintain labor costs at competitive levels may adversely affect our operations and financial performance.</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Any damage to our reputation or brand image could adversely affect our business or financial results.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face challenges in integrating our computer, communications and other technology systems.</w:t>
      </w:r>
    </w:p>
    <w:p>
      <w:pPr>
        <w:spacing w:after="0" w:line="201"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Changes to our business model that are designed to increase revenues may not be successful and may cause operational difficulties or decreased demand.</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utilize our NOL Carryforwards may be limited.</w:t>
      </w:r>
    </w:p>
    <w:p>
      <w:pPr>
        <w:spacing w:after="0" w:line="201"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the Airline Industry</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airline industry is intensely competitive and dynamic.</w:t>
      </w:r>
    </w:p>
    <w:p>
      <w:pPr>
        <w:spacing w:after="0" w:line="201"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commercial relationships that we have with other airlines, including any related equity investment, may not produce the returns or results we expect.</w:t>
      </w:r>
    </w:p>
    <w:p>
      <w:pPr>
        <w:spacing w:after="0" w:line="203"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business is very dependent on the price and availability of aircraft fuel and continued periods of high volatility in fuel costs, increased fuel prices or significant disruptions in the supply of aircraft fuel could have a significant negative impact on consumer demand, our operating results and liquidity.</w:t>
      </w:r>
    </w:p>
    <w:p>
      <w:pPr>
        <w:spacing w:after="0" w:line="203"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203"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be adversely affected by conflicts overseas or terrorist attacks; the travel industry continues to face ongoing security concerns.</w:t>
      </w:r>
    </w:p>
    <w:p>
      <w:pPr>
        <w:spacing w:after="0" w:line="128" w:lineRule="exact"/>
        <w:rPr>
          <w:rFonts w:ascii="Arial" w:cs="Arial" w:eastAsia="Arial" w:hAnsi="Arial"/>
          <w:sz w:val="22"/>
          <w:szCs w:val="22"/>
          <w:color w:val="auto"/>
        </w:rPr>
      </w:pPr>
    </w:p>
    <w:p>
      <w:pPr>
        <w:ind w:left="660" w:right="20" w:hanging="328"/>
        <w:spacing w:after="0" w:line="281"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are subject to risks associated with climate change, including increased regulation of 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changing consumer preferences and the potential increased impacts of severe weather events on our operations and infrastructure.</w:t>
      </w:r>
    </w:p>
    <w:p>
      <w:pPr>
        <w:spacing w:after="0" w:line="12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depend on a limited number of suppliers for aircraft, aircraft engines and parts.</w:t>
      </w:r>
    </w:p>
    <w:p>
      <w:pPr>
        <w:spacing w:after="0" w:line="201"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Delays in scheduled aircraft deliveries or other loss of anticipated fleet capacity, and failure of new aircraft to perform as expected, may adversely impact our business, results of operations and financial condition.</w:t>
      </w:r>
    </w:p>
    <w:p>
      <w:pPr>
        <w:spacing w:after="0" w:line="20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rely heavily on technology and automated systems to operate our business, and any failure of these technologies or systems could harm our business, results of operations and financial condition.</w:t>
      </w:r>
    </w:p>
    <w:p>
      <w:pPr>
        <w:spacing w:after="0" w:line="203"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rely on third-party distribution channels and must manage effectively the costs, rights and functionality of these channels.</w:t>
      </w:r>
    </w:p>
    <w:p>
      <w:pPr>
        <w:spacing w:after="0" w:line="201"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“2013 Credit Agreement” means the Amended and Restated Credit and Guaranty Agreement dated as of May 21, 2015, among American, AAG, the lenders from time to time party thereto, Deutsche Bank AG New York Branch, as administrative agent, and certain other parties thereto, as amended.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“2013 Revolving Facility” means the $750 million revolving credit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Term Loan Facility” means the $1.9 billion term loan facility provided for under the 2013 Credit Agreement.</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“2014 Credit Agreement” means the Amended and Restated Credit and Guaranty Agreement, dated as of April 20, 2015, among American, AAG, the lenders from time to time party thereto, Citibank N.A., as administrative agent, and certain other parties thereto, as amended.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Facility” means the $1.6 billion revolving credit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Term Loan Facility” means the $1.2 billion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“2020 Form 10-K” means AAG’s and American’s Annual Report on Form 10-K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“2026 Notes” means the AAdvantage Issuers' 5.50% Senior Secured Notes due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“2029 Notes” means the AAdvantage Issuers' 5.75% Senior Secured Notes due 2029.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“AAdvantage” means the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frequent flyer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“AAdvantage Agreements” means the AAdvantage program agreements provided as collateral under the AAdvantage Financing.</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“AAdvantage Collateral” means the AAdvantage Agreements (including all payments thereunder) and rights under an intercompany agreement and certain IP Licenses, certain rights under the AAdvantage program, certain deposit accounts that will receive cash under the AAdvantage Agreements, certain reserve accounts, the equity of each of Loyalty Issuer and the SPV Guarantors and substantially all other assets of Loyalty Issuer and the SPV Guarantors.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means the AAdvantage Notes and the AAdvantage Term Loan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Closing Date” means March 24, 2021.</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“AAdvantage Guarantees” means the AAdvantage Notes Guarantees, together with the full and unconditional guarantee of the AAdvantage Loans by the AAdvantage Guarantors.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“AAdvantage Guarantors” means the SPV Guarantors and AAG.</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“AAdvantage Indenture” means the indenture, dated as of March 24, 2021, by and among the AAdvantage Issuers, the AAdvantage Guarantors and Wilmington Trust, National Association, as trustee and as collateral custodian.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“AAdvantage Issuers” means the Loyalty Issuer and American.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Loans” means the $3.5 billion of term loans provided pursuant to the AAdvantage Term Loan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Note Guarantees” means the full and unconditional guarantee of the AAdvantage Notes by AAG, AAdvantage Holdings 1,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HoldCo2.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Notes” means, collectively, the 2026 Notes and the 2029 Notes.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“AAdvantage Payment Date” means, with respect to the payment of interest on the AAdvantage Notes and AAdvantage Loans, the 20th day of each January, April, July and October.</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“AAdvantage Term Loan Facility” means the $ 3.5 billion term loan facility provided pursuant to the term loan credit and guaranty agreement, dated as of March 24, 2021, with Barclays Bank PLC, as administrative agent, Wilmington Trust, National Association, as collateral administrator, and the lenders party thereto.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“AAG”, “we”, “us”, “our” and similar terms means American Airlines Group Inc. and its consolidated subsidiaries.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“American” means American Airlines, Inc., a wholly-owned subsidiary of AAG.</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“American Eagle” means our regional carriers, including our wholly-owned regional carriers Envoy, PSA and Piedmont, as well as third-party regional carriers including Mesa, Republic and SkyWest.</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“AMR” or “AMR Corporation” means AMR Corporation and is used to reference AAG during the period of time prior to its emergence from Chapter 11 and the Merger.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“AOCI” means accumulated other comprehensive income (loss).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“April 2016 Credit Agreement” means the Credit and Guaranty Agreement, dated as of April 29, 2016, among American, AAG, the lenders from time to time party thereto, Barclays Bank PLC, as administrative agent, and certain other parties thereto, as amended.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“April 2016 Revolving Facility” means the $450 million revolving credit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2016 Spare Parts Term Loan Facility” means the $1.0 billion term loan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“ARP” means the American Rescue Plan Act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“ASM” means available seat mile and is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“ASU” means Accounting Standards Update.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system” means the U.S. National Airspace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“Bankruptcy Court” means the United States Bankruptcy Court for the Southern District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“Bylaws” means AAG’s Amended and Restated Bylaws,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the Coronavirus Aid, Relief, and Economic Security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“CASM” means operating cost per available seat mile and is equal to operating expenses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“CBAs” means collective bargaining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“CEO” means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“CFO” means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“Chapter 11 Cases” means the voluntary petitions for relief filed on November 29, 2011 by the Debtors.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Airlines” means China Southern Airlines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“CMA” means the United Kingdom Competition and Markets Authority.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w:t>
      </w:r>
      <w:r>
        <w:rPr>
          <w:rFonts w:ascii="Arial" w:cs="Arial" w:eastAsia="Arial" w:hAnsi="Arial"/>
          <w:sz w:val="23"/>
          <w:szCs w:val="23"/>
          <w:color w:val="auto"/>
          <w:vertAlign w:val="subscript"/>
        </w:rPr>
        <w:t>2</w:t>
      </w:r>
      <w:r>
        <w:rPr>
          <w:rFonts w:ascii="Arial" w:cs="Arial" w:eastAsia="Arial" w:hAnsi="Arial"/>
          <w:sz w:val="18"/>
          <w:szCs w:val="18"/>
          <w:color w:val="auto"/>
        </w:rPr>
        <w:t>” means carbon dioxide.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AAG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means AAG’s 6.50% convertible senior notes due 2025.</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“Convertible Notes Indenture” means the indenture, dated as of June 25, 2020, between AAG and the Convertible Notes Trustee, as supplemented by the first supplemental indenture, dated as of June 25, 2020, among AAG, American and the Convertible Notes Trustee.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Trustee” means Wilmington Trust, National Association, as trustee with respect to the 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“CORSIA” means the Carbon Offsetting and Reduction Scheme for International Aviation.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“COVID-19” means coronavirus.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“DCA” means Ronald Reagan Washington 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 Court” means the Federal District Court for the District of Columbia.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“Debtors” means AMR, American, and certain of AMR’s other direct and indirect domestic subsidiaries.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2016 Credit Agreement” means the Credit and Guaranty Agreement dated as of December 15, 2016, among American, AAG, the lenders from time to time party thereto, Citibank N.A., as administrative agent, and certain other parties thereto, as amended.</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2016 Credit Facilities” means the revolving credit facility that may be established under the December 2016 Credit Agreement and the December 2016 Term Loan Facility provided for by the December 2016 Credit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“December 2016 Term Loan Facility” means the $1.2 billion term loan facility provided for under the December 2016 Credit Agreement.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“Disputed Claims Reserve” means a reserve established by the Bankruptcy Court, pursuant to the Plan, to hold shares of AAG common stock for issuance to disputed claimholders at the Effective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U.S. Department of 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 means the European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“EETC” means enhanced equipment trust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means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“Envoy” means Envoy Air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U.S. Environmental Protection Agency.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“EPS” means earnings (loss)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 means European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“EWR” means Newark Liberty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“FAA” means Federal Aviation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“GDSs” means global distribution systems.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“holdback” means an amount of cash held by our credit card processors in certain circumstances (including, with respect to certain agreements, our failure to maintain certain levels of liquidity).</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“HoldCo2” means AAdvantage Holdings 2, Ltd., a Cayman Islands exempted company incorporated with limited liability and an indirect wholly owned subsidiary of American and the direct parent of Loyalty Issuer.</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“HoldCo2 License” means the exclusive, irrevocable (subject to certain termination rights), perpetual, worldwide, royalty-bearing license to use the Transferred AAdvantage IP granted to HoldCo2 from Loyalty Issuer.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“IAM” means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“IAM Pension Fund” means the IAM National Pension Fund.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“ICAO” means International Civil Aviation Organization.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“IP Licenses” means the HoldCo2 License and the exclusive, irrevocable (subject to certain termination rights), perpetual, worldwide, royalty-bearing sublicense to use the Transferred AAdvantage IP granted by HoldCo2 to American.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“IP Notes” means American’s $1.0 billion in initial principal amount of 10.75% senior secured IP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“Installment” means the financial assistance payment, in installments, by Treasury pursuant to the PSP2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“JetBlue” means JetBlue Airways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“LGA/DCA Notes” means American’s $200 million in initial principal amount of 10.75% senior secured LGA/DCA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“LGA” means LaGuardia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“LGW” or “London Gatwick” means London Gatwick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“LHR” or “London Heathrow” means London Heathrow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“LIBOR” means the London interbank offered rate for deposits of U.S. dollars.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“Loyalty Issuer” means AAdvantage Loyalty IP Ltd., a Cayman Islands exempted company incorporated with limited liability and an indirect wholly owned subsidiary of American.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“LTV” means loan to value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“Mainline” means the operations of American and excludes regional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of US Airways Group and AMR Corporation on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“Mesa” means Mesa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“NMB” means National Mediation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 Carryforwards” means a deduction in any taxable year for net operating losses carried over from prior taxable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means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“PEB” means Presidential Emergency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“Piedmont” means Piedmont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“Plan” means the Debtors’ fourth amended joint plan of reorganization.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“PRASM” means passenger revenue per available seat mile and is equal to passenger revenues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“PSA” means PSA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means the payroll support program established under the CARES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Promissory Note” means the promissory note issued to Treasury in connection with PSP1.</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“PSP1 Warrant Agreement” means the agreement entered into between AAG and Treasury in connection with the PSP1 Agreement, pursuant to which AAG issued PSP1 Warrants to Treasury to purchase up to an aggregate of approximately 14.1 million shares of AAG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“PSP1 Warrants” means the warrants issued or to be issued to Treasury pursuant to the PSP1 Warrant Agreement.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“PSP2” means the payroll support program established under the PSP Extension Law.</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“PSP2 Agreement” means the Payroll Support Program Extension Agreement entered into by the Subsidiaries with Treasury on the PSP2 Closing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“PSP2 Closing Date” means January 15, 2021.</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“PSP2 Financial Assistance” means the portion of financial assistance received from Treasury pursuant to the PSP2 Agreement that is not allocated to the PSP2 Warrants or PSP2 Promissory Note.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“PSP2 Maturity Date” means the tenth anniversary of the PSP2 Closing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“PSP2 Promissory Note” means the promissory note issued to Treasury in connection with PSP2.</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“PSP2 Warrant Agreement” means the agreement entered into between AAG and Treasury in connection with the PSP2 Agreement, pursuant to which AAG issued PSP2 Warrants to Treasury to purchase up to an aggregate of approximately 6.6 million shares of AAG common stock.</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“PSP2 Warrant Shares” means up to an aggregate of approximately 6.6 million shares of AAG common stock which Treasury will have the right to purchase pursuant to PSP2 Warrants issued or to be issued by AAG in accordance with the PSP2 Warrant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“PSP2 Warrants” means the warrants issued or to be issued to Treasury pursuant to the PSP2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means the payroll support program established under the ARP.</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“PSP3 Agreement” means the Payroll Support Program Agreement entered into by the Subsidiaries with Treasury on the PSP3 Closing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“PSP3 Closing Date” means April 23, 2021.</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“PSP3 Financial Assistance” means the portion of financial assistance received from Treasury pursuant to the PSP3 Agreement that is not allocated to the PSP3 Warrants or PSP3 Promissory Note.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“PSP3 Installment” means the financial assistance payment, in installments, by Treasury pursuant to the PSP3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Maturity Date” means the tenth anniversary of the PSP3 Closing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Promissory Note” means the promissory note issued to Treasury in connection with PSP3.</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“PSP3 Warrant Agreement” means the agreement entered into between AAG and Treasury in connection with the PSP3 Agreement, pursuant to which AAG issued PSP3 Warrants to Treasury to purchase up to an aggregate of approximately 4.4 million shares of AAG common stock.</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“PSP3 Warrant Shares” means up to an aggregate of approximately 4.4 million shares of AAG common stock which Treasury will have the right to purchase pursuant to PSP3 Warrants issued or to be issued by AAG in accordance with the PSP3 Warrant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“PSP3 Warrants” means the warrants issued or to be issued to Treasury pursuant to the PSP3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Extension Law” means Subtitle A of Title IV of Division N of the Consolidated Appropriations Act,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“Republic” means Republic Airways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“RLA” means Railway Labor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“ROU” means right-of-use.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“RPM” or “RPMs” means revenue passenger mile or miles and is a basic measure of sales volume. One RPM represents one passenger flown one mile.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“SEA” means Seattle-Tacoma International Airport.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 means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382” means Section 382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“SkyWest” means SkyWest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“slots” means landing and take-off rights and authorizations, as required by certain airports.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“SOFR” means the Secured Overnight Financing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“SPV Guarantors” means AAdvantage Holdings 1, Ltd. and HoldCo2.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“Subsidiaries” means American, Envoy, PSA and Piedmont, each a wholly-owned subsidiary of AAG.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“Terminal 8” means the passenger terminal facility used by American at JFK.</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“Transferred AAdvantage IP” means, among other things, American’s rights to certain data and other intellectual property used in the AAdvantage program (subject to certain exceptions).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“TRASM” means the total revenue per available seat mile and is equal to the total revenues divided by total mainline and third-party regional carrier ASMs.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“Treasury” means the U.S. Department of the Treasury.</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“Treasury Loan Agreement” means the Loan and Guarantee Agreement, dated as of September 25, 2020, between AAG, American and Treasury which provides for the Treasury Term Loan Facility.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“Treasury Loan Warrants” means the warrants issued or to be issued to Treasury pursuant to the Treasury Loan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“Treasury Term Loan Facility” means the term loan facility provided for under the Treasury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means US Airways,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means US Airways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“USTR” means the Office of the U.S. Trade Representative.</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“Withdrawal Agreement” means the agreement on the withdrawal of the United Kingdom of Great Britain and Northern Ireland from the European Union and the European Atomic Energy Community.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“WTO” means World Trade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means a measure of airline revenue derived by dividing passenger revenue by RPMs.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12"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CONDENSED CONSOLIDATED FINANCIAL STATEMENTS OF AMERICAN AIRLINES GROUP INC.</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amounts)(Unaudited)</w:t>
      </w:r>
    </w:p>
    <w:p>
      <w:pPr>
        <w:sectPr>
          <w:pgSz w:w="11900" w:h="16838" w:orient="portrait"/>
          <w:cols w:equalWidth="0" w:num="1">
            <w:col w:w="11240"/>
          </w:cols>
          <w:pgMar w:left="320" w:top="118" w:right="339" w:bottom="1440" w:gutter="0" w:footer="0" w:header="0"/>
        </w:sectPr>
      </w:pPr>
    </w:p>
    <w:p>
      <w:pPr>
        <w:spacing w:after="0" w:line="240"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17780</wp:posOffset>
            </wp:positionV>
            <wp:extent cx="1663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49" w:lineRule="exact"/>
        <w:rPr>
          <w:sz w:val="20"/>
          <w:szCs w:val="20"/>
          <w:color w:val="auto"/>
        </w:rPr>
      </w:pPr>
    </w:p>
    <w:p>
      <w:pPr>
        <w:ind w:left="6340"/>
        <w:spacing w:after="0"/>
        <w:tabs>
          <w:tab w:leader="none" w:pos="77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17780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17780</wp:posOffset>
            </wp:positionV>
            <wp:extent cx="1671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49"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8280" w:space="720"/>
            <w:col w:w="22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9,724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8,788</w:t>
            </w: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r>
      <w:tr>
        <w:trPr>
          <w:trHeight w:val="223"/>
        </w:trPr>
        <w:tc>
          <w:tcPr>
            <w:tcW w:w="5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5,830</w:t>
            </w: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r>
      <w:tr>
        <w:trPr>
          <w:trHeight w:val="223"/>
        </w:trPr>
        <w:tc>
          <w:tcPr>
            <w:tcW w:w="5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15,171</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(5,034)</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(5,549)</w:t>
            </w: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5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639,366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427,260</w:t>
            </w: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427,260</w:t>
            </w:r>
          </w:p>
        </w:tc>
      </w:tr>
      <w:tr>
        <w:trPr>
          <w:trHeight w:val="239"/>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Cash dividends declared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272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3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90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r>
      <w:tr>
        <w:trPr>
          <w:trHeight w:val="21"/>
        </w:trPr>
        <w:tc>
          <w:tcPr>
            <w:tcW w:w="5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17,625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6,619</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1,249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1,342</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1,614</w:t>
            </w:r>
          </w:p>
        </w:tc>
      </w:tr>
      <w:tr>
        <w:trPr>
          <w:trHeight w:val="198"/>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w:t>
            </w:r>
          </w:p>
        </w:tc>
      </w:tr>
      <w:tr>
        <w:trPr>
          <w:trHeight w:val="200"/>
        </w:trPr>
        <w:tc>
          <w:tcPr>
            <w:tcW w:w="76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22,647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11,095</w:t>
            </w:r>
          </w:p>
        </w:tc>
      </w:tr>
      <w:tr>
        <w:trPr>
          <w:trHeight w:val="202"/>
        </w:trPr>
        <w:tc>
          <w:tcPr>
            <w:tcW w:w="762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37,577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37,816</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9,132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9,194</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1,446</w:t>
            </w:r>
          </w:p>
        </w:tc>
      </w:tr>
      <w:tr>
        <w:trPr>
          <w:trHeight w:val="192"/>
        </w:trPr>
        <w:tc>
          <w:tcPr>
            <w:tcW w:w="762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260" w:type="dxa"/>
            <w:vAlign w:val="bottom"/>
          </w:tcPr>
          <w:p>
            <w:pPr>
              <w:spacing w:after="0"/>
              <w:rPr>
                <w:sz w:val="16"/>
                <w:szCs w:val="16"/>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47,423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48,456</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(17,218)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(16,757)</w:t>
            </w:r>
          </w:p>
        </w:tc>
      </w:tr>
      <w:tr>
        <w:trPr>
          <w:trHeight w:val="192"/>
        </w:trPr>
        <w:tc>
          <w:tcPr>
            <w:tcW w:w="762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260" w:type="dxa"/>
            <w:vAlign w:val="bottom"/>
          </w:tcPr>
          <w:p>
            <w:pPr>
              <w:spacing w:after="0"/>
              <w:rPr>
                <w:sz w:val="16"/>
                <w:szCs w:val="16"/>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30,205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31,699</w:t>
            </w:r>
          </w:p>
        </w:tc>
      </w:tr>
      <w:tr>
        <w:trPr>
          <w:trHeight w:val="206"/>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8,039</w:t>
            </w:r>
          </w:p>
        </w:tc>
      </w:tr>
      <w:tr>
        <w:trPr>
          <w:trHeight w:val="202"/>
        </w:trPr>
        <w:tc>
          <w:tcPr>
            <w:tcW w:w="762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199"/>
        </w:trPr>
        <w:tc>
          <w:tcPr>
            <w:tcW w:w="762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$765 and $745, respectively</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2,008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2,029</w:t>
            </w:r>
          </w:p>
        </w:tc>
      </w:tr>
      <w:tr>
        <w:trPr>
          <w:trHeight w:val="206"/>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3,239</w:t>
            </w:r>
          </w:p>
        </w:tc>
      </w:tr>
      <w:tr>
        <w:trPr>
          <w:trHeight w:val="199"/>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assets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1,816</w:t>
            </w:r>
          </w:p>
        </w:tc>
      </w:tr>
      <w:tr>
        <w:trPr>
          <w:trHeight w:val="200"/>
        </w:trPr>
        <w:tc>
          <w:tcPr>
            <w:tcW w:w="76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11,654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11,175</w:t>
            </w:r>
          </w:p>
        </w:tc>
      </w:tr>
      <w:tr>
        <w:trPr>
          <w:trHeight w:val="192"/>
        </w:trPr>
        <w:tc>
          <w:tcPr>
            <w:tcW w:w="762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72,464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62,008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3"/>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 (DEFICIT)</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02"/>
        </w:trPr>
        <w:tc>
          <w:tcPr>
            <w:tcW w:w="762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2,797</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2,172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1,196</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1,716</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7,095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4,757</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2,033</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1,587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1,651</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3,657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2,419</w:t>
            </w:r>
          </w:p>
        </w:tc>
      </w:tr>
      <w:tr>
        <w:trPr>
          <w:trHeight w:val="192"/>
        </w:trPr>
        <w:tc>
          <w:tcPr>
            <w:tcW w:w="762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6"/>
                <w:szCs w:val="16"/>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21,521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16,569</w:t>
            </w:r>
          </w:p>
        </w:tc>
      </w:tr>
      <w:tr>
        <w:trPr>
          <w:trHeight w:val="207"/>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37,201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29,796</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 and postretirement benefits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7,069</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6,674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7,162</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6,777</w:t>
            </w:r>
          </w:p>
        </w:tc>
      </w:tr>
      <w:tr>
        <w:trPr>
          <w:trHeight w:val="198"/>
        </w:trPr>
        <w:tc>
          <w:tcPr>
            <w:tcW w:w="76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1,502</w:t>
            </w:r>
          </w:p>
        </w:tc>
      </w:tr>
      <w:tr>
        <w:trPr>
          <w:trHeight w:val="200"/>
        </w:trPr>
        <w:tc>
          <w:tcPr>
            <w:tcW w:w="76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noncurrent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58,610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52,306</w:t>
            </w:r>
          </w:p>
        </w:tc>
      </w:tr>
      <w:tr>
        <w:trPr>
          <w:trHeight w:val="202"/>
        </w:trPr>
        <w:tc>
          <w:tcPr>
            <w:tcW w:w="762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59"/>
        </w:trPr>
        <w:tc>
          <w:tcPr>
            <w:tcW w:w="7620" w:type="dxa"/>
            <w:vAlign w:val="bottom"/>
          </w:tcPr>
          <w:p>
            <w:pPr>
              <w:ind w:left="360"/>
              <w:spacing w:after="0" w:line="159" w:lineRule="exact"/>
              <w:rPr>
                <w:sz w:val="20"/>
                <w:szCs w:val="20"/>
                <w:color w:val="auto"/>
              </w:rPr>
            </w:pPr>
            <w:r>
              <w:rPr>
                <w:rFonts w:ascii="Arial" w:cs="Arial" w:eastAsia="Arial" w:hAnsi="Arial"/>
                <w:sz w:val="15"/>
                <w:szCs w:val="15"/>
                <w:color w:val="auto"/>
              </w:rPr>
              <w:t>Common stock, $0.01 par value; 1,750,000,000 shares authorized, 647,446,499 shares issued and</w:t>
            </w: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88"/>
        </w:trPr>
        <w:tc>
          <w:tcPr>
            <w:tcW w:w="7620" w:type="dxa"/>
            <w:vAlign w:val="bottom"/>
          </w:tcPr>
          <w:p>
            <w:pPr>
              <w:ind w:left="360"/>
              <w:spacing w:after="0"/>
              <w:rPr>
                <w:sz w:val="20"/>
                <w:szCs w:val="20"/>
                <w:color w:val="auto"/>
              </w:rPr>
            </w:pPr>
            <w:r>
              <w:rPr>
                <w:rFonts w:ascii="Arial" w:cs="Arial" w:eastAsia="Arial" w:hAnsi="Arial"/>
                <w:sz w:val="15"/>
                <w:szCs w:val="15"/>
                <w:color w:val="auto"/>
              </w:rPr>
              <w:t>outstanding at June 30, 2021; 621,479,522 shares issued and outstanding at December 31, 2020</w:t>
            </w:r>
          </w:p>
        </w:tc>
        <w:tc>
          <w:tcPr>
            <w:tcW w:w="260" w:type="dxa"/>
            <w:vAlign w:val="bottom"/>
          </w:tcPr>
          <w:p>
            <w:pPr>
              <w:spacing w:after="0"/>
              <w:rPr>
                <w:sz w:val="16"/>
                <w:szCs w:val="16"/>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6,894</w:t>
            </w:r>
          </w:p>
        </w:tc>
      </w:tr>
      <w:tr>
        <w:trPr>
          <w:trHeight w:val="198"/>
        </w:trPr>
        <w:tc>
          <w:tcPr>
            <w:tcW w:w="762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(6,997)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(7,103)</w:t>
            </w:r>
          </w:p>
        </w:tc>
      </w:tr>
      <w:tr>
        <w:trPr>
          <w:trHeight w:val="207"/>
        </w:trPr>
        <w:tc>
          <w:tcPr>
            <w:tcW w:w="7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Retained deficit</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(7,876)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(6,664)</w:t>
            </w:r>
          </w:p>
        </w:tc>
      </w:tr>
      <w:tr>
        <w:trPr>
          <w:trHeight w:val="192"/>
        </w:trPr>
        <w:tc>
          <w:tcPr>
            <w:tcW w:w="762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stockholders’ deficit</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(6,867)</w:t>
            </w:r>
          </w:p>
        </w:tc>
      </w:tr>
      <w:tr>
        <w:trPr>
          <w:trHeight w:val="221"/>
        </w:trPr>
        <w:tc>
          <w:tcPr>
            <w:tcW w:w="76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72,464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62,008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77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(7,936)</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Increase in restricted short-term investments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7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(6,961)</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9,464</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equity</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Treasury stock repurchases and shares withheld for taxes pursuant to employee stock plans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payments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financing activities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7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of bankruptcy obligations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Deferred financing costs paid through issuance of debt</w:t>
            </w:r>
          </w:p>
        </w:tc>
        <w:tc>
          <w:tcPr>
            <w:tcW w:w="4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77"/>
        </w:trPr>
        <w:tc>
          <w:tcPr>
            <w:tcW w:w="5540" w:type="dxa"/>
            <w:vAlign w:val="bottom"/>
          </w:tcPr>
          <w:p>
            <w:pPr>
              <w:ind w:left="20"/>
              <w:spacing w:after="0" w:line="178" w:lineRule="exact"/>
              <w:rPr>
                <w:sz w:val="20"/>
                <w:szCs w:val="20"/>
                <w:color w:val="auto"/>
              </w:rPr>
            </w:pPr>
            <w:r>
              <w:rPr>
                <w:rFonts w:ascii="Arial" w:cs="Arial" w:eastAsia="Arial" w:hAnsi="Arial"/>
                <w:sz w:val="16"/>
                <w:szCs w:val="16"/>
                <w:color w:val="auto"/>
              </w:rPr>
              <w:t>Impact of adoption of Accounting Standards Update (ASU) 2020-06 related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80"/>
              <w:spacing w:after="0"/>
              <w:rPr>
                <w:sz w:val="20"/>
                <w:szCs w:val="20"/>
                <w:color w:val="auto"/>
              </w:rPr>
            </w:pPr>
            <w:r>
              <w:rPr>
                <w:rFonts w:ascii="Arial" w:cs="Arial" w:eastAsia="Arial" w:hAnsi="Arial"/>
                <w:sz w:val="16"/>
                <w:szCs w:val="16"/>
                <w:color w:val="auto"/>
              </w:rPr>
              <w:t>to convertible instruments (see Note 1(c))</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18,194,573 shares of AAG common stock pursuant to an at-the-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Issuance of PSP2 Warrants (see Note 1(b))</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1,700,380 shares of AAG common stock pursuant to employee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(7,945)</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7"/>
        </w:trPr>
        <w:tc>
          <w:tcPr>
            <w:tcW w:w="5540" w:type="dxa"/>
            <w:vAlign w:val="bottom"/>
          </w:tcPr>
          <w:p>
            <w:pPr>
              <w:ind w:left="20"/>
              <w:spacing w:after="0" w:line="178" w:lineRule="exact"/>
              <w:rPr>
                <w:sz w:val="20"/>
                <w:szCs w:val="20"/>
                <w:color w:val="auto"/>
              </w:rPr>
            </w:pPr>
            <w:r>
              <w:rPr>
                <w:rFonts w:ascii="Arial" w:cs="Arial" w:eastAsia="Arial" w:hAnsi="Arial"/>
                <w:sz w:val="16"/>
                <w:szCs w:val="16"/>
                <w:color w:val="auto"/>
              </w:rPr>
              <w:t>Issuance of 5,956,191 shares of AAG common stock pursuant to an at-the-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8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PSP2 and PSP3 Warrants (see Note 1(b))</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77"/>
        </w:trPr>
        <w:tc>
          <w:tcPr>
            <w:tcW w:w="5540" w:type="dxa"/>
            <w:vAlign w:val="bottom"/>
          </w:tcPr>
          <w:p>
            <w:pPr>
              <w:ind w:left="20"/>
              <w:spacing w:after="0" w:line="178" w:lineRule="exact"/>
              <w:rPr>
                <w:sz w:val="20"/>
                <w:szCs w:val="20"/>
                <w:color w:val="auto"/>
              </w:rPr>
            </w:pPr>
            <w:r>
              <w:rPr>
                <w:rFonts w:ascii="Arial" w:cs="Arial" w:eastAsia="Arial" w:hAnsi="Arial"/>
                <w:sz w:val="16"/>
                <w:szCs w:val="16"/>
                <w:color w:val="auto"/>
              </w:rPr>
              <w:t>Issuance of 115,833 shares of AAG common stock pursuant to employee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7,200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(6,997)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(7,667)</w:t>
            </w: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1"/>
                <w:szCs w:val="11"/>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Purchase and retirement of 6,378,025 shares of AAG common stock</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7"/>
        </w:trPr>
        <w:tc>
          <w:tcPr>
            <w:tcW w:w="5540" w:type="dxa"/>
            <w:vAlign w:val="bottom"/>
          </w:tcPr>
          <w:p>
            <w:pPr>
              <w:ind w:left="20"/>
              <w:spacing w:after="0" w:line="178" w:lineRule="exact"/>
              <w:rPr>
                <w:sz w:val="20"/>
                <w:szCs w:val="20"/>
                <w:color w:val="auto"/>
              </w:rPr>
            </w:pPr>
            <w:r>
              <w:rPr>
                <w:rFonts w:ascii="Arial" w:cs="Arial" w:eastAsia="Arial" w:hAnsi="Arial"/>
                <w:sz w:val="16"/>
                <w:szCs w:val="16"/>
                <w:color w:val="auto"/>
              </w:rPr>
              <w:t>Issuance of 1,062,052 shares of AAG common stock pursuant to employee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Issuance of PSP1 Warrants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component of convertible debt issued, net of tax and offering costs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177"/>
        </w:trPr>
        <w:tc>
          <w:tcPr>
            <w:tcW w:w="5540" w:type="dxa"/>
            <w:vAlign w:val="bottom"/>
          </w:tcPr>
          <w:p>
            <w:pPr>
              <w:ind w:left="20"/>
              <w:spacing w:after="0" w:line="178" w:lineRule="exact"/>
              <w:rPr>
                <w:sz w:val="20"/>
                <w:szCs w:val="20"/>
                <w:color w:val="auto"/>
              </w:rPr>
            </w:pPr>
            <w:r>
              <w:rPr>
                <w:rFonts w:ascii="Arial" w:cs="Arial" w:eastAsia="Arial" w:hAnsi="Arial"/>
                <w:sz w:val="16"/>
                <w:szCs w:val="16"/>
                <w:color w:val="auto"/>
              </w:rPr>
              <w:t>Issuance of 85,215,000 shares of AAG common stock pursuant to a public</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80"/>
              <w:spacing w:after="0"/>
              <w:rPr>
                <w:sz w:val="20"/>
                <w:szCs w:val="20"/>
                <w:color w:val="auto"/>
              </w:rPr>
            </w:pPr>
            <w:r>
              <w:rPr>
                <w:rFonts w:ascii="Arial" w:cs="Arial" w:eastAsia="Arial" w:hAnsi="Arial"/>
                <w:sz w:val="16"/>
                <w:szCs w:val="16"/>
                <w:color w:val="auto"/>
              </w:rPr>
              <w:t>stock offering, net of offering costs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454,621 shares of AAG common stock pursuant to employee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5"/>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80"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7"/>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2020.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deferred tax assets, as well as pension and retiree medical and other postretirement benefits. Certain prior period amounts have been reclassified to conform to the current year presentation. See Note 10 for further information.</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testing regimes, closing of borders, “stay at home” orders and business closures. As a result, we have experienced an unprecedented decline in the demand for air travel, which has resulted in a material deterioration in our revenues. While global vaccination efforts are underway and demand for air travel has begun to return, the continued impact of COVID-19, including any increases in infection rates, new variants and renewed governmental action to slow the spread of COVID-19 such as has occurred throughout Western Europe and Latin America during the first six months of 2021, cannot be estimated.</w:t>
      </w:r>
    </w:p>
    <w:p>
      <w:pPr>
        <w:spacing w:after="0" w:line="15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taken aggressive actions to mitigate the effects of the COVID-19 pandemic on our business, including deep capacity reductions, structural changes to our fleet, cost reductions, and steps to preserve cash and improve our overall liquidity position. We remain extremely focused on taking all self-help measures available to manage our business during this unprecedented time, consistent with the terms of the financial assistance we have received from the U.S. Government under the Coronavirus Aid, Relief, and Economic Security Act (CARES Act), Subtitle A of Title IV of Division N of the Consolidated Appropriations Act, 2021 (PSP Extension Law) and Section 7301 of the American Rescue Plan Act of 2021 (the ARP).</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Capacity Reductions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capacity (as measured by available seat miles) continues to be significantly reduced compared to pre-COVID-19 pandemic levels with flying during the second quarter of 2021 down 24.6% as compared to the second quarter of 2019. Domestic capacity in the second quarter of 2021 was down 12.8% while international capacity was down 46.5% versus the second quarter of 2019.</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While demand for domestic and short-haul international markets has largely recovered to 2019 levels, uncertainty continues to exist. We will continue to match our forward capacity with observed booking trends for future travel and make further adjustments to our capacity as needed.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Reductions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reduced our 2021 operating expenditures as a result of permanent non-volume cost reductions and other efficiency measures. These reductions include labor productivity enhancements, management salaries and benefits and other permanent cost reductions. Also, an additional 1,600 represented team members opted in to a voluntary early retirement program, which occurred during the first quarter of 2021.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Liquidity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June 30, 2021, we had $21.3 billion in total available liquidity, consisting of $18.0 billion in unrestricted cash and short-term investments, $2.8 billion in an undrawn capacity under revolving credit facilities and a total of $470 million in undrawn short-term revolving and other facilities.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six months of 2021, we completed the following financing transactions (see Note 5 for further information):</w:t>
      </w:r>
    </w:p>
    <w:p>
      <w:pPr>
        <w:spacing w:after="0" w:line="171" w:lineRule="exact"/>
        <w:rPr>
          <w:sz w:val="20"/>
          <w:szCs w:val="20"/>
          <w:color w:val="auto"/>
        </w:rPr>
      </w:pPr>
    </w:p>
    <w:p>
      <w:pPr>
        <w:jc w:val="both"/>
        <w:ind w:left="660" w:hanging="409"/>
        <w:spacing w:after="0" w:line="256"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issued $3.5 billion in aggregate principal amount of 5.50% Senior Secured Notes due 2026 and $3.0 billion in aggregate principal amount of 5.75% Senior Secured Notes due 2029 and entered into the $3.5 billion AAdvantage Term Loan Facility of which the full amount of term loans was drawn at closing;</w:t>
      </w:r>
    </w:p>
    <w:p>
      <w:pPr>
        <w:spacing w:after="0" w:line="147"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repaid in full $750 million under the 2013 Revolving Facility, $1.6 billion under the 2014 Revolving Facility and $450 million under the April 2016 Revolving Facility, all of which was borrowed in the second quarter of 2020 in response to the COVID-19 pandemic;</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repaid the $550 million of outstanding loans under the $7.5 billion secured term loan facility with the U.S. Department of the Treasury (Treasury) (the Treasury Loan Agreement) and terminated the Treasury Loan Agreement;</w:t>
      </w:r>
    </w:p>
    <w:p>
      <w:pPr>
        <w:spacing w:after="0" w:line="143"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issued 24.2 million shares of AAG common stock at an average price of $19.26 per share pursuant to an at-the-market offering for net proceeds of $460 million (approximately $650 million of at-the-market authorization remains available at June 30, 2021);</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issued approximately $150 million in special facility revenue bonds related to John F. Kennedy International Airport (JFK), of which $62 million was used to fund the redemption of other bonds related to JFK; and</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raised $163 million principally from aircraft sale-leaseback transactions.</w:t>
      </w:r>
    </w:p>
    <w:p>
      <w:pPr>
        <w:spacing w:after="0" w:line="17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to the foregoing financings, during the first quarter of 2021, we received an aggregate of approximately $3.1 billion in financial assistance through the payroll support program (PSP2) established under the PSP Extension Law. In April 2021, we received an additional installment of $463 million for an aggregate $3.5 billion of such PSP2 financial assistance. In connection with our receipt of this financial assistance, AAG issued a promissory note (the PSP2 Promissory Note) to Treasury for $1.0 billion in aggregate principal amount and warrants to purchase up to an aggregate of approximately 6.6 million shares (the PSP2 Warrant Shares) of AAG common stock.</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second quarter of 2021, we received an aggregate of approximately $3.3 billion in financial assistance through the payroll support program (PSP3) established under the ARP. In connection with our receipt of this financial assistance, AAG issued a promissory note (the PSP3 Promissory Note) to Treasury for $946 million in aggregate principal amount and warrants to purchase up to an aggregate of approximately 4.4 million shares (the PSP3 Warrant Shares) of AAG common stock. See below for further discussion on PSP2 and PSP3.</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loan to value, collateral coverage and/or debt service coverage ratio covenants.</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Given the above actions and our current assumptions about the future impact of the COVID-19 pandemic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PSP2</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January 15, 2021 (the PSP2 Closing Date), American, Envoy Air Inc. (Envoy), Piedmont Airlines, Inc. (Piedmont) and PSA Airlines, Inc. (PSA and together with American, Envoy and Piedmont, the Subsidiaries), entered into a Payroll Support Program Extension Agreement (the PSP2 Agreement) with Treasury, with respect to PSP2 as provided pursuant to the PSP Extension Law. In connection with our entry into the PSP2 Agreement, on the PSP2 Closing Date, AAG also entered into a warrant agreement (the PSP2 Warrant Agreement) with Treasury and issued the PSP2 Promissory Note to Treasury, with the Subsidiaries as guarantors.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PSP2 Agreement</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PSP2, we are required to comply with the relevant provisions of the PSP Extension Law, which are substantially similar as the restrictions contained in the Payroll Support Program Agreement entered into by the Subsidiaries with Treasury in connection with the payroll support program established under the CARES Act, but are in effect for a longer time period. These provisions include the requirement that funds provided pursuant to the PSP2 Agreement be used exclusively for the continuation of payment of eligible employee wages, salaries and benefits, the requirement against involuntary furloughs and reductions in employee pay rates and benefits through March 31, 2021, the provisions that prohibit the repurchase of AAG common stock, and the payment of common stock dividends through at least March 31, 2022, the provisions that restrict the payment of certain executive compensation until at least October 1, 2022, as well as a requirement to recall employees involuntarily terminated or furloughed after September 30, 2020. As was the case with PSP1, the PSP2 Agreement also imposes substantial reporting obligations on us.</w:t>
      </w:r>
    </w:p>
    <w:p>
      <w:pPr>
        <w:spacing w:after="0" w:line="1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Pursuant to the PSP2 Agreement, Treasury provided us financial assistance in three installments (each prior installment and any future installment disbursement, an Installment) totaling approximately $3.5 billion in the aggregate, all of which was received as of June 30, 2021. As partial compensation to the U.S. Government for the provision of financial assistance under PSP2, AAG issued the PSP2 Promissory Note in the aggregate principal amount of $1.0 billion and issued warrants (each a PSP2 Warrant and, collectively, the PSP2 Warrants) to Treasury to purchase up to an aggregate of approximately 6.6 million shares of AAG common stock for an exercise price of $ 15.66 per share, subject to adjustment. See Note 5 for further information on the PSP2 Promissory Note and below for more information on the PSP2 Warrant Agreement and PSP2 Warrants.</w:t>
      </w:r>
    </w:p>
    <w:p>
      <w:pPr>
        <w:spacing w:after="0" w:line="15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For accounting purposes, the $3.5 billion of aggregate financial assistance we received pursuant to the PSP2 Agreement is allocated to the PSP2 Promissory Note, the PSP2 Warrants and the other PSP2 financial assistance (the PSP2 Financial Assistance). The aggregate principal amount of $1.0 billion of the PSP2 Promissory Note was recorded as unsecured long-term debt, and the total fair value of the PSP2 Warrants of $76 million, estimated using a Black-Scholes option pricing model, was recorded in stockholders' deficit in the condensed consolidated balance sheet. The remaining amount of approximately $2.4 billion of PSP2 Financial Assistance was recognized as a credit to special items, net in the condensed consolidated statement of operations primarily in the first quarter of 2021, the remaining period over which the continuation of payment of eligible employee wages, salaries and benefits was required. The third installment of PSP2 Financial Assistance was received and recognized as a credit to special items, net in the second quarter of 2021. For the three and six months ended June 30, 2021, $314 million and $2.4 billion of PSP2 Financial Assistance, respectively, was recognized as a credit to special items, net in the condensed consolidated statements of operations.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PSP2 Warrant Agreement and PSP2 Warrants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and pursuant to the PSP2 Warrant Agreement, AAG issued the PSP2 Warrants to Treasury to purchase PSP2 Warrant Shares. The exercise price of the PSP2 Warrant Shares is $15.66 per share, subject to certain anti-dilution provisions provided for in the PSP2 Warrants.</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Pursuant to the PSP2 Warrant Agreement, AAG issued to Treasury PSP2 Warrants to purchase up to an aggregate of approximately 6.6 million shares of AAG common stock for an exercise price of $15.66 per share, subject to adjustment.</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PSP2 Warrants do not have any voting rights and are freely transferrable, with registration rights. Each PSP2 Warrant expires on the fifth anniversary of the date of issuance of such PSP2 Warrant. The PSP2 Warrants will be exercisable either through net share settlement or cash, at our option. The PSP2 Warrants were and will be issued solely as compensation to the U.S. Government related to entry into the PSP2 Agreement. No separate proceeds (apart from the financial assistance described above) were received upon issuance of the PSP2 Warrants or will be received upon exercise thereof.</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PSP3</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April 23, 2021 (the PSP3 Closing Date), American, Envoy, Piedmont and PSA (collectively, the Subsidiaries), entered into a Payroll Support Program 3 Agreement (the PSP3 Agreement) with Treasury, with respect to PSP3 as provided pursuant to the ARP. In connection with our entry into the PSP3 Agreement, on the PSP3 Closing Date, AAG also entered into a warrant agreement (the PSP3 Warrant Agreement) with Treasury and issued the PSP3 Promissory Note to Treasury, with the Subsidiaries as guarantors.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PSP3 Agreement</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PSP3, we are required to comply with the relevant provisions of the ARP, which are substantially similar as the restrictions contained in the Payroll Support Program Agreement entered into by the Subsidiaries with Treasury in connection with the payroll support program established under the CARES Act, but are in effect for a longer time period. These provisions include the requirement that funds provided pursuant to the PSP3 Agreement be used exclusively for the continuation of payment of eligible employee wages, salaries and benefits, the requirement against involuntary furloughs and reductions in employee pay rates and benefits through at least September 30, 2021, the provisions that prohibit the repurchase of AAG common stock, and the payment of common stock dividends through at least September 30, 2022, the provisions that restrict the payment of certain executive compensation until April 1, 2023. As was the case with PSP1 and PSP2, the PSP3 Agreement also imposes substantial reporting obligations on us.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Pursuant to the PSP3 Agreement, Treasury provided us financial assistance in two installments (each prior installment and any future installment disbursement, a PSP3 Installment) totaling approximately $3.3 billion in the aggregate, all of which was received as of June 30, 2021. As partial compensation to the U.S. Government for the provision of financial assistance under PSP3, AAG issued the PSP3 Promissory Note in the aggregate principal amount of $946 million and issued warrants (each a PSP3 Warrant and, collectively, the PSP3 Warrants) to Treasury to purchase up to an aggregate of approximately 4.4 million shares of AAG common stock for an exercise price of $21.75 per share, subject to adjustment. See Note 5 for further information on the PSP3 Promissory Note and below for more information on the PSP3 Warrant Agreement and PSP3 Warrants.</w:t>
      </w:r>
    </w:p>
    <w:p>
      <w:pPr>
        <w:spacing w:after="0" w:line="15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For accounting purposes, the $3.3 billion of aggregate financial assistance we received pursuant to the PSP3 Agreement is allocated to the PSP3 Promissory Note, the PSP3 Warrants and the other PSP3 financial assistance (the PSP3 Financial Assistance). The aggregate principal amount of $946 million of the PSP3 Promissory Note was recorded as unsecured long-term debt, and the total fair value of the PSP3 Warrants of $46 million, estimated using a Black-Scholes option pricing model, was recorded in stockholders' deficit in the condensed consolidated balance sheet. The remaining amount of approximately $2.3 billion of PSP3 Financial Assistance will be recognized as a credit to special items, net in the condensed consolidated statement of operations in the second and third quarters of 2021, the remaining period over which the continuation of payment of eligible employee wages, salaries and benefits is expected, as required by the PSP3 Agreement. At June 30, 2021, approximately $1.1 billion of the PSP3 Financial Assistance was deferred in other accrued liabilities in the condensed consolidated balance sheet and approximately $1.2 billion was recognized as a credit to special items, net in the condensed consolidated statement of operations.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PSP3 Warrant Agreement and PSP3 Warrants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PSP3 Agreement, and pursuant to the PSP3 Warrant Agreement, AAG issued the PSP3 Warrants to Treasury to purchase PSP3 Warrant Shares. The exercise price of the PSP3 Warrant Shares is $21.75 per share, subject to certain anti-dilution provisions provided for in the PSP3 Warrants.</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Pursuant to the PSP3 Warrant Agreement, AAG issued to Treasury PSP3 Warrants to purchase up to an aggregate of approximately 4.4 million shares of AAG common stock for an exercise price of $21.75 per share, subject to adjustment.</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PSP3 Warrants do not have any voting rights and are freely transferrable, with registration rights. Each PSP3 Warrant expires on the fifth anniversary of the date of issuance of such PSP3 Warrant. The PSP3 Warrants will be exercisable either through net share settlement or cash, at our option. The PSP3 Warrants were and will be issued solely as compensation to the U.S. Government related to entry into the PSP3 Agreement. No separate proceeds (apart from the financial assistance described above) were received upon issuance of the PSP3 Warrants or will be received upon exercise thereof.</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2020-06: Accounting for Convertible Instruments and Contracts In An Entity's Own Equity (the New Convertible Debt Standard)</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New Convertible Debt Standard simplifies the accounting for certain convertible instruments by removing the separation models for convertible debt with a cash conversion feature and for convertible instruments with a beneficial conversion feature. As a result, more convertible debt instruments will be reported as a single liability instrument with no separate accounting for embedded conversion features. Additionally, the New Convertible Debt Standard amends the diluted earnings per share calculation for convertible instruments by requiring the use of the if-converted method. The treasury stock method is no longer available. Entities may adopt the New Convertible Debt Standard using either a full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modified retrospective approach, and it is effective for interim and annual reporting periods beginning after December 15, 2021. Early adoption is permitted for interim and annual reporting periods beginning after December 15, 2020. The New Convertible Debt Standard is applicable to our 6.50% convertible senior notes due 2025 (the Convertible Notes). We early adopted the New Convertible Debt Standard as of January 1, 2021 using the modified retrospective method to recognize our Convertible Notes as a single liability instrument. As of January 1, 2021, we recorded a $415 million ($320 million net of tax) reduction to additional paid-in capital to remove the equity component of the Convertible Notes from our balance sheet and a $19 million cumulative effect adjustment credit, net of tax, to retained deficit related to non-cash debt discount amortization recognized in periods prior to adoption resulting in a corresponding reduction of $389 million to the debt discount associated with the Convertible Notes.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2019-12: Simplifying the Accounting for Income Taxes (Topic 740)</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standard simplifies the accounting and disclosure requirements for income taxes by clarifying the existing guidance to improve consistency in the application of Accounting Standards Codification 740. This standard also removed the requirement to calculate income tax expense for the stand-alone financial statements of wholly-owned subsidiaries that are not subject to income tax. We adopted this standard effective January 1, 2021, and it did not have a material impact on our condensed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9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23"/>
        </w:trPr>
        <w:tc>
          <w:tcPr>
            <w:tcW w:w="5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29"/>
        </w:trPr>
        <w:tc>
          <w:tcPr>
            <w:tcW w:w="59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59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59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70"/>
        </w:trPr>
        <w:tc>
          <w:tcPr>
            <w:tcW w:w="5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59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Regional operating special items, net</w:t>
            </w: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5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special items,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70"/>
        </w:trPr>
        <w:tc>
          <w:tcPr>
            <w:tcW w:w="5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9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29"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for further information. The 2020 PSP Financial Assistance represents recognition of a portion of the financial assistance received from Treasury pursuant to the PSP1 Agreement.</w:t>
      </w:r>
    </w:p>
    <w:p>
      <w:pPr>
        <w:spacing w:after="0" w:line="162" w:lineRule="exact"/>
        <w:rPr>
          <w:rFonts w:ascii="Arial" w:cs="Arial" w:eastAsia="Arial" w:hAnsi="Arial"/>
          <w:sz w:val="23"/>
          <w:szCs w:val="23"/>
          <w:color w:val="auto"/>
          <w:vertAlign w:val="superscript"/>
        </w:rPr>
      </w:pPr>
    </w:p>
    <w:p>
      <w:pPr>
        <w:jc w:val="both"/>
        <w:ind w:left="340" w:hanging="332"/>
        <w:spacing w:after="0" w:line="234"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 to voluntary early retirement programs offered as a result of reductions to our operation due to the COVID-19 pandemic. Cash payments related to our voluntary early retirement programs for the three and six months ended June 30, 2021 were approximately $120 million and $290 million, respectively.</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99" w:lineRule="exact"/>
        <w:rPr>
          <w:sz w:val="20"/>
          <w:szCs w:val="20"/>
          <w:color w:val="auto"/>
        </w:rPr>
      </w:pPr>
    </w:p>
    <w:p>
      <w:pPr>
        <w:jc w:val="both"/>
        <w:ind w:left="340" w:hanging="332"/>
        <w:spacing w:after="0" w:line="239"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our decision to retire certain aircraft earlier than planned driven primarily by the severe decline in air travel due to the COVID-19 pandemic. In the first six months of 2021, we retired our remaining fleet of Embraer 140 aircraft resulting in a non-cash write-down of these aircraft. In the first six months of 2020, we retired our Boeing 757, Boeing 767, Airbus A330-300 and Embraer 190 fleets as well as certain Embraer 140 and Bombardier CRJ200 aircraft resulting in a $784 million non-cash write-down of mainline and regional aircraft and associated spare parts and $76 million in cash charges primarily for impairment of ROU assets and lease return costs.</w:t>
      </w:r>
    </w:p>
    <w:p>
      <w:pPr>
        <w:spacing w:after="0" w:line="164"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resulting from the ratification of a new contract with the Transport Workers Union and International Association of Machinists &amp; Aerospace Workers for our maintenance and fleet service team members, including signing bonuses and adjustments to vacation accruals resulting from pay rate increases.</w:t>
      </w:r>
    </w:p>
    <w:p>
      <w:pPr>
        <w:spacing w:after="0" w:line="162"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primarily related to net unrealized gains and losses associated with our equity investment in China Southern Airlines Company Limited (China Southern Airlines) and certain treasury rate lock derivative instruments.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Common Share</w:t>
      </w:r>
    </w:p>
    <w:p>
      <w:pPr>
        <w:spacing w:after="0" w:line="112" w:lineRule="exact"/>
        <w:rPr>
          <w:sz w:val="20"/>
          <w:szCs w:val="20"/>
          <w:color w:val="auto"/>
        </w:rPr>
      </w:pPr>
    </w:p>
    <w:p>
      <w:pPr>
        <w:ind w:right="20" w:firstLine="243"/>
        <w:spacing w:after="0" w:line="261" w:lineRule="auto"/>
        <w:rPr>
          <w:sz w:val="20"/>
          <w:szCs w:val="20"/>
          <w:color w:val="auto"/>
        </w:rPr>
      </w:pPr>
      <w:r>
        <w:rPr>
          <w:rFonts w:ascii="Arial" w:cs="Arial" w:eastAsia="Arial" w:hAnsi="Arial"/>
          <w:sz w:val="18"/>
          <w:szCs w:val="18"/>
          <w:color w:val="auto"/>
        </w:rPr>
        <w:t>The following table sets forth the computation of basic and diluted earnings (loss) per common share (EPS) (in millions,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4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8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427,260</w:t>
            </w:r>
          </w:p>
        </w:tc>
      </w:tr>
      <w:tr>
        <w:trPr>
          <w:trHeight w:val="223"/>
        </w:trPr>
        <w:tc>
          <w:tcPr>
            <w:tcW w:w="5860" w:type="dxa"/>
            <w:vAlign w:val="bottom"/>
          </w:tcPr>
          <w:p>
            <w:pPr>
              <w:ind w:left="140"/>
              <w:spacing w:after="0"/>
              <w:rPr>
                <w:sz w:val="20"/>
                <w:szCs w:val="20"/>
                <w:color w:val="auto"/>
              </w:rPr>
            </w:pPr>
            <w:r>
              <w:rPr>
                <w:rFonts w:ascii="Arial" w:cs="Arial" w:eastAsia="Arial" w:hAnsi="Arial"/>
                <w:sz w:val="18"/>
                <w:szCs w:val="18"/>
                <w:color w:val="auto"/>
              </w:rPr>
              <w:t>Basic EPS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for purposes of computing diluted EPS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427,260</w:t>
            </w: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Dilutive effect of stock awards and warrants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656,372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639,366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427,260</w:t>
            </w:r>
          </w:p>
        </w:tc>
      </w:tr>
      <w:tr>
        <w:trPr>
          <w:trHeight w:val="223"/>
        </w:trPr>
        <w:tc>
          <w:tcPr>
            <w:tcW w:w="5860" w:type="dxa"/>
            <w:vAlign w:val="bottom"/>
          </w:tcPr>
          <w:p>
            <w:pPr>
              <w:ind w:left="68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Securities that could potentially dilute EPS in the future, and which were excluded from the calculation of diluted EPS because inclusion of such shares would be antidilutive,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0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6.50% convertible senior notes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PSP1 Warrants</w:t>
            </w:r>
          </w:p>
        </w:tc>
        <w:tc>
          <w:tcPr>
            <w:tcW w:w="19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6,368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3,184</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awards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Treasury Loan Warrants</w:t>
            </w:r>
          </w:p>
        </w:tc>
        <w:tc>
          <w:tcPr>
            <w:tcW w:w="19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PSP2 Warrants</w:t>
            </w:r>
          </w:p>
        </w:tc>
        <w:tc>
          <w:tcPr>
            <w:tcW w:w="19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PSP3 Warrants</w:t>
            </w:r>
          </w:p>
        </w:tc>
        <w:tc>
          <w:tcPr>
            <w:tcW w:w="19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10"/>
        </w:trPr>
        <w:tc>
          <w:tcPr>
            <w:tcW w:w="4000" w:type="dxa"/>
            <w:vAlign w:val="bottom"/>
          </w:tcPr>
          <w:p>
            <w:pPr>
              <w:spacing w:after="0"/>
              <w:rPr>
                <w:sz w:val="24"/>
                <w:szCs w:val="24"/>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ind w:left="260" w:right="9200" w:hanging="252"/>
        <w:spacing w:after="0" w:line="378" w:lineRule="auto"/>
        <w:tabs>
          <w:tab w:leader="none" w:pos="217"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reported operating revenues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3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880" w:type="dxa"/>
            <w:vAlign w:val="bottom"/>
          </w:tcPr>
          <w:p>
            <w:pPr>
              <w:ind w:left="220"/>
              <w:spacing w:after="0"/>
              <w:rPr>
                <w:sz w:val="20"/>
                <w:szCs w:val="20"/>
                <w:color w:val="auto"/>
              </w:rPr>
            </w:pPr>
            <w:r>
              <w:rPr>
                <w:rFonts w:ascii="Arial" w:cs="Arial" w:eastAsia="Arial" w:hAnsi="Arial"/>
                <w:sz w:val="18"/>
                <w:szCs w:val="18"/>
                <w:color w:val="auto"/>
              </w:rPr>
              <w:t>Passenger travel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8,888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8,085</w:t>
            </w:r>
          </w:p>
        </w:tc>
      </w:tr>
      <w:tr>
        <w:trPr>
          <w:trHeight w:val="230"/>
        </w:trPr>
        <w:tc>
          <w:tcPr>
            <w:tcW w:w="58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23"/>
        </w:trPr>
        <w:tc>
          <w:tcPr>
            <w:tcW w:w="5880" w:type="dxa"/>
            <w:vAlign w:val="bottom"/>
          </w:tcPr>
          <w:p>
            <w:pPr>
              <w:ind w:left="480"/>
              <w:spacing w:after="0"/>
              <w:rPr>
                <w:sz w:val="20"/>
                <w:szCs w:val="20"/>
                <w:color w:val="auto"/>
              </w:rPr>
            </w:pPr>
            <w:r>
              <w:rPr>
                <w:rFonts w:ascii="Arial" w:cs="Arial" w:eastAsia="Arial" w:hAnsi="Arial"/>
                <w:sz w:val="18"/>
                <w:szCs w:val="18"/>
                <w:color w:val="auto"/>
              </w:rPr>
              <w:t>Total passenger revenue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8,788</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30"/>
        </w:trPr>
        <w:tc>
          <w:tcPr>
            <w:tcW w:w="5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5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23"/>
        </w:trPr>
        <w:tc>
          <w:tcPr>
            <w:tcW w:w="5880" w:type="dxa"/>
            <w:vAlign w:val="bottom"/>
          </w:tcPr>
          <w:p>
            <w:pPr>
              <w:ind w:left="68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w:t>
            </w:r>
          </w:p>
        </w:tc>
      </w:tr>
      <w:tr>
        <w:trPr>
          <w:trHeight w:val="21"/>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ind w:left="340" w:hanging="332"/>
        <w:spacing w:after="0" w:line="220"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June 30, 2021 and 2020, cash payments from co-branded credit card and other partners was $684 million and $573 million, respectively. During the six months ended June 30, 2021 and 2020, cash payments from co-branded credit card and other partners was $1.7 billion and $1.8 billion, respectively.</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3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48"/>
        </w:trPr>
        <w:tc>
          <w:tcPr>
            <w:tcW w:w="5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6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-1268095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8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2020</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Balance at June 30, 2021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112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163" w:hanging="1163"/>
        <w:spacing w:after="0"/>
        <w:tabs>
          <w:tab w:leader="none" w:pos="11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9,195</w:t>
      </w:r>
    </w:p>
    <w:p>
      <w:pPr>
        <w:spacing w:after="0" w:line="22" w:lineRule="exact"/>
        <w:rPr>
          <w:rFonts w:ascii="Arial" w:cs="Arial" w:eastAsia="Arial" w:hAnsi="Arial"/>
          <w:sz w:val="18"/>
          <w:szCs w:val="18"/>
          <w:color w:val="auto"/>
        </w:rPr>
      </w:pPr>
    </w:p>
    <w:p>
      <w:pPr>
        <w:ind w:left="1303"/>
        <w:spacing w:after="0"/>
        <w:rPr>
          <w:rFonts w:ascii="Arial" w:cs="Arial" w:eastAsia="Arial" w:hAnsi="Arial"/>
          <w:sz w:val="18"/>
          <w:szCs w:val="18"/>
          <w:color w:val="auto"/>
        </w:rPr>
      </w:pPr>
      <w:r>
        <w:rPr>
          <w:rFonts w:ascii="Arial" w:cs="Arial" w:eastAsia="Arial" w:hAnsi="Arial"/>
          <w:sz w:val="18"/>
          <w:szCs w:val="18"/>
          <w:color w:val="auto"/>
        </w:rPr>
        <w:t>983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10801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6" w:lineRule="exact"/>
        <w:rPr>
          <w:sz w:val="20"/>
          <w:szCs w:val="20"/>
          <w:color w:val="auto"/>
        </w:rPr>
      </w:pPr>
    </w:p>
    <w:p>
      <w:pPr>
        <w:ind w:left="1163" w:hanging="1163"/>
        <w:spacing w:after="0"/>
        <w:tabs>
          <w:tab w:leader="none" w:pos="11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9,306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10801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31750</wp:posOffset>
            </wp:positionV>
            <wp:extent cx="10801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837" w:space="720"/>
            <w:col w:w="1683"/>
          </w:cols>
          <w:pgMar w:left="320" w:top="118" w:right="339" w:bottom="1440" w:gutter="0" w:footer="0" w:header="0"/>
          <w:type w:val="continuous"/>
        </w:sectPr>
      </w:pPr>
    </w:p>
    <w:p>
      <w:pPr>
        <w:spacing w:after="0" w:line="62" w:lineRule="exact"/>
        <w:rPr>
          <w:sz w:val="20"/>
          <w:szCs w:val="20"/>
          <w:color w:val="auto"/>
        </w:rPr>
      </w:pPr>
    </w:p>
    <w:p>
      <w:pPr>
        <w:jc w:val="both"/>
        <w:ind w:left="340" w:hanging="332"/>
        <w:spacing w:after="0" w:line="229"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3"/>
          <w:szCs w:val="23"/>
          <w:color w:val="auto"/>
          <w:vertAlign w:val="superscript"/>
        </w:rPr>
      </w:pPr>
    </w:p>
    <w:p>
      <w:pPr>
        <w:jc w:val="both"/>
        <w:ind w:left="340" w:hanging="332"/>
        <w:spacing w:after="0" w:line="241"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18 months. In response to the COVID-19 pandemic, we suspended the expiration of mileage credits through December 31, 2021 and eliminated mileage reinstatement fees for canceled award tickets. As of June 30, 2021, our current loyalty program liability was $2.6 billion and represents our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COVID-19 pandemic, we will continue to monitor redemption patterns and may adjust our estimates in the future.</w:t>
      </w:r>
    </w:p>
    <w:p>
      <w:pPr>
        <w:spacing w:after="0" w:line="16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generally one year. Accordingly, any revenue associated with tickets sold for future travel will be recognized within 12 months. For the six months ended June 30, 2021, $1.2 billion of revenue was recognized in passenger revenue that was included in our air traffic liability at December 31, 2020. In response to the COVID-19 pandemic, we extended the contract duration for certain tickets to March 31, 2022, principally those tickets which were scheduled to expire from March 1, 2020 through March 31, 2021. Additionally, we have eliminated change fees for most domestic and international tickets. As of June 30, 2021, the air traffic liability included approximately $1.6 billion of travel credits related to these unused tickets. Given this change in contract duration and uncertainty surrounding the future demand for air travel, our estimates of revenue that will be recognized from the air traffic liability for future flown or unused tickets as well as our estimates of refunds may be subject to variability and differ from historical experience.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1.85%, installments through 2025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2013 Revolving Facility</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2014 Term Loan Facility, variable interest rate of 1.85%, installments through 2027</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Revolving Facility</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April 2016 Spare Parts Term Loan Facility, variable interest rate of 2.10%, installments</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tcPr>
          <w:p>
            <w:pPr>
              <w:ind w:left="300"/>
              <w:spacing w:after="0"/>
              <w:rPr>
                <w:sz w:val="20"/>
                <w:szCs w:val="20"/>
                <w:color w:val="auto"/>
              </w:rPr>
            </w:pPr>
            <w:r>
              <w:rPr>
                <w:rFonts w:ascii="Arial" w:cs="Arial" w:eastAsia="Arial" w:hAnsi="Arial"/>
                <w:sz w:val="18"/>
                <w:szCs w:val="18"/>
                <w:color w:val="auto"/>
              </w:rPr>
              <w:t>through 2023</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April 2016 Revolving Facility</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December 2016 Term Loan Facility, variable interest rate of 2.07%, installments through</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tcPr>
          <w:p>
            <w:pPr>
              <w:ind w:left="30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473"/>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Treasury Term Loan Facility</w:t>
            </w:r>
          </w:p>
        </w:tc>
        <w:tc>
          <w:tcPr>
            <w:tcW w:w="2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5.50% senior secured notes, installments beginning in July 2023 until due in April 2026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5.75% senior secured notes, installments beginning in July 2026 until due in April 2029</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5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9"/>
              </w:rPr>
              <w:t>AAdvantage Term Loan Facility, variable interest rate of 5.50%, installments beginning in July</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2023 through April 2028</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Enhanced equipment trust certificates (EETCs), fixed interest rates ranging from 3.00% to</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tcPr>
          <w:p>
            <w:pPr>
              <w:ind w:left="300"/>
              <w:spacing w:after="0"/>
              <w:rPr>
                <w:sz w:val="20"/>
                <w:szCs w:val="20"/>
                <w:color w:val="auto"/>
              </w:rPr>
            </w:pPr>
            <w:r>
              <w:rPr>
                <w:rFonts w:ascii="Arial" w:cs="Arial" w:eastAsia="Arial" w:hAnsi="Arial"/>
                <w:sz w:val="18"/>
                <w:szCs w:val="18"/>
                <w:color w:val="auto"/>
              </w:rPr>
              <w:t>8.39%, averaging 3.91%, maturing from 2021 to 2032</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11,013</w:t>
            </w:r>
          </w:p>
        </w:tc>
        <w:tc>
          <w:tcPr>
            <w:tcW w:w="0" w:type="dxa"/>
            <w:vAlign w:val="bottom"/>
          </w:tcPr>
          <w:p>
            <w:pPr>
              <w:spacing w:after="0"/>
              <w:rPr>
                <w:sz w:val="1"/>
                <w:szCs w:val="1"/>
                <w:color w:val="auto"/>
              </w:rPr>
            </w:pPr>
          </w:p>
        </w:tc>
      </w:tr>
      <w:tr>
        <w:trPr>
          <w:trHeight w:val="188"/>
        </w:trPr>
        <w:tc>
          <w:tcPr>
            <w:tcW w:w="75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1.22% to 4.64%, averaging 1.85%, maturing from 2021 to 2032</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from 2026 to 2036</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28,755</w:t>
            </w: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Unsecured</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PSP1 Promissory Note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PSP2 Promissory Note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PSP3 Promissory Note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6.50% convertible senior notes, interest only payments until due in July 2025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5.000% senior notes, interest only payments until due in June 2022</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3.75% senior notes, interest only payments until due in March 2025</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39,917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32,770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7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2021, the maximum availability under our revolving credit and other facilities is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has an undrawn $400 million short-term revolving credit facility it entered into in December 2019, which was set to expire at the beginning of July 2021 but which has been extended through the beginning of October 2021 and the available amount thereunder increased to $500 million. American has the option to extend further this short-term revolving credit facility to January 2022. American also currently has approximately $ 70 million of available borrowing base under a cargo receivables facility that was entered into in December 2020. The December 2016 Credit Facilities provide for a revolving credit facility that may be established thereunder in the future.</w:t>
      </w:r>
    </w:p>
    <w:p>
      <w:pPr>
        <w:spacing w:after="0" w:line="15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Secured financings are collateralized by assets, consisting primarily of aircraft, engines, simulators, aircraft spare parts, airport gate leasehold rights, route authorities and airport slots, as well as certain intellectual property and loyalty program assets.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6.50% Convertible Senior Notes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At June 30, 2021, the if-converted value of the Convertible Notes exceeded the principal amount by $309 million. The last reported sale price per share of our common stock (as defined in the Convertible Notes Indenture) exceeded 130% of the conversion price of the Convertible Notes for each of at least 20 trading days during the 30 consecutive trading days ending on June 30, 2021. Accordingly, pursuant to the terms of the Convertible Notes Indenture, the holders of the Convertible Notes may convert at their option at any time during the quarter ending September 30, 2021.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2021 Financing Activities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2014 and April 2016 Revolving Facilities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March 2021, American repaid in full the $750 million of revolving loans outstanding under the 2013 Revolving Facility, the $1.6 billion of revolving loans outstanding under the 2014 Revolving Facility and the $450 million of revolving loans outstanding under the April 2016 Revolving Facility. Following the March 2021 repayment, American is able to draw upon the commitments under these revolving facilities again as needed upon the terms of the underlying credit agreements or leave them undrawn, in each case, until such commitments expire, which is currently scheduled to occur in 2024 for substantially all of such commitments. As of June 30, 2021, there were no borrowings or letters of credit outstanding under the 2013 Revolving Facility, the 2014 Revolving Facility or the April 2016 Revolving Facility.</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PSP2 Promissory Note</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AAG issued the PSP2 Promissory Note to Treasury, which provides for our unconditional promise to pay to Treasury the principal sum of $1.0 billion, and the guarantee of our obligations under the PSP2 Promissory Note by the Subsidiaries.</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PSP2 Promissory Note bears interest on the outstanding principal amount at a rate equal to 1.00% per annum until the fifth anniversary of the PSP2 Closing Date and 2.00% plus an interest rate based on the secured overnight financing rate per annum or other benchmark replacement rate consistent with customary market conventions (but not to be less than 0.00%) thereafter until the tenth anniversary of the PSP2 Closing Date (the PSP2 Maturity Date), and interest accrued thereon will be payable in arrears on the last business day of March and September of each year, beginning on March 31, 2021. The aggregate principal amount outstanding under the PSP2 Promissory Note, together with all accrued and unpaid interest thereon and all other amounts payable under the PSP2 Promissory Note, will be due and payable on the PSP2 Maturity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9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at any time and from time to time, voluntarily prepay amounts outstanding under the PSP2 Promissory Note, in whole or in part, without penalty or premium. Within 30 days of the occurrence of certain change of control triggering events, we are required to prepay the aggregate outstanding principal amount of the PSP2 Promissory Note at such time, together with any accrued interest or other amounts owing under the PSP2 Promissory Note at such time.</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PSP2 Promissory Note is our senior unsecured obligation and each guarantee of the PSP2 Promissory Note is the senior unsecured obligation of each of the Subsidiaries, respectively.</w:t>
      </w:r>
    </w:p>
    <w:p>
      <w:pPr>
        <w:spacing w:after="0" w:line="14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PSP2 Promissory Note contains events of default, including cross-default with respect to acceleration or failure to pay at maturity other material indebtedness. Upon the occurrence of an event of default and subject to certain grace periods, the outstanding obligations under the PSP2 Promissory Note may, and in certain circumstances will automatically, be accelerated and become due and payable immediately.</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PSP3 Promissory Note</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PSP3 Agreement, AAG issued the PSP3 Promissory Note to Treasury, which provides for our unconditional promise to pay to Treasury the principal sum of $946 million, subject to an increase equal to 30% of the amount of any additional PSP3 Installment disbursed under the PSP3 Agreement, and the guarantee of our obligations under the PSP3 Promissory Note by the Subsidiaries.</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PSP3 Promissory Note bears interest on the outstanding principal amount at a rate equal to 1.00% per annum until the fifth anniversary of the PSP3 Closing Date and 2.00% plus an interest rate based on the secured overnight financing rate per annum or other benchmark replacement rate consistent with customary market conventions (but not to be less than 0.00%) thereafter until the tenth anniversary of the PSP3 Closing Date (the PSP3 Maturity Date), and interest accrued thereon will be payable in arrears on the last business day of March and September of each year, beginning on September 30, 2021. The aggregate principal amount outstanding under the PSP3 Promissory Note, together with all accrued and unpaid interest thereon and all other amounts payable under the PSP3 Promissory Note, will be due and payable on the PSP3 Maturity Date.</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at any time and from time to time, voluntarily prepay amounts outstanding under the PSP3 Promissory Note, in whole or in part, without penalty or premium. Within 30 days of the occurrence of certain change of control triggering events, we are required to prepay the aggregate outstanding principal amount of the PSP3 Promissory Note at such time, together with any accrued interest or other amounts owing under the PSP3 Promissory Note at such time.</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PSP3 Promissory Note is our senior unsecured obligation and each guarantee of the PSP3 Promissory Note is the senior unsecured obligation of each of the Subsidiaries, respectively. The PSP3 Promissory Note contains events of default, including cross-default with respect to acceleration or failure to pay at maturity other material indebtedness. Upon the occurrence of an event of default and subject to certain grace periods, the outstanding obligations under the PSP3 Promissory Note may, and in certain circumstances will automatically, be accelerated and become due and payable immediately.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AAdvantage Financing</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March 24, 2021 (the AAdvantage Financing Closing Date), American and AAdvantage Loyalty IP Ltd., a newly formed Cayman Islands exempted company incorporated with limited liability and an indirect wholly 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(the AAdvantage Note Guarantees) on a senior unsecured basis by AAG and fully and unconditionally guaranteed on a senior secured basis, jointly and severally, by AAdvantage Holdings 1, Ltd., a newly formed Cayman Islands exempted company incorporated with limited liability and a direct wholly owned subsidiary of American, and AAdvantage Holdings 2, Ltd., a newly formed Cayman Islands exempted company incorporated with limited liability and an indirect wholly owned subsidiary of American and the direct parent of Loyalty Issuer (HoldCo2 and, together with AAdvantage Holdings 1, Ltd., the SPV Guarantors, and the SPV Guarantors together with AAG, the AAdvantage Guarantors). The AAdvantage Notes were issued pursuant to an indenture, dated as of March 24, 2021 (the AAdvantage Indenture), by and among the AAdvantage Issuers, the AAdvantage Guarantors and Wilmington Trust, National Association, as trustee and as collateral custodian.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9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with Barclays Bank PLC, as administrative agent, Wilmington Trust, National Association, as collateral administrator, and the lenders party thereto,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AAdvantage Guarantors.</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will be secured by a first-priority security interest in, and pledge of, various agreements with respect to the AAdvantage program (the AAdvantage Agreements) (including all payments thereunder) and rights under an intercompany agreement and certain IP Licenses (as defined below), certain rights under the AAdvantage program, certain deposit accounts that will receive cash under the AAdvantage Agreements, certain reserve accounts, the equity of each of Loyalty Issuer and the SPV Guarantors and substantially all other assets of Loyalty Issuer and the SPV Guarantors (collectively, the AAdvantage Collateral).</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beginning July 20, 2021. The 2026 Notes will mature on April 20, 2026, and the 2029 Notes will mature on April 20, 2029. The outstanding principal on the 2026 Notes will be repaid in quarterly installments of approximately $292 million on each AAdvantage Payment Date, beginning on July 20, 2023. The outstanding principal on the 2029 Notes will be repaid in quarterly installments of $250 million on each AAdvantage Payment Date, beginning on July 20, 2026.</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AAdvantage Loans bear interest at a variable rate equal to LIBOR (but not less than 0.75% per annum), plus a margin of 4.75% per annum, payable on each AAdvantage Payment Date. The outstanding principal on the AAdvantage Loans will be repaid in quarterly installments of $ 175 million, on each AAdvantage Payment Date beginning with the AAdvantage Payment Date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5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14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 purchases exceeding $500 million, with prepayment required only in respect of net proceeds from such purchases exceeding $505 million in the aggregate.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Other Terms of the AAdvantage Indenture and the AAdvantage Term Loan Facility</w:t>
      </w:r>
    </w:p>
    <w:p>
      <w:pPr>
        <w:spacing w:after="0" w:line="10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8"/>
          <w:szCs w:val="18"/>
          <w:color w:val="auto"/>
        </w:rPr>
        <w:t>The AAdvantage Indenture and the AAdvantage Term Loan Facility contain certain covenants that limit the ability of Loyalty Issuer, the SPV Guarantors and, in certain circumstances, American and AAG, to among other things, (i) incur additional indebtedness and make restricted payments, (ii) incur certain liens on the AAdvantage Collateral, (iii) merge, consolidate or sell substantially all of their assets, (iv) dispose of the AAdvantage Collateral, (v) sell pre-paid frequent flyer (i.e. AAdvantage) miles in excess of $550 million in the aggregate, and</w:t>
      </w:r>
    </w:p>
    <w:p>
      <w:pPr>
        <w:spacing w:after="0" w:line="2" w:lineRule="exact"/>
        <w:rPr>
          <w:sz w:val="20"/>
          <w:szCs w:val="20"/>
          <w:color w:val="auto"/>
        </w:rPr>
      </w:pPr>
    </w:p>
    <w:p>
      <w:pPr>
        <w:jc w:val="both"/>
        <w:ind w:firstLine="8"/>
        <w:spacing w:after="0" w:line="254"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 amend, waive, supplement or modify the IP Licenses, or exercise rights and remedies thereunder, except under certain circumstances. American and Loyalty Issuer are also prohibited from substantially reducing the AAdvantage program business or modifying the terms of the AAdvantage program in a manner that would reasonably be expected to materially impair repayment of the AAdvantage Financing obligations (described as a Payment Material Adverse Effect in the AAdvantage Indenture and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AAdvantage Term Loan Facility), and AAG and its subsidiaries are prohibited from changing the policies and procedures of the AAdvantage program in a manner that would reasonably be expected to have a Payment Material Adverse Effect or operating a competing loyalty program. Notwithstanding these restrictions, the AAdvantage program is expected to operate as it has in the past, and the entry into the AAdvantage Financing is not expected to have any impact on the benefits offered to AAdvantage members.</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subject to certain exceptions, the AAdvantage Indenture and the AAdvantage Term Loan Facility restrict the ability of American, Loyalty Issuer or any Guarantor to terminate, or modify certain terms within, the intercompany agreement governing the relationship between American and Loyalty Issuer with respect to the AAdvantage program.</w:t>
      </w:r>
    </w:p>
    <w:p>
      <w:pPr>
        <w:spacing w:after="0" w:line="14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AAdvantage Indenture and the AAdvantage Term Loan Facility also require the AAdvantage Issuers to comply with certain affirmative covenants, including (i) certain reporting requirements and (ii) the use of commercially reasonable efforts to cause sufficient counterparties to AAdvantage Agreements to direct payments with respect to the AAdvantage program into a collections account, such that at least 90% of such cash receipts in a quarterly reporting period are deposited directly into this collection account, with amounts to be distributed from this collection account for the payment of fees, principal and interest on the AAdvantage Notes and the AAdvantage Loans pursuant to a payment waterfall described in the AAdvantage Indenture and the AAdvantage Term Loan Facility, respectively. In addition, the AAdvantage Indenture and the AAdvantage Term Loan Facility require AAG to maintain minimum liquidity, defined as the sum of (a) unrestricted cash and cash equivalents and (b) the aggregate principal amount committed and available to be drawn under all of AAG's revolving credit and other facilities, at the close of any business day of at least $2.0 billion.</w:t>
      </w:r>
    </w:p>
    <w:p>
      <w:pPr>
        <w:spacing w:after="0" w:line="1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Subject to certain materiality thresholds, qualifications, exceptions, “baskets” and grace and cure periods, the AAdvantage Indenture and the AAdvantage Term Loan Facility contain various events of default, including payment defaults, covenant defaults, cross-defaults to certain indebtedness, termination of certain agreements related to the AAdvantage program, bankruptcy events of Loyalty Issuer or any SPV Guarantor, and a change of control of Loyalty Issuer or any SPV Guarantor. A bankruptcy event of American is not itself an event of default; following an American bankruptcy, an event of default would only occur if American failed to satisfy certain enumerated bankruptcy case milestones, including an assumption of the AAdvantage Financing by a certain date. Upon the occurrence of an event of default, the outstanding obligations under the AAdvantage Indenture and the AAdvantage Term Loan Facility may (or, with respect to the bankruptcy events noted above, shall) be accelerated and become due and payable immediately.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Terms of Certain Intercompany Agreements Related to the AAdvantage Financing</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the issuance of the AAdvantage Notes and entry into the AAdvantage Term Loan Facility, American, Loyalty Issuer and the SPV Guarantors entered into a series of transactions that resulted in the transfer to Loyalty Issuer of, among other things, American’s rights to certain data and other intellectual property used in the AAdvantage program (subject to certain exceptions) (such assets, the Transferred AAdvantage IP) and certain rights of American under specified AAdvantage Agreements. Loyalty Issuer has entered into a license agreement with HoldCo2 pursuant to which Loyalty Issuer has granted to HoldCo2 an exclusive, irrevocable (subject to certain termination rights), perpetual, worldwide, royalty-bearing license to use the Transferred AAdvantage IP (the HoldCo2 License), and HoldCo2 has in turn granted to American an exclusive, irrevocable (subject to certain termination rights), perpetual, worldwide, royalty-bearing sublicense to use the Transferred AAdvantage IP (together with the HoldCo2 License, the IP Licenses). The IP Licenses would be terminated, and American’s right to use the Transferred AAdvantage IP would cease, upon specified termination events, including, but not limited to, the occurrence of an event of default under the AAdvantage Indenture or the AAdvantage Term Loan Facility. In certain circumstances, such a termination would trigger a liquidated damages payment in an amount that is greater than the initial principal amount of the AAdvantage Notes and the AAdvantage Loans.</w:t>
      </w:r>
    </w:p>
    <w:p>
      <w:pPr>
        <w:spacing w:after="0" w:line="1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proceeds from the AAdvantage Financing were loaned by Loyalty Issuer to American pursuant to an intercompany note that was guaranteed by AAG. The borrowings under this intercompany note are payable on demand by Loyalty Issuer or, after the occurrence and during the continuance of an event of default under the AAdvantage Financing, by the master collateral agent under the AAdvantage Financing.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Treasury Loan Agreement</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September 25, 2020, American and AAG entered into a Loan and Guarantee Agreement (the Treasury Loan Agreement) with Treasury, which provided for a secured term loan facility (the Treasury Term Loan Facility) that permitted American to borrow up to $5.5 billion. Subsequently, on October 21, 2020, American and AAG entered into an amendment to the Treasury Loan Agreement, which increased the borrowing amount to up to $7.5 billion. American had borrowed $550 million under the Treasury Term Loan Facility in September 2020. On March 24, 2021, American used proceeds from the AAdvantage Financing to prepay in full the $550 million outstanding under the Treasury Term Loan Facility and terminated the Treasury Loan Agreement.</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JFK Special Facility Revenue Bonds</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January 2020, American and British Airways announced the start of construction projects to upgrade New York's JFK Terminal 8 (the Terminal). The renovation projects at the Terminal include: (i) the reconfiguration or elimination of certain existing gates and the construction of jumbo gates, (ii) the construction of approximately 51,000 square feet of new terminal building space and the refurbishment of 73,300 square feet of existing terminal space, (iii) the expansion of the baggage system capacity of the Terminal, (iv) improvements to the premium passenger lounges, check-in and, potentially, security access areas, and (v) bathroom refreshment, new signage, and other upgrades. The construction project is currently scheduled to be completed in 2023 and is estimated to cost approximately $439 million, of which approximately $298 million was funded with proceeds of the special facility revenue bonds issued by the New York Transportation Development Corporation (NYTDC) on behalf of American in June 2020 (the 2020 JFK Bonds) and approximately $84 million of which will be funded with proceeds of the approximately $150 million of special facility revenue bonds the NYTDC issued in June 2021 (the 2021 JFK Bonds).</w:t>
      </w:r>
    </w:p>
    <w:p>
      <w:pPr>
        <w:spacing w:after="0" w:line="15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is required to pay debt service on the 2021 JFK Bonds through payments under a loan agreement with NYTDC (as amended), and American and AAG guarantee the 2021 JFK Bonds. American continues to pay debt service on the outstanding bonds issued by NYTDC on behalf of American in 2016 and 2020 (the 2016 and 2020 JFK Bonds) and American and AAG continue to guarantee the 2016 and 2020 JFK Bonds. American’s and AAG’s obligations under these guarantees are secured by a leasehold mortgage on American’s lease of the Terminal and related property from the Port Authority of New York and New Jersey.</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2021 JFK Bonds, in aggregate, were priced at par value. The gross proceeds from the issuance of the 2021 JFK Bonds were approximately $150 million. Of this amount, approximately $4 million was used to fund the costs of issuance of the 2021 JFK Bonds, approximately $62 million was used to fund the redemption of the 2016 and 2020 JFK Bonds due August 2021, with the remaining amount of proceeds received to be held in restricted cash and short-term investments on the condensed consolidated balance sheet and to be used to finance a portion of the cost of the renovation and expansion of the Terminal. The 2021 JFK Bonds are comprised of term bonds, $70 million of which bear interest at 2.25% per annum and mature on August 1, 2026, and $80 million of which bear interest at 3.00% per annum and mature on August 1, 2031.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At December 31, 2020, we had approximately $16.5 billion of federal net operating losses (NOLs) available to reduce future federal taxable income, of which $8.5 billion will expire beginning in 2023 if unused and $8.0 billion can be carried forward indefinitely (NOL Carryforwards). We also had approximately $5.0 billion of NOL Carryforwards to reduce future state taxable income at December 31, 2020, which will expire in taxable years 2020 through 2040 if unused.</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ability to use our NOL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presently have a $ 34 million valuation allowance on certain net deferred tax assets related to state NOL Carryforwards. There can be no assurance that an additional valuation allowance on our net deferred tax assets will not be required. Such valuation allowance could be material.</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three and six months ended June 30, 2021, we recorded an income tax benefit of $10 million and $333 million,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ind w:left="260" w:right="6540" w:hanging="252"/>
        <w:spacing w:after="0" w:line="378" w:lineRule="auto"/>
        <w:tabs>
          <w:tab w:leader="none" w:pos="217"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43"/>
        <w:spacing w:after="0" w:line="254"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six months ended June 30, 2021.</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rPr>
              <w:t>Fair Value Measurements as of June 30, 2021</w:t>
            </w:r>
          </w:p>
        </w:tc>
        <w:tc>
          <w:tcPr>
            <w:tcW w:w="1000" w:type="dxa"/>
            <w:vAlign w:val="bottom"/>
            <w:tcBorders>
              <w:bottom w:val="single" w:sz="8" w:color="auto"/>
            </w:tcBorders>
          </w:tcPr>
          <w:p>
            <w:pPr>
              <w:spacing w:after="0"/>
              <w:rPr>
                <w:sz w:val="16"/>
                <w:szCs w:val="16"/>
                <w:color w:val="auto"/>
              </w:rPr>
            </w:pPr>
          </w:p>
        </w:tc>
      </w:tr>
      <w:tr>
        <w:trPr>
          <w:trHeight w:val="183"/>
        </w:trPr>
        <w:tc>
          <w:tcPr>
            <w:tcW w:w="5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09"/>
        </w:trPr>
        <w:tc>
          <w:tcPr>
            <w:tcW w:w="58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associated with the payment of certain fees and interest in respect of the AAdvantage Financing, money market funds to be used to finance a substantial portion of the cost of the renovation and expansion of Terminal 8 at JFK as well as collateral held to support workers' compensation obligations.</w:t>
      </w:r>
    </w:p>
    <w:p>
      <w:pPr>
        <w:spacing w:after="0" w:line="162" w:lineRule="exact"/>
        <w:rPr>
          <w:rFonts w:ascii="Arial" w:cs="Arial" w:eastAsia="Arial" w:hAnsi="Arial"/>
          <w:sz w:val="23"/>
          <w:szCs w:val="23"/>
          <w:color w:val="auto"/>
          <w:vertAlign w:val="superscript"/>
        </w:rPr>
      </w:pPr>
    </w:p>
    <w:p>
      <w:pPr>
        <w:ind w:left="340" w:right="20" w:hanging="332"/>
        <w:spacing w:after="0" w:line="220"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our equity investment in China Southern Airlines, in which we presently own a 1.8% equity interest, and are classified in other assets on the condensed consolidated balance sheet.</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and $2.3 billion as of June 30, 2021 and December 31, 2020, respectively, which would have been classified as Level 3 in the fair value hierarchy. The fair value of our Convertible Notes was $1.6 billion and $1.2 billion as of June 30, 2021 and December 31, 2020, respectively.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2"/>
                <w:szCs w:val="12"/>
                <w:color w:val="auto"/>
              </w:rPr>
            </w:pPr>
          </w:p>
        </w:tc>
        <w:tc>
          <w:tcPr>
            <w:tcW w:w="94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980" w:type="dxa"/>
            <w:vAlign w:val="bottom"/>
          </w:tcPr>
          <w:p>
            <w:pPr>
              <w:jc w:val="center"/>
              <w:ind w:right="202"/>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45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39,421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41,521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32,021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30,454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5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5"/>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(expense), net in the condensed consolidated statements of operations.</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first quarter of 2021, we remeasured our retiree medical and other postretirement benefits to account for enhanced healthcare benefits provided to eligible team members who opted in to voluntary early retirement programs offered as a result of reductions to our operation due to the COVID-19 pandemic. For the six months ended June 30, 2021, we recognized a $139 million special charge for these enhanced healthcare benefits and increased our postretirement benefits obligation by $139 million.</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January 2021, we made $241 million in contributions to our pension plans, including a contribution of $130 million for the 2020 calendar year that was permitted to be deferred to January 4, 2021 as provided under the CARES Act. On March 11, 2021, the ARP was enacted, which included funding relief provisions benefiting single employer qualified retirement benefit pension plans such as those sponsored by us. Based on our current understanding of the ARP provisions applicable to our pension plans, we will have no additional funding requirements for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Retiree</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Medical and</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1"/>
                <w:szCs w:val="11"/>
                <w:color w:val="auto"/>
              </w:rPr>
            </w:pPr>
          </w:p>
        </w:tc>
        <w:tc>
          <w:tcPr>
            <w:tcW w:w="11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(Loss) on</w:t>
            </w:r>
          </w:p>
        </w:tc>
        <w:tc>
          <w:tcPr>
            <w:tcW w:w="140" w:type="dxa"/>
            <w:vAlign w:val="bottom"/>
          </w:tcPr>
          <w:p>
            <w:pPr>
              <w:spacing w:after="0"/>
              <w:rPr>
                <w:sz w:val="11"/>
                <w:szCs w:val="11"/>
                <w:color w:val="auto"/>
              </w:rPr>
            </w:pPr>
          </w:p>
        </w:tc>
        <w:tc>
          <w:tcPr>
            <w:tcW w:w="11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7"/>
              <w:spacing w:after="0" w:line="176" w:lineRule="exact"/>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8"/>
                <w:szCs w:val="18"/>
                <w:b w:val="1"/>
                <w:bCs w:val="1"/>
                <w:color w:val="auto"/>
                <w:w w:val="98"/>
                <w:vertAlign w:val="superscript"/>
              </w:rPr>
              <w:t>(1)</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1"/>
                <w:szCs w:val="1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20"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w:t>
      </w:r>
    </w:p>
    <w:p>
      <w:pPr>
        <w:spacing w:after="0" w:line="161"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benefit on the condensed consolidated statement of operations.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18" w:right="339" w:bottom="1440" w:gutter="0" w:footer="0" w:header="0"/>
        </w:sect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2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420" w:type="dxa"/>
            <w:vAlign w:val="bottom"/>
          </w:tcPr>
          <w:p>
            <w:pPr>
              <w:jc w:val="center"/>
              <w:ind w:left="648"/>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520" w:hanging="19"/>
        <w:spacing w:after="0" w:line="228"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2" w:lineRule="exact"/>
        <w:rPr>
          <w:sz w:val="20"/>
          <w:szCs w:val="20"/>
          <w:color w:val="auto"/>
        </w:rPr>
      </w:pPr>
    </w:p>
    <w:p>
      <w:pPr>
        <w:sectPr>
          <w:pgSz w:w="11900" w:h="16838" w:orient="portrait"/>
          <w:cols w:equalWidth="0" w:num="2">
            <w:col w:w="8360" w:space="620"/>
            <w:col w:w="2260"/>
          </w:cols>
          <w:pgMar w:left="320" w:top="118" w:right="339" w:bottom="1440" w:gutter="0" w:footer="0" w:header="0"/>
          <w:type w:val="continuous"/>
        </w:sectPr>
      </w:pPr>
    </w:p>
    <w:p>
      <w:pPr>
        <w:ind w:left="20"/>
        <w:spacing w:after="0" w:line="232" w:lineRule="auto"/>
        <w:rPr>
          <w:sz w:val="20"/>
          <w:szCs w:val="20"/>
          <w:color w:val="auto"/>
        </w:rPr>
      </w:pPr>
      <w:r>
        <w:rPr>
          <w:rFonts w:ascii="Arial" w:cs="Arial" w:eastAsia="Arial" w:hAnsi="Arial"/>
          <w:sz w:val="18"/>
          <w:szCs w:val="18"/>
          <w:color w:val="auto"/>
        </w:rPr>
        <w:t>Amortization of pension, retiree medical</w:t>
      </w:r>
    </w:p>
    <w:p>
      <w:pPr>
        <w:ind w:left="320"/>
        <w:spacing w:after="0"/>
        <w:rPr>
          <w:sz w:val="20"/>
          <w:szCs w:val="20"/>
          <w:color w:val="auto"/>
        </w:rPr>
      </w:pPr>
      <w:r>
        <w:rPr>
          <w:rFonts w:ascii="Arial" w:cs="Arial" w:eastAsia="Arial" w:hAnsi="Arial"/>
          <w:sz w:val="18"/>
          <w:szCs w:val="18"/>
          <w:color w:val="auto"/>
        </w:rPr>
        <w:t>and other postretirement benefits:</w:t>
      </w:r>
    </w:p>
    <w:tbl>
      <w:tblPr>
        <w:tblLayout w:type="fixed"/>
        <w:tblInd w:w="0" w:type="dxa"/>
        <w:tblCellMar>
          <w:top w:w="0" w:type="dxa"/>
          <w:left w:w="0" w:type="dxa"/>
          <w:bottom w:w="0" w:type="dxa"/>
          <w:right w:w="0" w:type="dxa"/>
        </w:tblCellMar>
      </w:tblPr>
      <w:tr>
        <w:trPr>
          <w:trHeight w:val="198"/>
        </w:trPr>
        <w:tc>
          <w:tcPr>
            <w:tcW w:w="3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60" w:type="dxa"/>
            <w:vAlign w:val="bottom"/>
          </w:tcPr>
          <w:p>
            <w:pPr>
              <w:ind w:left="140"/>
              <w:spacing w:after="0" w:line="198"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17"/>
        </w:trPr>
        <w:tc>
          <w:tcPr>
            <w:tcW w:w="3900" w:type="dxa"/>
            <w:vAlign w:val="bottom"/>
          </w:tcPr>
          <w:p>
            <w:pPr>
              <w:ind w:left="360"/>
              <w:spacing w:after="0"/>
              <w:rPr>
                <w:sz w:val="20"/>
                <w:szCs w:val="20"/>
                <w:color w:val="auto"/>
              </w:rPr>
            </w:pPr>
            <w:r>
              <w:rPr>
                <w:rFonts w:ascii="Arial" w:cs="Arial" w:eastAsia="Arial" w:hAnsi="Arial"/>
                <w:sz w:val="18"/>
                <w:szCs w:val="18"/>
                <w:color w:val="auto"/>
              </w:rPr>
              <w:t>Prior service cost (benefit)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ind w:left="170"/>
              <w:spacing w:after="0"/>
              <w:rPr>
                <w:sz w:val="20"/>
                <w:szCs w:val="20"/>
                <w:color w:val="auto"/>
              </w:rPr>
            </w:pPr>
            <w:r>
              <w:rPr>
                <w:rFonts w:ascii="Arial" w:cs="Arial" w:eastAsia="Arial" w:hAnsi="Arial"/>
                <w:sz w:val="18"/>
                <w:szCs w:val="18"/>
                <w:color w:val="auto"/>
                <w:w w:val="99"/>
              </w:rPr>
              <w:t>(71)</w:t>
            </w:r>
          </w:p>
        </w:tc>
        <w:tc>
          <w:tcPr>
            <w:tcW w:w="286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88"/>
        </w:trPr>
        <w:tc>
          <w:tcPr>
            <w:tcW w:w="3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9"/>
              </w:rPr>
              <w:t>58</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68"/>
        </w:trPr>
        <w:tc>
          <w:tcPr>
            <w:tcW w:w="3900" w:type="dxa"/>
            <w:vAlign w:val="bottom"/>
          </w:tcPr>
          <w:p>
            <w:pPr>
              <w:ind w:left="20"/>
              <w:spacing w:after="0" w:line="168" w:lineRule="exact"/>
              <w:rPr>
                <w:sz w:val="20"/>
                <w:szCs w:val="20"/>
                <w:color w:val="auto"/>
              </w:rPr>
            </w:pPr>
            <w:r>
              <w:rPr>
                <w:rFonts w:ascii="Arial" w:cs="Arial" w:eastAsia="Arial" w:hAnsi="Arial"/>
                <w:sz w:val="18"/>
                <w:szCs w:val="18"/>
                <w:color w:val="auto"/>
              </w:rPr>
              <w:t>Total reclassifications for the period,</w:t>
            </w: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4"/>
                <w:szCs w:val="14"/>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4"/>
                <w:szCs w:val="14"/>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center"/>
              <w:ind w:left="170"/>
              <w:spacing w:after="0"/>
              <w:rPr>
                <w:sz w:val="20"/>
                <w:szCs w:val="20"/>
                <w:color w:val="auto"/>
              </w:rPr>
            </w:pPr>
            <w:r>
              <w:rPr>
                <w:rFonts w:ascii="Arial" w:cs="Arial" w:eastAsia="Arial" w:hAnsi="Arial"/>
                <w:sz w:val="18"/>
                <w:szCs w:val="18"/>
                <w:color w:val="auto"/>
                <w:w w:val="99"/>
              </w:rPr>
              <w:t>(13)</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900" w:type="dxa"/>
            <w:vAlign w:val="bottom"/>
          </w:tcPr>
          <w:p>
            <w:pPr>
              <w:ind w:left="380"/>
              <w:spacing w:after="0" w:line="190" w:lineRule="exact"/>
              <w:rPr>
                <w:sz w:val="20"/>
                <w:szCs w:val="20"/>
                <w:color w:val="auto"/>
              </w:rPr>
            </w:pPr>
            <w:r>
              <w:rPr>
                <w:rFonts w:ascii="Arial" w:cs="Arial" w:eastAsia="Arial" w:hAnsi="Arial"/>
                <w:sz w:val="18"/>
                <w:szCs w:val="18"/>
                <w:color w:val="auto"/>
              </w:rPr>
              <w:t>net of tax</w:t>
            </w:r>
          </w:p>
        </w:tc>
        <w:tc>
          <w:tcPr>
            <w:tcW w:w="4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Substantially all of our regional carrier arrangements are in the form of capacity purchase agreements. Expenses associated with American Eagle operations are classified as regional expenses on the condensed consolidated statements of operations.</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Beginning in the first quarter of 2021, aircraft fuel and related taxes as well as certain salaries, wages and benefits, other rent and landing fees, selling and other expenses are no longer allocated to regional expenses on our condensed consolidated statements of operations. The second quarter and six months ended June 30, 2020 condensed consolidated statements of operations have been recast to conform to the 2021 presentation. This statement of operations presentation change has no impact on total operating expenses or net loss.</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Regional expenses for the three months ended June 30, 2021 and 2020 include $77 million and $84 million of depreciation and amortization, respectively, and $2 million and $3 million of aircraft rent, respectively. Regional expenses for the six months ended June 30, 2021 and 2020 include $159 million and $168 million of depreciation and amortization, respectively, and $4 million and $8 million of aircraft rent, respectively.</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three months ended June 30, 2021 and 2020, we recognized $91 million and $61 million, respectively, of expense under our capacity purchase agreement with Republic Airways Inc. (Republic). During the six months ended June 30, 2021 and 2020, we recognized $218 million and $211 million, respectively, of expense under our capacity purchase agreement with Republic. We hold a 25% equity interest in Republic Airways Holdings Inc., the parent company of Republic.</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Pursuant to rulings of the Bankruptcy Court, the Plan established a disputed claims reserve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calculating earnings per common share. As disputed claims are resolved, the claimants receive distributions of shares from the Disputed Claims Reserve. We are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us but rather will be distributed to former AMR stockholders and former convertible noteholders treated as stockholders under the Plan. As of June 30, 2021, the Disputed Claims Reserve held approximately 4.8 million shares of AAG common stock.</w:t>
      </w:r>
    </w:p>
    <w:p>
      <w:pPr>
        <w:spacing w:after="0" w:line="13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3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our favor. The plaintiffs have appealed this ruling. We believe this lawsuit is without merit and intend to continue to vigorously defend against the allegations, including plaintiffs' appeal of the Bankruptcy Court's January 29, 2021 ruling.</w:t>
      </w:r>
    </w:p>
    <w:p>
      <w:pPr>
        <w:spacing w:after="0" w:line="13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April 2016 Spare Parts Term Loan Facility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July 22, 2021, American repaid in full the outstanding term loans in the aggregate principal amount of $950 million and terminated the April 2016 Spare Parts Term Loan Facility. The April 2016 Revolving Facility, in the aggregate principal amount of $450 million, none of which was drawn or outstanding as of June 30, 2021, and which has a final maturity of October 2024, remains in place.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CONDENSED CONSOLIDATED FINANCIAL STATEMENTS OF AMERICAN AIRLINES, INC.</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ectPr>
          <w:pgSz w:w="11900" w:h="16838" w:orient="portrait"/>
          <w:cols w:equalWidth="0" w:num="1">
            <w:col w:w="11240"/>
          </w:cols>
          <w:pgMar w:left="320" w:top="118" w:right="339" w:bottom="1440" w:gutter="0" w:footer="0" w:header="0"/>
        </w:sectPr>
      </w:pPr>
    </w:p>
    <w:p>
      <w:pPr>
        <w:spacing w:after="0" w:line="199" w:lineRule="exact"/>
        <w:rPr>
          <w:sz w:val="20"/>
          <w:szCs w:val="20"/>
          <w:color w:val="auto"/>
        </w:rPr>
      </w:pPr>
    </w:p>
    <w:p>
      <w:pPr>
        <w:jc w:val="center"/>
        <w:ind w:left="61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17780</wp:posOffset>
            </wp:positionV>
            <wp:extent cx="1663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2" w:lineRule="exact"/>
        <w:rPr>
          <w:sz w:val="20"/>
          <w:szCs w:val="20"/>
          <w:color w:val="auto"/>
        </w:rPr>
      </w:pPr>
    </w:p>
    <w:p>
      <w:pPr>
        <w:ind w:left="6360"/>
        <w:spacing w:after="0"/>
        <w:tabs>
          <w:tab w:leader="none" w:pos="77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17780</wp:posOffset>
            </wp:positionV>
            <wp:extent cx="1663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4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8280" w:space="720"/>
            <w:col w:w="22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8,788</w:t>
            </w: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r>
      <w:tr>
        <w:trPr>
          <w:trHeight w:val="223"/>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5,827</w:t>
            </w: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r>
      <w:tr>
        <w:trPr>
          <w:trHeight w:val="223"/>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15,112</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(4,976)</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(5,328)</w:t>
            </w: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w:t>
            </w:r>
          </w:p>
        </w:tc>
      </w:tr>
      <w:tr>
        <w:trPr>
          <w:trHeight w:val="20"/>
        </w:trPr>
        <w:tc>
          <w:tcPr>
            <w:tcW w:w="5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27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36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88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r>
      <w:tr>
        <w:trPr>
          <w:trHeight w:val="21"/>
        </w:trPr>
        <w:tc>
          <w:tcPr>
            <w:tcW w:w="5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17,609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6,617</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1,240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1,334</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Receivables from related parties, net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7,877</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1,693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1,520</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Prepaid expenses and other</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192"/>
        </w:trPr>
        <w:tc>
          <w:tcPr>
            <w:tcW w:w="7760" w:type="dxa"/>
            <w:vAlign w:val="bottom"/>
          </w:tcPr>
          <w:p>
            <w:pPr>
              <w:ind w:left="68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27,805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18,821</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Flight equipment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37,235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37,485</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Ground property and equipment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8,836</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Equipment purchase deposits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1,446</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47,767</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(16,393)</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31,374</w:t>
            </w:r>
          </w:p>
        </w:tc>
        <w:tc>
          <w:tcPr>
            <w:tcW w:w="0" w:type="dxa"/>
            <w:vAlign w:val="bottom"/>
          </w:tcPr>
          <w:p>
            <w:pPr>
              <w:spacing w:after="0"/>
              <w:rPr>
                <w:sz w:val="1"/>
                <w:szCs w:val="1"/>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7,917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7,994</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Goodwill</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Intangibles, net of accumulated amortization of $765 and $745, respectively</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Deferred tax asset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3,520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3,235</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1,671</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11,332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11,026</w:t>
            </w:r>
          </w:p>
        </w:tc>
        <w:tc>
          <w:tcPr>
            <w:tcW w:w="0" w:type="dxa"/>
            <w:vAlign w:val="bottom"/>
          </w:tcPr>
          <w:p>
            <w:pPr>
              <w:spacing w:after="0"/>
              <w:rPr>
                <w:sz w:val="1"/>
                <w:szCs w:val="1"/>
                <w:color w:val="auto"/>
              </w:rPr>
            </w:pPr>
          </w:p>
        </w:tc>
      </w:tr>
      <w:tr>
        <w:trPr>
          <w:trHeight w:val="221"/>
        </w:trPr>
        <w:tc>
          <w:tcPr>
            <w:tcW w:w="77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76,949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69,215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2,053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2,800</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Accrued salaries and wages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1,504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1,661</w:t>
            </w: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 traffic liability</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4,757</w:t>
            </w:r>
          </w:p>
        </w:tc>
        <w:tc>
          <w:tcPr>
            <w:tcW w:w="0" w:type="dxa"/>
            <w:vAlign w:val="bottom"/>
          </w:tcPr>
          <w:p>
            <w:pPr>
              <w:spacing w:after="0"/>
              <w:rPr>
                <w:sz w:val="1"/>
                <w:szCs w:val="1"/>
                <w:color w:val="auto"/>
              </w:rPr>
            </w:pPr>
          </w:p>
        </w:tc>
      </w:tr>
      <w:tr>
        <w:trPr>
          <w:trHeight w:val="199"/>
        </w:trPr>
        <w:tc>
          <w:tcPr>
            <w:tcW w:w="776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2,632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2,033</w:t>
            </w: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1,641</w:t>
            </w:r>
          </w:p>
        </w:tc>
        <w:tc>
          <w:tcPr>
            <w:tcW w:w="0" w:type="dxa"/>
            <w:vAlign w:val="bottom"/>
          </w:tcPr>
          <w:p>
            <w:pPr>
              <w:spacing w:after="0"/>
              <w:rPr>
                <w:sz w:val="1"/>
                <w:szCs w:val="1"/>
                <w:color w:val="auto"/>
              </w:rPr>
            </w:pPr>
          </w:p>
        </w:tc>
      </w:tr>
      <w:tr>
        <w:trPr>
          <w:trHeight w:val="19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accrued liabilities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2,300</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liabilities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16,308</w:t>
            </w:r>
          </w:p>
        </w:tc>
        <w:tc>
          <w:tcPr>
            <w:tcW w:w="0" w:type="dxa"/>
            <w:vAlign w:val="bottom"/>
          </w:tcPr>
          <w:p>
            <w:pPr>
              <w:spacing w:after="0"/>
              <w:rPr>
                <w:sz w:val="1"/>
                <w:szCs w:val="1"/>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26,182</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6,586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7,027</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7,162</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6,677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6,739</w:t>
            </w: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1,449</w:t>
            </w:r>
          </w:p>
        </w:tc>
        <w:tc>
          <w:tcPr>
            <w:tcW w:w="0" w:type="dxa"/>
            <w:vAlign w:val="bottom"/>
          </w:tcPr>
          <w:p>
            <w:pPr>
              <w:spacing w:after="0"/>
              <w:rPr>
                <w:sz w:val="1"/>
                <w:szCs w:val="1"/>
                <w:color w:val="auto"/>
              </w:rPr>
            </w:pPr>
          </w:p>
        </w:tc>
      </w:tr>
      <w:tr>
        <w:trPr>
          <w:trHeight w:val="192"/>
        </w:trPr>
        <w:tc>
          <w:tcPr>
            <w:tcW w:w="7760" w:type="dxa"/>
            <w:vAlign w:val="bottom"/>
          </w:tcPr>
          <w:p>
            <w:pPr>
              <w:ind w:left="680"/>
              <w:spacing w:after="0"/>
              <w:rPr>
                <w:sz w:val="20"/>
                <w:szCs w:val="20"/>
                <w:color w:val="auto"/>
              </w:rPr>
            </w:pPr>
            <w:r>
              <w:rPr>
                <w:rFonts w:ascii="Arial" w:cs="Arial" w:eastAsia="Arial" w:hAnsi="Arial"/>
                <w:sz w:val="15"/>
                <w:szCs w:val="15"/>
                <w:color w:val="auto"/>
              </w:rPr>
              <w:t>Total noncurrent liabilities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53,269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48,559</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17,108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17,050</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(7,194)</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Retained deficit</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(5,508)</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4,348</w:t>
            </w:r>
          </w:p>
        </w:tc>
        <w:tc>
          <w:tcPr>
            <w:tcW w:w="0" w:type="dxa"/>
            <w:vAlign w:val="bottom"/>
          </w:tcPr>
          <w:p>
            <w:pPr>
              <w:spacing w:after="0"/>
              <w:rPr>
                <w:sz w:val="1"/>
                <w:szCs w:val="1"/>
                <w:color w:val="auto"/>
              </w:rPr>
            </w:pPr>
          </w:p>
        </w:tc>
      </w:tr>
      <w:tr>
        <w:trPr>
          <w:trHeight w:val="192"/>
        </w:trPr>
        <w:tc>
          <w:tcPr>
            <w:tcW w:w="776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76,949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69,215</w:t>
            </w:r>
          </w:p>
        </w:tc>
        <w:tc>
          <w:tcPr>
            <w:tcW w:w="0" w:type="dxa"/>
            <w:vAlign w:val="bottom"/>
          </w:tcPr>
          <w:p>
            <w:pPr>
              <w:spacing w:after="0"/>
              <w:rPr>
                <w:sz w:val="1"/>
                <w:szCs w:val="1"/>
                <w:color w:val="auto"/>
              </w:rPr>
            </w:pPr>
          </w:p>
        </w:tc>
      </w:tr>
      <w:tr>
        <w:trPr>
          <w:trHeight w:val="24"/>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7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(7,936)</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Increase in restricted short-term investments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776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(6,937)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6,868</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r>
      <w:tr>
        <w:trPr>
          <w:trHeight w:val="22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financing costs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7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of bankruptcy obligations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Deferred financing costs paid through issuance of debt</w:t>
            </w:r>
          </w:p>
        </w:tc>
        <w:tc>
          <w:tcPr>
            <w:tcW w:w="4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Recent Accounting Pronouncements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2020. American is the principal wholly-owned subsidiary of American Airlines Group Inc. (AAG). All significant intercompany transactions have been eliminated.</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deferred tax assets, as well as pension and retiree medical and other postretirement benefits. Certain prior period amounts have been reclassified to conform to the current year presentation. See Note 9 for further information.</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testing regimes, closing of borders, “stay at home” orders and business closures. As a result, American has experienced an unprecedented decline in the demand for air travel, which has resulted in a material deterioration in its revenues. While global vaccination efforts are underway and demand for air travel has begun to return, the continued impact of COVID-19, including any increases in infection rates, new variants and renewed governmental action to slow the spread of COVID-19 such as has occurred throughout Western Europe and Latin America during the first six months of 2021, cannot be estimated.</w:t>
      </w:r>
    </w:p>
    <w:p>
      <w:pPr>
        <w:spacing w:after="0" w:line="15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 has taken aggressive actions to mitigate the effects of the COVID-19 pandemic on its business, including deep capacity reductions, structural changes to its fleet, cost reductions, and steps to preserve cash and improve its overall liquidity position. American remains extremely focused on taking all self-help measures available to manage its business during this unprecedented time, consistent with the terms of the financial assistance it has received from the U.S. Government under the Coronavirus Aid, Relief, and Economic Security Act (CARES Act), Subtitle A of Title IV of Division N of the Consolidated Appropriations Act, 2021 (PSP Extension Law) and Section 7301 of the American Rescue Plan Act of 2021 (the ARP).</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Capacity Reductions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capacity (as measured by available seat miles) continues to be significantly reduced compared to pre-COVID-19 pandemic levels with flying during the second quarter of 2021 down 24.6% as compared to the second quarter of 2019. Domestic capacity in the second quarter of 2021 was down 12.8% while international capacity was down 46.5% versus the second quarter of 2019.</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While demand for domestic and short-haul international markets has largely recovered to 2019 levels, uncertainty continues to exist. American will continue to match its forward capacity with observed booking trends for future travel and make further adjustments to American's capacity as needed.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Reductions</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has reduced its 2021 operating expenditures as a result of permanent non-volume cost reductions and other efficiency measures. These reductions include labor productivity enhancements, management salaries and benefits and other permanent cost reductions. Also, an additional 1,600 represented team members opted in to a voluntary early retirement program, which occurred during the first quarter of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Liquidity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June 30, 2021, American had $21.2 billion in total available liquidity, consisting of $17.9 billion in unrestricted cash and short-term investments, $2.8 billion in an undrawn capacity under revolving credit facilities and a total of $470 million in undrawn short-term revolving and other facilities.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six months of 2021, American completed the following financing transactions (see Note 4 for further information):</w:t>
      </w:r>
    </w:p>
    <w:p>
      <w:pPr>
        <w:spacing w:after="0" w:line="171" w:lineRule="exact"/>
        <w:rPr>
          <w:sz w:val="20"/>
          <w:szCs w:val="20"/>
          <w:color w:val="auto"/>
        </w:rPr>
      </w:pPr>
    </w:p>
    <w:p>
      <w:pPr>
        <w:jc w:val="both"/>
        <w:ind w:left="660" w:hanging="409"/>
        <w:spacing w:after="0" w:line="256"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issued $3.5 billion in aggregate principal amount of 5.50% Senior Secured Notes due 2026 and $3.0 billion in aggregate principal amount of 5.75% Senior Secured Notes due 2029 and entered into the $3.5 billion AAdvantage Term Loan Facility of which the full amount of term loans was drawn at closing;</w:t>
      </w:r>
    </w:p>
    <w:p>
      <w:pPr>
        <w:spacing w:after="0" w:line="147"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repaid in full $750 million under the 2013 Revolving Facility, $1.6 billion under the 2014 Revolving Facility and $450 million under the April 2016 Revolving Facility, all of which was borrowed in the second quarter of 2020 in response to the COVID-19 pandemic;</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repaid the $550 million of outstanding loans under the $7.5 billion secured term loan facility with the U.S. Department of the Treasury (Treasury) (the Treasury Loan Agreement) and terminated the Treasury Loan Agreement;</w:t>
      </w:r>
    </w:p>
    <w:p>
      <w:pPr>
        <w:spacing w:after="0" w:line="143"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approximately $150 million in special facility revenue bonds related to John F. Kennedy International Airport (JFK), of which $62 million was used to fund the redemption of other bonds related to JFK; and</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raised $163 million principally from aircraft sale-leaseback transactions.</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to the foregoing financings, during the first quarter of 2021, AAG and the Subsidiaries (as defined below) received an aggregate of approximately $ 3.1 billion in financial assistance through the payroll support program (PSP2) established under the PSP Extension Law. In April 2021, AAG and the Subsidiaries received an additional installment of $463 million for an aggregate $3.5 billion of such PSP2 financial assistance. In connection with AAG and the Subsidiaries receipt of this financial assistance, AAG issued a promissory note (the PSP2 Promissory Note) to Treasury for $1.0 billion in aggregate principal amount and warrants to purchase up to an aggregate of approximately 6.6 million shares (the PSP2 Warrant Shares) of AAG common stock.</w:t>
      </w:r>
    </w:p>
    <w:p>
      <w:pPr>
        <w:spacing w:after="0" w:line="15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During the second quarter of 2021, AAG and the Subsidiaries received an aggregate of approximately $3.3 billion in financial assistance through the payroll support program (PSP3) established under the ARP. In connection with AAG and the Subsidiaries receipt of this financial assistance, AAG issued a promissory note (the PSP3 Promissory Note) to Treasury for $946 million in aggregate principal amount and warrants to purchase up to an aggregate of approximately 4.4 million shares (the PSP3 Warrant Shares) of AAG common stock. See below for further discussion on PSP2 and PSP3.</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 significant portion of American’s debt financing agreements contain covenants requiring it to maintain an aggregate of at least $2.0 billion of unrestricted cash and cash equivalents and amounts available to be drawn under revolving credit facilities and/or contain loan to value, collateral coverage and/or debt service coverage ratio covenants.</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Given the above actions and American’s current assumptions about the future impact of the COVID-19 pandemic on travel demand, which could be materially different due to the inherent uncertainties of the current operating environment, American expects to meet its cash obligations as well as remain in compliance with the debt covenants in its existing financing agreements for the next 12 months based on its current level of unrestricted cash and short-term investments, its anticipated access to liquidity (including via proceeds from financings), and projected cash flows from operations.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PSP2</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January 15, 2021 (the PSP2 Closing Date), American, Envoy Air Inc. (Envoy), Piedmont Airlines, Inc. (Piedmont) and PSA Airlines, Inc. (PSA and together with American, Envoy and Piedmont, the Subsidiaries), entered into a Payroll Support Program Extension Agreement (the PSP2 Agreement) with Treasury, with respect to PSP2 as provided pursuant to the PSP Extension Law. In connection with AAG and the Subsidiaries’ entry into the PSP2 Agreement, on the PSP2 Closing Date, AAG also entered into a warrant agreement (the PSP2 Warrant Agreement) with Treasury and issued the PSP2 Promissory Note to Treasury, with the Subsidiaries as guarantors.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PSP2 Agreement</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PSP2, AAG and the Subsidiaries are required to comply with the relevant provisions of the PSP Extension Law, which are substantially similar as the restrictions contained in the Payroll Support Program Agreement entered into by the Subsidiaries with Treasury in connection with the payroll support program established under the CARES Act, but are in effect for a longer time period. These provisions include the requirement that funds provided pursuant to the PSP2 Agreement be used exclusively for the continuation of payment of eligible employee wages, salaries and benefits, the requirement against involuntary furloughs and reductions in employee pay rates and benefits through March 31, 2021, the provisions that prohibit the repurchase of AAG common stock, and the payment of common stock dividends through at least March 31, 2022, the provisions that restrict the payment of certain executive compensation until at least October 1, 2022, as well as a requirement to recall employees involuntarily terminated or furloughed after September 30, 2020. As was the case with PSP1, the PSP2 Agreement also imposes substantial reporting obligations on AAG and its Subsidiaries.</w:t>
      </w:r>
    </w:p>
    <w:p>
      <w:pPr>
        <w:spacing w:after="0" w:line="1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Pursuant to the PSP2 Agreement, Treasury provided AAG and its Subsidiaries financial assistance in three installments (each prior installment and any future installment disbursement, an Installment) totaling approximately $3.5 billion in the aggregate, all of which was received as of June 30, 2021. As partial compensation to the U.S. Government for the provision of financial assistance under PSP2, AAG issued the PSP2 Promissory Note in the aggregate principal amount of $1.0 billion and issued warrants (each a PSP2 Warrant and, collectively, the PSP2 Warrants) to Treasury to purchase up to an aggregate of approximately 6.6 million shares of AAG common stock for an exercise price of $15.66 per share, subject to adjustment. See below for more information on the PSP2 Warrant Agreement and PSP2 Warrants.</w:t>
      </w:r>
    </w:p>
    <w:p>
      <w:pPr>
        <w:spacing w:after="0" w:line="15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For accounting purposes, the $3.5 billion of aggregate financial assistance AAG and the Subsidiaries received pursuant to the PSP2 Agreement is allocated to the PSP2 Promissory Note, the PSP2 Warrants and the other PSP2 financial assistance (the PSP2 Financial Assistance). The aggregate principal amount of $1.0 billion of the PSP2 Promissory Note was recorded as unsecured long-term debt, and the total fair value of the PSP2 Warrants of $76 million, estimated using a Black-Scholes option pricing model, was recorded in stockholders' deficit in AAG's condensed consolidated balance sheet. The remaining amount of approximately $2.4 billion of PSP2 Financial Assistance was recognized as a credit to special items, net in the condensed consolidated statement of operations primarily in the first quarter of 2021, the remaining period over which the continuation of payment of eligible employee wages, salaries and benefits was required. The third installment of PSP2 Financial Assistance was received and recognized as a credit to special items, net in the second quarter of 2021. For the three and six months ended June 30, 2021, $314 million and $2.4 billion of PSP2 Financial Assistance, respectively, was recognized as a credit to special items, net in the condensed consolidated statements of operations.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PSP2 Warrant Agreement and PSP2 Warrants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and pursuant to the PSP2 Warrant Agreement, AAG issued the PSP2 Warrants to Treasury to purchase PSP2 Warrant Shares. The exercise price of the PSP2 Warrant Shares is $15.66 per share, subject to certain anti-dilution provisions provided for in the PSP2 Warrants.</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Pursuant to the PSP2 Warrant Agreement, AAG issued to Treasury PSP2 Warrants to purchase up to an aggregate of approximately 6.6 million shares of AAG common stock for an exercise price of $15.66 per share, subject to adjustment.</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PSP2 Warrants do not have any voting rights and are freely transferrable, with registration rights. Each PSP2 Warrant expires on the fifth anniversary of the date of issuance of such PSP2 Warrant. The PSP2 Warrants will be exercisable either through net share settlement or cash, at AAG’s option. The PSP2 Warrants were and will be issued solely as compensation to the U.S. Government related to entry into the PSP2 Agreement. No separate proceeds (apart from the financial assistance described above) were received upon issuance of the PSP2 Warrants or will be received upon exercise thereof.</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PSP3</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April 23, 2021 (the PSP3 Closing Date), American, Envoy, Piedmont and PSA (collectively, the Subsidiaries), entered into a Payroll Support Program 3 Agreement (the PSP3 Agreement) with Treasury, with respect to PSP3 as provided pursuant to the ARP. In connection with AAG and the Subsidiaries’ entry into the PSP3 Agreement, on the PSP3 Closing Date, AAG also entered into a warrant agreement (the PSP3 Warrant Agreement) with Treasury and issued the PSP3 Promissory Note to Treasury, with the Subsidiaries as guarantors.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PSP3 Agreement</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PSP3, AAG and the Subsidiaries are required to comply with the relevant provisions of the ARP, which are substantially similar as the restrictions contained in the Payroll Support Program Agreement entered into by the Subsidiaries with Treasury in connection with the payroll support program established under the CARES Act, but are in effect for a longer time period. These provisions include the requirement that funds provided pursuant to the PSP3 Agreement be used exclusively for the continuation of payment of eligible employee wages, salaries and benefits, the requirement against involuntary furloughs and reductions in employee pay rates and benefits through at least September 30, 2021, the provisions that prohibit the repurchase of AAG common stock, and the payment of common stock dividends through at least September 30, 2022, the provisions that restrict the payment of certain executive compensation until April 1, 2023. As was the case with PSP1 and PSP2, the PSP3 Agreement also imposes substantial reporting obligations on AAG and the Subsidiaries.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Pursuant to the PSP3 Agreement, Treasury provided AAG and the Subsidiaries financial assistance in two installments (each prior installment and any future installment disbursement, a PSP3 Installment) totaling approximately $3.3 billion in the aggregate, all of which was received as of June 30, 2021. As partial compensation to the U.S. Government for the provision of financial assistance under PSP3, AAG issued the PSP3 Promissory Note in the aggregate principal amount of $946 million and issued warrants (each a PSP3 Warrant and, collectively, the PSP3 Warrants) to Treasury to purchase up to an aggregate of approximately 4.4 million shares of AAG common stock for an exercise price of $21.75 per share, subject to adjustment. See below for more information on the PSP3 Warrant Agreement and PSP3 Warrants.</w:t>
      </w:r>
    </w:p>
    <w:p>
      <w:pPr>
        <w:spacing w:after="0" w:line="15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For accounting purposes, the $3.3 billion of aggregate financial assistance AAG and the Subsidiaries received pursuant to the PSP3 Agreement is allocated to the PSP3 Promissory Note, the PSP3 Warrants and the other PSP3 financial assistance (the PSP3 Financial Assistance). The aggregate principal amount of $946 million of the PSP3 Promissory Note was recorded as unsecured long-term debt, and the total fair value of the PSP3 Warrants of $46 million, estimated using a Black-Scholes option pricing model, was recorded in stockholders' deficit in AAG's condensed consolidated balance sheet. The remaining amount of approximately $2.3 billion of PSP3 Financial Assistance will be recognized as a credit to special items, net in the condensed consolidated statement of operations in the second and third quarters of 2021, the remaining period over which the continuation of payment of eligible employee wages, salaries and benefits is expected, as required by the PSP3 Agreement. At June 30, 2021, approximately $1.1 billion of the PSP3 Financial Assistance was deferred in other accrued liabilities in the condensed consolidated balance sheet and approximately $1.2 billion was recognized as a credit to special items, net in the condensed consolidated statement of operations.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PSP3 Warrant Agreement and PSP3 Warrants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PSP3 Agreement, and pursuant to the PSP3 Warrant Agreement, AAG issued the PSP3 Warrants to Treasury to purchase PSP3 Warrant Shares. The exercise price of the PSP3 Warrant Shares is $21.75 per share, subject to certain anti-dilution provisions provided for in the PSP3 Warrants.</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Pursuant to the PSP3 Warrant Agreement, AAG issued to Treasury PSP3 Warrants to purchase up to an aggregate of approximately 4.4 million shares of AAG common stock for an exercise price of $21.75 per share, subject to adjustment.</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PSP3 Warrants do not have any voting rights and are freely transferrable, with registration rights. Each PSP3 Warrant expires on the fifth anniversary of the date of issuance of such PSP3 Warrant. The PSP3 Warrants will be exercisable either through net share settlement or cash, at AAG's option. The PSP3 Warrants were and will be issued solely as compensation to the U.S. Government related to entry into the PSP3 Agreement. No separate proceeds (apart from the financial assistance described above) were received upon issuance of the PSP3 Warrants or will be received upon exercise thereof.</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2019-12: Simplifying the Accounting for Income Taxes (Topic 740)</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standard simplifies the accounting and disclosure requirements for income taxes by clarifying the existing guidance to improve consistency in the application of Accounting Standards Codification 740. This standard also removed the requirement to calculate income tax expense for the stand-alone financial statements of wholly-owned subsidiaries that are not subject to income tax. American adopted this standard effective January 1, 2021, and it did not have a material impact on its condensed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3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8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23"/>
        </w:trPr>
        <w:tc>
          <w:tcPr>
            <w:tcW w:w="58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30"/>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5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70"/>
        </w:trPr>
        <w:tc>
          <w:tcPr>
            <w:tcW w:w="5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5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588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70"/>
        </w:trPr>
        <w:tc>
          <w:tcPr>
            <w:tcW w:w="5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88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29"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for further information. The 2020 PSP Financial Assistance represents recognition of a portion of the financial assistance received from Treasury pursuant to the PSP1 Agreement.</w:t>
      </w:r>
    </w:p>
    <w:p>
      <w:pPr>
        <w:spacing w:after="0" w:line="162" w:lineRule="exact"/>
        <w:rPr>
          <w:rFonts w:ascii="Arial" w:cs="Arial" w:eastAsia="Arial" w:hAnsi="Arial"/>
          <w:sz w:val="23"/>
          <w:szCs w:val="23"/>
          <w:color w:val="auto"/>
          <w:vertAlign w:val="superscript"/>
        </w:rPr>
      </w:pPr>
    </w:p>
    <w:p>
      <w:pPr>
        <w:jc w:val="both"/>
        <w:ind w:left="340" w:hanging="332"/>
        <w:spacing w:after="0" w:line="234"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 to voluntary early retirement programs offered as a result of reductions to American's operation due to the COVID-19 pandemic. Cash payments related to American's voluntary early retirement programs for the three and six months ended June 30, 2021 were approximately $120 million and $290 million, respectively.</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1" w:lineRule="exact"/>
        <w:rPr>
          <w:rFonts w:ascii="Arial" w:cs="Arial" w:eastAsia="Arial" w:hAnsi="Arial"/>
          <w:sz w:val="23"/>
          <w:szCs w:val="23"/>
          <w:color w:val="auto"/>
          <w:vertAlign w:val="superscript"/>
        </w:rPr>
      </w:pPr>
    </w:p>
    <w:p>
      <w:pPr>
        <w:jc w:val="both"/>
        <w:ind w:left="340" w:hanging="332"/>
        <w:spacing w:after="0" w:line="239"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American's decision to retire certain aircraft earlier than planned driven primarily by the severe decline in air travel due to the COVID-19 pandemic. In the first six months of 2021, American retired its remaining fleet of Embraer 140 aircraft resulting in a non-cash write-down of these aircraft. In the first six months of 2020, American retired its Boeing 757, Boeing 767, Airbus A330-300 and Embraer 190 fleets as well as certain Embraer 140 and Bombardier CRJ200 aircraft resulting in a $773 million non-cash write-down of mainline and regional aircraft and associated spare parts and $76 million in cash charges primarily for impairment of ROU assets and lease return costs.</w:t>
      </w:r>
    </w:p>
    <w:p>
      <w:pPr>
        <w:spacing w:after="0" w:line="164"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resulting from the ratification of a new contract with the Transport Workers Union and International Association of Machinists &amp; Aerospace Workers for American's maintenance and fleet service team members, including signing bonuses and adjustments to vacation accruals resulting from pay rate increases.</w:t>
      </w:r>
    </w:p>
    <w:p>
      <w:pPr>
        <w:spacing w:after="0" w:line="162"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primarily related to net unrealized gains and losses associated with American's equity investment in China Southern Airlines Company Limited (China Southern Airlines) and certain treasury rate lock derivative instruments.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right="9200" w:hanging="252"/>
        <w:spacing w:after="0" w:line="378" w:lineRule="auto"/>
        <w:tabs>
          <w:tab w:leader="none" w:pos="217"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36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20" w:type="dxa"/>
            <w:vAlign w:val="bottom"/>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38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5,995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8,888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8,085</w:t>
            </w:r>
          </w:p>
        </w:tc>
      </w:tr>
      <w:tr>
        <w:trPr>
          <w:trHeight w:val="230"/>
        </w:trPr>
        <w:tc>
          <w:tcPr>
            <w:tcW w:w="20" w:type="dxa"/>
            <w:vAlign w:val="bottom"/>
          </w:tcPr>
          <w:p>
            <w:pPr>
              <w:spacing w:after="0"/>
              <w:rPr>
                <w:sz w:val="19"/>
                <w:szCs w:val="19"/>
                <w:color w:val="auto"/>
              </w:rPr>
            </w:pPr>
          </w:p>
        </w:tc>
        <w:tc>
          <w:tcPr>
            <w:tcW w:w="58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23"/>
        </w:trPr>
        <w:tc>
          <w:tcPr>
            <w:tcW w:w="20" w:type="dxa"/>
            <w:vAlign w:val="bottom"/>
          </w:tcPr>
          <w:p>
            <w:pPr>
              <w:spacing w:after="0"/>
              <w:rPr>
                <w:sz w:val="19"/>
                <w:szCs w:val="19"/>
                <w:color w:val="auto"/>
              </w:rPr>
            </w:pPr>
          </w:p>
        </w:tc>
        <w:tc>
          <w:tcPr>
            <w:tcW w:w="588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8,788</w:t>
            </w:r>
          </w:p>
        </w:tc>
      </w:tr>
      <w:tr>
        <w:trPr>
          <w:trHeight w:val="230"/>
        </w:trPr>
        <w:tc>
          <w:tcPr>
            <w:tcW w:w="20" w:type="dxa"/>
            <w:vAlign w:val="bottom"/>
          </w:tcPr>
          <w:p>
            <w:pPr>
              <w:spacing w:after="0"/>
              <w:rPr>
                <w:sz w:val="19"/>
                <w:szCs w:val="19"/>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20" w:type="dxa"/>
            <w:vAlign w:val="bottom"/>
          </w:tcPr>
          <w:p>
            <w:pPr>
              <w:spacing w:after="0"/>
              <w:rPr>
                <w:sz w:val="19"/>
                <w:szCs w:val="19"/>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20" w:type="dxa"/>
            <w:vAlign w:val="bottom"/>
          </w:tcPr>
          <w:p>
            <w:pPr>
              <w:spacing w:after="0"/>
              <w:rPr>
                <w:sz w:val="19"/>
                <w:szCs w:val="19"/>
                <w:color w:val="auto"/>
              </w:rPr>
            </w:pPr>
          </w:p>
        </w:tc>
        <w:tc>
          <w:tcPr>
            <w:tcW w:w="5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23"/>
        </w:trPr>
        <w:tc>
          <w:tcPr>
            <w:tcW w:w="20" w:type="dxa"/>
            <w:vAlign w:val="bottom"/>
          </w:tcPr>
          <w:p>
            <w:pPr>
              <w:spacing w:after="0"/>
              <w:rPr>
                <w:sz w:val="19"/>
                <w:szCs w:val="19"/>
                <w:color w:val="auto"/>
              </w:rPr>
            </w:pPr>
          </w:p>
        </w:tc>
        <w:tc>
          <w:tcPr>
            <w:tcW w:w="588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w:t>
            </w: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94" w:lineRule="exact"/>
        <w:rPr>
          <w:sz w:val="20"/>
          <w:szCs w:val="20"/>
          <w:color w:val="auto"/>
        </w:rPr>
      </w:pPr>
    </w:p>
    <w:p>
      <w:pPr>
        <w:ind w:left="340" w:hanging="332"/>
        <w:spacing w:after="0" w:line="220"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June 30, 2021 and 2020, cash payments from co-branded credit card and other partners was $684 million and $573 million, respectively. During the six months ended June 30, 2021 and 2020, cash payments from co-branded credit card and other partners was $1.7 billion and $1.8 billion, respectively.</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3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48"/>
        </w:trPr>
        <w:tc>
          <w:tcPr>
            <w:tcW w:w="5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-1268095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r>
      <w:tr>
        <w:trPr>
          <w:trHeight w:val="230"/>
        </w:trPr>
        <w:tc>
          <w:tcPr>
            <w:tcW w:w="9460" w:type="dxa"/>
            <w:vAlign w:val="bottom"/>
          </w:tcPr>
          <w:p>
            <w:pPr>
              <w:ind w:left="220"/>
              <w:spacing w:after="0"/>
              <w:rPr>
                <w:sz w:val="20"/>
                <w:szCs w:val="20"/>
                <w:color w:val="auto"/>
              </w:rPr>
            </w:pPr>
            <w:r>
              <w:rPr>
                <w:rFonts w:ascii="Arial" w:cs="Arial" w:eastAsia="Arial" w:hAnsi="Arial"/>
                <w:sz w:val="18"/>
                <w:szCs w:val="18"/>
                <w:color w:val="auto"/>
              </w:rPr>
              <w:t>Deferral of revenue</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983</w:t>
            </w:r>
          </w:p>
        </w:tc>
      </w:tr>
      <w:tr>
        <w:trPr>
          <w:trHeight w:val="229"/>
        </w:trPr>
        <w:tc>
          <w:tcPr>
            <w:tcW w:w="9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23"/>
        </w:trPr>
        <w:tc>
          <w:tcPr>
            <w:tcW w:w="94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Balance at June 30, 2021 </w:t>
            </w:r>
            <w:r>
              <w:rPr>
                <w:rFonts w:ascii="Arial" w:cs="Arial" w:eastAsia="Arial" w:hAnsi="Arial"/>
                <w:sz w:val="23"/>
                <w:szCs w:val="23"/>
                <w:color w:val="auto"/>
                <w:vertAlign w:val="superscript"/>
              </w:rPr>
              <w:t>(2)</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9,306</w:t>
            </w:r>
          </w:p>
        </w:tc>
      </w:tr>
      <w:tr>
        <w:trPr>
          <w:trHeight w:val="20"/>
        </w:trPr>
        <w:tc>
          <w:tcPr>
            <w:tcW w:w="9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29"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3"/>
          <w:szCs w:val="23"/>
          <w:color w:val="auto"/>
          <w:vertAlign w:val="superscript"/>
        </w:rPr>
      </w:pPr>
    </w:p>
    <w:p>
      <w:pPr>
        <w:jc w:val="both"/>
        <w:ind w:left="340" w:hanging="332"/>
        <w:spacing w:after="0" w:line="24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18 months. In response to the COVID-19 pandemic, American suspended the expiration of mileage credits through December 31, 2021 and eliminated mileage reinstatement fees for canceled award tickets. As of June 30, 2021, American's current loyalty program liability was $2.6 billion and represents American's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COVID-19 pandemic, American will continue to monitor redemption patterns and may adjust its estimates in the future.</w:t>
      </w:r>
    </w:p>
    <w:p>
      <w:pPr>
        <w:spacing w:after="0" w:line="16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generally one year. Accordingly, any revenue associated with tickets sold for future travel will be recognized within 12 months. For the six months ended June 30, 2021, $1.2 billion of revenue was recognized in passenger revenue that was included in American's air traffic liability at December 31, 2020. In response to the COVID-19 pandemic, American extended the contract duration for certain tickets to March 31, 2022, principally those tickets which were scheduled to expire from March 1, 2020 through March 31, 2021. Additionally, American has eliminated change fees for most domestic and international tickets. As of June 30, 2021, the air traffic liability included approximately $1.6 billion of travel credits related to these unused tickets. Given this change in contract duration and uncertainty surrounding the future demand for air travel, American's estimates of revenue that will be recognized from the air traffic liability for future flown or unused tickets as well as American's estimates of refunds may be subject to variability and differ from historical experience.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1.85%, installments through 2025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2013 Revolving Facility</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2014 Term Loan Facility, variable interest rate of 1.85%, installments through 2027</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Revolving Facility</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April 2016 Spare Parts Term Loan Facility, variable interest rate of 2.10%, installments</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7"/>
        </w:trPr>
        <w:tc>
          <w:tcPr>
            <w:tcW w:w="7560" w:type="dxa"/>
            <w:vAlign w:val="bottom"/>
          </w:tcPr>
          <w:p>
            <w:pPr>
              <w:ind w:left="300"/>
              <w:spacing w:after="0"/>
              <w:rPr>
                <w:sz w:val="20"/>
                <w:szCs w:val="20"/>
                <w:color w:val="auto"/>
              </w:rPr>
            </w:pPr>
            <w:r>
              <w:rPr>
                <w:rFonts w:ascii="Arial" w:cs="Arial" w:eastAsia="Arial" w:hAnsi="Arial"/>
                <w:sz w:val="18"/>
                <w:szCs w:val="18"/>
                <w:color w:val="auto"/>
              </w:rPr>
              <w:t>through 2023</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April 2016 Revolving Facility</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December 2016 Term Loan Facility, variable interest rate of 2.07%, installments through</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7"/>
        </w:trPr>
        <w:tc>
          <w:tcPr>
            <w:tcW w:w="7560" w:type="dxa"/>
            <w:vAlign w:val="bottom"/>
          </w:tcPr>
          <w:p>
            <w:pPr>
              <w:ind w:left="30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Treasury Term Loan Facility</w:t>
            </w:r>
          </w:p>
        </w:tc>
        <w:tc>
          <w:tcPr>
            <w:tcW w:w="2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5.50% senior secured notes, installments beginning in July 2023 until due in April 2026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5.75% senior secured notes, installments beginning in July 2026 until due in April 2029</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5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9"/>
              </w:rPr>
              <w:t>AAdvantage Term Loan Facility, variable interest rate of 5.50%, installments beginning in July</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7"/>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2023 through April 2028</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Enhanced equipment trust certificates (EETCs), fixed interest rates ranging from 3.00% to</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7"/>
        </w:trPr>
        <w:tc>
          <w:tcPr>
            <w:tcW w:w="7560" w:type="dxa"/>
            <w:vAlign w:val="bottom"/>
          </w:tcPr>
          <w:p>
            <w:pPr>
              <w:ind w:left="300"/>
              <w:spacing w:after="0"/>
              <w:rPr>
                <w:sz w:val="20"/>
                <w:szCs w:val="20"/>
                <w:color w:val="auto"/>
              </w:rPr>
            </w:pPr>
            <w:r>
              <w:rPr>
                <w:rFonts w:ascii="Arial" w:cs="Arial" w:eastAsia="Arial" w:hAnsi="Arial"/>
                <w:sz w:val="18"/>
                <w:szCs w:val="18"/>
                <w:color w:val="auto"/>
              </w:rPr>
              <w:t>8.39%, averaging 3.91%, maturing from 2021 to 2032</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11,013</w:t>
            </w:r>
          </w:p>
        </w:tc>
      </w:tr>
      <w:tr>
        <w:trPr>
          <w:trHeight w:val="188"/>
        </w:trPr>
        <w:tc>
          <w:tcPr>
            <w:tcW w:w="75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7"/>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1.22% to 4.64%, averaging 1.85%, maturing from 2021 to 2032</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7"/>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from 2026 to 2036</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28,731</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25,710</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2021, the maximum availability under American's revolving credit and other facilities is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has an undrawn $400 million short-term revolving credit facility it entered into in December 2019, which was set to expire at the beginning of July 2021 but which has been extended through the beginning of October 2021 and the available amount thereunder increased to $500 million. American has the option to extend further this short-term revolving credit facility to January 2022. American also currently has approximately $ 70 million of available borrowing base under a cargo receivables facility that was entered into in December 2020. The December 2016 Credit Facilities provide for a revolving credit facility that may be established thereunder in the future.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Secured financings are collateralized by assets, consisting primarily of aircraft, engines, simulators, aircraft spare parts, airport gate leasehold rights, route authorities and airport slots, as well as certain intellectual property and loyalty program assets.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2021 Financing Activities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2014 and April 2016 Revolving Facilities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March 2021, American repaid in full the $750 million of revolving loans outstanding under the 2013 Revolving Facility, the $1.6 billion of revolving loans outstanding under the 2014 Revolving Facility and the $450 million of revolving loans outstanding under the April 2016 Revolving Facility. Following the March 2021 repayment, American is able to draw upon the commitments under these revolving facilities again as needed upon the terms of the underlying credit agreements or leave them undrawn, in each case, until such commitments expire, which is currently scheduled to occur in 2024 for substantially all of such commitments. As of June 30, 2021, there were no borrowings or letters of credit outstanding under the 2013 Revolving Facility, the 2014 Revolving Facility or the April 2016 Revolving Facility.</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AAdvantage Financing</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March 24, 2021 (the AAdvantage Financing Closing Date), American and AAdvantage Loyalty IP Ltd., a newly formed Cayman Islands exempted company incorporated with limited liability and an indirect wholly 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(the AAdvantage Note Guarantees) on a senior unsecured basis by AAG and fully and unconditionally guaranteed on a senior secured basis, jointly and severally, by AAdvantage Holdings 1, Ltd., a newly formed Cayman Islands exempted company incorporated with limited liability and a direct wholly owned subsidiary of American, and AAdvantage Holdings 2, Ltd., a newly formed Cayman Islands exempted company incorporated with limited liability and an indirect wholly owned subsidiary of American and the direct parent of Loyalty Issuer (HoldCo2 and, together with AAdvantage Holdings 1, Ltd., the SPV Guarantors, and the SPV Guarantors together with AAG, the AAdvantage Guarantors). The AAdvantage Notes were issued pursuant to an indenture, dated as of March 24, 2021 (the AAdvantage Indenture), by and among the AAdvantage Issuers, the AAdvantage Guarantors and Wilmington Trust, National Association, as trustee and as collateral custodian.</w:t>
      </w:r>
    </w:p>
    <w:p>
      <w:pPr>
        <w:spacing w:after="0" w:line="15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with Barclays Bank PLC, as administrative agent, Wilmington Trust, National Association, as collateral administrator, and the lenders party thereto,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AAdvantage Guarantors.</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will be secured by a first-priority security interest in, and pledge of, various agreements with respect to the AAdvantage program (the AAdvantage Agreements) (including all payments thereunder) and rights under an intercompany agreement and certain IP Licenses (as defined below), certain rights under the AAdvantage program, certain deposit accounts that will receive cash under the AAdvantage Agreements, certain reserve accounts, the equity of each of Loyalty Issuer and the SPV Guarantors and substantially all other assets of Loyalty Issuer and the SPV Guarantors (collectively, the AAdvantage Collateral).</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beginning July 20, 2021. The 2026 Notes will mature on April 20, 2026, and the 2029 Notes will mature on April 20, 2029. The outstanding principal on the 2026 Notes will be repaid in quarterly installments of approximately $292 million on each AAdvantage Payment Date, beginning on July 20, 2023. The outstanding principal on the 2029 Notes will be repaid in quarterly installments of $250 million on each AAdvantage Payment Date, beginning on July 20, 2026.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AAdvantage Loans bear interest at a variable rate equal to LIBOR (but not less than 0.75% per annum), plus a margin of 4.75% per annum, payable on each AAdvantage Payment Date. The outstanding principal on the AAdvantage Loans will be repaid in quarterly installments of $ 175 million, on each AAdvantage Payment Date beginning with the AAdvantage Payment Date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5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14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 purchases exceeding $500 million, with prepayment required only in respect of net proceeds from such purchases exceeding $505 million in the aggregate.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Other Terms of the AAdvantage Indenture and the AAdvantage Term Loan Facility</w:t>
      </w:r>
    </w:p>
    <w:p>
      <w:pPr>
        <w:spacing w:after="0" w:line="10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8"/>
          <w:szCs w:val="18"/>
          <w:color w:val="auto"/>
        </w:rPr>
        <w:t>The AAdvantage Indenture and the AAdvantage Term Loan Facility contain certain covenants that limit the ability of Loyalty Issuer, the SPV Guarantors and, in certain circumstances, American and AAG, to among other things, (i) incur additional indebtedness and make restricted payments, (ii) incur certain liens on the AAdvantage Collateral, (iii) merge, consolidate or sell substantially all of their assets, (iv) dispose of the AAdvantage Collateral, (v) sell pre-paid frequent flyer (i.e. AAdvantage) miles in excess of $550 million in the aggregate, and</w:t>
      </w:r>
    </w:p>
    <w:p>
      <w:pPr>
        <w:spacing w:after="0" w:line="2" w:lineRule="exact"/>
        <w:rPr>
          <w:sz w:val="20"/>
          <w:szCs w:val="20"/>
          <w:color w:val="auto"/>
        </w:rPr>
      </w:pPr>
    </w:p>
    <w:p>
      <w:pPr>
        <w:jc w:val="both"/>
        <w:ind w:firstLine="8"/>
        <w:spacing w:after="0" w:line="252"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terminate, amend, waive, supplement or modify the IP Licenses, or exercise rights and remedies thereunder, except under certain circumstances. American and Loyalty Issuer are also prohibited from substantially reducing the AAdvantage program business or modifying the terms of the AAdvantage program in a manner that would reasonably be expected to materially impair repayment of the AAdvantage Financing obligations (described as a Payment Material Adverse Effect in the AAdvantage Indenture and the AAdvantage Term Loan Facility), and AAG and its subsidiaries are prohibited from changing the policies and procedures of the AAdvantage program in a manner that would reasonably be expected to have a Payment Material Adverse Effect or operating a competing loyalty program. Notwithstanding these restrictions, the AAdvantage program is expected to operate as it has in the past, and the entry into the AAdvantage Financing is not expected to have any impact on the benefits offered to AAdvantage members.</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subject to certain exceptions, the AAdvantage Indenture and the AAdvantage Term Loan Facility restrict the ability of American, Loyalty Issuer or any Guarantor to terminate, or modify certain terms within, the intercompany agreement governing the relationship between American and Loyalty Issuer with respect to the AAdvantage program.</w:t>
      </w:r>
    </w:p>
    <w:p>
      <w:pPr>
        <w:spacing w:after="0" w:line="14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AAdvantage Indenture and the AAdvantage Term Loan Facility also require the AAdvantage Issuers to comply with certain affirmative covenants, including (i) certain reporting requirements and (ii) the use of commercially reasonable efforts to cause sufficient counterparties to AAdvantage Agreements to direct payments with respect to the AAdvantage program into a collections account, such that at least 90% of such cash receipts in a quarterly reporting period are deposited directly into this collection account, with amounts to be distributed from this collection account for the payment of fees, principal and interest on the AAdvantage Notes and the AAdvantage Loans pursuant to a payment waterfall described in the AAdvantage Indenture and the AAdvantage Term Loan Facility, respectively. In addition, the AAdvantage Indenture and the AAdvantage Term Loan Facility require AAG to maintain minimum liquidity, defined as the sum of (a) unrestricted cash and cash equivalents and (b) the aggregate principal amount committed and available to be drawn under all of AAG's revolving credit and other facilities, at the close of any business day of at least $2.0 billion.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Subject to certain materiality thresholds, qualifications, exceptions, “baskets” and grace and cure periods, the AAdvantage Indenture and the AAdvantage Term Loan Facility contain various events of default, including payment defaults, covenant defaults, cross-defaults to certain indebtedness, termination of certain agreements related to the AAdvantage program, bankruptcy events of Loyalty Issuer or any SPV Guarantor, and a change of control of Loyalty Issuer or any SPV Guarantor. A bankruptcy event of American is not itself an event of default; following an American bankruptcy, an event of default would only occur if American failed to satisfy certain enumerated bankruptcy case milestones, including an assumption of the AAdvantage Financing by a certain date. Upon the occurrence of an event of default, the outstanding obligations under the AAdvantage Indenture and the AAdvantage Term Loan Facility may (or, with respect to the bankruptcy events noted above, shall) be accelerated and become due and payable immediately.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Terms of Certain Intercompany Agreements Related to the AAdvantage Financing</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the issuance of the AAdvantage Notes and entry into the AAdvantage Term Loan Facility, American, Loyalty Issuer and the SPV Guarantors entered into a series of transactions that resulted in the transfer to Loyalty Issuer of, among other things, American’s rights to certain data and other intellectual property used in the AAdvantage program (subject to certain exceptions) (such assets, the Transferred AAdvantage IP) and certain rights of American under specified AAdvantage Agreements. Loyalty Issuer has entered into a license agreement with HoldCo2 pursuant to which Loyalty Issuer has granted to HoldCo2 an exclusive, irrevocable (subject to certain termination rights), perpetual, worldwide, royalty-bearing license to use the Transferred AAdvantage IP (the HoldCo2 License), and HoldCo2 has in turn granted to American an exclusive, irrevocable (subject to certain termination rights), perpetual, worldwide, royalty-bearing sublicense to use the Transferred AAdvantage IP (together with the HoldCo2 License, the IP Licenses). The IP Licenses would be terminated, and American’s right to use the Transferred AAdvantage IP would cease, upon specified termination events, including, but not limited to, the occurrence of an event of default under the AAdvantage Indenture or the AAdvantage Term Loan Facility. In certain circumstances, such a termination would trigger a liquidated damages payment in an amount that is greater than the initial principal amount of the AAdvantage Notes and the AAdvantage Loans.</w:t>
      </w:r>
    </w:p>
    <w:p>
      <w:pPr>
        <w:spacing w:after="0" w:line="1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proceeds from the AAdvantage Financing were loaned by Loyalty Issuer to American pursuant to an intercompany note that was guaranteed by AAG. The borrowings under this intercompany note are payable on demand by Loyalty Issuer or, after the occurrence and during the continuance of an event of default under the AAdvantage Financing, by the master collateral agent under the AAdvantage Financing.</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Treasury Loan Agreement</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September 25, 2020, American and AAG entered into a Loan and Guarantee Agreement (the Treasury Loan Agreement) with Treasury, which provided for a secured term loan facility (the Treasury Term Loan Facility) that permitted American to borrow up to $5.5 billion. Subsequently, on October 21, 2020, American and AAG entered into an amendment to the Treasury Loan Agreement, which increased the borrowing amount to up to $7.5 billion. American had borrowed $550 million under the Treasury Term Loan Facility in September 2020. On March 24, 2021, American used proceeds from the AAdvantage Financing to prepay in full the $550 million outstanding under the Treasury Term Loan Facility and terminated the Treasury Loan Agreement.</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JFK Special Facility Revenue Bonds</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January 2020, American and British Airways announced the start of construction projects to upgrade New York's JFK Terminal 8 (the Terminal). The renovation projects at the Terminal include: (i) the reconfiguration or elimination of certain existing gates and the construction of jumbo gates, (ii) the construction of approximately 51,000 square feet of new terminal building space and the refurbishment of 73,300 square feet of existing terminal space, (iii) the expansion of the baggage system capacity of the Terminal, (iv) improvements to the premium passenger lounges, check-in and, potentially, security access areas, and (v) bathroom refreshment, new signage, and other upgrades. The construction project is currently scheduled to be completed in 2023 and is estimated to cost approximately $439 million, of which approximately $298 million was funded with proceeds of the special facility revenue bonds issued by the New York Transportation Development Corporation (NYTDC) on behalf of American in June 2020 (the 2020 JFK Bonds) and approximately $84 million of which will be funded with proceeds of the approximately $150 million of special facility revenue bonds the NYTDC issued in June 2021 (the 2021 JFK Bonds).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is required to pay debt service on the 2021 JFK Bonds through payments under a loan agreement with NYTDC (as amended), and American and AAG guarantee the 2021 JFK Bonds. American continues to pay debt service on the outstanding bonds issued by NYTDC on behalf of American in 2016 and 2020 (the 2016 and 2020 JFK Bonds) and American and AAG continue to guarantee the 2016 and 2020 JFK Bonds. American’s and AAG’s obligations under these guarantees are secured by a leasehold mortgage on American’s lease of the Terminal and related property from the Port Authority of New York and New Jersey.</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2021 JFK Bonds, in aggregate, were priced at par value. The gross proceeds from the issuance of the 2021 JFK Bonds were approximately $150 million. Of this amount, approximately $4 million was used to fund the costs of issuance of the 2021 JFK Bonds, approximately $62 million was used to fund the redemption of the 2016 and 2020 JFK Bonds due August 2021, with the remaining amount of proceeds received to be held in restricted cash and short-term investments on the condensed consolidated balance sheet and to be used to finance a portion of the cost of the renovation and expansion of the Terminal. The 2021 JFK Bonds are comprised of term bonds, $70 million of which bear interest at 2.25% per annum and mature on August 1, 2026, and $80 million of which bear interest at 3.00% per annum and mature on August 1, 2031.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At December 31, 2020, American had approximately $16.5 billion of federal net operating losses (NOLs) available to reduce future federal taxable income, of which $8.9 billion will expire beginning in 2023 if unused and $7.6 billion can be carried forward indefinitely (NOL Carryforwards). American is a member of AAG’s consolidated federal and certain state income tax returns. The amount of federal NOL Carryforwards available in those returns is $ 16.5 billion to reduce AAG's future federal taxable income. American also had approximately $5.0 billion of NOL Carryforwards to reduce future state taxable income at December 31, 2020, which will expire in taxable years 2020 through 2040 if unused.</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American's ability to use its NOL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presently has a $24 million valuation allowance on certain net deferred tax assets related to state NOL Carryforwards. There can be no assurance that an additional valuation allowance on American's net deferred tax assets will not be required. Such valuation allowance could be material.</w:t>
      </w:r>
    </w:p>
    <w:p>
      <w:pPr>
        <w:spacing w:after="0" w:line="15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During the three and six months ended June 30, 2021, American recorded an income tax benefit of $1 million and $315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Other Investments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six months ended June 30, 2021.</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Fair Value Measurements as of June 30, 2021</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5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3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3,968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ind w:left="340" w:right="20" w:hanging="332"/>
        <w:spacing w:after="0" w:line="220"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associated with the payment of certain fees and interest in respect of the AAdvantage Financing, money market funds to be used to finance a substantial portion of the cost of the renovation and expansion of Terminal 8 at JFK as well as collateral held to support workers' compensation obligations.</w:t>
      </w:r>
    </w:p>
    <w:p>
      <w:pPr>
        <w:spacing w:after="0" w:line="162"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American's equity investment in China Southern Airlines, in which American presently owns a 1.8% equity interest, and are classified in other assets on the condensed consolidated balance sheet.</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except for $550 million as of December 31, 2020, which would have been classified as Level 3 in the fair value hierarchy.</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2020</w:t>
            </w:r>
          </w:p>
        </w:tc>
      </w:tr>
      <w:tr>
        <w:trPr>
          <w:trHeight w:val="142"/>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2"/>
                <w:szCs w:val="12"/>
                <w:color w:val="auto"/>
              </w:rPr>
            </w:pPr>
          </w:p>
        </w:tc>
        <w:tc>
          <w:tcPr>
            <w:tcW w:w="1040" w:type="dxa"/>
            <w:vAlign w:val="bottom"/>
            <w:gridSpan w:val="2"/>
          </w:tcPr>
          <w:p>
            <w:pPr>
              <w:jc w:val="center"/>
              <w:ind w:right="580"/>
              <w:spacing w:after="0" w:line="142"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100" w:type="dxa"/>
            <w:vAlign w:val="bottom"/>
          </w:tcPr>
          <w:p>
            <w:pPr>
              <w:jc w:val="center"/>
              <w:ind w:right="242"/>
              <w:spacing w:after="0" w:line="142" w:lineRule="exact"/>
              <w:rPr>
                <w:sz w:val="20"/>
                <w:szCs w:val="20"/>
                <w:color w:val="auto"/>
              </w:rPr>
            </w:pPr>
            <w:r>
              <w:rPr>
                <w:rFonts w:ascii="Arial" w:cs="Arial" w:eastAsia="Arial" w:hAnsi="Arial"/>
                <w:sz w:val="14"/>
                <w:szCs w:val="14"/>
                <w:b w:val="1"/>
                <w:bCs w:val="1"/>
                <w:color w:val="auto"/>
              </w:rPr>
              <w:t>Fair</w:t>
            </w:r>
          </w:p>
        </w:tc>
      </w:tr>
      <w:tr>
        <w:trPr>
          <w:trHeight w:val="175"/>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5"/>
                <w:szCs w:val="15"/>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5"/>
                <w:szCs w:val="15"/>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35,429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28,410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27,193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(expense), net in the condensed consolidated statements of operations.</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first quarter of 2021, American remeasured its retiree medical and other postretirement benefits to account for enhanced healthcare benefits provided to eligible team members who opted in to voluntary early retirement programs offered as a result of reductions to its operation due to the COVID-19 pandemic. For the six months ended June 30, 2021, American recognized a $139 million special charge for these enhanced healthcare benefits and increased its postretirement benefits obligation by $139 million.</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January 2021, American made $241 million in contributions to its pension plans, including a contribution of $ 130 million for the 2020 calendar year that was permitted to be deferred to January 4, 2021 as provided under the CARES Act. On March 11, 2021, the ARP was enacted, which included funding relief provisions benefiting single employer qualified retirement benefit pension plans such as those sponsored by American. Based on American's current understanding of the ARP provisions applicable to its pension plans, American will have no additional funding requirements for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Retiree</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Medical and</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1"/>
                <w:szCs w:val="11"/>
                <w:color w:val="auto"/>
              </w:rPr>
            </w:pPr>
          </w:p>
        </w:tc>
        <w:tc>
          <w:tcPr>
            <w:tcW w:w="11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(Loss) on</w:t>
            </w:r>
          </w:p>
        </w:tc>
        <w:tc>
          <w:tcPr>
            <w:tcW w:w="140" w:type="dxa"/>
            <w:vAlign w:val="bottom"/>
          </w:tcPr>
          <w:p>
            <w:pPr>
              <w:spacing w:after="0"/>
              <w:rPr>
                <w:sz w:val="11"/>
                <w:szCs w:val="11"/>
                <w:color w:val="auto"/>
              </w:rPr>
            </w:pPr>
          </w:p>
        </w:tc>
        <w:tc>
          <w:tcPr>
            <w:tcW w:w="11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7"/>
              <w:spacing w:after="0" w:line="176" w:lineRule="exact"/>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8"/>
                <w:szCs w:val="18"/>
                <w:b w:val="1"/>
                <w:bCs w:val="1"/>
                <w:color w:val="auto"/>
                <w:w w:val="98"/>
                <w:vertAlign w:val="superscript"/>
              </w:rPr>
              <w:t>(1)</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1"/>
                <w:szCs w:val="1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20"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w:t>
      </w:r>
    </w:p>
    <w:p>
      <w:pPr>
        <w:spacing w:after="0" w:line="161"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benefit on the condensed consolidated statement of operations.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18" w:right="339" w:bottom="1440" w:gutter="0" w:footer="0" w:header="0"/>
        </w:sect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Amounts reclassified from AOCI</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1400" w:type="dxa"/>
            <w:vAlign w:val="bottom"/>
          </w:tcPr>
          <w:p>
            <w:pPr>
              <w:jc w:val="center"/>
              <w:ind w:left="628"/>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080885" cy="265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088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jc w:val="both"/>
        <w:ind w:right="580" w:hanging="19"/>
        <w:spacing w:after="0" w:line="228"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2" w:lineRule="exact"/>
        <w:rPr>
          <w:sz w:val="20"/>
          <w:szCs w:val="20"/>
          <w:color w:val="auto"/>
        </w:rPr>
      </w:pPr>
    </w:p>
    <w:p>
      <w:pPr>
        <w:sectPr>
          <w:pgSz w:w="11900" w:h="16838" w:orient="portrait"/>
          <w:cols w:equalWidth="0" w:num="2">
            <w:col w:w="8320" w:space="620"/>
            <w:col w:w="2300"/>
          </w:cols>
          <w:pgMar w:left="320" w:top="118" w:right="339" w:bottom="1440" w:gutter="0" w:footer="0" w:header="0"/>
          <w:type w:val="continuous"/>
        </w:sectPr>
      </w:pPr>
    </w:p>
    <w:p>
      <w:pPr>
        <w:ind w:left="20"/>
        <w:spacing w:after="0" w:line="232" w:lineRule="auto"/>
        <w:rPr>
          <w:sz w:val="20"/>
          <w:szCs w:val="20"/>
          <w:color w:val="auto"/>
        </w:rPr>
      </w:pPr>
      <w:r>
        <w:rPr>
          <w:rFonts w:ascii="Arial" w:cs="Arial" w:eastAsia="Arial" w:hAnsi="Arial"/>
          <w:sz w:val="18"/>
          <w:szCs w:val="18"/>
          <w:color w:val="auto"/>
        </w:rPr>
        <w:t>Amortization of pension, retiree medical</w:t>
      </w:r>
    </w:p>
    <w:p>
      <w:pPr>
        <w:ind w:left="320"/>
        <w:spacing w:after="0"/>
        <w:rPr>
          <w:sz w:val="20"/>
          <w:szCs w:val="20"/>
          <w:color w:val="auto"/>
        </w:rPr>
      </w:pPr>
      <w:r>
        <w:rPr>
          <w:rFonts w:ascii="Arial" w:cs="Arial" w:eastAsia="Arial" w:hAnsi="Arial"/>
          <w:sz w:val="18"/>
          <w:szCs w:val="18"/>
          <w:color w:val="auto"/>
        </w:rPr>
        <w:t>and other postretirement benefits:</w:t>
      </w:r>
    </w:p>
    <w:tbl>
      <w:tblPr>
        <w:tblLayout w:type="fixed"/>
        <w:tblInd w:w="0" w:type="dxa"/>
        <w:tblCellMar>
          <w:top w:w="0" w:type="dxa"/>
          <w:left w:w="0" w:type="dxa"/>
          <w:bottom w:w="0" w:type="dxa"/>
          <w:right w:w="0" w:type="dxa"/>
        </w:tblCellMar>
      </w:tblPr>
      <w:tr>
        <w:trPr>
          <w:trHeight w:val="198"/>
        </w:trPr>
        <w:tc>
          <w:tcPr>
            <w:tcW w:w="3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40" w:type="dxa"/>
            <w:vAlign w:val="bottom"/>
          </w:tcPr>
          <w:p>
            <w:pPr>
              <w:ind w:left="120"/>
              <w:spacing w:after="0" w:line="198"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17"/>
        </w:trPr>
        <w:tc>
          <w:tcPr>
            <w:tcW w:w="3880" w:type="dxa"/>
            <w:vAlign w:val="bottom"/>
          </w:tcPr>
          <w:p>
            <w:pPr>
              <w:ind w:left="360"/>
              <w:spacing w:after="0"/>
              <w:rPr>
                <w:sz w:val="20"/>
                <w:szCs w:val="20"/>
                <w:color w:val="auto"/>
              </w:rPr>
            </w:pPr>
            <w:r>
              <w:rPr>
                <w:rFonts w:ascii="Arial" w:cs="Arial" w:eastAsia="Arial" w:hAnsi="Arial"/>
                <w:sz w:val="18"/>
                <w:szCs w:val="18"/>
                <w:color w:val="auto"/>
              </w:rPr>
              <w:t>Prior service cost (benefit)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center"/>
              <w:ind w:left="130"/>
              <w:spacing w:after="0"/>
              <w:rPr>
                <w:sz w:val="20"/>
                <w:szCs w:val="20"/>
                <w:color w:val="auto"/>
              </w:rPr>
            </w:pPr>
            <w:r>
              <w:rPr>
                <w:rFonts w:ascii="Arial" w:cs="Arial" w:eastAsia="Arial" w:hAnsi="Arial"/>
                <w:sz w:val="18"/>
                <w:szCs w:val="18"/>
                <w:color w:val="auto"/>
                <w:w w:val="99"/>
              </w:rPr>
              <w:t>(71)</w:t>
            </w:r>
          </w:p>
        </w:tc>
        <w:tc>
          <w:tcPr>
            <w:tcW w:w="28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88"/>
        </w:trPr>
        <w:tc>
          <w:tcPr>
            <w:tcW w:w="3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9"/>
              </w:rPr>
              <w:t>57</w:t>
            </w: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68"/>
        </w:trPr>
        <w:tc>
          <w:tcPr>
            <w:tcW w:w="3880" w:type="dxa"/>
            <w:vAlign w:val="bottom"/>
          </w:tcPr>
          <w:p>
            <w:pPr>
              <w:ind w:left="20"/>
              <w:spacing w:after="0" w:line="168" w:lineRule="exact"/>
              <w:rPr>
                <w:sz w:val="20"/>
                <w:szCs w:val="20"/>
                <w:color w:val="auto"/>
              </w:rPr>
            </w:pPr>
            <w:r>
              <w:rPr>
                <w:rFonts w:ascii="Arial" w:cs="Arial" w:eastAsia="Arial" w:hAnsi="Arial"/>
                <w:sz w:val="18"/>
                <w:szCs w:val="18"/>
                <w:color w:val="auto"/>
              </w:rPr>
              <w:t>Total reclassifications for the period,</w:t>
            </w: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4"/>
                <w:szCs w:val="14"/>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4"/>
                <w:szCs w:val="14"/>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4"/>
                <w:szCs w:val="14"/>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center"/>
              <w:ind w:left="130"/>
              <w:spacing w:after="0"/>
              <w:rPr>
                <w:sz w:val="20"/>
                <w:szCs w:val="20"/>
                <w:color w:val="auto"/>
              </w:rPr>
            </w:pPr>
            <w:r>
              <w:rPr>
                <w:rFonts w:ascii="Arial" w:cs="Arial" w:eastAsia="Arial" w:hAnsi="Arial"/>
                <w:sz w:val="18"/>
                <w:szCs w:val="18"/>
                <w:color w:val="auto"/>
                <w:w w:val="99"/>
              </w:rPr>
              <w:t>(14)</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320"/>
              <w:spacing w:after="0" w:line="190" w:lineRule="exact"/>
              <w:rPr>
                <w:sz w:val="20"/>
                <w:szCs w:val="20"/>
                <w:color w:val="auto"/>
              </w:rPr>
            </w:pPr>
            <w:r>
              <w:rPr>
                <w:rFonts w:ascii="Arial" w:cs="Arial" w:eastAsia="Arial" w:hAnsi="Arial"/>
                <w:sz w:val="18"/>
                <w:szCs w:val="18"/>
                <w:color w:val="auto"/>
              </w:rPr>
              <w:t>net of tax</w:t>
            </w:r>
          </w:p>
        </w:tc>
        <w:tc>
          <w:tcPr>
            <w:tcW w:w="4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Substantially all of American's regional carrier arrangements are in the form of capacity purchase agreements. Expenses associated with American Eagle operations are classified as regional expenses on the condensed consolidated statements of operations.</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Beginning in the first quarter of 2021, aircraft fuel and related taxes as well as certain salaries, wages and benefits, other rent and landing fees, selling and other expenses are no longer allocated to regional expenses on American's condensed consolidated statements of operations. The second quarter and six months ended June 30, 2020 condensed consolidated statements of operations have been recast to conform to the 2021 presentation. This statement of operations presentation change has no impact on total operating expenses or net loss.</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Regional expenses for the three months ended June 30, 2021 and 2020 include $64 million and $71 million of depreciation and amortization, respectively, and $2 million and $3 million of aircraft rent, respectively. Regional expenses for the six months ended June 30, 2021 and 2020 include $132 million and $141 million of depreciation and amortization, respectively, and $4 million and $8 million of aircraft rent, respectively.</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three months ended June 30, 2021 and 2020, American recognized $91 million and $61 million, respectively, of expense under its capacity purchase agreement with Republic Airways Inc. (Republic). During the six months ended June 30, 2021 and 2020, American recognized $218 million and $211 million, respectively, of expense under its capacity purchase agreement with Republic. American holds a 25% equity interest in Republic Airways Holdings Inc., the parent company of Republic.</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Transactions with Related Parties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52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AAG </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7"/>
              </w:rPr>
              <w:t>7,487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9,940</w:t>
            </w:r>
          </w:p>
        </w:tc>
      </w:tr>
      <w:tr>
        <w:trPr>
          <w:trHeight w:val="229"/>
        </w:trPr>
        <w:tc>
          <w:tcPr>
            <w:tcW w:w="7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815"/>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915"/>
              <w:spacing w:after="0"/>
              <w:rPr>
                <w:sz w:val="20"/>
                <w:szCs w:val="20"/>
                <w:color w:val="auto"/>
              </w:rPr>
            </w:pPr>
            <w:r>
              <w:rPr>
                <w:rFonts w:ascii="Arial" w:cs="Arial" w:eastAsia="Arial" w:hAnsi="Arial"/>
                <w:sz w:val="18"/>
                <w:szCs w:val="18"/>
                <w:color w:val="auto"/>
              </w:rPr>
              <w:t>(2,063)</w:t>
            </w: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7"/>
              </w:rPr>
              <w:t>5,328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7,877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80" w:lineRule="exact"/>
        <w:rPr>
          <w:sz w:val="20"/>
          <w:szCs w:val="20"/>
          <w:color w:val="auto"/>
        </w:rPr>
      </w:pPr>
    </w:p>
    <w:p>
      <w:pPr>
        <w:jc w:val="both"/>
        <w:ind w:left="340" w:hanging="332"/>
        <w:spacing w:after="0" w:line="229"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The decrease in American’s net related party receivable from AAG is primarily due to cash received from the proceeds of AAG financing transactions including the PSP2 Promissory Note, the PSP3 Promissory Note and the issuance of shares of AAG common stock pursuant to an at-the-market offering.</w:t>
      </w:r>
    </w:p>
    <w:p>
      <w:pPr>
        <w:spacing w:after="0" w:line="162"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Pursuant to rulings of the Bankruptcy Court, the Plan established a disputed claims reserve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by AAG from time to time in its quarterly and annual reports, including for calculating earnings per common share. As disputed claims are resolved, the claimants receive distributions of shares from the Disputed Claims Reserve. American is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AAG but rather will be distributed to former AMR stockholders and former convertible noteholders treated as stockholders under the Plan. As of June 30, 2021, the Disputed Claims Reserve held approximately 4.8 million shares of AAG common stock.</w:t>
      </w:r>
    </w:p>
    <w:p>
      <w:pPr>
        <w:spacing w:after="0" w:line="22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American believes these appeals are without merit and intends to vigorously defend against them.</w:t>
      </w:r>
    </w:p>
    <w:p>
      <w:pPr>
        <w:spacing w:after="0" w:line="21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American’s favor. The plaintiffs have appealed this ruling. American believes this lawsuit is without merit and intends to continue to vigorously defend against the allegations, including plaintiffs' appeal of the Bankruptcy Court's January 29, 2021 ruling.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April 2016 Spare Parts Term Loan Facility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July 22, 2021, American repaid in full the outstanding term loans in the aggregate principal amount of $950 million and terminated the April 2016 Spare Parts Term Loan Facility. The April 2016 Revolving Facility, in the aggregate principal amount of $450 million, none of which was drawn or outstanding as of June 30, 2021, and which has a final maturity of October 2024, remains in place.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2020 (the 2020 Form 10-K). The information contained herein is not a comprehensive discussion and analysis of the financial condition and results of operations of AAG and American, but rather updates disclosures made in the 2020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testing regimes, closing of borders, “stay at home” orders and business closures. As a result, we have experienced an unprecedented decline in the demand for air travel, which has resulted in a material deterioration in our revenues. While global vaccination efforts are underway and demand for air travel has begun to return, the continued impact of COVID-19, including any increases in infection rates, new variants and renewed governmental action to slow the spread of COVID-19 such as has occurred throughout Western Europe and Latin America during the first six months of 2021, cannot be estimated.</w:t>
      </w:r>
    </w:p>
    <w:p>
      <w:pPr>
        <w:spacing w:after="0" w:line="15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taken aggressive actions to mitigate the effects of the COVID-19 pandemic on our business, including deep capacity reductions, structural changes to our fleet, cost reductions, and steps to preserve cash and improve our overall liquidity position. We remain extremely focused on taking all self-help measures available to manage our business during this unprecedented time, consistent with the terms of the financial assistance we have received from the U.S. Government under the Coronavirus Aid, Relief, and Economic Security Act (CARES Act), Subtitle A of Title IV of Division N of the Consolidated Appropriations Act, 2021 (PSP Extension Law) and Section 7301 of the American Rescue Plan Act of 2021 (the ARP).</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Capacity Reductions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capacity (as measured by available seat miles) continues to be significantly reduced compared to pre-COVID-19 pandemic levels with flying during the second quarter of 2021 down 24.6% as compared to the second quarter of 2019. Domestic capacity in the second quarter of 2021 was down 12.8% while international capacity was down 46.5% versus the second quarter of 2019.</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currently expect our third quarter of 2021 system capacity to be down 15% to 20% as compared to the third quarter of 2019. While demand for domestic and short-haul international markets has largely recovered to 2019 levels, uncertainty continues to exist. We will continue to match our forward capacity with observed booking trends for future travel and make further adjustments to our capacity as needed.</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Cost Reductions</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aggregate, we estimate that we have reduced our 2021 operating expenditures by more than $1.3 billion, which are permanent non-volume cost reductions and other efficiency measures. These reductions include approximately $600 million in labor productivity enhancements, $500 million in management salaries and benefits and $ 200 million in other permanent cost reductions. Also, an additional 1,600 represented team members opted in to a voluntary early retirement program, which occurred during the first quarter of 2021.</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Liquidity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June 30, 2021, we had $21.3 billion in total available liquidity, consisting of $18.0 billion in unrestricted cash and short-term investments, $2.8 billion in an undrawn capacity under revolving credit facilities and a total of $470 million in undrawn short-term revolving and other facilities.</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During the first six months of 2021, we completed the following financing transactions (see Note 5 to AAG’s Condensed Consolidated Financial Statements in Part I, Item 1A for further information):</w:t>
      </w:r>
    </w:p>
    <w:p>
      <w:pPr>
        <w:spacing w:after="0" w:line="144" w:lineRule="exact"/>
        <w:rPr>
          <w:sz w:val="20"/>
          <w:szCs w:val="20"/>
          <w:color w:val="auto"/>
        </w:rPr>
      </w:pPr>
    </w:p>
    <w:p>
      <w:pPr>
        <w:jc w:val="both"/>
        <w:ind w:left="660" w:hanging="409"/>
        <w:spacing w:after="0" w:line="256" w:lineRule="auto"/>
        <w:tabs>
          <w:tab w:leader="none" w:pos="655"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issued $3.5 billion in aggregate principal amount of 5.50% Senior Secured Notes due 2026 and $3.0 billion in aggregate principal amount of 5.75% Senior Secured Notes due 2029 and entered into the $3.5 billion AAdvantage Term Loan Facility of which the full amount of term loans was drawn at closing;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409"/>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repaid in full $750 million under the 2013 Revolving Facility, $1.6 billion under the 2014 Revolving Facility and $450 million under the April 2016 Revolving Facility, all of which was borrowed in the second quarter of 2020 in response to the COVID-19 pandemic;</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31"/>
        </w:numPr>
        <w:rPr>
          <w:rFonts w:ascii="Arial" w:cs="Arial" w:eastAsia="Arial" w:hAnsi="Arial"/>
          <w:sz w:val="18"/>
          <w:szCs w:val="18"/>
          <w:i w:val="1"/>
          <w:iCs w:val="1"/>
          <w:color w:val="auto"/>
        </w:rPr>
      </w:pPr>
      <w:r>
        <w:rPr>
          <w:rFonts w:ascii="Arial" w:cs="Arial" w:eastAsia="Arial" w:hAnsi="Arial"/>
          <w:sz w:val="18"/>
          <w:szCs w:val="18"/>
          <w:color w:val="auto"/>
        </w:rPr>
        <w:t>repaid the $550 million of outstanding loans under the $7.5 billion secured term loan facility with the U.S. Department of the Treasury (Treasury) (the Treasury Loan Agreement) and terminated the Treasury Loan Agreement;</w:t>
      </w:r>
    </w:p>
    <w:p>
      <w:pPr>
        <w:spacing w:after="0" w:line="143" w:lineRule="exact"/>
        <w:rPr>
          <w:rFonts w:ascii="Arial" w:cs="Arial" w:eastAsia="Arial" w:hAnsi="Arial"/>
          <w:sz w:val="18"/>
          <w:szCs w:val="18"/>
          <w:i w:val="1"/>
          <w:iCs w:val="1"/>
          <w:color w:val="auto"/>
        </w:rPr>
      </w:pPr>
    </w:p>
    <w:p>
      <w:pPr>
        <w:ind w:left="660" w:hanging="409"/>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24.2 million shares of AAG common stock at an average price of $19.26 per share pursuant to an at-the-market offering for net proceeds of $460 million (approximately $650 million of at-the-market authorization remains available at June 30, 2021);</w:t>
      </w:r>
    </w:p>
    <w:p>
      <w:pPr>
        <w:spacing w:after="0" w:line="143"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approximately $150 million in special facility revenue bonds related to John F. Kennedy International Airport (JFK), of which $62 million was used to fund the redemption of other bonds related to JFK; and</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raised $163 million principally from aircraft sale-leaseback transactions.</w:t>
      </w:r>
    </w:p>
    <w:p>
      <w:pPr>
        <w:spacing w:after="0" w:line="17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to the foregoing financings, during the first quarter of 2021, we received an aggregate of approximately $3.1 billion in financial assistance through the payroll support program (PSP2) established under the PSP Extension Law. In April 2021, we received an additional installment of $463 million for an aggregate $3.5 billion of such PSP2 financial assistance. In connection with our receipt of this financial assistance, AAG issued a promissory note (the PSP2 Promissory Note) to Treasury for $1.0 billion in aggregate principal amount and warrants to purchase up to an aggregate of approximately 6.6 million shares (the PSP2 Warrant Shares) of AAG common stock.</w:t>
      </w:r>
    </w:p>
    <w:p>
      <w:pPr>
        <w:spacing w:after="0" w:line="15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During the second quarter of 2021, we received an aggregate of approximately $3.3 billion in financial assistance through the payroll support program (PSP3) established under the ARP. In connection with our receipt of this financial assistance, AAG issued a promissory note (the PSP3 Promissory Note) to Treasury for $946 million in aggregate principal amount and warrants to purchase up to an aggregate of approximately 4.4 million shares (the PSP3 Warrant Shares) of AAG common stock. See Note 1 to AAG’s Condensed Consolidated Financial Statements in Part I, Item 1A for further discussion on PSP2 and PSP3.</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loan to value, collateral coverage and/or debt service coverage ratio covenants.</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Given the above actions and our current assumptions about the future impact of the COVID-19 pandemic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Second Quarter 2021 Results</w:t>
      </w:r>
    </w:p>
    <w:p>
      <w:pPr>
        <w:spacing w:after="0" w:line="112"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Beginning in the first quarter of 2021, aircraft fuel and related taxes as well as certain salaries, wages and benefits, other rent and landing fees, selling and other expenses are no longer allocated to regional expenses on our condensed consolidated statements of operations. The second quarter and six months ended June 30, 2020 condensed consolidated statements of operations have been recast to conform to the 2021 presentation within this Item 2. Management's Discussion and Analysis of Financial Condition and Results of Operations. This statement of operations presentation change has no impact on total operating expenses or net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center"/>
              <w:ind w:left="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640" w:type="dxa"/>
            <w:vAlign w:val="bottom"/>
            <w:tcBorders>
              <w:bottom w:val="single" w:sz="8" w:color="auto"/>
            </w:tcBorders>
            <w:gridSpan w:val="4"/>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vMerge w:val="restart"/>
          </w:tcPr>
          <w:p>
            <w:pPr>
              <w:jc w:val="right"/>
              <w:ind w:right="192"/>
              <w:spacing w:after="0" w:line="135" w:lineRule="exact"/>
              <w:rPr>
                <w:sz w:val="20"/>
                <w:szCs w:val="20"/>
                <w:color w:val="auto"/>
              </w:rPr>
            </w:pPr>
            <w:r>
              <w:rPr>
                <w:rFonts w:ascii="Arial" w:cs="Arial" w:eastAsia="Arial" w:hAnsi="Arial"/>
                <w:sz w:val="14"/>
                <w:szCs w:val="14"/>
                <w:b w:val="1"/>
                <w:bCs w:val="1"/>
                <w:color w:val="auto"/>
              </w:rPr>
              <w:t>Increase</w:t>
            </w:r>
          </w:p>
        </w:tc>
        <w:tc>
          <w:tcPr>
            <w:tcW w:w="1260" w:type="dxa"/>
            <w:vAlign w:val="bottom"/>
            <w:vMerge w:val="restart"/>
          </w:tcPr>
          <w:p>
            <w:pPr>
              <w:jc w:val="center"/>
              <w:ind w:left="36"/>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540" w:type="dxa"/>
            <w:vAlign w:val="bottom"/>
            <w:gridSpan w:val="7"/>
          </w:tcPr>
          <w:p>
            <w:pPr>
              <w:jc w:val="right"/>
              <w:ind w:right="152"/>
              <w:spacing w:after="0"/>
              <w:rPr>
                <w:sz w:val="20"/>
                <w:szCs w:val="20"/>
                <w:color w:val="auto"/>
              </w:rPr>
            </w:pPr>
            <w:r>
              <w:rPr>
                <w:rFonts w:ascii="Arial" w:cs="Arial" w:eastAsia="Arial" w:hAnsi="Arial"/>
                <w:sz w:val="14"/>
                <w:szCs w:val="14"/>
                <w:b w:val="1"/>
                <w:bCs w:val="1"/>
                <w:color w:val="auto"/>
              </w:rPr>
              <w:t>(In millions, except percentage changes)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260" w:type="dxa"/>
            <w:vAlign w:val="bottom"/>
            <w:shd w:val="clear" w:color="auto" w:fill="CCEEFF"/>
          </w:tcPr>
          <w:p>
            <w:pPr>
              <w:jc w:val="right"/>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(2)</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5,856</w:t>
            </w: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w:t>
            </w:r>
          </w:p>
        </w:tc>
        <w:tc>
          <w:tcPr>
            <w:tcW w:w="12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(2,927)</w:t>
            </w: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w:t>
            </w:r>
          </w:p>
        </w:tc>
        <w:tc>
          <w:tcPr>
            <w:tcW w:w="126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 GAAP</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(1,418)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loss excluding net special items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-2459355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-2459355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-2459355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340" w:hanging="332"/>
        <w:spacing w:after="0" w:line="229"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net special items.</w:t>
      </w:r>
    </w:p>
    <w:p>
      <w:pPr>
        <w:spacing w:after="0" w:line="81"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 In addition, due to the volatility caused by the COVID-19 pandemic, many line item fluctuations may be expressed as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(Loss) and Net Income (Loss)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Pre-tax income and net income were $9 million and $19 million, respectively, in the second quarter of 2021. This compares to second quarter 2020 pre-tax loss and net loss of $ 2.7 billion and $2.1 billion, respectively. Excluding the effects of pre-tax net special items, pre-tax loss was $1.4 billion and $4.3 billion in the second quarter of 2021 and 2020, respectively. The quarter-over-quarter improvement in our pre-tax income (loss), on both a GAAP basis and excluding pre-tax net special items, was primarily due to higher revenues driven by strong leisure demand domestically and in Latin America, offset in part by an increase in our operating expenses due to tripling our capacity as compared to the second quarter of 2020 as demand returned from the trough of the COVID-19 pandemic.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second quarter of 2021, we reported total operating revenues of $7.5 billion, an increase of $5.9 billion as compared to the second quarter of 2020. Passenger revenue was $6.5 billion in the second quarter of 2021, an increase of $5.4 billion as compared to the second quarter of 2020. The increase in passenger revenue in the second quarter of 2021 was due to increased revenue passenger miles (RPMs) driven by strong leisure demand domestically and in Latin America resulting in a 77.0% load factor in the second quarter of 2021.</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second quarter of 2021, cargo revenue was $326 million, an increase of $196 million as compared to the second quarter of 2020. The increase in cargo revenue was primarily due to an increase in cargo ton miles reflecting increases in freight volumes, principally as a result of adding capacity and cargo-only flights to our schedule.</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Other operating revenue increased $223 million, or 57.9%, as compared to the second quarter of 2020, driven primarily by higher revenue associated with our loyalty program.</w:t>
      </w:r>
    </w:p>
    <w:p>
      <w:pPr>
        <w:spacing w:after="0" w:line="144"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Our total revenue per available seat mile (TRASM) was 13.71 cents in the second quarter of 2021, a 44.3% increase as compared to 9.50 cents in the second quarter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Aircraft fuel expense was $1.6 billion in the second quarter of 2021, which was $1.3 billion higher as compared to the second quarter of 2020. This increase was primarily driven by higher fuel consumption as a result of increased capacity and a 69.5% increase in the average price per gallon of aircraft fuel including related taxes to $1.91 in the second quarter of 2021 from $1.13 in the second quarter of 2020.</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As of June 30, 2021, we did not have any fuel hedging contracts outstanding to hedge our fuel consumption. Our current policy is not to enter into transactions to hedge our fuel consumption, although we review that policy from time to time based on market conditions and other factors. We do not currently view the market opportunities to hedge fuel prices as attractive because, among other things, our future fuel needs remain unclear due to uncertainties regarding air travel demand and any hedging would potentially require significant capital or collateral to be placed at risk. As such, and assuming we do not enter into any future transactions to hedge our fuel consumption, we will continue to be fully exposed to fluctuations in fuel prices.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In particular, the onset of the COVID-19 pandemic resulted in a very rapid deterioration in general economic conditions.</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2021 second quarter total operating cost per available seat mile (CASM) was 12.90 cents, a decrease of 46.4%, from 24.05 cents in the second quarter of 2020. This decrease in CASM was primarily driven by higher capacity due to increased passenger demand and cost reduction and efficiency initiatives as discussed above, offset in part by an increase in fuel price.</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2021 second quarter total operating CASM excluding net special items and fuel was 12.61 cents, a decrease of 60.6%, from 32.04 cents in the second quarter of 2020. This decrease in CASM excluding net special items and fuel was primarily driven by higher capacity and cost reduction and efficiency initiatives as previously discussed.</w:t>
      </w:r>
    </w:p>
    <w:p>
      <w:pPr>
        <w:spacing w:after="0" w:line="130"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color w:val="auto"/>
        </w:rPr>
        <w:t xml:space="preserve">For a reconciliation of total operating CASM to total operating CASM excluding net special items and fuel, see below </w:t>
      </w:r>
      <w:r>
        <w:rPr>
          <w:rFonts w:ascii="Arial" w:cs="Arial" w:eastAsia="Arial" w:hAnsi="Arial"/>
          <w:sz w:val="18"/>
          <w:szCs w:val="18"/>
          <w:i w:val="1"/>
          <w:iCs w:val="1"/>
          <w:color w:val="auto"/>
        </w:rPr>
        <w:t>“Reconciliation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GAAP to Non-GAAP Financial Measures.”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following table presents the reconciliation of pre-tax income (loss) (GAAP measure) to pre-tax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r>
      <w:tr>
        <w:trPr>
          <w:trHeight w:val="183"/>
        </w:trPr>
        <w:tc>
          <w:tcPr>
            <w:tcW w:w="2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r>
      <w:tr>
        <w:trPr>
          <w:trHeight w:val="183"/>
        </w:trPr>
        <w:tc>
          <w:tcPr>
            <w:tcW w:w="2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6"/>
        </w:trPr>
        <w:tc>
          <w:tcPr>
            <w:tcW w:w="6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Loss Excluding Net Special Items: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3"/>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Pre-tax income (loss) – GAAP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(5,549)</w:t>
            </w:r>
          </w:p>
        </w:tc>
      </w:tr>
      <w:tr>
        <w:trPr>
          <w:trHeight w:val="229"/>
        </w:trPr>
        <w:tc>
          <w:tcPr>
            <w:tcW w:w="6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Operating special items,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Nonoperating special items,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pre-tax net special items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48"/>
        </w:trPr>
        <w:tc>
          <w:tcPr>
            <w:tcW w:w="6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Pre-tax loss excluding net special items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-1310640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-1310640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ind w:left="5520" w:right="600" w:hanging="5512"/>
        <w:spacing w:after="0" w:line="696" w:lineRule="auto"/>
        <w:tabs>
          <w:tab w:leader="none" w:pos="322"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Additionally, the table below presents the reconciliation of total operating expenses (GAAP measure) to total operating costs excluding net special items and fuel (non-GAAP measure) and CASM to CASM excluding net special items and fuel. Management uses total operating costs and CASM excluding net special items and fuel to evaluate our current operating performance and for period-to-period comparisons. The price of fuel, over which we have no control, impacts the comparability of period-to-period financial performance. The adjustment to exclude fuel and net special items allows management an additional tool to understand and analyze our non-fuel costs and core operating performance. Amounts may not recalculate due to rounding.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2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r>
      <w:tr>
        <w:trPr>
          <w:trHeight w:val="183"/>
        </w:trPr>
        <w:tc>
          <w:tcPr>
            <w:tcW w:w="2080" w:type="dxa"/>
            <w:vAlign w:val="bottom"/>
            <w:tcBorders>
              <w:bottom w:val="single" w:sz="8" w:color="CCEEFF"/>
            </w:tcBorders>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r>
      <w:tr>
        <w:trPr>
          <w:trHeight w:val="196"/>
        </w:trPr>
        <w:tc>
          <w:tcPr>
            <w:tcW w:w="6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CASM Excluding Net Special Items and Fuel:</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83"/>
        </w:trPr>
        <w:tc>
          <w:tcPr>
            <w:tcW w:w="6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r>
      <w:tr>
        <w:trPr>
          <w:trHeight w:val="230"/>
        </w:trPr>
        <w:tc>
          <w:tcPr>
            <w:tcW w:w="6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540" w:type="dxa"/>
            <w:vAlign w:val="bottom"/>
            <w:gridSpan w:val="2"/>
            <w:shd w:val="clear" w:color="auto" w:fill="CCEEFF"/>
          </w:tcPr>
          <w:p>
            <w:pPr>
              <w:jc w:val="center"/>
              <w:ind w:right="2840"/>
              <w:spacing w:after="0"/>
              <w:rPr>
                <w:sz w:val="20"/>
                <w:szCs w:val="20"/>
                <w:color w:val="auto"/>
              </w:rPr>
            </w:pPr>
            <w:r>
              <w:rPr>
                <w:rFonts w:ascii="Arial" w:cs="Arial" w:eastAsia="Arial" w:hAnsi="Arial"/>
                <w:sz w:val="18"/>
                <w:szCs w:val="18"/>
                <w:color w:val="auto"/>
                <w:w w:val="99"/>
              </w:rPr>
              <w:t>Mainline operating special items,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6540" w:type="dxa"/>
            <w:vAlign w:val="bottom"/>
            <w:gridSpan w:val="2"/>
          </w:tcPr>
          <w:p>
            <w:pPr>
              <w:jc w:val="center"/>
              <w:ind w:right="2800"/>
              <w:spacing w:after="0"/>
              <w:rPr>
                <w:sz w:val="20"/>
                <w:szCs w:val="20"/>
                <w:color w:val="auto"/>
              </w:rPr>
            </w:pPr>
            <w:r>
              <w:rPr>
                <w:rFonts w:ascii="Arial" w:cs="Arial" w:eastAsia="Arial" w:hAnsi="Arial"/>
                <w:sz w:val="18"/>
                <w:szCs w:val="18"/>
                <w:color w:val="auto"/>
                <w:w w:val="99"/>
              </w:rPr>
              <w:t>Regional operating special items,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23"/>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13,526</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9"/>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92,319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79,180</w:t>
            </w:r>
          </w:p>
        </w:tc>
      </w:tr>
      <w:tr>
        <w:trPr>
          <w:trHeight w:val="18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9"/>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19.16</w:t>
            </w:r>
          </w:p>
        </w:tc>
      </w:tr>
      <w:tr>
        <w:trPr>
          <w:trHeight w:val="230"/>
        </w:trPr>
        <w:tc>
          <w:tcPr>
            <w:tcW w:w="6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30"/>
        </w:trPr>
        <w:tc>
          <w:tcPr>
            <w:tcW w:w="6540" w:type="dxa"/>
            <w:vAlign w:val="bottom"/>
            <w:gridSpan w:val="2"/>
            <w:shd w:val="clear" w:color="auto" w:fill="CCEEFF"/>
          </w:tcPr>
          <w:p>
            <w:pPr>
              <w:jc w:val="center"/>
              <w:ind w:right="2880"/>
              <w:spacing w:after="0"/>
              <w:rPr>
                <w:sz w:val="20"/>
                <w:szCs w:val="20"/>
                <w:color w:val="auto"/>
              </w:rPr>
            </w:pPr>
            <w:r>
              <w:rPr>
                <w:rFonts w:ascii="Arial" w:cs="Arial" w:eastAsia="Arial" w:hAnsi="Arial"/>
                <w:sz w:val="18"/>
                <w:szCs w:val="18"/>
                <w:color w:val="auto"/>
                <w:w w:val="99"/>
              </w:rPr>
              <w:t>Regional operating special items,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48"/>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-2596515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ind w:left="5520" w:right="600" w:hanging="5512"/>
        <w:spacing w:after="0" w:line="696" w:lineRule="auto"/>
        <w:tabs>
          <w:tab w:leader="none" w:pos="322"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53"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The table below sets forth selected operating data for the three and six months ended June 30, 2021 and 2020. Amounts may not recalculate due to rounding.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98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0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9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9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nm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52,402</w:t>
            </w:r>
          </w:p>
        </w:tc>
        <w:tc>
          <w:tcPr>
            <w:tcW w:w="11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940" w:type="dxa"/>
            <w:vAlign w:val="bottom"/>
          </w:tcPr>
          <w:p>
            <w:pPr>
              <w:jc w:val="right"/>
              <w:spacing w:after="0"/>
              <w:rPr>
                <w:sz w:val="20"/>
                <w:szCs w:val="20"/>
                <w:color w:val="auto"/>
              </w:rPr>
            </w:pPr>
            <w:r>
              <w:rPr>
                <w:rFonts w:ascii="Arial" w:cs="Arial" w:eastAsia="Arial" w:hAnsi="Arial"/>
                <w:sz w:val="18"/>
                <w:szCs w:val="18"/>
                <w:color w:val="auto"/>
              </w:rPr>
              <w:t>54,555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17,081</w:t>
            </w:r>
          </w:p>
        </w:tc>
        <w:tc>
          <w:tcPr>
            <w:tcW w:w="10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nm %</w:t>
            </w:r>
          </w:p>
        </w:tc>
        <w:tc>
          <w:tcPr>
            <w:tcW w:w="940" w:type="dxa"/>
            <w:vAlign w:val="bottom"/>
          </w:tcPr>
          <w:p>
            <w:pPr>
              <w:jc w:val="right"/>
              <w:spacing w:after="0"/>
              <w:rPr>
                <w:sz w:val="20"/>
                <w:szCs w:val="20"/>
                <w:color w:val="auto"/>
              </w:rPr>
            </w:pPr>
            <w:r>
              <w:rPr>
                <w:rFonts w:ascii="Arial" w:cs="Arial" w:eastAsia="Arial" w:hAnsi="Arial"/>
                <w:sz w:val="18"/>
                <w:szCs w:val="18"/>
                <w:color w:val="auto"/>
              </w:rPr>
              <w:t>92,319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79,180</w:t>
            </w:r>
          </w:p>
        </w:tc>
        <w:tc>
          <w:tcPr>
            <w:tcW w:w="1180" w:type="dxa"/>
            <w:vAlign w:val="bottom"/>
            <w:gridSpan w:val="2"/>
          </w:tcPr>
          <w:p>
            <w:pPr>
              <w:jc w:val="right"/>
              <w:ind w:right="22"/>
              <w:spacing w:after="0"/>
              <w:rPr>
                <w:sz w:val="20"/>
                <w:szCs w:val="20"/>
                <w:color w:val="auto"/>
              </w:rPr>
            </w:pPr>
            <w:r>
              <w:rPr>
                <w:rFonts w:ascii="Arial" w:cs="Arial" w:eastAsia="Arial" w:hAnsi="Arial"/>
                <w:sz w:val="18"/>
                <w:szCs w:val="18"/>
                <w:color w:val="auto"/>
              </w:rPr>
              <w:t>16.6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34.7 pts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pts</w:t>
            </w: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94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15.32</w:t>
            </w:r>
          </w:p>
        </w:tc>
        <w:tc>
          <w:tcPr>
            <w:tcW w:w="1160" w:type="dxa"/>
            <w:vAlign w:val="bottom"/>
            <w:gridSpan w:val="2"/>
          </w:tcPr>
          <w:p>
            <w:pPr>
              <w:jc w:val="right"/>
              <w:ind w:right="16"/>
              <w:spacing w:after="0"/>
              <w:rPr>
                <w:sz w:val="20"/>
                <w:szCs w:val="20"/>
                <w:color w:val="auto"/>
              </w:rPr>
            </w:pPr>
            <w:r>
              <w:rPr>
                <w:rFonts w:ascii="Arial" w:cs="Arial" w:eastAsia="Arial" w:hAnsi="Arial"/>
                <w:sz w:val="18"/>
                <w:szCs w:val="18"/>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Passenger revenue per available seat mile (cents)</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160" w:type="dxa"/>
            <w:vAlign w:val="bottom"/>
            <w:gridSpan w:val="2"/>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85.0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54"/>
        </w:trPr>
        <w:tc>
          <w:tcPr>
            <w:tcW w:w="4380" w:type="dxa"/>
            <w:vAlign w:val="bottom"/>
            <w:vMerge w:val="restart"/>
            <w:shd w:val="clear" w:color="auto" w:fill="CCEEFF"/>
          </w:tcPr>
          <w:p>
            <w:pPr>
              <w:ind w:left="360"/>
              <w:spacing w:after="0"/>
              <w:rPr>
                <w:sz w:val="20"/>
                <w:szCs w:val="20"/>
                <w:color w:val="auto"/>
              </w:rPr>
            </w:pPr>
            <w:r>
              <w:rPr>
                <w:rFonts w:ascii="Arial" w:cs="Arial" w:eastAsia="Arial" w:hAnsi="Arial"/>
                <w:sz w:val="12"/>
                <w:szCs w:val="12"/>
                <w:color w:val="auto"/>
              </w:rPr>
              <w:t>(e)</w:t>
            </w:r>
          </w:p>
        </w:tc>
        <w:tc>
          <w:tcPr>
            <w:tcW w:w="9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1160" w:type="dxa"/>
            <w:vAlign w:val="bottom"/>
            <w:gridSpan w:val="2"/>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1400" w:type="dxa"/>
            <w:vAlign w:val="bottom"/>
            <w:gridSpan w:val="3"/>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38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94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w:t>
            </w:r>
          </w:p>
        </w:tc>
        <w:tc>
          <w:tcPr>
            <w:tcW w:w="1160" w:type="dxa"/>
            <w:vAlign w:val="bottom"/>
            <w:gridSpan w:val="2"/>
          </w:tcPr>
          <w:p>
            <w:pPr>
              <w:jc w:val="right"/>
              <w:ind w:right="16"/>
              <w:spacing w:after="0"/>
              <w:rPr>
                <w:sz w:val="20"/>
                <w:szCs w:val="20"/>
                <w:color w:val="auto"/>
              </w:rPr>
            </w:pPr>
            <w:r>
              <w:rPr>
                <w:rFonts w:ascii="Arial" w:cs="Arial" w:eastAsia="Arial" w:hAnsi="Arial"/>
                <w:sz w:val="18"/>
                <w:szCs w:val="18"/>
                <w:color w:val="auto"/>
              </w:rPr>
              <w:t>44.3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nm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1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380" w:type="dxa"/>
            <w:vAlign w:val="bottom"/>
          </w:tcPr>
          <w:p>
            <w:pPr>
              <w:ind w:left="180"/>
              <w:spacing w:after="0" w:line="189" w:lineRule="exact"/>
              <w:rPr>
                <w:sz w:val="20"/>
                <w:szCs w:val="20"/>
                <w:color w:val="auto"/>
              </w:rPr>
            </w:pPr>
            <w:r>
              <w:rPr>
                <w:rFonts w:ascii="Arial" w:cs="Arial" w:eastAsia="Arial" w:hAnsi="Arial"/>
                <w:sz w:val="18"/>
                <w:szCs w:val="18"/>
                <w:color w:val="auto"/>
              </w:rPr>
              <w:t>Average aircraft fuel price including related taxes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80" w:type="dxa"/>
            <w:vAlign w:val="bottom"/>
          </w:tcPr>
          <w:p>
            <w:pPr>
              <w:ind w:left="360"/>
              <w:spacing w:after="0"/>
              <w:rPr>
                <w:sz w:val="20"/>
                <w:szCs w:val="20"/>
                <w:color w:val="auto"/>
              </w:rPr>
            </w:pPr>
            <w:r>
              <w:rPr>
                <w:rFonts w:ascii="Arial" w:cs="Arial" w:eastAsia="Arial" w:hAnsi="Arial"/>
                <w:sz w:val="18"/>
                <w:szCs w:val="18"/>
                <w:color w:val="auto"/>
              </w:rPr>
              <w:t>(dollars per gallon)</w:t>
            </w: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160" w:type="dxa"/>
            <w:vAlign w:val="bottom"/>
            <w:gridSpan w:val="2"/>
          </w:tcPr>
          <w:p>
            <w:pPr>
              <w:jc w:val="right"/>
              <w:ind w:right="16"/>
              <w:spacing w:after="0"/>
              <w:rPr>
                <w:sz w:val="20"/>
                <w:szCs w:val="20"/>
                <w:color w:val="auto"/>
              </w:rPr>
            </w:pPr>
            <w:r>
              <w:rPr>
                <w:rFonts w:ascii="Arial" w:cs="Arial" w:eastAsia="Arial" w:hAnsi="Arial"/>
                <w:sz w:val="18"/>
                <w:szCs w:val="18"/>
                <w:color w:val="auto"/>
              </w:rPr>
              <w:t>69.5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1180" w:type="dxa"/>
            <w:vAlign w:val="bottom"/>
            <w:gridSpan w:val="2"/>
          </w:tcPr>
          <w:p>
            <w:pPr>
              <w:jc w:val="right"/>
              <w:ind w:right="22"/>
              <w:spacing w:after="0"/>
              <w:rPr>
                <w:sz w:val="20"/>
                <w:szCs w:val="20"/>
                <w:color w:val="auto"/>
              </w:rPr>
            </w:pPr>
            <w:r>
              <w:rPr>
                <w:rFonts w:ascii="Arial" w:cs="Arial" w:eastAsia="Arial" w:hAnsi="Arial"/>
                <w:sz w:val="18"/>
                <w:szCs w:val="18"/>
                <w:color w:val="auto"/>
              </w:rPr>
              <w:t>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Total operating cost per available seat mile (cents)</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80" w:type="dxa"/>
            <w:vAlign w:val="bottom"/>
            <w:vMerge w:val="restart"/>
            <w:shd w:val="clear" w:color="auto" w:fill="CCEEFF"/>
          </w:tcPr>
          <w:p>
            <w:pPr>
              <w:ind w:left="360"/>
              <w:spacing w:after="0"/>
              <w:rPr>
                <w:sz w:val="20"/>
                <w:szCs w:val="20"/>
                <w:color w:val="auto"/>
              </w:rPr>
            </w:pPr>
            <w:r>
              <w:rPr>
                <w:rFonts w:ascii="Arial" w:cs="Arial" w:eastAsia="Arial" w:hAnsi="Arial"/>
                <w:sz w:val="12"/>
                <w:szCs w:val="12"/>
                <w:color w:val="auto"/>
              </w:rPr>
              <w:t>(g)</w:t>
            </w:r>
          </w:p>
        </w:tc>
        <w:tc>
          <w:tcPr>
            <w:tcW w:w="9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1160" w:type="dxa"/>
            <w:vAlign w:val="bottom"/>
            <w:gridSpan w:val="2"/>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1180" w:type="dxa"/>
            <w:vAlign w:val="bottom"/>
            <w:gridSpan w:val="2"/>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38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94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1,394</w:t>
            </w:r>
          </w:p>
        </w:tc>
        <w:tc>
          <w:tcPr>
            <w:tcW w:w="1160" w:type="dxa"/>
            <w:vAlign w:val="bottom"/>
            <w:gridSpan w:val="2"/>
          </w:tcPr>
          <w:p>
            <w:pPr>
              <w:jc w:val="right"/>
              <w:ind w:right="16"/>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1,394</w:t>
            </w:r>
          </w:p>
        </w:tc>
        <w:tc>
          <w:tcPr>
            <w:tcW w:w="1180" w:type="dxa"/>
            <w:vAlign w:val="bottom"/>
            <w:gridSpan w:val="2"/>
          </w:tcPr>
          <w:p>
            <w:pPr>
              <w:jc w:val="right"/>
              <w:ind w:right="22"/>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107,400</w:t>
            </w:r>
          </w:p>
        </w:tc>
        <w:tc>
          <w:tcPr>
            <w:tcW w:w="11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107,400</w:t>
            </w:r>
          </w:p>
        </w:tc>
        <w:tc>
          <w:tcPr>
            <w:tcW w:w="11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2"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61"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Excludes 37 Boeing 737-800 mainline aircraft and three Embraer 145 regional aircraft that are in temporary storage at June 30, 2021.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36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Increase</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6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6,545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Cargo</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14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53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7,478</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w:t>
            </w:r>
          </w:p>
        </w:tc>
        <w:tc>
          <w:tcPr>
            <w:tcW w:w="14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-753745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-753745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-753745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left="324"/>
              <w:spacing w:after="0"/>
              <w:rPr>
                <w:sz w:val="20"/>
                <w:szCs w:val="20"/>
                <w:color w:val="auto"/>
              </w:rPr>
            </w:pPr>
            <w:r>
              <w:rPr>
                <w:rFonts w:ascii="Arial" w:cs="Arial" w:eastAsia="Arial" w:hAnsi="Arial"/>
                <w:sz w:val="14"/>
                <w:szCs w:val="14"/>
                <w:b w:val="1"/>
                <w:bCs w:val="1"/>
                <w:color w:val="auto"/>
              </w:rPr>
              <w:t>Increase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6"/>
          </w:tcPr>
          <w:p>
            <w:pPr>
              <w:jc w:val="center"/>
              <w:ind w:left="2"/>
              <w:spacing w:after="0"/>
              <w:rPr>
                <w:sz w:val="20"/>
                <w:szCs w:val="20"/>
                <w:color w:val="auto"/>
              </w:rPr>
            </w:pPr>
            <w:r>
              <w:rPr>
                <w:rFonts w:ascii="Arial" w:cs="Arial" w:eastAsia="Arial" w:hAnsi="Arial"/>
                <w:sz w:val="14"/>
                <w:szCs w:val="14"/>
                <w:b w:val="1"/>
                <w:bCs w:val="1"/>
                <w:color w:val="auto"/>
              </w:rPr>
              <w:t>vs. Three Months Ended June 30, 2020</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Three Months Ended</w:t>
            </w: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ASMs</w:t>
            </w:r>
          </w:p>
        </w:tc>
        <w:tc>
          <w:tcPr>
            <w:tcW w:w="100" w:type="dxa"/>
            <w:vAlign w:val="bottom"/>
            <w:vMerge w:val="restart"/>
          </w:tcPr>
          <w:p>
            <w:pPr>
              <w:spacing w:after="0"/>
              <w:rPr>
                <w:sz w:val="12"/>
                <w:szCs w:val="12"/>
                <w:color w:val="auto"/>
              </w:rPr>
            </w:pPr>
          </w:p>
        </w:tc>
        <w:tc>
          <w:tcPr>
            <w:tcW w:w="13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Load</w:t>
            </w:r>
          </w:p>
        </w:tc>
        <w:tc>
          <w:tcPr>
            <w:tcW w:w="13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Passenger</w:t>
            </w:r>
          </w:p>
        </w:tc>
        <w:tc>
          <w:tcPr>
            <w:tcW w:w="10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nm %</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nm %</w:t>
            </w:r>
          </w:p>
        </w:tc>
        <w:tc>
          <w:tcPr>
            <w:tcW w:w="1300" w:type="dxa"/>
            <w:vAlign w:val="bottom"/>
            <w:gridSpan w:val="2"/>
            <w:shd w:val="clear" w:color="auto" w:fill="CCEEFF"/>
          </w:tcPr>
          <w:p>
            <w:pPr>
              <w:jc w:val="center"/>
              <w:ind w:left="324"/>
              <w:spacing w:after="0"/>
              <w:rPr>
                <w:sz w:val="20"/>
                <w:szCs w:val="20"/>
                <w:color w:val="auto"/>
              </w:rPr>
            </w:pPr>
            <w:r>
              <w:rPr>
                <w:rFonts w:ascii="Arial" w:cs="Arial" w:eastAsia="Arial" w:hAnsi="Arial"/>
                <w:sz w:val="18"/>
                <w:szCs w:val="18"/>
                <w:color w:val="auto"/>
              </w:rPr>
              <w:t>34.7 pts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Passenger revenue increased $5.4 billion in the second quarter of 2021 from the second quarter of 2020 primarily due to increased RPMs driven by strong leisure demand domestically and in Latin America resulting in a 77.0% load factor in the second quarter of 2021.</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Cargo revenue increased $196 million in the second quarter of 2021 from the second quarter of 2020 primarily due to an increase in cargo ton miles reflecting increases in freight volumes, principally as a result of adding capacity and cargo-only flights to our schedule.</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Other operating revenue increased $223 million, or 57.9%, as compared to the second quarter of 2020, driven primarily by higher revenue associated with our loyalty program.</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Total operating revenues in the second quarter of 2021 increased $5.9 billion from the second quarter of 2020 driven principally by the increase in passenger revenue as described above. Our TRASM was 13.71 cents in the second quarter of 2021, a 44.3% increase as compared to 9.50 cents in the second quarter of 2020.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vMerge w:val="continue"/>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vMerge w:val="restart"/>
          </w:tcPr>
          <w:p>
            <w:pPr>
              <w:jc w:val="right"/>
              <w:ind w:right="313"/>
              <w:spacing w:after="0" w:line="135"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14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148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-1773555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-1773555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-1773555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Total operating expenses increased $2.9 billion, or 71.3%, in the second quarter of 2021 from the second quarter of 2020 primarily due to our increased capacity.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243"/>
        <w:spacing w:after="0" w:line="229" w:lineRule="auto"/>
        <w:rPr>
          <w:sz w:val="20"/>
          <w:szCs w:val="20"/>
          <w:color w:val="auto"/>
        </w:rPr>
      </w:pPr>
      <w:r>
        <w:rPr>
          <w:rFonts w:ascii="Arial" w:cs="Arial" w:eastAsia="Arial" w:hAnsi="Arial"/>
          <w:sz w:val="18"/>
          <w:szCs w:val="18"/>
          <w:color w:val="auto"/>
        </w:rPr>
        <w:t>Aircraft fuel and related taxes increased $1.3 billion in the second quarter of 2021 from the second quarter of 2020 due to increased capacity as well as a 69.5% increase in the average price per gallon of aircraft fuel including related taxes to $1.91 in the second quarter of 2021 from $1.13 in the second quarter of 2020.</w:t>
      </w:r>
    </w:p>
    <w:p>
      <w:pPr>
        <w:spacing w:after="0" w:line="150"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Aircraft rent increased $22 million, or 6.4%, in the second quarter of 2021 from the second quarter of 2020 primarily due to the delivery of 31 new leased mainline aircraft subsequent to the second quarter of 2020.</w:t>
      </w:r>
    </w:p>
    <w:p>
      <w:pPr>
        <w:spacing w:after="0" w:line="144"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Selling expenses increased $220 million in the second quarter of 2021 from the second quarter of 2020 due to higher commission expense and credit card fees driven by the overall increase in revenues.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840" w:type="dxa"/>
            <w:vAlign w:val="bottom"/>
            <w:tcBorders>
              <w:bottom w:val="single" w:sz="8" w:color="auto"/>
            </w:tcBorders>
            <w:gridSpan w:val="4"/>
          </w:tcPr>
          <w:p>
            <w:pPr>
              <w:jc w:val="center"/>
              <w:ind w:left="559"/>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r>
      <w:tr>
        <w:trPr>
          <w:trHeight w:val="183"/>
        </w:trPr>
        <w:tc>
          <w:tcPr>
            <w:tcW w:w="776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183"/>
        </w:trPr>
        <w:tc>
          <w:tcPr>
            <w:tcW w:w="7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5"/>
                <w:szCs w:val="15"/>
                <w:color w:val="auto"/>
              </w:rPr>
            </w:pP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4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 contract expenses</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04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70"/>
        </w:trPr>
        <w:tc>
          <w:tcPr>
            <w:tcW w:w="7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04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special items, net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-1816735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34"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to AAG's Condensed Consolidated Financial Statements in Part I, Item 1A for further information. The 2020 PSP Financial Assistance represents recognition of a portion of the financial assistance received from Treasury pursuant to the PSP1 Agreement.</w:t>
      </w:r>
    </w:p>
    <w:p>
      <w:pPr>
        <w:spacing w:after="0" w:line="162"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 to voluntary early retirement programs offered as a result of reductions to our operation due to the COVID-19 pandemic. Cash payments related to our voluntary early retirement programs for the three months ended June 30, 2021 were approximately $120 million.</w:t>
      </w:r>
    </w:p>
    <w:p>
      <w:pPr>
        <w:spacing w:after="0" w:line="162"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our decision to retire certain aircraft earlier than planned driven primarily by the severe decline in air travel due to the COVID-19 pandemic. In the second quarter of 2020, we retired certain Embraer 140 and Bombardier CRJ200 aircraft resulting in a non-cash write-down of regional aircraft and associated spare parts.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60" w:type="dxa"/>
            <w:vAlign w:val="bottom"/>
            <w:gridSpan w:val="3"/>
            <w:vMerge w:val="restart"/>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2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4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c>
          <w:tcPr>
            <w:tcW w:w="148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4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-753745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-753745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-753745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Interest income decreased in the second quarter of 2021 compared to the second quarter of 2020 primarily as a result of lower returns on our short-term investments. Interest expense, net increased in the second quarter of 2021 compared to the second quarter of 2020 primarily due to the issuance of debt subsequent to the second quarter of 2020, including $10.0 billion associated with the AAdvantage Financing, to improve our liquidity position in response to the COVID-19 pandemic.</w:t>
      </w:r>
    </w:p>
    <w:p>
      <w:pPr>
        <w:spacing w:after="0" w:line="15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second quarter of 2021, other nonoperating income, net included $85 million of non-service related pension and other postretirement benefit plan income, offset in part by $37 million of net special charges principally for mark-to-market net unrealized losses associated with our equity investment in China Southern Airlines Company Limited (China Southern Airlines).</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second quarter of 2020, other nonoperating income, net included $98 million of non-service related pension and other postretirement benefit plan income, offset in part by $11 million of net special charges associated with debt refinancings and extinguishments and $10 million of net foreign currency losses, principally associated with losses from Latin American currencies.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In the second quarter of 2021, we recorded an income tax benefit of $10 million. Substantially all of our income or loss before income taxes is attributable to the United States.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ind w:left="70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Increase</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2"/>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Cargo</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w:t>
            </w:r>
          </w:p>
        </w:tc>
        <w:tc>
          <w:tcPr>
            <w:tcW w:w="14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4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7"/>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-1310640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-1310640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-1310640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Increase (Decrease)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rPr>
              <w:t>vs. Six Months Ended June 30, 2020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Six Months Ended</w:t>
            </w:r>
          </w:p>
        </w:tc>
        <w:tc>
          <w:tcPr>
            <w:tcW w:w="10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10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ASMs</w:t>
            </w:r>
          </w:p>
        </w:tc>
        <w:tc>
          <w:tcPr>
            <w:tcW w:w="120" w:type="dxa"/>
            <w:vAlign w:val="bottom"/>
          </w:tcPr>
          <w:p>
            <w:pPr>
              <w:spacing w:after="0"/>
              <w:rPr>
                <w:sz w:val="12"/>
                <w:szCs w:val="12"/>
                <w:color w:val="auto"/>
              </w:rPr>
            </w:pPr>
          </w:p>
        </w:tc>
        <w:tc>
          <w:tcPr>
            <w:tcW w:w="13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rPr>
              <w:t>Load</w:t>
            </w:r>
          </w:p>
        </w:tc>
        <w:tc>
          <w:tcPr>
            <w:tcW w:w="10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Passenger</w:t>
            </w:r>
          </w:p>
        </w:tc>
        <w:tc>
          <w:tcPr>
            <w:tcW w:w="10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3.7 pts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Passenger revenue increased $936 million, or 10.7%, in the first six months of 2021 from the first six months of 2020 primarily due to a 23.1% increase in RPMs. This increase in RPMs was principally due to increased flying domestically and in Latin America driven by leisure demand, offset in part by reduced Atlantic and Pacific flying as a result of low passenger demand and government-imposed travel restrictions related to the COVID-19 pandemic. A 10.1% decrease in passenger yield offset in part the capacity driven increase to passenger revenue.</w:t>
      </w:r>
    </w:p>
    <w:p>
      <w:pPr>
        <w:spacing w:after="0" w:line="150"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Cargo revenue increased $364 million in the first six months of 2021 from the first six months of 2020 primarily due to a 77.5% increase in cargo ton miles reflecting higher freight volumes and the addition of cargo-only flights to our schedule as well as a 30.4% increase in cargo yield as a result of higher rates.</w:t>
      </w:r>
    </w:p>
    <w:p>
      <w:pPr>
        <w:spacing w:after="0" w:line="148" w:lineRule="exact"/>
        <w:rPr>
          <w:sz w:val="20"/>
          <w:szCs w:val="20"/>
          <w:color w:val="auto"/>
        </w:rPr>
      </w:pPr>
    </w:p>
    <w:p>
      <w:pPr>
        <w:jc w:val="both"/>
        <w:ind w:firstLine="202"/>
        <w:spacing w:after="0" w:line="278" w:lineRule="auto"/>
        <w:rPr>
          <w:sz w:val="20"/>
          <w:szCs w:val="20"/>
          <w:color w:val="auto"/>
        </w:rPr>
      </w:pPr>
      <w:r>
        <w:rPr>
          <w:rFonts w:ascii="Arial" w:cs="Arial" w:eastAsia="Arial" w:hAnsi="Arial"/>
          <w:sz w:val="17"/>
          <w:szCs w:val="17"/>
          <w:color w:val="auto"/>
        </w:rPr>
        <w:t>Total operating revenues in the first six months of 2021 increased $ 1.3 billion, or 13.3%, from the first six months of 2020 driven principally by the increase in passenger and cargo revenue as described above. While our operating revenues increased, our TRASM decreased 2.8% to 12.44 cents in the first six months of 2021 from 12.80 cents in the 2020 period driven by a 10.1% reduction in passenger yield.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vMerge w:val="continue"/>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vMerge w:val="restart"/>
          </w:tcPr>
          <w:p>
            <w:pPr>
              <w:jc w:val="right"/>
              <w:ind w:right="313"/>
              <w:spacing w:after="0" w:line="135"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w:t>
            </w: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4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-1774190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-1774190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-1774190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Total operating expenses decreased $2.8 billion, or 18.5%, in the first six months of 2021 from the first six months of 2020 primarily due to a $2.9 billion increase in net operating special credits. See further discussion of operating special items, net below. Excluding the impact of operating special items, net, total operating expenses increased $119 million, or 0.8%. Although our capacity increased 16.6% in the first six months of 2021, our total operating expenses, excluding net special items, remained relatively flat due to the significant actions taken in 2020 to reduce costs including labor productivity enhancements, reductions in management salaries and benefits, and other non-volume cost reductions.</w:t>
      </w:r>
    </w:p>
    <w:p>
      <w:pPr>
        <w:spacing w:after="0" w:line="15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Aircraft fuel and related taxes increased $552 million, or 26.4%, in the first six months of 2021 from the first six months of 2020 due to increased capacity as well as an 8.4% increase in the average price per gallon of aircraft fuel including related taxes to $1.82 in the first six months of 2021 from $1.68 in the first six months of 2020.</w:t>
      </w:r>
    </w:p>
    <w:p>
      <w:pPr>
        <w:spacing w:after="0" w:line="14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Other rent and landing fees increased $232 million, or 22.7%, in the first six months of 2021 from the first six months of 2020 due to an increase in variable rent and landing fees due to our increased capacity.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Aircraft rent increased $37 million, or 5.6%, in the first six months of 2021 from the first six months of 2020 primarily due to the delivery of 31 new leased mainline aircraft subsequent to the first six months of 2020.</w:t>
      </w:r>
    </w:p>
    <w:p>
      <w:pPr>
        <w:spacing w:after="0" w:line="144"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Depreciation and amortization decreased $100 million, or 9.4%, in the first six months of 2021 from the first six months of 2020 primarily due to the early retirement of aircraft as a result of the COVID-19 pandemic.</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83"/>
        </w:trPr>
        <w:tc>
          <w:tcPr>
            <w:tcW w:w="76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r>
      <w:tr>
        <w:trPr>
          <w:trHeight w:val="183"/>
        </w:trPr>
        <w:tc>
          <w:tcPr>
            <w:tcW w:w="7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8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5"/>
                <w:szCs w:val="15"/>
                <w:color w:val="auto"/>
              </w:rPr>
            </w:pP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1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70"/>
        </w:trPr>
        <w:tc>
          <w:tcPr>
            <w:tcW w:w="7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special items, net</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-2108200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2769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34"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to AAG's Condensed Consolidated Financial Statements in Part I, Item 1A for further information. The 2020 PSP Financial Assistance represents recognition of a portion of the financial assistance received from Treasury pursuant to the PSP1 Agreement.</w:t>
      </w:r>
    </w:p>
    <w:p>
      <w:pPr>
        <w:spacing w:after="0" w:line="162"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 to voluntary early retirement programs offered as a result of reductions to our operation due to the COVID-19 pandemic. Cash payments related to our voluntary early retirement programs for the six months ended June 30, 2021 were approximately $290 million.</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61" w:lineRule="exact"/>
        <w:rPr>
          <w:rFonts w:ascii="Arial" w:cs="Arial" w:eastAsia="Arial" w:hAnsi="Arial"/>
          <w:sz w:val="23"/>
          <w:szCs w:val="23"/>
          <w:color w:val="auto"/>
          <w:vertAlign w:val="superscript"/>
        </w:rPr>
      </w:pPr>
    </w:p>
    <w:p>
      <w:pPr>
        <w:jc w:val="both"/>
        <w:ind w:left="340" w:hanging="332"/>
        <w:spacing w:after="0" w:line="239"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our decision to retire certain aircraft earlier than planned driven primarily by the severe decline in air travel due to the COVID-19 pandemic. In the first six months of 2021, we retired our remaining fleet of Embraer 140 aircraft resulting in a non-cash write down of these aircraft. In the first six months of 2020, we retired our Boeing 757, Boeing 767, Airbus A330-300 and Embraer 190 fleets as well as certain Embraer 140 and Bombardier CRJ200 aircraft resulting in a $784 million non-cash write-down of mainline and regional aircraft and associated spare parts and $76 million in cash charges primarily for impairment of right-of-use (ROU) assets and lease return costs.</w:t>
      </w:r>
    </w:p>
    <w:p>
      <w:pPr>
        <w:spacing w:after="0" w:line="164"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resulting from the ratification of a new contract with the Transport Workers Union and International Association of Machinists &amp; Aerospace Workers for our maintenance and fleet service team members, including signing bonuses and adjustments to vacation accruals resulting from pay rate increases.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20" w:type="dxa"/>
            <w:vAlign w:val="bottom"/>
            <w:gridSpan w:val="3"/>
            <w:vMerge w:val="restart"/>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c>
          <w:tcPr>
            <w:tcW w:w="148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48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-753745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-753745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-753745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Interest income decreased in the first six months of 2021 compared to the first six months of 2020 primarily as a result of lower returns on our short-term investments. Interest expense, net increased in the first six months of 2021 compared to the first six months of 2020 primarily due to the issuance of debt, including $10.0 billion associated with the AAdvantage Financing, to improve our liquidity position in response to the COVID-19 pandemic.</w:t>
      </w:r>
    </w:p>
    <w:p>
      <w:pPr>
        <w:spacing w:after="0" w:line="15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the first six months of 2021, other nonoperating income, net included $172 million of non-service related pension and other postretirement benefit plan income and $13 million of net special charges principally for non-cash charges associated with debt refinancings and extinguishments, offset in part by mark-to-market net unrealized gains associated with our equity investment in China Southern Airlines and certain treasury rate lock derivative instruments.</w:t>
      </w:r>
    </w:p>
    <w:p>
      <w:pPr>
        <w:spacing w:after="0" w:line="15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the first six months of 2020, other nonoperating expense, net included $228 million of net special charges principally for mark-to-market unrealized losses associated with our equity investment in China Southern Airlines and certain treasury rate lock derivative instruments and $15 million of net foreign currency losses, primarily associated with losses from Latin American currencies, offset in part by $207 million of non-service related pension and other postretirement benefit plan income.</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In the first six months of 2021, we recorded an income tax benefit of $333 million. Substantially all of our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38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Increase</w:t>
            </w: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6,545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Cargo</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w:t>
            </w:r>
          </w:p>
        </w:tc>
        <w:tc>
          <w:tcPr>
            <w:tcW w:w="15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7,478</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1,622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w:t>
            </w:r>
          </w:p>
        </w:tc>
        <w:tc>
          <w:tcPr>
            <w:tcW w:w="15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-753745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-753745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-753745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Passenger revenue increased $5.4 billion in the second quarter of 2021 from the second quarter of 2020 primarily due to increased RPMs driven by strong leisure demand domestically and in Latin America resulting in an increased load factor in the second quarter of 2021.</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Cargo revenue increased $196 million in the second quarter of 2021 from the second quarter of 2020 primarily due to an increase in cargo ton miles reflecting increases in freight volumes, principally as a result of adding capacity and cargo-only flights to our schedule.</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Other operating revenue increased $223 million, or 57.9%, as compared to the second quarter of 2020, driven primarily by higher revenue associated with our loyalty program.</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Total operating revenues in the second quarter of 2021 increased $5.9 billion from the second quarter of 2020 driven principally by the increase in passenger revenue as described above.</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80" w:type="dxa"/>
            <w:vAlign w:val="bottom"/>
            <w:gridSpan w:val="3"/>
            <w:vMerge w:val="restart"/>
          </w:tcPr>
          <w:p>
            <w:pPr>
              <w:jc w:val="right"/>
              <w:ind w:right="76"/>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vMerge w:val="restart"/>
          </w:tcPr>
          <w:p>
            <w:pPr>
              <w:jc w:val="right"/>
              <w:ind w:right="333"/>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15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154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5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-1774190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-1774190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-1774190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Total operating expenses increased $3.0 billion, or 73.3%, in the second quarter of 2021 from the second quarter of 2020 primarily due to American's increased capacity.</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Aircraft fuel and related taxes increased $1.3 billion in the second quarter of 2021 from the second quarter of 2020 due to increased capacity as well as a 69.5% increase in the average price per gallon of aircraft fuel including related taxes to $1.91 in the second quarter of 2021 from $1.13 in the second quarter of 2020.</w:t>
      </w:r>
    </w:p>
    <w:p>
      <w:pPr>
        <w:spacing w:after="0" w:line="148"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Aircraft rent increased $22 million, or 6.4%, in the second quarter of 2021 from the second quarter of 2020 primarily due to the delivery of 31 new leased mainline aircraft subsequent to the second quarter of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firstLine="243"/>
        <w:spacing w:after="0" w:line="261" w:lineRule="auto"/>
        <w:rPr>
          <w:sz w:val="20"/>
          <w:szCs w:val="20"/>
          <w:color w:val="auto"/>
        </w:rPr>
      </w:pPr>
      <w:r>
        <w:rPr>
          <w:rFonts w:ascii="Arial" w:cs="Arial" w:eastAsia="Arial" w:hAnsi="Arial"/>
          <w:sz w:val="18"/>
          <w:szCs w:val="18"/>
          <w:color w:val="auto"/>
        </w:rPr>
        <w:t>Selling expenses increased $220 million in the second quarter of 2021 from the second quarter of 2020 due to higher commission expense and credit card fees driven by the overall increase in revenues.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840" w:type="dxa"/>
            <w:vAlign w:val="bottom"/>
            <w:tcBorders>
              <w:bottom w:val="single" w:sz="8" w:color="auto"/>
            </w:tcBorders>
            <w:gridSpan w:val="4"/>
          </w:tcPr>
          <w:p>
            <w:pPr>
              <w:jc w:val="center"/>
              <w:ind w:left="559"/>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r>
      <w:tr>
        <w:trPr>
          <w:trHeight w:val="183"/>
        </w:trPr>
        <w:tc>
          <w:tcPr>
            <w:tcW w:w="776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183"/>
        </w:trPr>
        <w:tc>
          <w:tcPr>
            <w:tcW w:w="7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5"/>
                <w:szCs w:val="15"/>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30"/>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4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 contract expenses</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04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70"/>
        </w:trPr>
        <w:tc>
          <w:tcPr>
            <w:tcW w:w="7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04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7760" w:type="dxa"/>
            <w:vAlign w:val="bottom"/>
          </w:tcPr>
          <w:p>
            <w:pPr>
              <w:ind w:left="340"/>
              <w:spacing w:after="0"/>
              <w:rPr>
                <w:sz w:val="20"/>
                <w:szCs w:val="20"/>
                <w:color w:val="auto"/>
              </w:rPr>
            </w:pPr>
            <w:r>
              <w:rPr>
                <w:rFonts w:ascii="Arial" w:cs="Arial" w:eastAsia="Arial" w:hAnsi="Arial"/>
                <w:sz w:val="18"/>
                <w:szCs w:val="18"/>
                <w:color w:val="auto"/>
              </w:rPr>
              <w:t>Operating special items, net</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r>
      <w:tr>
        <w:trPr>
          <w:trHeight w:val="21"/>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-1671320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34"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to American's Condensed Consolidated Financial Statements in Part I, Item 1B for further information. The 2020 PSP Financial Assistance represents recognition of a portion of the financial assistance received from Treasury pursuant to the PSP1 Agreement.</w:t>
      </w:r>
    </w:p>
    <w:p>
      <w:pPr>
        <w:spacing w:after="0" w:line="162"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 to voluntary early retirement programs offered as a result of reductions to American's operation due to the COVID-19 pandemic. Cash payments related to American's voluntary early retirement programs for the three months ended June 30, 2021 were approximately $120 million.</w:t>
      </w:r>
    </w:p>
    <w:p>
      <w:pPr>
        <w:spacing w:after="0" w:line="162"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American's decision to retire certain aircraft earlier than planned driven primarily by the severe decline in air travel due to the COVID-19 pandemic. In the second quarter of 2020, American retired certain Embraer 140 and Bombardier CRJ200 aircraft resulting in a non-cash write-down of regional aircraft and associated spare parts.</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580" w:type="dxa"/>
            <w:vAlign w:val="bottom"/>
            <w:gridSpan w:val="3"/>
            <w:vMerge w:val="restart"/>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restart"/>
          </w:tcPr>
          <w:p>
            <w:pPr>
              <w:jc w:val="right"/>
              <w:ind w:right="296"/>
              <w:spacing w:after="0" w:line="135" w:lineRule="exact"/>
              <w:rPr>
                <w:sz w:val="20"/>
                <w:szCs w:val="20"/>
                <w:color w:val="auto"/>
              </w:rPr>
            </w:pPr>
            <w:r>
              <w:rPr>
                <w:rFonts w:ascii="Arial" w:cs="Arial" w:eastAsia="Arial" w:hAnsi="Arial"/>
                <w:sz w:val="14"/>
                <w:szCs w:val="14"/>
                <w:b w:val="1"/>
                <w:bCs w:val="1"/>
                <w:color w:val="auto"/>
              </w:rPr>
              <w:t>Increase</w:t>
            </w:r>
          </w:p>
        </w:tc>
        <w:tc>
          <w:tcPr>
            <w:tcW w:w="1500" w:type="dxa"/>
            <w:vAlign w:val="bottom"/>
            <w:vMerge w:val="restart"/>
          </w:tcPr>
          <w:p>
            <w:pPr>
              <w:jc w:val="center"/>
              <w:ind w:left="3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5"/>
          </w:tcPr>
          <w:p>
            <w:pPr>
              <w:jc w:val="right"/>
              <w:ind w:right="36"/>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150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-779145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-779145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-779145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Interest income decreased in the second quarter of 2021 compared to the second quarter of 2020 primarily as a result of lower returns on American's short-term investments and lower interest-bearing related party receivables from American's parent company, AAG. Interest expense, net increased in the second quarter of 2021 compared to the second quarter of 2020 primarily due to the issuance of debt subsequent to the second quarter of 2020, including $10.0 billion associated with the AAdvantage Financing, to improve American's liquidity position in response to the COVID-19 pandemic.</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second quarter of 2021, other nonoperating income, net included $85 million of non-service related pension and other postretirement benefit plan income, offset in part by $ 37 million of net special charges principally for mark-to-market net unrealized losses associated with American's equity investment in China Southern Airlines.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second quarter of 2020, other nonoperating income, net included $98 million of non-service related pension and other postretirement benefit plan income, offset in part by $11 million of net special charges associated with debt refinancings and extinguishments and $10 million of net foreign currency losses, principally associated with losses from Latin American currencies.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In the second quarter of 2021, American recorded an income tax benefit of $1 million. Substantially all of American’s income or loss before income taxes is attributable to the United States.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Increase</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w:t>
            </w:r>
          </w:p>
        </w:tc>
        <w:tc>
          <w:tcPr>
            <w:tcW w:w="14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4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c>
          <w:tcPr>
            <w:tcW w:w="12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4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-753745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-753745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-753745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20" w:firstLine="202"/>
        <w:spacing w:after="0" w:line="254" w:lineRule="auto"/>
        <w:rPr>
          <w:sz w:val="20"/>
          <w:szCs w:val="20"/>
          <w:color w:val="auto"/>
        </w:rPr>
      </w:pPr>
      <w:r>
        <w:rPr>
          <w:rFonts w:ascii="Arial" w:cs="Arial" w:eastAsia="Arial" w:hAnsi="Arial"/>
          <w:sz w:val="18"/>
          <w:szCs w:val="18"/>
          <w:color w:val="auto"/>
        </w:rPr>
        <w:t>Passenger revenue increased $ 936 million, or 10.7%, in the first six months of 2021 from the first six months of 2020 primarily due to an increase in RPMs. This increase in RPMs was principally due to increased flying domestically and in Latin America driven by leisure demand, offset in part by reduced Atlantic and Pacific flying as a result of low passenger demand and government-imposed travel restrictions related to the COVID-19 pandemic. A decrease in passenger yield offset in part the capacity driven increase to passenger revenue.</w:t>
      </w:r>
    </w:p>
    <w:p>
      <w:pPr>
        <w:spacing w:after="0" w:line="150"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Cargo revenue increased $364 million in the first six months of 2021 from the first six months of 2020 primarily due to an increase in cargo ton miles reflecting higher freight volumes and the addition of cargo-only flights to American's schedule as well as an increase in cargo yield as a result of higher rates.</w:t>
      </w:r>
    </w:p>
    <w:p>
      <w:pPr>
        <w:spacing w:after="0" w:line="14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Total operating revenues in the first six months of 2021 increased $1.3 billion, or 13.3%, from the first six months of 2020 driven principally by the increase in passenger and cargo revenue as described above.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80" w:type="dxa"/>
            <w:vAlign w:val="bottom"/>
            <w:gridSpan w:val="3"/>
            <w:vMerge w:val="restart"/>
          </w:tcPr>
          <w:p>
            <w:pPr>
              <w:jc w:val="right"/>
              <w:ind w:right="76"/>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vMerge w:val="restart"/>
          </w:tcPr>
          <w:p>
            <w:pPr>
              <w:jc w:val="right"/>
              <w:ind w:right="333"/>
              <w:spacing w:after="0" w:line="135"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3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w:t>
            </w:r>
          </w:p>
        </w:tc>
        <w:tc>
          <w:tcPr>
            <w:tcW w:w="15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5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5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-1773555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-1773555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-1773555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Total operating expenses decreased $2.8 billion, or 18.2%, in the first six months of 2021 from the first six months of 2020 primarily due to a $2.9 billion increase in net operating special credits. See further discussion of operating special items, net below. Excluding the impact of operating special items, net, total operating expenses increased $156 million, or 1.0%. Although American's capacity increased in the first six months of 2021, American's total operating expenses, excluding net special items, remained relatively flat due to the significant actions taken in 2020 to reduce costs including labor productivity enhancements, reductions in management salaries and benefits, and other non-volume cost reductions.</w:t>
      </w:r>
    </w:p>
    <w:p>
      <w:pPr>
        <w:spacing w:after="0" w:line="15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Aircraft fuel and related taxes increased $552 million, or 26.4%, in the first six months of 2021 from the first six months of 2020 due to increased capacity as well as an increase in the average price per gallon of aircraft fuel including related taxes.</w:t>
      </w:r>
    </w:p>
    <w:p>
      <w:pPr>
        <w:spacing w:after="0" w:line="14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Other rent and landing fees increased $232 million, or 22.7%, in the first six months of 2021 from the first six months of 2020 due to an increase in variable rent and landing fees due to our increased capacity.</w:t>
      </w:r>
    </w:p>
    <w:p>
      <w:pPr>
        <w:spacing w:after="0" w:line="14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Aircraft rent increased $37 million, or 5.6%, in the first six months of 2021 from the first six months of 2020 primarily due to the delivery of 31 new leased mainline aircraft subsequent to the first six months of 2020.</w:t>
      </w:r>
    </w:p>
    <w:p>
      <w:pPr>
        <w:spacing w:after="0" w:line="14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Depreciation and amortization decreased $100 million, or 9.4%, in the first six months of 2021 from the first six months of 2020 primarily due to the early retirement of aircraft as a result of the COVID-19 pandemic.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83"/>
        </w:trPr>
        <w:tc>
          <w:tcPr>
            <w:tcW w:w="76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r>
      <w:tr>
        <w:trPr>
          <w:trHeight w:val="183"/>
        </w:trPr>
        <w:tc>
          <w:tcPr>
            <w:tcW w:w="7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8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5"/>
                <w:szCs w:val="15"/>
                <w:color w:val="auto"/>
              </w:rPr>
            </w:pP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1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1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70"/>
        </w:trPr>
        <w:tc>
          <w:tcPr>
            <w:tcW w:w="7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76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Operating special items, net</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r>
      <w:tr>
        <w:trPr>
          <w:trHeight w:val="21"/>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-1962785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34"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to American's Condensed Consolidated Financial Statements in Part I, Item 1B for further information. The 2020 PSP Financial Assistance represents recognition of a portion of the financial assistance received from Treasury pursuant to the PSP1 Agreement.</w:t>
      </w:r>
    </w:p>
    <w:p>
      <w:pPr>
        <w:spacing w:after="0" w:line="162"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 to voluntary early retirement programs offered as a result of reductions to American's operation due to the COVID-19 pandemic. Cash payments related to American's voluntary early retirement programs for the six months ended June 30, 2021 were approximately $290 million.</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1" w:lineRule="exact"/>
        <w:rPr>
          <w:rFonts w:ascii="Arial" w:cs="Arial" w:eastAsia="Arial" w:hAnsi="Arial"/>
          <w:sz w:val="23"/>
          <w:szCs w:val="23"/>
          <w:color w:val="auto"/>
          <w:vertAlign w:val="superscript"/>
        </w:rPr>
      </w:pPr>
    </w:p>
    <w:p>
      <w:pPr>
        <w:jc w:val="both"/>
        <w:ind w:left="340" w:hanging="332"/>
        <w:spacing w:after="0" w:line="239"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Fleet impairment resulted from American's decision to retire certain aircraft earlier than planned driven primarily by the severe decline in air travel due to the COVID-19 pandemic. In the first six months of 2021, American retired its remaining fleet of Embraer 140 aircraft resulting in a non-cash write down of these aircraft. In the first six months of 2020, American retired its Boeing 757, Boeing 767, Airbus A330-300 and Embraer 190 fleets as well as certain Embraer 140 and Bombardier CRJ200 aircraft resulting in a $773 million non-cash write down of mainline and regional aircraft and associated spare parts and $76 million in cash charges primarily for impairment of ROU assets and lease return costs.</w:t>
      </w:r>
    </w:p>
    <w:p>
      <w:pPr>
        <w:spacing w:after="0" w:line="164"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resulting from the ratification of a new contract with the Transport Workers Union and International Association of Machinists &amp; Aerospace Workers for American's maintenance and fleet service team members, including signing bonuses and adjustments to vacation accruals resulting from pay rate increases.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20" w:type="dxa"/>
            <w:vAlign w:val="bottom"/>
            <w:gridSpan w:val="3"/>
            <w:vMerge w:val="restart"/>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2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restart"/>
          </w:tcPr>
          <w:p>
            <w:pPr>
              <w:jc w:val="center"/>
              <w:ind w:right="136"/>
              <w:spacing w:after="0" w:line="135"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99"/>
              </w:rPr>
              <w:t>(178)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left="576"/>
              <w:spacing w:after="0"/>
              <w:rPr>
                <w:sz w:val="20"/>
                <w:szCs w:val="20"/>
                <w:color w:val="auto"/>
              </w:rPr>
            </w:pPr>
            <w:r>
              <w:rPr>
                <w:rFonts w:ascii="Arial" w:cs="Arial" w:eastAsia="Arial" w:hAnsi="Arial"/>
                <w:sz w:val="18"/>
                <w:szCs w:val="18"/>
                <w:color w:val="auto"/>
                <w:w w:val="99"/>
              </w:rPr>
              <w:t>(265)</w:t>
            </w:r>
          </w:p>
        </w:tc>
        <w:tc>
          <w:tcPr>
            <w:tcW w:w="148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16"/>
              <w:spacing w:after="0"/>
              <w:rPr>
                <w:sz w:val="20"/>
                <w:szCs w:val="20"/>
                <w:color w:val="auto"/>
              </w:rPr>
            </w:pPr>
            <w:r>
              <w:rPr>
                <w:rFonts w:ascii="Arial" w:cs="Arial" w:eastAsia="Arial" w:hAnsi="Arial"/>
                <w:sz w:val="18"/>
                <w:szCs w:val="18"/>
                <w:color w:val="auto"/>
                <w:w w:val="99"/>
              </w:rPr>
              <w:t>191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576"/>
              <w:spacing w:after="0"/>
              <w:rPr>
                <w:sz w:val="20"/>
                <w:szCs w:val="20"/>
                <w:color w:val="auto"/>
              </w:rPr>
            </w:pPr>
            <w:r>
              <w:rPr>
                <w:rFonts w:ascii="Arial" w:cs="Arial" w:eastAsia="Arial" w:hAnsi="Arial"/>
                <w:sz w:val="18"/>
                <w:szCs w:val="18"/>
                <w:color w:val="auto"/>
                <w:w w:val="99"/>
              </w:rPr>
              <w:t>(252)</w:t>
            </w:r>
          </w:p>
        </w:tc>
        <w:tc>
          <w:tcPr>
            <w:tcW w:w="148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-753745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-753745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-753745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Interest income decreased in the first six months of 2021 compared to the first six months of 2020 primarily as a result of lower returns on American's short-term investments and lower interest-bearing related party receivables from American's parent company, AAG. Interest expense, net increased in the first six months of 2021 compared to the first six months of 2020 primarily due to the issuance of debt, including $10.0 billion associated with the AAdvantage Financing, to improve American's liquidity position in response to the COVID-19 pandemic.</w:t>
      </w:r>
    </w:p>
    <w:p>
      <w:pPr>
        <w:spacing w:after="0" w:line="151"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the first six months of 2021, other nonoperating income, net included $171 million of non-service related pension and other postretirement benefit plan income and $13 million of net special charges principally for non-cash charges associated with debt refinancings and extinguishments, offset in part by mark-to-market net unrealized gains associated with American's equity investment in China Southern Airlines and certain treasury rate lock derivative instruments.</w:t>
      </w:r>
    </w:p>
    <w:p>
      <w:pPr>
        <w:spacing w:after="0" w:line="15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the first six months of 2020, other nonoperating expense, net included $228 million of net special charges principally for mark-to-market unrealized losses associated with American's equity investment in China Southern Airlines and certain treasury rate lock derivative instruments and $15 million of net foreign currency losses, primarily associated with losses from Latin American currencies, offset in part by $206 million of non-service related pension and other postretirement benefit plan income.</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In the first six months of 2021, American recorded an income tax benefit of $315 million. Substantially all of American’s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2021, AAG had $21.3 billion in total available liquidity and $999 million in restricted cash and short-term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183"/>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5"/>
                <w:szCs w:val="15"/>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5"/>
                <w:szCs w:val="15"/>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6,617</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14,244</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Given the actions we have taken in response to the COVID-19 pandemic and our assumptions about its future impact on travel demand, which could be materially different due to the current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Certain of our debt financing agreements (including our secured notes, term loans, revolving credit facilities and spare engine EETCs) contain loan to value (LTV) or collateral coverage ratio covenants and require us to appraise the related collateral annually or semiannually. Pursuant to such agreements, if the LTV or collateral coverage ratio exceeds a specified threshold or if the value of the appraised collateral fails to meet a specified threshold, as the case may be, we are required, as applicable, to pledge additional qualifying collateral (which in some cases may include cash or investment securities), or pay down such financing, in whole or in part, or the interest rate for the financing under such agreements will be increased. As of the most recent applicable measurement dates, we were in compliance with each of the foregoing collateral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debt service coverage ratio, pursuant to which failure to comply with a certain threshold may result in early repayment of the AAdvantage Financing. For further information regarding our debt covenants, see Note 5 to AAG’s Condensed Consolidated Financial Statements in Part I, Item 1A and Note 4 to American’s Condensed Consolidated Financial Statements in Part I, Item 1B.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net cash provided by operating activities was $3.6 billion for the first six months of 2021 as compared to net cash used in operating activities of $1.1 billion for the first six months of 2020, a $ 4.7 billion period-over-period increase. In the first six months of 2021 and 2020, we received cash proceeds of approximately $4.7 billion and $3.7 billion associated with the PSP Financial Assistance, respectively. Excluding the PSP Financial Assistance, our operating cash flows increased $ 3.7 billion compared to the first six months of 2020 driven by a decrease in our pre-tax loss as well as working capital increases principally in our air traffic liability as demand for travel returns. In addition, during the first six months of 2021, we made $241 million in contributions to our pension plans and approximately $290 million in cash payments associated with our voluntary early retirement programs. We expect cash payments under these programs of approximately $280 million in the remainder of 2021, approximately $230 million in 2022 and approximately $530 million in 2023 and beyond.</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$11.0 billion and $7.0 billion for the first six months of 2021 and 2020, respectively.</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principal investing activities in the first six months of 2021 included $11.0 billion in net purchases of short-term investments as well as a $404 million increase in restricted short-term investments primarily related to collateral for the AAdvantage Financing. These cash outflows were offset in part by $163 million of proceeds primarily from aircraft sale-leaseback transactions and $161 million of proceeds from the sale of property and equipment. Additionally, aircraft purchase deposit returns of $772 million exceeded our capital expenditures for the first six months of 2021, which expenditures were principally related to the harmonization of interior configurations across our mainline fleet and the purchase of two Airbus A321neo aircraft.</w:t>
      </w:r>
    </w:p>
    <w:p>
      <w:pPr>
        <w:spacing w:after="0" w:line="15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principal investing activities in the first six months of 2020 included $5.8 billion in net purchases of short-term investments, expenditures of $1.2 billion for property and equipment, including six Airbus A321neo aircraft, three Embraer 175 aircraft and three Bombardier CRJ900 aircraft as well as a $386 million increase in restricted short-term investments primarily related to cash proceeds from special facility revenue bonds. These cash outflows were offset in part by $376 million of proceeds primarily from aircraft sale-leaseback transactions and $148 million of proceeds from the sale of property and equipment.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provided by financing activities was $7.5 billion and $8.2 billion for the first six months of 2021 and 2020, respectively.</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principal financing activities in the first six months of 2021 included $12.1 billion in proceeds from the issuance of debt, including approximately $10.0 billion associated with the AAdvantage Financing, $1.0 billion in aggregate principal amount under the PSP2 Promissory Note, $946 million in aggregate principal amount under the PSP3 Promissory Note and the $150 million issuance of special facility revenue bonds related to JFK. We also had $460 million in net proceeds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from the issuance of equity pursuant to an at-the-market offering. These cash inflows were offset in part by $5.0 billion in debt repayments, including prepayments totaling $2.8 billion for our revolving credit facilities and $550 million of outstanding loans under the Treasury Loan Agreement, and $1.6 billion in scheduled debt repayments. In addition, we had $166 million of deferred financing cost cash outflows.</w:t>
      </w:r>
    </w:p>
    <w:p>
      <w:pPr>
        <w:spacing w:after="0" w:line="14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principal financing activities in the first six months of 2020 included $9.5 billion in proceeds from the issuance of debt and $1.5 billion in proceeds from the issuance of equity. These proceeds principally include $2.8 billion borrowed under the 2014 Revolving Facility, the 2013 Revolving Facility and the April 2016 Revolving Facility, $2.5 billion in aggregate principal amount of 11.75% senior secured notes, $1.5 billion in aggregate principal amount under the PSP Promissory Note, $1.0 billion in aggregate principal amount of AAG’s 6.50% convertible senior notes, $1.0 billion under the Delayed Draw Term Loan Credit Facility, $500 million in aggregate principal amount of 3.75% unsecured senior notes due 2025 and the $360 million issuance of special facility revenue bonds related to JFK as well as $1.1 billion of net proceeds from a public offering of common stock. These cash inflows were offset in part by $ 2.5 billion in debt repayments, consisting of approximately $1.5 billion in scheduled debt repayments, including repayment of $500 million of 4.625% senior notes, and the prepayment of the $1.0 billion Delayed Draw Term Loan Credit Facility, as well as $173 million in share repurchases (which occurred in the first quarter of 2020), $84 million of deferred financing costs and $43 million in dividend payments (which occurred in the first quarter of 2020).</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American’s net cash provided by operating activities was $6.1 billion and $ 2.3 billion for the first six months of 2021 and 2020, respectively, a $3.8 billion period-over-period increase. In the first six months of 2021 and 2020, American received cash proceeds of approximately $4.2 billion and $3.3 billion associated with the PSP Financial Assistance, respectively. American also had a $755 million net decrease in intercompany cash receipts principally from AAG's financing transactions. Excluding the PSP Financial Assistance and decrease in AAG's financing transactions, American's operating cash flows increased $3.7 billion compared to the first six months of 2020 driven by a decrease in its pre-tax loss as well as working capital increases principally in American's air traffic liability as demand for travel returns. In addition, during the first six months of 2021, American made $241 million in contributions to its pension plans and approximately $290 million in cash payments associated with American's voluntary early retirement programs. American expects cash payments under these programs of approximately $280 million in the remainder of 2021, approximately $230 million in 2022 and approximately $530 million in 2023 and beyond.</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$11.0 billion and $6.9 billion for the first six months of 2021 and 2020, respectively.</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American’s principal investing activities in the first six months of 2021 included $11.0 billion in net purchases of short-term investments as well as a $404 million increase in restricted short-term investments primarily related to collateral for the AAdvantage Financing. These cash outflows were offset in part by $163 million of proceeds primarily from aircraft sale-leaseback transactions and $161 million of proceeds from the sale of property and equipment. Additionally, aircraft purchase deposit returns of $772 million exceeded American's capital expenditures for the first six months of 2021, which expenditures were principally related to the harmonization of interior configurations across its mainline fleet and the purchase of two Airbus A321neo aircraft.</w:t>
      </w:r>
    </w:p>
    <w:p>
      <w:pPr>
        <w:spacing w:after="0" w:line="15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American’s principal investing activities in the first six months of 2020 included $5.8 billion in net purchases of short-term investments, expenditures of $1.2 billion for property and equipment, including six Airbus A321neo aircraft, three Embraer 175 aircraft and three Bombardier CRJ900 aircraft as well as a $386 million increase in restricted short-term investments primarily related to cash proceeds from special facility revenue bonds. These cash outflows were offset in part by $376 million of proceeds primarily from aircraft sale-leaseback transactions and $148 million of proceeds from the sale of property and equipment.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American’s net cash provided by financing activities was $4.9 billion and $4.8 billion for the first six months of 2021 and 2020,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American’s principal financing activities in the first six months of 2021 included $10.1 billion in proceeds from the issuance of debt, including approximately $10.0 billion associated with the AAdvantage Financing and the $150 million issuance of special facility revenue bonds related to JFK. These cash inflows were offset in part by $5.0 billion in debt repayments, including prepayments totaling $ 2.8 billion for American's revolving credit facilities and $550 million of outstanding loans under the Treasury Loan Agreement, and $1.6 billion in scheduled debt repayments. In addition, American had $165 million of deferred financing cost cash outflows.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American’s principal financing activities in the first six months of 2020 included $6.9 billion in proceeds from the issuance of debt, including $ 2.8 billion borrowed under the 2014 Revolving Facility, the 2013 Revolving Facility and the April 2016 Revolving Facility, $2.5 billion in aggregate principal amount of 11.75% senior secured notes, $1.0 billion under the Delayed Draw Term Loan Credit Facility and the $360 million issuance of special facility revenue bonds related to JFK. These cash inflows were offset in part by $2.0 billion in debt repayments, consisting of the prepayment of the $ 1.0 billion Delayed Draw Term Loan Credit Facility and approximately $1.0 billion in scheduled debt repayments, as well as $75 million of deferred financing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of June 30, 2021, AAG had $39.9 billion in long-term debt, including current maturities of $2.7 billion. As of June 30, 2021, American had $33.9 billion in long-term debt, including current maturities of $ 1.9 billion. All material changes in our significant indebtedness since our 2020 Form 10-K are discussed in Note 5 to AAG’s Condensed Consolidated Financial Statements in Part I, Item 1A and Note 4 to American’s Condensed Consolidated Financial Statements in Part I, Item 1B.</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June 30, 2021, we had definitive purchase agreements for the acquisition of the following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Remainder</w:t>
            </w:r>
          </w:p>
        </w:tc>
        <w:tc>
          <w:tcPr>
            <w:tcW w:w="9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9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9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9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2026 and</w:t>
            </w: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2021</w:t>
            </w: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27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A320neo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26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737 MAX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787 Family</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49" w:lineRule="exact"/>
        <w:rPr>
          <w:sz w:val="20"/>
          <w:szCs w:val="20"/>
          <w:color w:val="auto"/>
        </w:rPr>
      </w:pPr>
    </w:p>
    <w:p>
      <w:pPr>
        <w:ind w:left="340" w:hanging="332"/>
        <w:spacing w:after="0" w:line="220" w:lineRule="auto"/>
        <w:tabs>
          <w:tab w:leader="none" w:pos="33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Delivery schedule represents our best estimate as of the date of this report. Actual delivery dates are subject to change based on various potential factors including production delays by the manufacturer.</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have agreements for 26 spare engines to be delivered in 2021 and beyond.</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We currently have financing commitments in place for all remaining 21 aircraft scheduled to be delivered in 2021: 11 Boeing 787 Family aircraft, nine Airbus A320neo Family aircraft and one Boeing 737 MAX Family aircraft. We also have financing commitments in place for two Boeing 787 Family aircraft in 2022 and five Boeing 787 Family Aircraft in 2023. Our ability to draw on the financing commitments we have in place is subject to (1) the satisfaction of various terms and conditions, including in some cases, on our acquisition of the aircraft by a certain date and (2) the performance by the counterparty providing such financing commitments of its obligations thereunder. See Part II, Item 1A.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2020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following table provides details of our future cash contractual obligations as of June 30, 2021 (in millions). Except to the extent set forth in the applicable accompanying footnotes, the table does not include commitments that are contingent on events or other factors that are uncertain or unknown at this time.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Remainder</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2026 and</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2021</w:t>
            </w: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33,921</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10,430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85,369</w:t>
            </w: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32,653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92,801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29" w:lineRule="auto"/>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$462 million and $34 million of unamortized debt discount, premium and issuance costs as of June 30, 2021 for American and AAG Parent, respectively. For additional information, see Note 5 and Note 4 to AAG’s and American’s Condensed Consolidated Financial Statements in Part I, Items 1A and 1B, respectively.</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June 30, 2021.</w:t>
      </w:r>
    </w:p>
    <w:p>
      <w:pPr>
        <w:spacing w:after="0" w:line="161" w:lineRule="exact"/>
        <w:rPr>
          <w:rFonts w:ascii="Arial" w:cs="Arial" w:eastAsia="Arial" w:hAnsi="Arial"/>
          <w:sz w:val="23"/>
          <w:szCs w:val="23"/>
          <w:color w:val="auto"/>
          <w:vertAlign w:val="superscript"/>
        </w:rPr>
      </w:pPr>
    </w:p>
    <w:p>
      <w:pPr>
        <w:ind w:left="340" w:hanging="332"/>
        <w:spacing w:after="0" w:line="220" w:lineRule="auto"/>
        <w:tabs>
          <w:tab w:leader="none" w:pos="328"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Includes $10.2 billion of future principal payments and $1.7 billion of future interest payments as of June 30, 2021, related to EETCs associated with mortgage financings of certain aircraft and spare engines.</w:t>
      </w:r>
    </w:p>
    <w:p>
      <w:pPr>
        <w:spacing w:after="0" w:line="143"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in Part I, Item 2. Management’s Discussion and Analysis of Financial Condition and Results of Operations for additional information about the firm commitment aircraft delivery schedule, in particular the footnotes to the table thereunder as to potential changes to such delivery schedule. Due to uncertainty surrounding the timing of delivery of certain aircraft, the amounts in the table represent our current best estimate; however, the actual delivery schedule may differ from the table above, potentially materially. Additionally, the amounts in the table exclude 11 and two Boeing 787-8 aircraft to be delivered in 2021 and 2022, respectively, as well as five Boeing 787-9 aircraft to be delivered in 2023, in each case, for which we have obtained committed lease financing. This financing is reflected in the operating lease commitments line above.</w:t>
      </w:r>
    </w:p>
    <w:p>
      <w:pPr>
        <w:spacing w:after="0" w:line="160" w:lineRule="exact"/>
        <w:rPr>
          <w:rFonts w:ascii="Arial" w:cs="Arial" w:eastAsia="Arial" w:hAnsi="Arial"/>
          <w:sz w:val="23"/>
          <w:szCs w:val="23"/>
          <w:color w:val="auto"/>
          <w:vertAlign w:val="superscript"/>
        </w:rPr>
      </w:pPr>
    </w:p>
    <w:p>
      <w:pPr>
        <w:jc w:val="both"/>
        <w:ind w:left="340" w:hanging="332"/>
        <w:spacing w:after="0" w:line="234" w:lineRule="auto"/>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340" w:hanging="332"/>
        <w:spacing w:after="0" w:line="234" w:lineRule="auto"/>
        <w:tabs>
          <w:tab w:leader="none" w:pos="329"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On March 11, 2021, the ARP was enacted, which included funding relief provisions benefiting single employer qualified retirement benefit pension plans such as those sponsored by American. The amounts in the table represent minimum pension contributions based on actuarially determined estimates and reflect our current understanding of the ARP provisions applicable to our pension plans and could change based on any associated regulations or interpretive guidance from certain government agencies or any other factors.</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construction projects and information technology support.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In light of the cash needs imposed by the current operating losses due to reduced demand in response to the COVID-19 pandemic as well as our significant financial commitments related to, among other things, the servicing and amortization of existing debt and equipment leasing arrangements, new flight equipment and pension funding obligations,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(in particular the ongoing global outbreak of COVID-19), natural disasters or other causes could reduce the demand for air travel, which would reduce the amount of cash generated by operations. See Part II, Item 1A. Risk Factors – </w:t>
      </w:r>
      <w:r>
        <w:rPr>
          <w:rFonts w:ascii="Arial" w:cs="Arial" w:eastAsia="Arial" w:hAnsi="Arial"/>
          <w:sz w:val="18"/>
          <w:szCs w:val="18"/>
          <w:i w:val="1"/>
          <w:iCs w:val="1"/>
          <w:color w:val="auto"/>
        </w:rPr>
        <w:t>"The outbreak and global spread of COVID-19 has resulted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for additional discussion. An increase in costs, either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5 and Note 4 to AAG's and American's Condensed Consolidated Financial Statements in Part I, Items 1A and 1B, respectively.</w:t>
      </w:r>
    </w:p>
    <w:p>
      <w:pPr>
        <w:spacing w:after="0" w:line="1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2020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i w:val="1"/>
          <w:iCs w:val="1"/>
          <w:color w:val="auto"/>
        </w:rPr>
        <w:t>Accounting Standards Update (ASU) 2020-06: Accounting for Convertible Instruments and Contracts In An Entity's Own Equity (the New Convertible Debt Standard)</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New Convertible Debt Standard simplifies the accounting for certain convertible instruments by removing the separation models for convertible debt with a cash conversion feature and for convertible instruments with a beneficial conversion feature. As a result, more convertible debt instruments will be reported as a single liability instrument with no separate accounting for embedded conversion features. Additionally, the New Convertible Debt Standard amends the diluted earnings per share calculation for convertible instruments by requiring the use of the if-converted method. The treasury stock method is no longer available. Entities may adopt the New Convertible Debt Standard using either a full or modified retrospective approach, and it is effective for interim and annual reporting periods beginning after December 15, 2021. Early adoption is permitted for interim and annual reporting periods beginning after December 15, 2020. The New Convertible Debt Standard is applicable to our 6.50% convertible senior notes due 2025 (the Convertible Notes). We early adopted the New Convertible Debt Standard as of January 1, 2021 using the modified retrospective method to recognize our Convertible Notes as a single liability instrument. As of January 1, 2021, we recorded a $415 million ($320 million net of tax) reduction to additional paid-in capital to remove the equity component of the Convertible Notes from our balance sheet and a $19 million cumulative effect adjustment credit, net of tax, to retained deficit related to non-cash debt discount amortization recognized in periods prior to adoption resulting in a corresponding reduction of $389 million to the debt discount associated with the Convertible Notes.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ASU 2019-12: Simplifying the Accounting for Income Taxes (Topic 740)</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standard simplifies the accounting and disclosure requirements for income taxes by clarifying the existing guidance to improve consistency in the application of Accounting Standards Codification 740. This standard also removed the requirement to calculate income tax expense for the stand-alone financial statements of wholly-owned subsidiaries that are not subject to income tax. We adopted this standard effective January 1, 2021, and it did not have a material impact on our condensed consolidated financial statements.</w:t>
      </w:r>
    </w:p>
    <w:p>
      <w:pPr>
        <w:spacing w:after="0" w:line="209" w:lineRule="exact"/>
        <w:rPr>
          <w:sz w:val="20"/>
          <w:szCs w:val="20"/>
          <w:color w:val="auto"/>
        </w:rPr>
      </w:pPr>
    </w:p>
    <w:p>
      <w:pPr>
        <w:ind w:right="4240"/>
        <w:spacing w:after="0" w:line="357"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jc w:val="both"/>
        <w:ind w:right="20" w:firstLine="243"/>
        <w:spacing w:after="0" w:line="261"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2020 Form 10-K except as updated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As of June 30, 2021, we did not have any fuel hedging contracts outstanding to hedge our fuel consumption. We do not currently view the market opportunities to hedge fuel prices as attractive because, among other things, our future fuel needs remain unclear due to uncertainties regarding air travel demand and any hedging would potentially require significant capital or collateral to be placed at risk.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Based on our 2021 forecasted fuel consumption, we estimate that a one cent per gallon increase in the price of aircraft fuel would increase our 2021 annual fuel expense by $34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British pound sterling, Euro, Canadian dollar and various Latin American currencies, primarily the Brazilian real. We do not currently have a foreign currency hedge program.</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June 30, 2021 variable-rate debt and short-term investments balances, annual interest expense on variable rate debt would increase by approximately $120 million and annual interest income on short-term investments would increase by approximately $180 million.</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unclear whether new methods of calculating LIBOR will be established such that it continues to exist after 2023.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5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June 30, 2021, we had $12.2 billion of borrowings based on LIBOR. The replacement of LIBOR with a comparable or successor rate could cause the amount of interest payable on our long-term debt to be different or higher than expected.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June 30, 2021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June 30, 2021 at the reasonable assurance level.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For the quarter ended June 30, 2021, there have been no changes in AAG’s or American’s internal control over financial reporting that have materially affected, or are reasonably likely to materially affect, AAG’s and American’s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June 30,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See Note 11 to each of AAG and American's Condensed Consolidated Financial Statements in Part I, Item 1A and Part I, Item 1B, respectively, for information on legal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90"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b w:val="1"/>
          <w:bCs w:val="1"/>
          <w:i w:val="1"/>
          <w:iCs w:val="1"/>
          <w:color w:val="auto"/>
        </w:rPr>
        <w:t>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6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has resulted in a severe decline in demand for air travel, which has adversely affected our business, operations and financial condition to an unprecedented extent. Measures such as travel restrictions, including testing regimes, “stay at home” and quarantine orders, limitations on public gatherings, cancellation of public events and many others have resulted in a precipitous decline in demand for both domestic and international business and leisure travel. In response to this material deterioration in demand, we have taken a number of aggressive actions to ameliorate our business, operations and financial condition. We have focused on reducing our capacity, making structural changes to our fleet, implementing cost reductions, preserving cash and improving our overall liquidity position. We have reduced our system-wide capacity and will continue to monitor conditions and to proactively evaluate and adjust our schedule to match demand. Additionally, we have retired certain mainline aircraft earlier than planned, including Airbus A330-200, Boeing 757, Boeing 767, Airbus A330-300 and Embraer 190 aircraft as well as regional aircraft, including certain Embraer 140 and Bombardier CRJ200 aircraft, which we expect will allow us to be more efficient by reducing the number of sub-fleets we operate, and we have also placed a number of Boeing 737-800 aircraft into temporary storage. We have moved quickly to attempt to better align our costs with our reduced schedule and made other cost-saving initiatives (including reductions in maintenance expense, marketing expense, event and training expense, airport facilities expense, salaries and benefits expense, and other volume-related expense reductions, including fuel). Nonetheless, we incurred significant net losses, excluding net special items, in 2020 and the first half of 2021, we continue to do so, and we expect to continue to do so until there is a significant global recovery in demand for air travel. The duration and severity of the COVID-19 pandemic remain uncertain, and there can be no assurance that any of the mitigating actions we have taken will suffice to sustain our business and operations through this pandemic.</w:t>
      </w:r>
    </w:p>
    <w:p>
      <w:pPr>
        <w:spacing w:after="0" w:line="15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have taken and will take additional actions to improve our financial position, including measures to improve liquidity, such as obtaining financial assistance under the CARES Act, the PSP Extension Law and the ARP. In 2020, we received approximately $6.0 billion in financial assistance from Treasury through PSP1 established under the CARES Act, and in the first six months of 2021, we received approximately $3.5 billion in financial assistance from Treasury through PSP2 established under the PSP Extension Law and $3.3 billion in financial assistance from Treasury through PSP3 established under the ARP. In connection with the financial assistance we have received through PSP1, PSP2 and PSP3, we are required to comply with the relevant provisions of the CARES Act, the PSP Extension Law and the ARP, including the requirement that funds provided pursuant to PSP1, PSP2 and PSP3 be used exclusively for the continuation of payment of eligible employee wages, salaries and benefits; the requirement against involuntary furloughs and reductions in employee pay rates and benefits through at least September 30, 2021; the requirement to recall employees involuntarily terminated or furloughed after September 30, 2020; the requirement that certain levels of commercial air service be maintained; provisions prohibiting the repurchase of AAG common stock and the payment of common stock dividends through September 30, 2022; and restrictions on the payment of certain executive compensation until April 1, 2023. Additionally, under PSP1, PSP2 and PSP3, we and certain of our subsidiaries are, and will continue to be, subject to substantial and continuing reporting obligations. The substance and duration of these restrictions may materially affect our operations, and we may not be successful in managing these impacts.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may pursue the issuance of additional unsecured and secured debt securities, equity securities and equity-linked securities and/or the entry into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and issuance of significant additional indebtedness or equity and could impose significant covenants and restrictions to which we are not currently subject.</w:t>
      </w:r>
    </w:p>
    <w:p>
      <w:pPr>
        <w:spacing w:after="0" w:line="15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measures we have taken to reduce our expenditures and to improve our liquidity, and any other strategic actions that we may take in the future in response to the COVID-19 pandemic may not be effective in offsetting decreased demand, and we may not be permitted to take certain strategic actions that we believe are beneficial if such strategic actions are in contravention of the requirements under the CARES Act, the PSP Extension Law or the ARP, which could result in a material adverse effect on our business, operating results and financial condition.</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full extent of the ongoing impact of the COVID -19 pandemic on our longer-term operational and financial performance will depend on future developments, many of which are outside our control, including the effectiveness of the mitigation strategies discussed above; the duration and spread of COVID-19, including recurrence of the pandemic, and related travel advisories, restrictions and testing regimes; the supply of effective vaccines and success of efforts to deploy the vaccines; the impact of the COVID-19 pandemic on overall long-term demand for air travel; the impact on demand and capacity which could result from government mandates on air service (including, for instance, requirements for passengers to wear face coverings while traveling or have their temperature checked or have administered COVID-19 tests and other checks prior to or after entering an airport or boarding an airplane, or which would limit the number of seats that can be occupied on an aircraft to allow for social distancing or prohibit flights to certain locations); the impact of COVID-19 on our employees’ ability to work because they are quarantined or sickened as a result of exposure to COVID-19 or if they are subject to additional governmental COVID-19 curfews or "stay at home" health orders or similar restrictions; the impact of the COVID-19 pandemic on the financial health and operations of our business partners and future governmental actions, all of which are highly uncertain and cannot be predicted. At this time, we are also not able to predict whether the COVID-19 pandemic will result in permanent changes to our customers' behavior, with such changes including but not limited to a permanent reduction in business travel as a result of increased usage of "virtual" and "teleconferencing" products and more broadly a general reluctance to travel by consumers, each of which could have a material impact on our business.</w:t>
      </w:r>
    </w:p>
    <w:p>
      <w:pPr>
        <w:spacing w:after="0" w:line="15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also depending upon successful COVID-19 vaccines, including an efficient distribution and sufficient supply, and significant uptake by the general public in order to normalize economic conditions and the airline industry and to realize our financial and growth plans and business strategy. The failure of a vaccine, including to the extent it is not effective against any COVID-19 variants, significant unplanned adverse reactions to the vaccine, politicization of the vaccine or general public distrust of the vaccine could have an adverse effect on our business, financial condition and results of operations.</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ongoing COVID-19 pandemic and associated decline in economic activity and increase in unemployment levels are expected to have a severe and prolonged effect on the global economy generally and, in turn, may depress demand for air travel into the foreseeable future. Due to the uncertainty surrounding the duration and severity of this pandemic, we can provide no assurance as to when and at what pace demand for air travel will return to pre-COVID-19 pandemic levels, if at all. Accordingly, we cannot predict the ultimate impact of the COVID-19 pandemic on our business, financial condition and results of operations. See also </w:t>
      </w:r>
      <w:r>
        <w:rPr>
          <w:rFonts w:ascii="Arial" w:cs="Arial" w:eastAsia="Arial" w:hAnsi="Arial"/>
          <w:sz w:val="18"/>
          <w:szCs w:val="18"/>
          <w:i w:val="1"/>
          <w:iCs w:val="1"/>
          <w:color w:val="auto"/>
        </w:rPr>
        <w:t>“The outbreak and global spread</w:t>
      </w:r>
      <w:r>
        <w:rPr>
          <w:rFonts w:ascii="Arial" w:cs="Arial" w:eastAsia="Arial" w:hAnsi="Arial"/>
          <w:sz w:val="18"/>
          <w:szCs w:val="18"/>
          <w:color w:val="auto"/>
        </w:rPr>
        <w:t xml:space="preserve"> </w:t>
      </w:r>
      <w:r>
        <w:rPr>
          <w:rFonts w:ascii="Arial" w:cs="Arial" w:eastAsia="Arial" w:hAnsi="Arial"/>
          <w:sz w:val="18"/>
          <w:szCs w:val="18"/>
          <w:i w:val="1"/>
          <w:iCs w:val="1"/>
          <w:color w:val="auto"/>
        </w:rPr>
        <w:t>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additional adverse effects on our business, operating results, financial condition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airline industry is intensely competitive and dynamic.”</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June 30, 2021, our planned aggregate expenditures for aircraft purchase commitments and certain engines on a consolidated basis for calendar years 2021-2025 would be approximately $9.6 billion. We may also require financing to refinance maturing obligations and to provide liquidity to fund other corporate requirements. If needed to meet our liquidity needs, it may be difficult for us to raise additional capital on acceptable terms, or at all, due to, among other factors: our substantial level of existing indebtedness, particularly following the additional liquidity transactions completed and contemplated in response to the impact of the COVID-19 pandemic; our non-investment grade credit rating; market conditions; the availability of assets to use as collateral for loans or other indebtedness, which has been reduced significantly as a result of certain financing transactions we have undertaken since the beginning of 2020 and may be further reduced; and the effect the COVID-19 pandemic has had on the global economy generally and the air transportation industry in particular. Accordingly, we will need substantial liquidity, financing or other capital resources to finance such aircraft and engines and meet such other liquidity needs. If we are unable to arrange any such required financing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5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integration costs and general corporate purposes, and adversely affect the terms on which such funding can be obtained;</w:t>
      </w:r>
    </w:p>
    <w:p>
      <w:pPr>
        <w:spacing w:after="0" w:line="14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143"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43" w:lineRule="exact"/>
        <w:rPr>
          <w:rFonts w:ascii="Arial" w:cs="Arial" w:eastAsia="Arial" w:hAnsi="Arial"/>
          <w:sz w:val="18"/>
          <w:szCs w:val="18"/>
          <w:color w:val="auto"/>
        </w:rPr>
      </w:pPr>
    </w:p>
    <w:p>
      <w:pPr>
        <w:jc w:val="both"/>
        <w:ind w:left="1300" w:hanging="644"/>
        <w:spacing w:after="0" w:line="256"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47"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00" w:hanging="644"/>
        <w:spacing w:after="0" w:line="261"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right="20" w:hanging="656"/>
        <w:spacing w:after="0" w:line="261" w:lineRule="auto"/>
        <w:tabs>
          <w:tab w:leader="none" w:pos="1997" w:val="left"/>
        </w:tabs>
        <w:numPr>
          <w:ilvl w:val="1"/>
          <w:numId w:val="44"/>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143" w:lineRule="exact"/>
        <w:rPr>
          <w:rFonts w:ascii="Arial" w:cs="Arial" w:eastAsia="Arial" w:hAnsi="Arial"/>
          <w:sz w:val="18"/>
          <w:szCs w:val="18"/>
          <w:color w:val="auto"/>
        </w:rPr>
      </w:pPr>
    </w:p>
    <w:p>
      <w:pPr>
        <w:ind w:left="1940" w:hanging="636"/>
        <w:spacing w:after="0"/>
        <w:tabs>
          <w:tab w:leader="none" w:pos="1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7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in response to the travel restrictions, decreased demand and other effects the COVID-19 pandemic has had and is expected to have on our business, we have obtained and currently anticipate that it may be necessary to continue to obtain a significant amount of additional financing from a variety of sources.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and issuance of significant additional indebtedness or equity and could impose significant covenants and restrictions to which we are not currently subject. In particular, in connection with the financial assistance we have received through PSP1, PSP2 and PSP3, we are required to comply with the relevant provisions of the CARES Act, the PSP Extension Law and the ARP, including the requirement that funds provided pursuant to PSP1, PSP2 and PSP3 be used exclusively for the continuation of payment of eligible employee wages, salaries and benefits; the requirement against involuntary furloughs and reductions in employee pay rates and benefits through at least September 30, 2021; provisions prohibiting the repurchase of AAG common stock and the payment of common stock dividends through September 30, 2022; and restrictions on the payment of certain executive compensation until April 1, 2023. Additionally, under PSP1, PSP2 and PSP3, we and certain of our subsidiaries are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obligations discussed above, including those imposed as a result of the CARES Act, the PSP Extension Law, the ARP and any additional financings we may be required to undertake as a result of the impact of the COVID-19 pandemic, could also impact our ability to obtain additional financing, if needed, and our flexibility in the conduct of our business, and could materially adversely affect our liquidity, results of operations and financial condition.</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5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unclear whether new methods of calculating LIBOR will be established such that it continues to exist after 2023.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the Secured Overnight Financing Rate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June 30, 2021, we had $12.2 billion of borrowings based on LIBOR. The replacement of LIBOR with a comparable or successor rate could cause the amount of interest payable on our long-term debt to be different or higher than expected.</w:t>
      </w:r>
    </w:p>
    <w:p>
      <w:pPr>
        <w:spacing w:after="0" w:line="209"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January 2021, we made $241 million in contributions to our pension plans, including a contribution of $130 million for the 2020 calendar year that was permitted to be deferred to January 4, 2021 as provided under the CARES Act. On March 11, 2021, the ARP was enacted, which included funding relief provisions benefiting single employer qualified retirement benefit pension plans such as those sponsored by American. Based on our current understanding of the ARP provisions applicable to our pension plans, we will have no additional funding requirements for 2021. In addition, we have significant obligations for retiree medical and other postretirement benefits. Additionally, we participate in the IAM National Pension Fund (the IAM Pension Fund). The funding status of the IAM Pension Fund is subject to the risk that other employers may not meet their obligations, which under certain circumstances could cause our obligations to increase. Furthermore, if we were to withdraw from the IAM Pension Fund, if the IAM Pension fund were to terminate, or if the IAM Pension Fund were to undergo a mass withdrawal, we could be subject to liability as imposed by law.</w:t>
      </w:r>
    </w:p>
    <w:p>
      <w:pPr>
        <w:spacing w:after="0" w:line="215"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or the triggering of a liquidity covenant. In light of the effect the COVID-19 pandemic is having on demand for air travel and, in turn, capacity, we have seen an increase in demand from consumers for refunds on their tickets, and we anticipate this will continue to be the case for the near future. Requests for refunds and the ongoing impact of the COVID-19 pandemic on our longer-term financial performance may reduce our liquidity and cause us to be forced to post cash or other collateral with the credit card processing companies in respect of advance ticket sales. The imposition of holdback requirements,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p>
    <w:p>
      <w:pPr>
        <w:spacing w:after="0" w:line="213"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and develop additional qualified personnel could adversely affect our business.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We may not be successful in attracting, developing or retaining key personnel or other highly qualified personnel. Among other things, the CARES Act, the PSP Extension Law and the ARP impose significant restrictions on executive compensation, which will remain in place until April 1, 2023. Such restrictions, over time, will likely result in lower executive compensation in the airline industry than is prevailing in other industries, creating increasing retention challenges in the case of executives presented with alternative, non-airline opportunities. Any inability to attract, develop and retain significant numbers of qualified management and other personnel would have a material adverse effect on our business, results of operations and financial condition.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58"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44"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effects of the ongoing COVID-19 pandemic;</w:t>
      </w:r>
    </w:p>
    <w:p>
      <w:pPr>
        <w:spacing w:after="0" w:line="171"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4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In addition to the effects of the ongoing COVID-19 pandemic,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See also </w:t>
      </w:r>
      <w:r>
        <w:rPr>
          <w:rFonts w:ascii="Arial" w:cs="Arial" w:eastAsia="Arial" w:hAnsi="Arial"/>
          <w:sz w:val="18"/>
          <w:szCs w:val="18"/>
          <w:i w:val="1"/>
          <w:iCs w:val="1"/>
          <w:color w:val="auto"/>
        </w:rPr>
        <w:t>"The outbreak and global spread of COVID-19 has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As a result of these or other conditions beyond</w:t>
      </w:r>
      <w:r>
        <w:rPr>
          <w:rFonts w:ascii="Arial" w:cs="Arial" w:eastAsia="Arial" w:hAnsi="Arial"/>
          <w:sz w:val="18"/>
          <w:szCs w:val="18"/>
          <w:i w:val="1"/>
          <w:iCs w:val="1"/>
          <w:color w:val="auto"/>
        </w:rPr>
        <w:t xml:space="preserve"> </w:t>
      </w:r>
      <w:r>
        <w:rPr>
          <w:rFonts w:ascii="Arial" w:cs="Arial" w:eastAsia="Arial" w:hAnsi="Arial"/>
          <w:sz w:val="18"/>
          <w:szCs w:val="18"/>
          <w:color w:val="auto"/>
        </w:rPr>
        <w:t>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6"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2020 Form 10-K.</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2020 Form 10-K.</w:t>
      </w:r>
    </w:p>
    <w:p>
      <w:pPr>
        <w:spacing w:after="0" w:line="15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of December 31, 2020, approximately 84% of our employees were represented for collective bargaining purposes by labor unions. Currently, we believe our labor costs are generally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have materially impacted demand for services provided by our regional carriers and, as a result, we have significantly reduced our regional capacity and expect to maintain these reduced levels of capacity for the foreseeable future. We expect the disruption to services resulting from the COVID-19 pandemic to continue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5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In addition, we operate in a highly visible industry that has significant exposure to social media. Negative publicity, including as a result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13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 and in particular airline travel, and these negative perceptions could continue even after the pandemic subsides. Actual or perceived risk of infection on our flights has had, and may continue to have, a material adverse effect on the public's perception of us, which has harmed, and may continue to harm, our reputation and business. We have taken various measures to reassure our team members and the traveling public of the safety of air travel, including requirements that passengers wear face coverings, the provision of protective equipment for team members and enhanced cleaning procedures onboard aircraft and in airports. We expect that we will continue to incur COVID-19 related costs as we sanitize aircraft, implement additional hygiene -related protocols and take other actions to limit the threat of infection among our employees and passengers. However, we cannot assure that these or any other actions we might take in response to the COVID-19 pandemic will be sufficient to restore the confidence of consumers in the safety of air travel.</w:t>
      </w:r>
    </w:p>
    <w:p>
      <w:pPr>
        <w:spacing w:after="0" w:line="21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employees.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While we have to date successfully integrated many of our computer, communication and other technology systems in connection with the merger of US Airways and American,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implementations will be a complex and time-consuming project involving substantial expenditures for implementation consultants, system hardware, software and implementation activities, as well as the transformation of business and financial processes.</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0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changing (whether it be increasing,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 demand for air travel recovers, assuming this change remains in place.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6"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we have used certain of our branding and AAdvantage loyalty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loyalty program. These covenants may have an adverse effect on our ability to use such intellectual property.</w:t>
      </w:r>
    </w:p>
    <w:p>
      <w:pPr>
        <w:spacing w:after="0" w:line="209"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11 to each of AAG and American's Condensed Consolidated Financial Statements in Part I, Item 1A and Part I, Item 1B, respectively.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2020, we had approximately $16.5 billion of federal NOLs available to reduce future federal taxable income, of which $8.5 billion will expire beginning in 2023 if unused and $8.0 billion can be carried forward indefinitely. We also had approximately $5.0 billion of NOL Carryforwards to reduce future state taxable income at December 31, 2020, which will expire in taxable years 2020 through 2040 if unused. Our NOL Carryforwards are subject to adjustment on audit by the Internal Revenue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Service and the respective state taxing authorities. Additionally, due to the COVID-19 pandemic and other economic factors, the NOL Carryforwards may expire before we can generate sufficient taxable income to use them.</w:t>
      </w:r>
    </w:p>
    <w:p>
      <w:pPr>
        <w:spacing w:after="0" w:line="14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ability to use our NOL Carryforwards will depend on the amount of taxable income generated in future periods. We presently have a $34 million valuation allowance on certain net deferred tax assets related to state NOL Carryforwards. If our financial results continue to be adversely impacted by the COVID-19 pandemic, there can be no assurance that an additional valuation allowance on our net deferred tax assets will not be required. Such valuation allowance could be material.</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$7.0 billion of unlimited NOLs still remaining at December 31, 2020)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the warrants (and common stock issuable upon exercise thereof) we issued to Treasury did not and will not result in an ownership change for purposes of Section 382. This exception does not apply for companies issuing warrants, stock options, common or preferred stock or other equity pursuant to PSP1, PSP2 and PSP3 and accordingly will not apply to the warrants issued by us under PSP1, PSP2 and PSP3.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5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which are scheduled to expire on December 31, 2021.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 See also “</w:t>
      </w:r>
      <w:r>
        <w:rPr>
          <w:rFonts w:ascii="Arial" w:cs="Arial" w:eastAsia="Arial" w:hAnsi="Arial"/>
          <w:sz w:val="18"/>
          <w:szCs w:val="18"/>
          <w:i w:val="1"/>
          <w:iCs w:val="1"/>
          <w:color w:val="auto"/>
        </w:rPr>
        <w:t>Certain provisions of AAG’s Certificate of Incorporation and Bylaws make it difficult for stockholders to change the composition of our Board</w:t>
      </w:r>
      <w:r>
        <w:rPr>
          <w:rFonts w:ascii="Arial" w:cs="Arial" w:eastAsia="Arial" w:hAnsi="Arial"/>
          <w:sz w:val="18"/>
          <w:szCs w:val="18"/>
          <w:color w:val="auto"/>
        </w:rPr>
        <w:t xml:space="preserve"> </w:t>
      </w:r>
      <w:r>
        <w:rPr>
          <w:rFonts w:ascii="Arial" w:cs="Arial" w:eastAsia="Arial" w:hAnsi="Arial"/>
          <w:sz w:val="18"/>
          <w:szCs w:val="18"/>
          <w:i w:val="1"/>
          <w:iCs w:val="1"/>
          <w:color w:val="auto"/>
        </w:rPr>
        <w:t>of Directors and may discourage takeover attempts that some of our stockholders might consider beneficial</w:t>
      </w:r>
      <w:r>
        <w:rPr>
          <w:rFonts w:ascii="Arial" w:cs="Arial" w:eastAsia="Arial" w:hAnsi="Arial"/>
          <w:sz w:val="18"/>
          <w:szCs w:val="18"/>
          <w:color w:val="auto"/>
        </w:rPr>
        <w:t>.”</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In 2020, we recorded a $1.5 billion impairment charge associated with our decision to retire certain mainline aircraft, principally Airbus A330-200, Boeing 757, Boeing 767, Airbus A330-300 and Embraer 190 aircraft as well as regional aircraft, including certain Embraer 140 and Bombardier CRJ200 aircraft, earlier than previously planned as a result of the severe decline in demand for air travel due to the COVID-19 pandemic. We can provide no assurance that a material impairment loss of tangible or intangible assets will not occur in a future period, and the risk of future material impairments has been significantly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heightened as result of the effects of the COVID-19 pandemic on our flight schedules and business. Such impairment charges could have a material adverse effect on our business, results of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Airline Industry</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the current one caused by the COVID-19 pandemic), as airlines under financial stress, or in bankruptcy, may institute pricing or fee structures intended to attract more customers to achieve near term survival at the expense of long-term viability.</w:t>
      </w:r>
    </w:p>
    <w:p>
      <w:pPr>
        <w:spacing w:after="0" w:line="1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recently commenced operations. Many of these new and existing carriers have announced growth strategies including commitments to acquire significant numbers of new aircraft for delivery in the next few years. These low-cost carriers are attempting to continue to increase their market share through growth and several new entrants have announced their intention to start up new ultra-low-cost carriers and, potentially,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with the delivery of planned, long-range narrowbody aircraft. The actions of existing or future low-cost carriers, including those described above, could have a material adverse effect on our operations and financial performance.</w:t>
      </w:r>
    </w:p>
    <w:p>
      <w:pPr>
        <w:spacing w:after="0" w:line="15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provide air travel internationally, directly as well as through joint businesses,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continuing outbreak of COVID-19 and the speed with which demand for travel to these regions returns.</w:t>
      </w:r>
    </w:p>
    <w:p>
      <w:pPr>
        <w:spacing w:after="0" w:line="15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has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which may result in increases in our costs, disruptions to our operations, limits on our operating flexibility, reductions in the demand for air travel, and competitive disadvantages.”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each of which has been granted antitrust immunity. The transatlantic joint business benefits from a grant of antitrust immunity from the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joint business. We continue to fully cooperate with the CMA and, in September 2020, the CMA adopted interim measures that effectively extend the EC commitments for an additional three years until March 2024 in light of the uncertainty created by the COVID-19 pandemic. The CMA plans to complete its investigation before the interim measures expire. The foregoing arrangements are important aspects of our international network and we are dependent on the performance and continued cooperation of the other airlines party to those arrangements.</w:t>
      </w:r>
    </w:p>
    <w:p>
      <w:pPr>
        <w:spacing w:after="0" w:line="15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2020, we entered into an expanded marketing relationship with Alaska Airlines. This arrangement expands our existing codeshare relationship, including codeshare on certain of our international routes from SEA and LAX, and provides for reciprocal loyalty program benefits and shared lounge access. Pursuant to federal law, American and Alaska Airlines submitted this proposed arrangement to the DOT for review. After the DOT allowed the review period to expire with no further actions, American and Alaska Airlines commenced implementation of this arrangement.</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Also, in 2020, we announced our intention to enter into a marketing relationship with JetBlue. This arrangement includes an alliance agreement with reciprocal codesharing on domestic and certain international routes from New York (JFK, LGA, and EWR) and BOS, and provides for reciprocal loyalty program benefits. The arrangement does not include JetBlue’s future transatlantic flying. Pursuant to federal law, American and JetBlue submitted this proposed alliance arrangement to the DOT for review. After American, JetBlue and the DOT agreed to a series of commitments, the DOT terminated its review of the proposed alliance. The commitments include growth commitments to ensure capacity expansion, slot divestitures at JFK and at DCA near Washington, D.C. and antitrust compliance measures. Beyond this agreement with the DOT, American and JetBlue will also be refraining from certain kinds of coordination on certain city pair markets. In addition to the DOT review, the U.S. Department of Justice and the New York Attorney General, the Massachusetts Attorney General, and the Attorneys General of certain other state and local jurisdictions are investigating this proposed alliance, which investigations remain ongoing. American and JetBlue intend to cooperate with those investigations, but are proceeding with plans to implement this alliance.</w:t>
      </w:r>
    </w:p>
    <w:p>
      <w:pPr>
        <w:spacing w:after="0" w:line="15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Notwithstanding the DOT’s termination of its reviews of the Alaska Airlines and JetBlue alliances, the DOT maintains authority to conduct investigations under the scope of its existing statutes and regulations, including conduct related to these alliances.</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or not regulators will, or if granted continue to, approve or impose material conditions on our business activities.</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decrease our overall market share and revenues. Such consolidation is not limited to the U.S., but could include further consolidation among international carriers in Europe and elsewhere.</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AAdvantage Financing, which contains covenants that impose restrictions on certain amendments or changes to certain of our AAdvantage Agreements and other aspects of the AAdvantage loyalty program. These competitive factors and covenants (to the extent applicable) may affect our ability to attract and retain customers, increase usage of our loyalty program and maximize the revenue generated by our loyalty program.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commercial relationships that we have with other airlines, including any related equity investment, may not produce the returns or results we expect.</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instance involving China Southern Airlines, by making a significant equity investment in another airline in connection with initiating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In addition, as a result of the global spread of COVID-19, the industry has experienced a precipitous decline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 relationships or the maintenance or expansion of existing relationships. These events could have a material adverse effect on our business, results of operations and financial condition.</w:t>
      </w:r>
    </w:p>
    <w:p>
      <w:pPr>
        <w:spacing w:after="0" w:line="21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5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w:t>
      </w:r>
    </w:p>
    <w:p>
      <w:pPr>
        <w:spacing w:after="0" w:line="14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restrict the sulfur content allowable in marine fuels from 3.5% to 0.5%, which is expected to cause increased demand by maritime shipping companies for low-sulfur fuel and potentially lead to increased costs of aircraft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5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We do not currently view the market opportunities to hedge fuel prices as attractive because, among other things, our future fuel needs remain unclear due to uncertainties regarding air travel demand and any hedging would potentially require significant capital or collateral to be placed at risk. Accordingly, as of June 30, 2021,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FAA, the Transportation Security Administration, the Department of Homeland Security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types altogether (including, for example, the March 2019 grounding of all Boeing 737 MAX Family aircraft, which remained in place for over a year and was not lifted in the United States until November 2020),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 In 2021, the FAA is expected to issue a number of rules that will impact us, including regulations mandating certain rest requirements for flight attendants.</w:t>
      </w:r>
    </w:p>
    <w:p>
      <w:pPr>
        <w:spacing w:after="0" w:line="15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In 2021, the DOT is expected to implement a number of new regulations that will impact us, including disability rules for accessible lavatories and wheelchair assistance, and refunds for checked bag fees in the event of certain delays in delivery.</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These initiatives include increasingly stringent laws to protect the environment, wage/hour requirements, mandatory paid sick or family leave, and health care mandates. These laws could affect our relationship with our workforce and the vendors that serve our airlines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w:t>
      </w:r>
    </w:p>
    <w:p>
      <w:pPr>
        <w:spacing w:after="0" w:line="154"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44" w:lineRule="exact"/>
        <w:rPr>
          <w:sz w:val="20"/>
          <w:szCs w:val="20"/>
          <w:color w:val="auto"/>
        </w:rPr>
      </w:pPr>
    </w:p>
    <w:p>
      <w:pPr>
        <w:ind w:left="1300" w:hanging="644"/>
        <w:spacing w:after="0" w:line="261" w:lineRule="auto"/>
        <w:tabs>
          <w:tab w:leader="none" w:pos="12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43" w:lineRule="exact"/>
        <w:rPr>
          <w:rFonts w:ascii="Arial" w:cs="Arial" w:eastAsia="Arial" w:hAnsi="Arial"/>
          <w:sz w:val="18"/>
          <w:szCs w:val="18"/>
          <w:color w:val="auto"/>
        </w:rPr>
      </w:pPr>
    </w:p>
    <w:p>
      <w:pPr>
        <w:jc w:val="both"/>
        <w:ind w:left="1300" w:right="20" w:hanging="644"/>
        <w:spacing w:after="0" w:line="256" w:lineRule="auto"/>
        <w:tabs>
          <w:tab w:leader="none" w:pos="12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related to any of the foregoing (including our arrangements with JetBlue);</w:t>
      </w:r>
    </w:p>
    <w:p>
      <w:pPr>
        <w:spacing w:after="0" w:line="147"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00" w:hanging="644"/>
        <w:spacing w:after="0" w:line="261"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related to COVID-19, including the imposition of preflight testing regimes or vaccination confirmation requirements which have to date and may in the future have the effect of reducing demand for air travel in the markets where such requirements are imposed.</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4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5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5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Brexit occurred on January 31, 2020 under the terms of the agreement on the withdrawal of the United Kingdom of Great Britain and Northern Ireland from the EU and the European Atomic Energy Community (the Withdrawal Agreement). The Withdrawal Agreement provided for a transition period that ended on December 31, 2020. Prior to the end of the transition period, on December 24, 2020, EU and United Kingdom negotiators agreed to a new trade and cooperation agreement, which was signed on December 30, 2020 (the EU-UK Trade and Cooperation Agreement). The EU-UK Trade and Cooperation Agreement was provisionally applied as of January 1, 2021 and entered into force on May 1, 2021.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have severely impacted the demand for international travel and have resulted in the imposition of significant governmental restrictions on commercial air service to or from certain regions. We have responded by suspending a significant portion of our long-haul international flights through the summer of 2021 and delaying the introduction of certain new long-haul international routes. We can provide no assurance as to when such restrictions will be eased or lifted, when demand for international travel will return to pre-COVID-19 pandemic levels, if at all, or whether certain international destinations we previously served will be economical in the future.</w:t>
      </w:r>
    </w:p>
    <w:p>
      <w:pPr>
        <w:spacing w:after="0" w:line="15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could materially increase the amounts we pay for them. In particular, on October 2,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In October 2019, the USTR imposed tariffs on certain imports from the EU, including on certain Airbus aircraft that we previously contracted to purchase; these aircraft were initially subject to an ad valorem duty of 10% that was subsequently increased to 15% in March 2020. In January 2021, the USTR expanded the scope of the 15% tariff to apply to certain imported aircraft parts in addition to imported aircraft. In June 2021, the United States and the EU announced an agreement to suspend the imposition of these tariffs. Nonetheless, if and to the extent any of these tariffs are in fact imposed on us without any available means for us to mitigate or pass on the burden of these tariffs to Airbus, the effective cost of new Airbus aircraft required to implement our fleet plan would increase.</w:t>
      </w:r>
    </w:p>
    <w:p>
      <w:pPr>
        <w:spacing w:after="0" w:line="15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Brexit occurred on January 31, 2020 under the terms of the Withdrawal Agreement. The Withdrawal Agreement provided for a transition period that ended on December 31, 2020. Prior to the end of the transition period, on December 24, 2020, EU and United Kingdom negotiators agreed to the EU-UK Trade and Cooperation Agreement, which was signed on December 30, 2020. The EU-UK Trade and Cooperation Agreement was provisionally applied as of January 1, 2021 and entered into force on May 1, 2021. We face risks associated with Brexit, notably given the extent of our passenger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This could materially adversely affect our business, results of operations and financial condition.</w:t>
      </w:r>
    </w:p>
    <w:p>
      <w:pPr>
        <w:spacing w:after="0" w:line="15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Moreover, Brexit could adversely affect European or worldwide economic or market conditions and could contribute to further instability in global financial markets. In addition,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Brexit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joint business. We continue to fully cooperate with the CMA and, in September 2020, the CMA adopted interim measures that effectively extend the EC commitments for an additional three years until March 2024 in light of the uncertainty created by the COVID-19 pandemic. The CMA plans to complete its investigation before the interim measures expire.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15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7"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0"/>
        <w:spacing w:after="0" w:line="298"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emissions, changing consumer preferences and the potential increased impacts of severe weather events on our operations and infrastructure.</w:t>
      </w:r>
    </w:p>
    <w:p>
      <w:pPr>
        <w:spacing w:after="0" w:line="16" w:lineRule="exact"/>
        <w:rPr>
          <w:sz w:val="20"/>
          <w:szCs w:val="20"/>
          <w:color w:val="auto"/>
        </w:rPr>
      </w:pPr>
    </w:p>
    <w:p>
      <w:pPr>
        <w:jc w:val="both"/>
        <w:ind w:firstLine="243"/>
        <w:spacing w:after="0" w:line="229" w:lineRule="auto"/>
        <w:rPr>
          <w:sz w:val="20"/>
          <w:szCs w:val="20"/>
          <w:color w:val="auto"/>
        </w:rPr>
      </w:pPr>
      <w:r>
        <w:rPr>
          <w:rFonts w:ascii="Arial" w:cs="Arial" w:eastAsia="Arial" w:hAnsi="Arial"/>
          <w:sz w:val="18"/>
          <w:szCs w:val="18"/>
          <w:color w:val="auto"/>
        </w:rPr>
        <w:t>Efforts to transition to a low-carbon future have increased the focus by global, regional and national regulators on climate change and greenhouse gas (GHG) emissions, including carbon dioxide (CO</w:t>
      </w:r>
      <w:r>
        <w:rPr>
          <w:rFonts w:ascii="Arial" w:cs="Arial" w:eastAsia="Arial" w:hAnsi="Arial"/>
          <w:sz w:val="23"/>
          <w:szCs w:val="23"/>
          <w:color w:val="auto"/>
          <w:vertAlign w:val="subscript"/>
        </w:rPr>
        <w:t>2</w:t>
      </w:r>
      <w:r>
        <w:rPr>
          <w:rFonts w:ascii="Arial" w:cs="Arial" w:eastAsia="Arial" w:hAnsi="Arial"/>
          <w:sz w:val="18"/>
          <w:szCs w:val="18"/>
          <w:color w:val="auto"/>
        </w:rPr>
        <w:t>) emissions. In particular, the International Civil Aviation Organization has adopted rules, including those pertaining to the Carbon Offsetting and Reduction Scheme for International Aviation (CORSIA), which will require American to address the growth 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of a significant majority of our international flights. For more information on CORSIA, see </w:t>
      </w:r>
      <w:r>
        <w:rPr>
          <w:rFonts w:ascii="Arial" w:cs="Arial" w:eastAsia="Arial" w:hAnsi="Arial"/>
          <w:sz w:val="18"/>
          <w:szCs w:val="18"/>
          <w:i w:val="1"/>
          <w:iCs w:val="1"/>
          <w:color w:val="auto"/>
        </w:rPr>
        <w:t>“Aircraft Emissions and Climate Change Requirements”</w:t>
      </w:r>
      <w:r>
        <w:rPr>
          <w:rFonts w:ascii="Arial" w:cs="Arial" w:eastAsia="Arial" w:hAnsi="Arial"/>
          <w:sz w:val="18"/>
          <w:szCs w:val="18"/>
          <w:color w:val="auto"/>
        </w:rPr>
        <w:t xml:space="preserve"> under Part I, Item 1. Business – Domestic and Global Regulatory Landscape – Environmental Matters in our 2020 Form 10-K.</w:t>
      </w:r>
    </w:p>
    <w:p>
      <w:pPr>
        <w:spacing w:after="0" w:line="163"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because it is difficult to estimate the return of demand for international air travel during and in the recovery from the COVID-19 pandemic. There is also significant uncertainty with respect to the future supply and price of carbon offset credits and sustainable or lower carbon aircraft fuels that could allow us to reduce our emissions of CO</w:t>
      </w:r>
      <w:r>
        <w:rPr>
          <w:rFonts w:ascii="Arial" w:cs="Arial" w:eastAsia="Arial" w:hAnsi="Arial"/>
          <w:sz w:val="23"/>
          <w:szCs w:val="23"/>
          <w:color w:val="auto"/>
          <w:vertAlign w:val="subscript"/>
        </w:rPr>
        <w:t>2</w:t>
      </w:r>
      <w:r>
        <w:rPr>
          <w:rFonts w:ascii="Arial" w:cs="Arial" w:eastAsia="Arial" w:hAnsi="Arial"/>
          <w:sz w:val="18"/>
          <w:szCs w:val="18"/>
          <w:color w:val="auto"/>
        </w:rPr>
        <w:t>. In addition, we will not directly control our CORSIA compliance costs through 2029 because those obligations are based on the growth in emissions of the global aviation sector and begin to incorporate a factor for individual airline operator emissions growth beginning in 2030.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6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could affect global competitors differently without offering meaningful aviation environmental improvements.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January 2021, the U.S. Environmental Protection Agency (EPA) adopted GHG emission standards for new aircraft engines designed to implement the ICAO standard, which are aligned with the 2017 ICAO airplane engine GHG emission standards. Like the ICAO standards, the final EPA standards would not apply to engines on in-service aircraft. The final standards have been challenged by several states and environmental groups, and the Biden administration has issued an executive order requiring a review of these final standards along with others issued by the prior administration. On February 17, 2021, the United States Court of Appeals for the District of Columbia Circuit ordered to hold the challenge by the states and environmental groups in abeyance pending EPA's review. The outcome of the legal challenge and administrative review cannot be predicted at this time.</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Growing recognition among consumers of the dangers of climate change may mean some customers choose to fly less frequently or fly on an airline they perceive as operating in a manner that is more sustainable to the climate. Business customers may choose to use alternatives to travel, such as virtual meetings and workspaces. Greater development of high-speed rail in markets now served by short-haul flights could provide passengers with lower-carbon alternatives to flying with us. Our collateral to secure loans, in the form of aircraft, spare parts and airport slots, could lose value as customer demand shifts and economies move to low-carbon alternatives, which may increase our financing cost.</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the canceling of flights,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and well as civil liability.</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sites, although such costs currently are not expected to have a material adverse effect on our business.</w:t>
      </w:r>
    </w:p>
    <w:p>
      <w:pPr>
        <w:spacing w:after="0" w:line="15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airspace and airports we utilize.</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as of the end of 2020 all of our mainline aircraft were manufactured by either Airbus or Boeing and all of our regional aircraft were manufactured by either Bombardier or Embraer. Further, our supplier base continues to consolidate as evidenced by the recent acquisition of Rockwell Collins by United Technologies, the recent transactions involving Airbus and Bombardier and Bombardier and Mitsubishi.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 For instance, in March 2019, the FAA ordered the grounding of all Boeing 737 MAX Family aircraft, which remained in place for over a year and was not lifted in the United States until November 2020, and more recently in April 2021, we removed from operations, pending ongoing inspection and investigation, a subset of our Boeing 737 MAX Family aircraft after receipt of notice from Boeing of a potential electrical power system issue relating to those aircraft. The limited number of these suppliers may also result in reduced competition and potentially higher prices than if the supplier base was less concentrated.</w:t>
      </w:r>
    </w:p>
    <w:p>
      <w:pPr>
        <w:spacing w:after="0" w:line="215"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Family aircraft, including the 24 aircraft in our fleet at the time of the grounding, and which caused us to be unable to take delivery of the Boeing 737 MAX Family aircraft we had on order from Boeing.</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5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1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and our business partners have been the target of cybersecurity attacks and data breaches in the past and expect that we will continue to be in the future.</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cybersecurity incident involving us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For example, in March 2021, a sub-set of AAdvantage members as well as members of several other major airline loyalty programs received a notification about a security incident involving a limited amount of loyalty data held by a service provider.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w:t>
      </w:r>
    </w:p>
    <w:p>
      <w:pPr>
        <w:spacing w:after="0" w:line="155"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Accordingly, failure to appropriately address these issues could result in material financial and other liabilities and cause significant reputational harm to our company.</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John F. Kennedy International Airport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we cannot predict whether such exemptions will continue to be granted or whether we ultimately could be at risk of losing valuable operating rights.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gates and other facilities are currently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in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able to recover all of these charges from our customers. Increases in such taxes, fees and charges could negatively impact our business, results of operations and financial condition.</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1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144"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or the U.S. and global economies;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54" w:lineRule="auto"/>
        <w:tabs>
          <w:tab w:leader="none" w:pos="1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 (which we have suspended for an indefinite period in accordance with the applicable requirements under the CARES Act, the PSP Extension Law and the ARP);</w:t>
      </w:r>
    </w:p>
    <w:p>
      <w:pPr>
        <w:spacing w:after="0" w:line="149"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jc w:val="both"/>
        <w:ind w:left="1300" w:hanging="644"/>
        <w:spacing w:after="0" w:line="254" w:lineRule="auto"/>
        <w:tabs>
          <w:tab w:leader="none" w:pos="1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or will issue in connection with our receipt of funds under the CARES Act, the PSP Extension Law and the ARP;</w:t>
      </w:r>
    </w:p>
    <w:p>
      <w:pPr>
        <w:spacing w:after="0" w:line="149"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ind w:left="1300" w:right="60" w:hanging="644"/>
        <w:spacing w:after="0" w:line="253" w:lineRule="auto"/>
        <w:tabs>
          <w:tab w:leader="none" w:pos="1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closing price of our common stock on Nasdaq varied from $9.04 to $30.47 during 2020 and $15.00 to $25.82 during 2021 year-to-date through July 16, 2021. At times during this period, fluctuations in our stock price have been rapid, imposing risks on investors due to the possibility of significant, short-term price volatility. While we believe that this wide range of trading prices is broadly indicative of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216"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b w:val="1"/>
          <w:bCs w:val="1"/>
          <w:i w:val="1"/>
          <w:iCs w:val="1"/>
          <w:color w:val="auto"/>
        </w:rPr>
        <w:t>We have ceased making repurchases of our common stock and paying dividends on our common stock as required by the CARES Act, the PSP Extension Law and the ARP. Following the end of those restrictions, if we do decide to make repurchases of or pay dividends on our common stock, we cannot guarantee that we will continue to do so or that our capital deployment program will enhance long-term stockholder value.</w:t>
      </w:r>
    </w:p>
    <w:p>
      <w:pPr>
        <w:spacing w:after="0" w:line="6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the financial assistance provided under PSP1, PSP2 and PSP3, we agreed not to repurchase shares of AAG common stock through September 30, 2022.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such as the requirements of the CARES Act, the PSP Extension Law, the ARP and other relevant factors. Our repurchase of AAG common stock may be limited, suspended or discontinued at any time at our discretion and without prior notice.</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the financial assistance provided under PSP1, PSP2 and PSP3, we agreed not to pay dividends on AAG common stock through September 30, 2022.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212"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and AAG’s Description of the Registrants’ Securities Registered Pursuant to Section 12 of the Securities Exchange Act of 1934, which is filed as Exhibit 4.1 in our 2020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48"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43"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CARES Act, the PSP Extension Law, the ARP, PSP1, PSP2 and PSP3, could depress the trading price of our common stock and the Convertible Notes.</w:t>
      </w:r>
    </w:p>
    <w:p>
      <w:pPr>
        <w:spacing w:after="0" w:line="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PSP1, PSP2 or PSP3). If these additional shares or securities are issued or sold, or if it is perceived that they will be sold, into the public market or otherwise, the price of our common stock and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Convertible Notes could decline substantially.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2" w:lineRule="exact"/>
        <w:rPr>
          <w:sz w:val="20"/>
          <w:szCs w:val="20"/>
          <w:color w:val="auto"/>
        </w:rPr>
      </w:pPr>
    </w:p>
    <w:p>
      <w:pPr>
        <w:jc w:val="both"/>
        <w:ind w:firstLine="243"/>
        <w:spacing w:after="0" w:line="265" w:lineRule="auto"/>
        <w:rPr>
          <w:sz w:val="20"/>
          <w:szCs w:val="20"/>
          <w:color w:val="auto"/>
        </w:rPr>
      </w:pPr>
      <w:r>
        <w:rPr>
          <w:rFonts w:ascii="Arial" w:cs="Arial" w:eastAsia="Arial" w:hAnsi="Arial"/>
          <w:sz w:val="17"/>
          <w:szCs w:val="17"/>
          <w:color w:val="auto"/>
        </w:rPr>
        <w:t>We are party to that certain Credit and Guaranty Agreement, dated as of April 29, 2016, among American as the Borrower, AAG as Parent and a Guarantor, certain other subsidiaries of AAG as Guarantors, the lenders party thereto, Barclays Bank PLC, as Administrative Agent and Collateral Agent, and certain other parties thereto (as amended, the April 2016 Credit Agreement). The April 2016 Credit Agreement has been filed as Exhibits 10.25 through 10.30 to our 2020 Form 10-K. Pursuant to the April 2016 Credit Agreement, as of June 30, 2021, we had</w:t>
      </w:r>
    </w:p>
    <w:p>
      <w:pPr>
        <w:spacing w:after="0" w:line="1" w:lineRule="exact"/>
        <w:rPr>
          <w:sz w:val="20"/>
          <w:szCs w:val="20"/>
          <w:color w:val="auto"/>
        </w:rPr>
      </w:pPr>
    </w:p>
    <w:p>
      <w:pPr>
        <w:jc w:val="both"/>
        <w:ind w:firstLine="8"/>
        <w:spacing w:after="0" w:line="254" w:lineRule="auto"/>
        <w:tabs>
          <w:tab w:leader="none" w:pos="2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outstanding term loans in the aggregate principal amount of $950 million which bore interest at a variable rate of interest then equal to 2.10% per annum and with a final maturity of 2023, and (b) revolving credit loans available to us in the aggregate principal amount of $450 million, none of which was drawn or outstanding. On July 22, 2021, we repaid in full at par and terminated the term loan. The revolving credit facility component of the April 2016 Credit Agreement, which has a final maturity of October 2024, remains in place.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6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0"/>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right="360" w:hanging="741"/>
        <w:spacing w:after="0" w:line="235"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w:anchor="page113">
        <w:r>
          <w:rPr>
            <w:rFonts w:ascii="Arial" w:cs="Arial" w:eastAsia="Arial" w:hAnsi="Arial"/>
            <w:sz w:val="18"/>
            <w:szCs w:val="18"/>
            <w:u w:val="single" w:color="auto"/>
            <w:color w:val="0000FF"/>
          </w:rPr>
          <w:t>Warrant Agreement, dated as of April 23, 2021, between American Airlines Group Inc. and the United States Department of the</w:t>
        </w:r>
      </w:hyperlink>
      <w:r>
        <w:rPr>
          <w:rFonts w:ascii="Arial" w:cs="Arial" w:eastAsia="Arial" w:hAnsi="Arial"/>
          <w:sz w:val="18"/>
          <w:szCs w:val="18"/>
          <w:u w:val="single" w:color="auto"/>
          <w:color w:val="0000FF"/>
        </w:rPr>
        <w:t xml:space="preserve"> </w:t>
      </w:r>
      <w:hyperlink w:anchor="page113">
        <w:r>
          <w:rPr>
            <w:rFonts w:ascii="Arial" w:cs="Arial" w:eastAsia="Arial" w:hAnsi="Arial"/>
            <w:sz w:val="18"/>
            <w:szCs w:val="18"/>
            <w:u w:val="single" w:color="auto"/>
            <w:color w:val="0000FF"/>
          </w:rPr>
          <w:t>Treasury.</w:t>
        </w:r>
      </w:hyperlink>
    </w:p>
    <w:p>
      <w:pPr>
        <w:spacing w:after="0" w:line="27" w:lineRule="exact"/>
        <w:rPr>
          <w:sz w:val="20"/>
          <w:szCs w:val="20"/>
          <w:color w:val="auto"/>
        </w:rPr>
      </w:pPr>
    </w:p>
    <w:p>
      <w:pPr>
        <w:ind w:left="20"/>
        <w:spacing w:after="0"/>
        <w:tabs>
          <w:tab w:leader="none" w:pos="740" w:val="left"/>
        </w:tabs>
        <w:rPr>
          <w:rFonts w:ascii="Arial" w:cs="Arial" w:eastAsia="Arial" w:hAnsi="Arial"/>
          <w:sz w:val="17"/>
          <w:szCs w:val="17"/>
          <w:u w:val="single" w:color="auto"/>
          <w:color w:val="0000FF"/>
        </w:rPr>
      </w:pPr>
      <w:r>
        <w:rPr>
          <w:rFonts w:ascii="Arial" w:cs="Arial" w:eastAsia="Arial" w:hAnsi="Arial"/>
          <w:sz w:val="18"/>
          <w:szCs w:val="18"/>
          <w:color w:val="auto"/>
        </w:rPr>
        <w:t>4.2</w:t>
      </w:r>
      <w:r>
        <w:rPr>
          <w:sz w:val="20"/>
          <w:szCs w:val="20"/>
          <w:color w:val="auto"/>
        </w:rPr>
        <w:tab/>
      </w:r>
      <w:hyperlink w:anchor="page113">
        <w:r>
          <w:rPr>
            <w:rFonts w:ascii="Arial" w:cs="Arial" w:eastAsia="Arial" w:hAnsi="Arial"/>
            <w:sz w:val="17"/>
            <w:szCs w:val="17"/>
            <w:u w:val="single" w:color="auto"/>
            <w:color w:val="0000FF"/>
          </w:rPr>
          <w:t>Form of PSP3 Warrant (incorporated by reference to Annex B to Exhibit 4.1 filed herein).</w:t>
        </w:r>
      </w:hyperlink>
    </w:p>
    <w:p>
      <w:pPr>
        <w:spacing w:after="0" w:line="36" w:lineRule="exact"/>
        <w:rPr>
          <w:sz w:val="20"/>
          <w:szCs w:val="20"/>
          <w:color w:val="auto"/>
        </w:rPr>
      </w:pPr>
    </w:p>
    <w:p>
      <w:pPr>
        <w:ind w:left="760" w:right="860" w:hanging="741"/>
        <w:spacing w:after="0" w:line="235"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164">
        <w:r>
          <w:rPr>
            <w:rFonts w:ascii="Arial" w:cs="Arial" w:eastAsia="Arial" w:hAnsi="Arial"/>
            <w:sz w:val="18"/>
            <w:szCs w:val="18"/>
            <w:u w:val="single" w:color="auto"/>
            <w:color w:val="0000FF"/>
          </w:rPr>
          <w:t>Payroll Support Program 3 Agreement, dated as of April 23, 2021, between American Airlines, Inc. and the United States</w:t>
        </w:r>
      </w:hyperlink>
      <w:r>
        <w:rPr>
          <w:rFonts w:ascii="Arial" w:cs="Arial" w:eastAsia="Arial" w:hAnsi="Arial"/>
          <w:sz w:val="18"/>
          <w:szCs w:val="18"/>
          <w:u w:val="single" w:color="auto"/>
          <w:color w:val="0000FF"/>
        </w:rPr>
        <w:t xml:space="preserve"> </w:t>
      </w:r>
      <w:hyperlink w:anchor="page164">
        <w:r>
          <w:rPr>
            <w:rFonts w:ascii="Arial" w:cs="Arial" w:eastAsia="Arial" w:hAnsi="Arial"/>
            <w:sz w:val="18"/>
            <w:szCs w:val="18"/>
            <w:u w:val="single" w:color="auto"/>
            <w:color w:val="0000FF"/>
          </w:rPr>
          <w:t>Department of the Treasury.</w:t>
        </w:r>
      </w:hyperlink>
    </w:p>
    <w:p>
      <w:pPr>
        <w:spacing w:after="0" w:line="27" w:lineRule="exact"/>
        <w:rPr>
          <w:sz w:val="20"/>
          <w:szCs w:val="20"/>
          <w:color w:val="auto"/>
        </w:rPr>
      </w:pPr>
    </w:p>
    <w:p>
      <w:pPr>
        <w:ind w:left="760" w:right="340" w:hanging="741"/>
        <w:spacing w:after="0" w:line="229"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w:anchor="page181">
        <w:r>
          <w:rPr>
            <w:rFonts w:ascii="Arial" w:cs="Arial" w:eastAsia="Arial" w:hAnsi="Arial"/>
            <w:sz w:val="18"/>
            <w:szCs w:val="18"/>
            <w:u w:val="single" w:color="auto"/>
            <w:color w:val="0000FF"/>
          </w:rPr>
          <w:t>Promissory Note, dated as of April 23, 2021, issued by American Airlines Group Inc. in the name of the United States</w:t>
        </w:r>
      </w:hyperlink>
      <w:r>
        <w:rPr>
          <w:rFonts w:ascii="Arial" w:cs="Arial" w:eastAsia="Arial" w:hAnsi="Arial"/>
          <w:sz w:val="18"/>
          <w:szCs w:val="18"/>
          <w:u w:val="single" w:color="auto"/>
          <w:color w:val="0000FF"/>
        </w:rPr>
        <w:t xml:space="preserve"> </w:t>
      </w:r>
      <w:hyperlink w:anchor="page181">
        <w:r>
          <w:rPr>
            <w:rFonts w:ascii="Arial" w:cs="Arial" w:eastAsia="Arial" w:hAnsi="Arial"/>
            <w:sz w:val="18"/>
            <w:szCs w:val="18"/>
            <w:u w:val="single" w:color="auto"/>
            <w:color w:val="0000FF"/>
          </w:rPr>
          <w:t>Department of the Treasury and guaranteed by American Airlines, Inc., Envoy Air Inc., Piedmont Airlines, Inc. and PSA Airlines,</w:t>
        </w:r>
      </w:hyperlink>
      <w:r>
        <w:rPr>
          <w:rFonts w:ascii="Arial" w:cs="Arial" w:eastAsia="Arial" w:hAnsi="Arial"/>
          <w:sz w:val="18"/>
          <w:szCs w:val="18"/>
          <w:u w:val="single" w:color="auto"/>
          <w:color w:val="0000FF"/>
        </w:rPr>
        <w:t xml:space="preserve"> </w:t>
      </w:r>
      <w:hyperlink w:anchor="page181">
        <w:r>
          <w:rPr>
            <w:rFonts w:ascii="Arial" w:cs="Arial" w:eastAsia="Arial" w:hAnsi="Arial"/>
            <w:sz w:val="18"/>
            <w:szCs w:val="18"/>
            <w:u w:val="single" w:color="auto"/>
            <w:color w:val="0000FF"/>
          </w:rPr>
          <w:t>Inc.</w:t>
        </w:r>
      </w:hyperlink>
    </w:p>
    <w:p>
      <w:pPr>
        <w:spacing w:after="0" w:line="29" w:lineRule="exact"/>
        <w:rPr>
          <w:rFonts w:ascii="Arial" w:cs="Arial" w:eastAsia="Arial" w:hAnsi="Arial"/>
          <w:sz w:val="18"/>
          <w:szCs w:val="18"/>
          <w:u w:val="single" w:color="auto"/>
          <w:color w:val="0000FF"/>
        </w:rPr>
      </w:pPr>
    </w:p>
    <w:p>
      <w:pPr>
        <w:ind w:left="760" w:right="980" w:hanging="741"/>
        <w:spacing w:after="0" w:line="235"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w:anchor="page198">
        <w:r>
          <w:rPr>
            <w:rFonts w:ascii="Arial" w:cs="Arial" w:eastAsia="Arial" w:hAnsi="Arial"/>
            <w:sz w:val="18"/>
            <w:szCs w:val="18"/>
            <w:u w:val="single" w:color="auto"/>
            <w:color w:val="0000FF"/>
          </w:rPr>
          <w:t>Amendment 2, dated as of June 28, 2021, to the Letter Agreement No. AAL-LA-2100511, dated as of March 9, 2021, to</w:t>
        </w:r>
      </w:hyperlink>
      <w:r>
        <w:rPr>
          <w:rFonts w:ascii="Arial" w:cs="Arial" w:eastAsia="Arial" w:hAnsi="Arial"/>
          <w:sz w:val="18"/>
          <w:szCs w:val="18"/>
          <w:u w:val="single" w:color="auto"/>
          <w:color w:val="0000FF"/>
        </w:rPr>
        <w:t xml:space="preserve"> </w:t>
      </w:r>
      <w:hyperlink w:anchor="page198">
        <w:r>
          <w:rPr>
            <w:rFonts w:ascii="Arial" w:cs="Arial" w:eastAsia="Arial" w:hAnsi="Arial"/>
            <w:sz w:val="18"/>
            <w:szCs w:val="18"/>
            <w:u w:val="single" w:color="auto"/>
            <w:color w:val="0000FF"/>
          </w:rPr>
          <w:t>Purchase Agreement No. 3219 by and between American Airlines, Inc. and The Boeing Company.*</w:t>
        </w:r>
      </w:hyperlink>
    </w:p>
    <w:p>
      <w:pPr>
        <w:spacing w:after="0" w:line="27" w:lineRule="exact"/>
        <w:rPr>
          <w:sz w:val="20"/>
          <w:szCs w:val="20"/>
          <w:color w:val="auto"/>
        </w:rPr>
      </w:pPr>
    </w:p>
    <w:p>
      <w:pPr>
        <w:ind w:left="760" w:right="200" w:hanging="741"/>
        <w:spacing w:after="0" w:line="22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w:anchor="page200">
        <w:r>
          <w:rPr>
            <w:rFonts w:ascii="Arial" w:cs="Arial" w:eastAsia="Arial" w:hAnsi="Arial"/>
            <w:sz w:val="18"/>
            <w:szCs w:val="18"/>
            <w:u w:val="single" w:color="auto"/>
            <w:color w:val="0000FF"/>
          </w:rPr>
          <w:t>Supplemental Agreement No. 16, dated as of May 21, 2021, to Purchase Agreement No. 3219 dated as of October 15, 2008, by</w:t>
        </w:r>
      </w:hyperlink>
      <w:r>
        <w:rPr>
          <w:rFonts w:ascii="Arial" w:cs="Arial" w:eastAsia="Arial" w:hAnsi="Arial"/>
          <w:sz w:val="18"/>
          <w:szCs w:val="18"/>
          <w:u w:val="single" w:color="auto"/>
          <w:color w:val="0000FF"/>
        </w:rPr>
        <w:t xml:space="preserve"> </w:t>
      </w:r>
      <w:hyperlink w:anchor="page200">
        <w:r>
          <w:rPr>
            <w:rFonts w:ascii="Arial" w:cs="Arial" w:eastAsia="Arial" w:hAnsi="Arial"/>
            <w:sz w:val="18"/>
            <w:szCs w:val="18"/>
            <w:u w:val="single" w:color="auto"/>
            <w:color w:val="0000FF"/>
          </w:rPr>
          <w:t>and between American Airlines, Inc. and The Boeing Company.*</w:t>
        </w:r>
      </w:hyperlink>
    </w:p>
    <w:p>
      <w:pPr>
        <w:spacing w:after="0" w:line="13" w:lineRule="exact"/>
        <w:rPr>
          <w:sz w:val="20"/>
          <w:szCs w:val="20"/>
          <w:color w:val="auto"/>
        </w:rPr>
      </w:pPr>
    </w:p>
    <w:p>
      <w:pPr>
        <w:ind w:left="760" w:right="200" w:hanging="741"/>
        <w:spacing w:after="0" w:line="22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w:anchor="page224">
        <w:r>
          <w:rPr>
            <w:rFonts w:ascii="Arial" w:cs="Arial" w:eastAsia="Arial" w:hAnsi="Arial"/>
            <w:sz w:val="18"/>
            <w:szCs w:val="18"/>
            <w:u w:val="single" w:color="auto"/>
            <w:color w:val="0000FF"/>
          </w:rPr>
          <w:t>Supplemental Agreement No. 19, dated as of April 8, 2021, to Purchase Agreement No. 03735 dated as of February 1, 2013, by</w:t>
        </w:r>
      </w:hyperlink>
      <w:r>
        <w:rPr>
          <w:rFonts w:ascii="Arial" w:cs="Arial" w:eastAsia="Arial" w:hAnsi="Arial"/>
          <w:sz w:val="18"/>
          <w:szCs w:val="18"/>
          <w:u w:val="single" w:color="auto"/>
          <w:color w:val="0000FF"/>
        </w:rPr>
        <w:t xml:space="preserve"> </w:t>
      </w:r>
      <w:hyperlink w:anchor="page224">
        <w:r>
          <w:rPr>
            <w:rFonts w:ascii="Arial" w:cs="Arial" w:eastAsia="Arial" w:hAnsi="Arial"/>
            <w:sz w:val="18"/>
            <w:szCs w:val="18"/>
            <w:u w:val="single" w:color="auto"/>
            <w:color w:val="0000FF"/>
          </w:rPr>
          <w:t>and between American Airlines, Inc. and The Boeing Company.*</w:t>
        </w:r>
      </w:hyperlink>
    </w:p>
    <w:p>
      <w:pPr>
        <w:spacing w:after="0" w:line="13" w:lineRule="exact"/>
        <w:rPr>
          <w:sz w:val="20"/>
          <w:szCs w:val="20"/>
          <w:color w:val="auto"/>
        </w:rPr>
      </w:pPr>
    </w:p>
    <w:p>
      <w:pPr>
        <w:ind w:left="20"/>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237">
        <w:r>
          <w:rPr>
            <w:rFonts w:ascii="Arial" w:cs="Arial" w:eastAsia="Arial" w:hAnsi="Arial"/>
            <w:sz w:val="18"/>
            <w:szCs w:val="18"/>
            <w:u w:val="single" w:color="auto"/>
            <w:color w:val="0000FF"/>
          </w:rPr>
          <w:t>Certification of AAG Chief Executive Officer pursuant to Rule 13a-14(a).</w:t>
        </w:r>
      </w:hyperlink>
    </w:p>
    <w:p>
      <w:pPr>
        <w:spacing w:after="0" w:line="23" w:lineRule="exact"/>
        <w:rPr>
          <w:sz w:val="20"/>
          <w:szCs w:val="20"/>
          <w:color w:val="auto"/>
        </w:rPr>
      </w:pPr>
    </w:p>
    <w:p>
      <w:pPr>
        <w:ind w:left="20"/>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238">
        <w:r>
          <w:rPr>
            <w:rFonts w:ascii="Arial" w:cs="Arial" w:eastAsia="Arial" w:hAnsi="Arial"/>
            <w:sz w:val="18"/>
            <w:szCs w:val="18"/>
            <w:u w:val="single" w:color="auto"/>
            <w:color w:val="0000FF"/>
          </w:rPr>
          <w:t>Certification of AAG Chief Financial Officer pursuant to Rule 13a-14(a).</w:t>
        </w:r>
      </w:hyperlink>
    </w:p>
    <w:p>
      <w:pPr>
        <w:spacing w:after="0" w:line="23" w:lineRule="exact"/>
        <w:rPr>
          <w:sz w:val="20"/>
          <w:szCs w:val="20"/>
          <w:color w:val="auto"/>
        </w:rPr>
      </w:pPr>
    </w:p>
    <w:p>
      <w:pPr>
        <w:ind w:left="20"/>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31.3</w:t>
      </w:r>
      <w:r>
        <w:rPr>
          <w:sz w:val="20"/>
          <w:szCs w:val="20"/>
          <w:color w:val="auto"/>
        </w:rPr>
        <w:tab/>
      </w:r>
      <w:hyperlink w:anchor="page239">
        <w:r>
          <w:rPr>
            <w:rFonts w:ascii="Arial" w:cs="Arial" w:eastAsia="Arial" w:hAnsi="Arial"/>
            <w:sz w:val="18"/>
            <w:szCs w:val="18"/>
            <w:u w:val="single" w:color="auto"/>
            <w:color w:val="0000FF"/>
          </w:rPr>
          <w:t>Certification of American Chief Executive Officer pursuant to Rule 13a-14(a).</w:t>
        </w:r>
      </w:hyperlink>
    </w:p>
    <w:p>
      <w:pPr>
        <w:spacing w:after="0" w:line="23" w:lineRule="exact"/>
        <w:rPr>
          <w:sz w:val="20"/>
          <w:szCs w:val="20"/>
          <w:color w:val="auto"/>
        </w:rPr>
      </w:pPr>
    </w:p>
    <w:p>
      <w:pPr>
        <w:ind w:left="20"/>
        <w:spacing w:after="0"/>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hyperlink w:anchor="page240">
        <w:r>
          <w:rPr>
            <w:rFonts w:ascii="Arial" w:cs="Arial" w:eastAsia="Arial" w:hAnsi="Arial"/>
            <w:sz w:val="18"/>
            <w:szCs w:val="18"/>
            <w:u w:val="single" w:color="auto"/>
            <w:color w:val="0000FF"/>
          </w:rPr>
          <w:t>Certification of American Chief Financial Officer pursuant to Rule 13a-14(a).</w:t>
        </w:r>
      </w:hyperlink>
    </w:p>
    <w:p>
      <w:pPr>
        <w:spacing w:after="0" w:line="23" w:lineRule="exact"/>
        <w:rPr>
          <w:sz w:val="20"/>
          <w:szCs w:val="20"/>
          <w:color w:val="auto"/>
        </w:rPr>
      </w:pPr>
    </w:p>
    <w:p>
      <w:pPr>
        <w:ind w:left="760" w:right="200" w:hanging="741"/>
        <w:spacing w:after="0" w:line="22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241">
        <w:r>
          <w:rPr>
            <w:rFonts w:ascii="Arial" w:cs="Arial" w:eastAsia="Arial" w:hAnsi="Arial"/>
            <w:sz w:val="18"/>
            <w:szCs w:val="18"/>
            <w:u w:val="single" w:color="auto"/>
            <w:color w:val="0000FF"/>
          </w:rPr>
          <w:t>AAG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241">
        <w:r>
          <w:rPr>
            <w:rFonts w:ascii="Arial" w:cs="Arial" w:eastAsia="Arial" w:hAnsi="Arial"/>
            <w:sz w:val="18"/>
            <w:szCs w:val="18"/>
            <w:u w:val="single" w:color="auto"/>
            <w:color w:val="0000FF"/>
          </w:rPr>
          <w:t>section 1350, chapter 63 of title 18, United States Code).</w:t>
        </w:r>
      </w:hyperlink>
    </w:p>
    <w:p>
      <w:pPr>
        <w:spacing w:after="0" w:line="13" w:lineRule="exact"/>
        <w:rPr>
          <w:sz w:val="20"/>
          <w:szCs w:val="20"/>
          <w:color w:val="auto"/>
        </w:rPr>
      </w:pPr>
    </w:p>
    <w:p>
      <w:pPr>
        <w:ind w:left="760" w:right="200" w:hanging="741"/>
        <w:spacing w:after="0" w:line="22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242">
        <w:r>
          <w:rPr>
            <w:rFonts w:ascii="Arial" w:cs="Arial" w:eastAsia="Arial" w:hAnsi="Arial"/>
            <w:sz w:val="18"/>
            <w:szCs w:val="18"/>
            <w:u w:val="single" w:color="auto"/>
            <w:color w:val="0000FF"/>
          </w:rPr>
          <w:t>American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242">
        <w:r>
          <w:rPr>
            <w:rFonts w:ascii="Arial" w:cs="Arial" w:eastAsia="Arial" w:hAnsi="Arial"/>
            <w:sz w:val="18"/>
            <w:szCs w:val="18"/>
            <w:u w:val="single" w:color="auto"/>
            <w:color w:val="0000FF"/>
          </w:rPr>
          <w:t>section 1350, chapter 63 of title 18, United States Code).</w:t>
        </w:r>
      </w:hyperlink>
    </w:p>
    <w:p>
      <w:pPr>
        <w:spacing w:after="0" w:line="13" w:lineRule="exact"/>
        <w:rPr>
          <w:sz w:val="20"/>
          <w:szCs w:val="20"/>
          <w:color w:val="auto"/>
        </w:rPr>
      </w:pPr>
    </w:p>
    <w:p>
      <w:pPr>
        <w:ind w:left="760" w:right="200" w:hanging="741"/>
        <w:spacing w:after="0" w:line="227" w:lineRule="auto"/>
        <w:tabs>
          <w:tab w:leader="none" w:pos="740" w:val="left"/>
        </w:tabs>
        <w:rPr>
          <w:sz w:val="20"/>
          <w:szCs w:val="20"/>
          <w:color w:val="auto"/>
        </w:rPr>
      </w:pPr>
      <w:r>
        <w:rPr>
          <w:rFonts w:ascii="Arial" w:cs="Arial" w:eastAsia="Arial" w:hAnsi="Arial"/>
          <w:sz w:val="18"/>
          <w:szCs w:val="18"/>
          <w:color w:val="auto"/>
        </w:rPr>
        <w:t>101.1</w:t>
        <w:tab/>
        <w:t>Interactive data files pursuant to Rule 405 of Regulation S-T, formatted in Inline XBRL (eXtensible Business Reporting Language).</w:t>
      </w:r>
    </w:p>
    <w:p>
      <w:pPr>
        <w:spacing w:after="0" w:line="13"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104.1</w:t>
        <w:tab/>
        <w:t>Cover page interactive data file (formatted in Inline XBRL and contained in Exhibit 101.1).</w:t>
      </w:r>
    </w:p>
    <w:p>
      <w:pPr>
        <w:spacing w:after="0" w:line="171" w:lineRule="exact"/>
        <w:rPr>
          <w:sz w:val="20"/>
          <w:szCs w:val="20"/>
          <w:color w:val="auto"/>
        </w:rPr>
      </w:pPr>
    </w:p>
    <w:p>
      <w:pPr>
        <w:ind w:firstLine="8"/>
        <w:spacing w:after="0" w:line="261" w:lineRule="auto"/>
        <w:tabs>
          <w:tab w:leader="none" w:pos="1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agreement has been omitted because it (i) is not material and (ii) would be competitively harmful if publicly disclosed.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500" w:type="dxa"/>
            <w:vAlign w:val="bottom"/>
          </w:tcPr>
          <w:p>
            <w:pPr>
              <w:ind w:left="300"/>
              <w:spacing w:after="0"/>
              <w:rPr>
                <w:sz w:val="20"/>
                <w:szCs w:val="20"/>
                <w:color w:val="auto"/>
              </w:rPr>
            </w:pPr>
            <w:r>
              <w:rPr>
                <w:rFonts w:ascii="Arial" w:cs="Arial" w:eastAsia="Arial" w:hAnsi="Arial"/>
                <w:sz w:val="18"/>
                <w:szCs w:val="18"/>
                <w:b w:val="1"/>
                <w:bCs w:val="1"/>
                <w:color w:val="auto"/>
              </w:rPr>
              <w:t>American Airlines Group Inc.</w:t>
            </w:r>
          </w:p>
        </w:tc>
      </w:tr>
      <w:tr>
        <w:trPr>
          <w:trHeight w:val="499"/>
        </w:trPr>
        <w:tc>
          <w:tcPr>
            <w:tcW w:w="3140" w:type="dxa"/>
            <w:vAlign w:val="bottom"/>
          </w:tcPr>
          <w:p>
            <w:pPr>
              <w:spacing w:after="0"/>
              <w:rPr>
                <w:sz w:val="20"/>
                <w:szCs w:val="20"/>
                <w:color w:val="auto"/>
              </w:rPr>
            </w:pPr>
            <w:r>
              <w:rPr>
                <w:rFonts w:ascii="Arial" w:cs="Arial" w:eastAsia="Arial" w:hAnsi="Arial"/>
                <w:sz w:val="18"/>
                <w:szCs w:val="18"/>
                <w:color w:val="auto"/>
              </w:rPr>
              <w:t>Date: July 22, 2021</w:t>
            </w:r>
          </w:p>
        </w:tc>
        <w:tc>
          <w:tcPr>
            <w:tcW w:w="2000" w:type="dxa"/>
            <w:vAlign w:val="bottom"/>
          </w:tcPr>
          <w:p>
            <w:pPr>
              <w:ind w:left="160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Derek J. Kerr</w:t>
            </w:r>
          </w:p>
        </w:tc>
      </w:tr>
      <w:tr>
        <w:trPr>
          <w:trHeight w:val="223"/>
        </w:trPr>
        <w:tc>
          <w:tcPr>
            <w:tcW w:w="3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Derek J. Kerr</w:t>
            </w:r>
          </w:p>
        </w:tc>
      </w:tr>
      <w:tr>
        <w:trPr>
          <w:trHeight w:val="230"/>
        </w:trPr>
        <w:tc>
          <w:tcPr>
            <w:tcW w:w="3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line="215" w:lineRule="exact"/>
        <w:rPr>
          <w:sz w:val="20"/>
          <w:szCs w:val="20"/>
          <w:color w:val="auto"/>
        </w:rPr>
      </w:pPr>
    </w:p>
    <w:p>
      <w:pPr>
        <w:ind w:firstLine="243"/>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500" w:type="dxa"/>
            <w:vAlign w:val="bottom"/>
          </w:tcPr>
          <w:p>
            <w:pPr>
              <w:ind w:left="300"/>
              <w:spacing w:after="0"/>
              <w:rPr>
                <w:sz w:val="20"/>
                <w:szCs w:val="20"/>
                <w:color w:val="auto"/>
              </w:rPr>
            </w:pPr>
            <w:r>
              <w:rPr>
                <w:rFonts w:ascii="Arial" w:cs="Arial" w:eastAsia="Arial" w:hAnsi="Arial"/>
                <w:sz w:val="18"/>
                <w:szCs w:val="18"/>
                <w:b w:val="1"/>
                <w:bCs w:val="1"/>
                <w:color w:val="auto"/>
              </w:rPr>
              <w:t>American Airlines, Inc.</w:t>
            </w:r>
          </w:p>
        </w:tc>
      </w:tr>
      <w:tr>
        <w:trPr>
          <w:trHeight w:val="500"/>
        </w:trPr>
        <w:tc>
          <w:tcPr>
            <w:tcW w:w="3140" w:type="dxa"/>
            <w:vAlign w:val="bottom"/>
          </w:tcPr>
          <w:p>
            <w:pPr>
              <w:spacing w:after="0"/>
              <w:rPr>
                <w:sz w:val="20"/>
                <w:szCs w:val="20"/>
                <w:color w:val="auto"/>
              </w:rPr>
            </w:pPr>
            <w:r>
              <w:rPr>
                <w:rFonts w:ascii="Arial" w:cs="Arial" w:eastAsia="Arial" w:hAnsi="Arial"/>
                <w:sz w:val="18"/>
                <w:szCs w:val="18"/>
                <w:color w:val="auto"/>
              </w:rPr>
              <w:t>Date: July 22, 2021</w:t>
            </w:r>
          </w:p>
        </w:tc>
        <w:tc>
          <w:tcPr>
            <w:tcW w:w="2000" w:type="dxa"/>
            <w:vAlign w:val="bottom"/>
          </w:tcPr>
          <w:p>
            <w:pPr>
              <w:ind w:left="160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Derek J. Kerr</w:t>
            </w:r>
          </w:p>
        </w:tc>
      </w:tr>
      <w:tr>
        <w:trPr>
          <w:trHeight w:val="223"/>
        </w:trPr>
        <w:tc>
          <w:tcPr>
            <w:tcW w:w="3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Derek J. Kerr</w:t>
            </w:r>
          </w:p>
        </w:tc>
      </w:tr>
      <w:tr>
        <w:trPr>
          <w:trHeight w:val="230"/>
        </w:trPr>
        <w:tc>
          <w:tcPr>
            <w:tcW w:w="3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1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4.1</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1738630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19685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113" w:name="page114"/>
    <w:bookmarkEnd w:id="11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480" w:type="dxa"/>
            <w:vAlign w:val="bottom"/>
          </w:tcPr>
          <w:p>
            <w:pPr>
              <w:jc w:val="center"/>
              <w:ind w:left="1972"/>
              <w:spacing w:after="0"/>
              <w:rPr>
                <w:sz w:val="20"/>
                <w:szCs w:val="20"/>
                <w:color w:val="auto"/>
              </w:rPr>
            </w:pPr>
            <w:r>
              <w:rPr>
                <w:rFonts w:ascii="Arial" w:cs="Arial" w:eastAsia="Arial" w:hAnsi="Arial"/>
                <w:sz w:val="22"/>
                <w:szCs w:val="22"/>
                <w:b w:val="1"/>
                <w:bCs w:val="1"/>
                <w:color w:val="auto"/>
                <w:w w:val="97"/>
              </w:rPr>
              <w:t>TABLE OF CONTENTS</w:t>
            </w:r>
          </w:p>
        </w:tc>
        <w:tc>
          <w:tcPr>
            <w:tcW w:w="2400" w:type="dxa"/>
            <w:vAlign w:val="bottom"/>
            <w:vMerge w:val="restart"/>
          </w:tcPr>
          <w:p>
            <w:pPr>
              <w:jc w:val="right"/>
              <w:ind w:right="12"/>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70"/>
        </w:trPr>
        <w:tc>
          <w:tcPr>
            <w:tcW w:w="8480" w:type="dxa"/>
            <w:vAlign w:val="bottom"/>
            <w:vMerge w:val="restart"/>
          </w:tcPr>
          <w:p>
            <w:pPr>
              <w:jc w:val="center"/>
              <w:ind w:left="1932"/>
              <w:spacing w:after="0"/>
              <w:rPr>
                <w:sz w:val="20"/>
                <w:szCs w:val="20"/>
                <w:color w:val="auto"/>
              </w:rPr>
            </w:pPr>
            <w:r>
              <w:rPr>
                <w:rFonts w:ascii="Arial" w:cs="Arial" w:eastAsia="Arial" w:hAnsi="Arial"/>
                <w:sz w:val="22"/>
                <w:szCs w:val="22"/>
                <w:color w:val="auto"/>
                <w:w w:val="98"/>
              </w:rPr>
              <w:t>Article I</w:t>
            </w: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848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80" w:type="dxa"/>
            <w:vAlign w:val="bottom"/>
          </w:tcPr>
          <w:p>
            <w:pPr>
              <w:jc w:val="center"/>
              <w:ind w:left="1972"/>
              <w:spacing w:after="0"/>
              <w:rPr>
                <w:sz w:val="20"/>
                <w:szCs w:val="20"/>
                <w:color w:val="auto"/>
              </w:rPr>
            </w:pPr>
            <w:r>
              <w:rPr>
                <w:rFonts w:ascii="Arial" w:cs="Arial" w:eastAsia="Arial" w:hAnsi="Arial"/>
                <w:sz w:val="22"/>
                <w:szCs w:val="22"/>
                <w:color w:val="auto"/>
                <w:w w:val="92"/>
              </w:rPr>
              <w:t>Closing</w:t>
            </w: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480" w:type="dxa"/>
            <w:vAlign w:val="bottom"/>
          </w:tcPr>
          <w:p>
            <w:pPr>
              <w:spacing w:after="0"/>
              <w:rPr>
                <w:sz w:val="20"/>
                <w:szCs w:val="20"/>
                <w:color w:val="auto"/>
              </w:rPr>
            </w:pPr>
            <w:r>
              <w:rPr>
                <w:rFonts w:ascii="Arial" w:cs="Arial" w:eastAsia="Arial" w:hAnsi="Arial"/>
                <w:sz w:val="22"/>
                <w:szCs w:val="22"/>
                <w:color w:val="auto"/>
              </w:rPr>
              <w:t>1.1 Issuance</w:t>
            </w:r>
          </w:p>
        </w:tc>
        <w:tc>
          <w:tcPr>
            <w:tcW w:w="240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84"/>
        </w:trPr>
        <w:tc>
          <w:tcPr>
            <w:tcW w:w="8480" w:type="dxa"/>
            <w:vAlign w:val="bottom"/>
          </w:tcPr>
          <w:p>
            <w:pPr>
              <w:spacing w:after="0"/>
              <w:rPr>
                <w:sz w:val="20"/>
                <w:szCs w:val="20"/>
                <w:color w:val="auto"/>
              </w:rPr>
            </w:pPr>
            <w:r>
              <w:rPr>
                <w:rFonts w:ascii="Arial" w:cs="Arial" w:eastAsia="Arial" w:hAnsi="Arial"/>
                <w:sz w:val="22"/>
                <w:szCs w:val="22"/>
                <w:color w:val="auto"/>
              </w:rPr>
              <w:t>1.2 Initial Closing; Warrant Closing Date</w:t>
            </w:r>
          </w:p>
        </w:tc>
        <w:tc>
          <w:tcPr>
            <w:tcW w:w="240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1.3 Interpretation</w:t>
            </w:r>
          </w:p>
        </w:tc>
        <w:tc>
          <w:tcPr>
            <w:tcW w:w="240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16"/>
        </w:trPr>
        <w:tc>
          <w:tcPr>
            <w:tcW w:w="8480" w:type="dxa"/>
            <w:vAlign w:val="bottom"/>
          </w:tcPr>
          <w:p>
            <w:pPr>
              <w:jc w:val="center"/>
              <w:ind w:left="1972"/>
              <w:spacing w:after="0" w:line="216" w:lineRule="exact"/>
              <w:rPr>
                <w:sz w:val="20"/>
                <w:szCs w:val="20"/>
                <w:color w:val="auto"/>
              </w:rPr>
            </w:pPr>
            <w:r>
              <w:rPr>
                <w:rFonts w:ascii="Arial" w:cs="Arial" w:eastAsia="Arial" w:hAnsi="Arial"/>
                <w:sz w:val="22"/>
                <w:szCs w:val="22"/>
                <w:color w:val="auto"/>
              </w:rPr>
              <w:t>Article II</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80" w:type="dxa"/>
            <w:vAlign w:val="bottom"/>
          </w:tcPr>
          <w:p>
            <w:pPr>
              <w:jc w:val="center"/>
              <w:ind w:left="1972"/>
              <w:spacing w:after="0"/>
              <w:rPr>
                <w:sz w:val="20"/>
                <w:szCs w:val="20"/>
                <w:color w:val="auto"/>
              </w:rPr>
            </w:pPr>
            <w:r>
              <w:rPr>
                <w:rFonts w:ascii="Arial" w:cs="Arial" w:eastAsia="Arial" w:hAnsi="Arial"/>
                <w:sz w:val="22"/>
                <w:szCs w:val="22"/>
                <w:color w:val="auto"/>
                <w:w w:val="86"/>
              </w:rPr>
              <w:t>Representations and Warranties</w:t>
            </w: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2.1 Representations and Warranties of the Company</w:t>
            </w:r>
          </w:p>
        </w:tc>
        <w:tc>
          <w:tcPr>
            <w:tcW w:w="240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16"/>
        </w:trPr>
        <w:tc>
          <w:tcPr>
            <w:tcW w:w="8480" w:type="dxa"/>
            <w:vAlign w:val="bottom"/>
          </w:tcPr>
          <w:p>
            <w:pPr>
              <w:jc w:val="center"/>
              <w:ind w:left="1972"/>
              <w:spacing w:after="0" w:line="216" w:lineRule="exact"/>
              <w:rPr>
                <w:sz w:val="20"/>
                <w:szCs w:val="20"/>
                <w:color w:val="auto"/>
              </w:rPr>
            </w:pPr>
            <w:r>
              <w:rPr>
                <w:rFonts w:ascii="Arial" w:cs="Arial" w:eastAsia="Arial" w:hAnsi="Arial"/>
                <w:sz w:val="22"/>
                <w:szCs w:val="22"/>
                <w:color w:val="auto"/>
              </w:rPr>
              <w:t>Article III</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80" w:type="dxa"/>
            <w:vAlign w:val="bottom"/>
          </w:tcPr>
          <w:p>
            <w:pPr>
              <w:jc w:val="center"/>
              <w:ind w:left="1972"/>
              <w:spacing w:after="0"/>
              <w:rPr>
                <w:sz w:val="20"/>
                <w:szCs w:val="20"/>
                <w:color w:val="auto"/>
              </w:rPr>
            </w:pPr>
            <w:r>
              <w:rPr>
                <w:rFonts w:ascii="Arial" w:cs="Arial" w:eastAsia="Arial" w:hAnsi="Arial"/>
                <w:sz w:val="22"/>
                <w:szCs w:val="22"/>
                <w:color w:val="auto"/>
                <w:w w:val="87"/>
              </w:rPr>
              <w:t>Covenants</w:t>
            </w: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480" w:type="dxa"/>
            <w:vAlign w:val="bottom"/>
          </w:tcPr>
          <w:p>
            <w:pPr>
              <w:spacing w:after="0"/>
              <w:rPr>
                <w:sz w:val="20"/>
                <w:szCs w:val="20"/>
                <w:color w:val="auto"/>
              </w:rPr>
            </w:pPr>
            <w:r>
              <w:rPr>
                <w:rFonts w:ascii="Arial" w:cs="Arial" w:eastAsia="Arial" w:hAnsi="Arial"/>
                <w:sz w:val="22"/>
                <w:szCs w:val="22"/>
                <w:color w:val="auto"/>
              </w:rPr>
              <w:t>3.1 Commercially Reasonable Efforts</w:t>
            </w:r>
          </w:p>
        </w:tc>
        <w:tc>
          <w:tcPr>
            <w:tcW w:w="240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83"/>
        </w:trPr>
        <w:tc>
          <w:tcPr>
            <w:tcW w:w="8480" w:type="dxa"/>
            <w:vAlign w:val="bottom"/>
          </w:tcPr>
          <w:p>
            <w:pPr>
              <w:spacing w:after="0"/>
              <w:rPr>
                <w:sz w:val="20"/>
                <w:szCs w:val="20"/>
                <w:color w:val="auto"/>
              </w:rPr>
            </w:pPr>
            <w:r>
              <w:rPr>
                <w:rFonts w:ascii="Arial" w:cs="Arial" w:eastAsia="Arial" w:hAnsi="Arial"/>
                <w:sz w:val="22"/>
                <w:szCs w:val="22"/>
                <w:color w:val="auto"/>
              </w:rPr>
              <w:t>3.2 Expenses</w:t>
            </w:r>
          </w:p>
        </w:tc>
        <w:tc>
          <w:tcPr>
            <w:tcW w:w="240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83"/>
        </w:trPr>
        <w:tc>
          <w:tcPr>
            <w:tcW w:w="8480" w:type="dxa"/>
            <w:vAlign w:val="bottom"/>
          </w:tcPr>
          <w:p>
            <w:pPr>
              <w:spacing w:after="0"/>
              <w:rPr>
                <w:sz w:val="20"/>
                <w:szCs w:val="20"/>
                <w:color w:val="auto"/>
              </w:rPr>
            </w:pPr>
            <w:r>
              <w:rPr>
                <w:rFonts w:ascii="Arial" w:cs="Arial" w:eastAsia="Arial" w:hAnsi="Arial"/>
                <w:sz w:val="22"/>
                <w:szCs w:val="22"/>
                <w:color w:val="auto"/>
              </w:rPr>
              <w:t>3.3 Sufficiency of Authorized Common Stock; Exchange Listing</w:t>
            </w:r>
          </w:p>
        </w:tc>
        <w:tc>
          <w:tcPr>
            <w:tcW w:w="240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16"/>
        </w:trPr>
        <w:tc>
          <w:tcPr>
            <w:tcW w:w="8480" w:type="dxa"/>
            <w:vAlign w:val="bottom"/>
          </w:tcPr>
          <w:p>
            <w:pPr>
              <w:jc w:val="center"/>
              <w:ind w:left="1972"/>
              <w:spacing w:after="0" w:line="216" w:lineRule="exact"/>
              <w:rPr>
                <w:sz w:val="20"/>
                <w:szCs w:val="20"/>
                <w:color w:val="auto"/>
              </w:rPr>
            </w:pPr>
            <w:r>
              <w:rPr>
                <w:rFonts w:ascii="Arial" w:cs="Arial" w:eastAsia="Arial" w:hAnsi="Arial"/>
                <w:sz w:val="22"/>
                <w:szCs w:val="22"/>
                <w:color w:val="auto"/>
                <w:w w:val="99"/>
              </w:rPr>
              <w:t>Article IV</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80" w:type="dxa"/>
            <w:vAlign w:val="bottom"/>
          </w:tcPr>
          <w:p>
            <w:pPr>
              <w:jc w:val="center"/>
              <w:ind w:left="1992"/>
              <w:spacing w:after="0"/>
              <w:rPr>
                <w:sz w:val="20"/>
                <w:szCs w:val="20"/>
                <w:color w:val="auto"/>
              </w:rPr>
            </w:pPr>
            <w:r>
              <w:rPr>
                <w:rFonts w:ascii="Arial" w:cs="Arial" w:eastAsia="Arial" w:hAnsi="Arial"/>
                <w:sz w:val="22"/>
                <w:szCs w:val="22"/>
                <w:color w:val="auto"/>
                <w:w w:val="91"/>
              </w:rPr>
              <w:t>Additional Agreements</w:t>
            </w: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4.1 Investment</w:t>
            </w:r>
          </w:p>
        </w:tc>
        <w:tc>
          <w:tcPr>
            <w:tcW w:w="240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4.2 Legends</w:t>
            </w:r>
          </w:p>
        </w:tc>
        <w:tc>
          <w:tcPr>
            <w:tcW w:w="240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4.3 Certain Transactions</w:t>
            </w:r>
          </w:p>
        </w:tc>
        <w:tc>
          <w:tcPr>
            <w:tcW w:w="240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4.4 Transfer of Warrants and Warrant Shares</w:t>
            </w:r>
          </w:p>
        </w:tc>
        <w:tc>
          <w:tcPr>
            <w:tcW w:w="240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4.5 Registration Rights</w:t>
            </w:r>
          </w:p>
        </w:tc>
        <w:tc>
          <w:tcPr>
            <w:tcW w:w="240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4.6 Voting of Warrant Shares</w:t>
            </w:r>
          </w:p>
        </w:tc>
        <w:tc>
          <w:tcPr>
            <w:tcW w:w="240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16"/>
        </w:trPr>
        <w:tc>
          <w:tcPr>
            <w:tcW w:w="8480" w:type="dxa"/>
            <w:vAlign w:val="bottom"/>
          </w:tcPr>
          <w:p>
            <w:pPr>
              <w:jc w:val="center"/>
              <w:ind w:left="1972"/>
              <w:spacing w:after="0" w:line="216" w:lineRule="exact"/>
              <w:rPr>
                <w:sz w:val="20"/>
                <w:szCs w:val="20"/>
                <w:color w:val="auto"/>
              </w:rPr>
            </w:pPr>
            <w:r>
              <w:rPr>
                <w:rFonts w:ascii="Arial" w:cs="Arial" w:eastAsia="Arial" w:hAnsi="Arial"/>
                <w:sz w:val="22"/>
                <w:szCs w:val="22"/>
                <w:color w:val="auto"/>
                <w:w w:val="97"/>
              </w:rPr>
              <w:t>Article V</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80" w:type="dxa"/>
            <w:vAlign w:val="bottom"/>
          </w:tcPr>
          <w:p>
            <w:pPr>
              <w:jc w:val="center"/>
              <w:ind w:left="1972"/>
              <w:spacing w:after="0"/>
              <w:rPr>
                <w:sz w:val="20"/>
                <w:szCs w:val="20"/>
                <w:color w:val="auto"/>
              </w:rPr>
            </w:pPr>
            <w:r>
              <w:rPr>
                <w:rFonts w:ascii="Arial" w:cs="Arial" w:eastAsia="Arial" w:hAnsi="Arial"/>
                <w:sz w:val="22"/>
                <w:szCs w:val="22"/>
                <w:color w:val="auto"/>
                <w:w w:val="88"/>
              </w:rPr>
              <w:t>Miscellaneous</w:t>
            </w: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480" w:type="dxa"/>
            <w:vAlign w:val="bottom"/>
          </w:tcPr>
          <w:p>
            <w:pPr>
              <w:spacing w:after="0"/>
              <w:rPr>
                <w:sz w:val="20"/>
                <w:szCs w:val="20"/>
                <w:color w:val="auto"/>
              </w:rPr>
            </w:pPr>
            <w:r>
              <w:rPr>
                <w:rFonts w:ascii="Arial" w:cs="Arial" w:eastAsia="Arial" w:hAnsi="Arial"/>
                <w:sz w:val="22"/>
                <w:szCs w:val="22"/>
                <w:color w:val="auto"/>
              </w:rPr>
              <w:t>5.1 Survival of Representations and Warranties</w:t>
            </w:r>
          </w:p>
        </w:tc>
        <w:tc>
          <w:tcPr>
            <w:tcW w:w="240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5.2 Amendment</w:t>
            </w:r>
          </w:p>
        </w:tc>
        <w:tc>
          <w:tcPr>
            <w:tcW w:w="240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64"/>
        </w:trPr>
        <w:tc>
          <w:tcPr>
            <w:tcW w:w="8480" w:type="dxa"/>
            <w:vAlign w:val="bottom"/>
          </w:tcPr>
          <w:p>
            <w:pPr>
              <w:spacing w:after="0"/>
              <w:rPr>
                <w:sz w:val="20"/>
                <w:szCs w:val="20"/>
                <w:color w:val="auto"/>
              </w:rPr>
            </w:pPr>
            <w:r>
              <w:rPr>
                <w:rFonts w:ascii="Arial" w:cs="Arial" w:eastAsia="Arial" w:hAnsi="Arial"/>
                <w:sz w:val="22"/>
                <w:szCs w:val="22"/>
                <w:color w:val="auto"/>
              </w:rPr>
              <w:t>5.3 Waiver of Conditions</w:t>
            </w:r>
          </w:p>
        </w:tc>
        <w:tc>
          <w:tcPr>
            <w:tcW w:w="240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76"/>
        </w:trPr>
        <w:tc>
          <w:tcPr>
            <w:tcW w:w="8480" w:type="dxa"/>
            <w:vAlign w:val="bottom"/>
          </w:tcPr>
          <w:p>
            <w:pPr>
              <w:spacing w:after="0"/>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Governing Law: Submission to Jurisdiction, Etc.</w:t>
            </w:r>
          </w:p>
        </w:tc>
        <w:tc>
          <w:tcPr>
            <w:tcW w:w="240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5.5 Notices</w:t>
            </w:r>
          </w:p>
        </w:tc>
        <w:tc>
          <w:tcPr>
            <w:tcW w:w="240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5.6 Definitions</w:t>
            </w:r>
          </w:p>
        </w:tc>
        <w:tc>
          <w:tcPr>
            <w:tcW w:w="240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5.7 Assignment</w:t>
            </w:r>
          </w:p>
        </w:tc>
        <w:tc>
          <w:tcPr>
            <w:tcW w:w="240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22"/>
                <w:szCs w:val="22"/>
                <w:color w:val="auto"/>
              </w:rPr>
              <w:t>5.8 Severability</w:t>
            </w:r>
          </w:p>
        </w:tc>
        <w:tc>
          <w:tcPr>
            <w:tcW w:w="240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74"/>
        </w:trPr>
        <w:tc>
          <w:tcPr>
            <w:tcW w:w="8480" w:type="dxa"/>
            <w:vAlign w:val="bottom"/>
          </w:tcPr>
          <w:p>
            <w:pPr>
              <w:spacing w:after="0"/>
              <w:rPr>
                <w:sz w:val="20"/>
                <w:szCs w:val="20"/>
                <w:color w:val="auto"/>
              </w:rPr>
            </w:pPr>
            <w:r>
              <w:rPr>
                <w:rFonts w:ascii="Arial" w:cs="Arial" w:eastAsia="Arial" w:hAnsi="Arial"/>
                <w:sz w:val="22"/>
                <w:szCs w:val="22"/>
                <w:color w:val="auto"/>
              </w:rPr>
              <w:t>5.9 No Third Party Beneficiaries</w:t>
            </w:r>
          </w:p>
        </w:tc>
        <w:tc>
          <w:tcPr>
            <w:tcW w:w="240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880"/>
          </w:cols>
          <w:pgMar w:left="660" w:top="1440" w:right="359" w:bottom="1440" w:gutter="0" w:footer="0" w:header="0"/>
        </w:sectPr>
      </w:pPr>
    </w:p>
    <w:bookmarkStart w:id="114" w:name="page115"/>
    <w:bookmarkEnd w:id="114"/>
    <w:p>
      <w:pPr>
        <w:jc w:val="right"/>
        <w:ind w:right="3599"/>
        <w:spacing w:after="0"/>
        <w:rPr>
          <w:sz w:val="20"/>
          <w:szCs w:val="20"/>
          <w:color w:val="auto"/>
        </w:rPr>
      </w:pPr>
      <w:r>
        <w:rPr>
          <w:rFonts w:ascii="Arial" w:cs="Arial" w:eastAsia="Arial" w:hAnsi="Arial"/>
          <w:sz w:val="22"/>
          <w:szCs w:val="22"/>
          <w:color w:val="auto"/>
        </w:rPr>
        <w:t>LIST OF ANNEXES</w:t>
      </w:r>
    </w:p>
    <w:p>
      <w:pPr>
        <w:spacing w:after="0" w:line="220"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ANNEX A:</w:t>
      </w:r>
      <w:r>
        <w:rPr>
          <w:sz w:val="20"/>
          <w:szCs w:val="20"/>
          <w:color w:val="auto"/>
        </w:rPr>
        <w:tab/>
      </w:r>
      <w:r>
        <w:rPr>
          <w:rFonts w:ascii="Arial" w:cs="Arial" w:eastAsia="Arial" w:hAnsi="Arial"/>
          <w:sz w:val="19"/>
          <w:szCs w:val="19"/>
          <w:color w:val="auto"/>
        </w:rPr>
        <w:t>FORM OF OPINION</w:t>
      </w:r>
    </w:p>
    <w:p>
      <w:pPr>
        <w:spacing w:after="0" w:line="220"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ANNEX B:</w:t>
      </w:r>
      <w:r>
        <w:rPr>
          <w:sz w:val="20"/>
          <w:szCs w:val="20"/>
          <w:color w:val="auto"/>
        </w:rPr>
        <w:tab/>
      </w:r>
      <w:r>
        <w:rPr>
          <w:rFonts w:ascii="Arial" w:cs="Arial" w:eastAsia="Arial" w:hAnsi="Arial"/>
          <w:sz w:val="19"/>
          <w:szCs w:val="19"/>
          <w:color w:val="auto"/>
        </w:rPr>
        <w:t>FORM OF WARRANT</w:t>
      </w:r>
    </w:p>
    <w:p>
      <w:pPr>
        <w:spacing w:after="0" w:line="220"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WARRANT SHARES FORMULA</w:t>
      </w:r>
    </w:p>
    <w:p>
      <w:pPr>
        <w:spacing w:after="0" w:line="220"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color w:val="auto"/>
        </w:rPr>
        <w:t>SCHEDULE 2:</w:t>
      </w:r>
      <w:r>
        <w:rPr>
          <w:sz w:val="20"/>
          <w:szCs w:val="20"/>
          <w:color w:val="auto"/>
        </w:rPr>
        <w:tab/>
      </w:r>
      <w:r>
        <w:rPr>
          <w:rFonts w:ascii="Arial" w:cs="Arial" w:eastAsia="Arial" w:hAnsi="Arial"/>
          <w:sz w:val="21"/>
          <w:szCs w:val="21"/>
          <w:color w:val="auto"/>
        </w:rPr>
        <w:t>CAPITALIZATION</w:t>
      </w:r>
    </w:p>
    <w:p>
      <w:pPr>
        <w:spacing w:after="0" w:line="220"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SCHEDULE 3:</w:t>
      </w:r>
      <w:r>
        <w:rPr>
          <w:sz w:val="20"/>
          <w:szCs w:val="20"/>
          <w:color w:val="auto"/>
        </w:rPr>
        <w:tab/>
      </w:r>
      <w:r>
        <w:rPr>
          <w:rFonts w:ascii="Arial" w:cs="Arial" w:eastAsia="Arial" w:hAnsi="Arial"/>
          <w:sz w:val="19"/>
          <w:szCs w:val="19"/>
          <w:color w:val="auto"/>
        </w:rPr>
        <w:t>REQUIRED STOCKHOLDER APPROVALS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428"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80"/>
        </w:trPr>
        <w:tc>
          <w:tcPr>
            <w:tcW w:w="8760" w:type="dxa"/>
            <w:vAlign w:val="bottom"/>
            <w:gridSpan w:val="2"/>
          </w:tcPr>
          <w:p>
            <w:pPr>
              <w:spacing w:after="0"/>
              <w:rPr>
                <w:sz w:val="20"/>
                <w:szCs w:val="20"/>
                <w:color w:val="auto"/>
              </w:rPr>
            </w:pPr>
            <w:r>
              <w:rPr>
                <w:rFonts w:ascii="Arial" w:cs="Arial" w:eastAsia="Arial" w:hAnsi="Arial"/>
                <w:sz w:val="22"/>
                <w:szCs w:val="22"/>
                <w:b w:val="1"/>
                <w:bCs w:val="1"/>
                <w:color w:val="auto"/>
              </w:rPr>
              <w:t>INDEX OF DEFINE TERMS</w:t>
            </w:r>
          </w:p>
        </w:tc>
        <w:tc>
          <w:tcPr>
            <w:tcW w:w="2480" w:type="dxa"/>
            <w:vAlign w:val="bottom"/>
          </w:tcPr>
          <w:p>
            <w:pPr>
              <w:spacing w:after="0"/>
              <w:rPr>
                <w:sz w:val="24"/>
                <w:szCs w:val="24"/>
                <w:color w:val="auto"/>
              </w:rPr>
            </w:pPr>
          </w:p>
        </w:tc>
      </w:tr>
      <w:tr>
        <w:trPr>
          <w:trHeight w:val="285"/>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Term</w:t>
            </w:r>
          </w:p>
        </w:tc>
        <w:tc>
          <w:tcPr>
            <w:tcW w:w="2480" w:type="dxa"/>
            <w:vAlign w:val="bottom"/>
          </w:tcPr>
          <w:p>
            <w:pPr>
              <w:ind w:left="60"/>
              <w:spacing w:after="0"/>
              <w:rPr>
                <w:sz w:val="20"/>
                <w:szCs w:val="20"/>
                <w:color w:val="auto"/>
              </w:rPr>
            </w:pPr>
            <w:r>
              <w:rPr>
                <w:rFonts w:ascii="Arial" w:cs="Arial" w:eastAsia="Arial" w:hAnsi="Arial"/>
                <w:sz w:val="22"/>
                <w:szCs w:val="22"/>
                <w:color w:val="auto"/>
              </w:rPr>
              <w:t>Location of Definition</w:t>
            </w:r>
          </w:p>
        </w:tc>
      </w:tr>
      <w:tr>
        <w:trPr>
          <w:trHeight w:val="257"/>
        </w:trPr>
        <w:tc>
          <w:tcPr>
            <w:tcW w:w="8660" w:type="dxa"/>
            <w:vAlign w:val="bottom"/>
            <w:tcBorders>
              <w:top w:val="single" w:sz="8" w:color="auto"/>
            </w:tcBorders>
          </w:tcPr>
          <w:p>
            <w:pPr>
              <w:ind w:left="80"/>
              <w:spacing w:after="0"/>
              <w:rPr>
                <w:sz w:val="20"/>
                <w:szCs w:val="20"/>
                <w:color w:val="auto"/>
              </w:rPr>
            </w:pPr>
            <w:r>
              <w:rPr>
                <w:rFonts w:ascii="Arial" w:cs="Arial" w:eastAsia="Arial" w:hAnsi="Arial"/>
                <w:sz w:val="22"/>
                <w:szCs w:val="22"/>
                <w:color w:val="auto"/>
              </w:rPr>
              <w:t>Affiliate</w:t>
            </w:r>
          </w:p>
        </w:tc>
        <w:tc>
          <w:tcPr>
            <w:tcW w:w="100" w:type="dxa"/>
            <w:vAlign w:val="bottom"/>
          </w:tcPr>
          <w:p>
            <w:pPr>
              <w:spacing w:after="0"/>
              <w:rPr>
                <w:sz w:val="22"/>
                <w:szCs w:val="22"/>
                <w:color w:val="auto"/>
              </w:rPr>
            </w:pPr>
          </w:p>
        </w:tc>
        <w:tc>
          <w:tcPr>
            <w:tcW w:w="2480" w:type="dxa"/>
            <w:vAlign w:val="bottom"/>
            <w:tcBorders>
              <w:top w:val="single" w:sz="8" w:color="auto"/>
            </w:tcBorders>
          </w:tcPr>
          <w:p>
            <w:pPr>
              <w:ind w:left="60"/>
              <w:spacing w:after="0"/>
              <w:rPr>
                <w:sz w:val="20"/>
                <w:szCs w:val="20"/>
                <w:color w:val="auto"/>
              </w:rPr>
            </w:pPr>
            <w:r>
              <w:rPr>
                <w:rFonts w:ascii="Arial" w:cs="Arial" w:eastAsia="Arial" w:hAnsi="Arial"/>
                <w:sz w:val="22"/>
                <w:szCs w:val="22"/>
                <w:color w:val="auto"/>
              </w:rPr>
              <w:t>Annex B</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Agreement</w:t>
            </w:r>
          </w:p>
        </w:tc>
        <w:tc>
          <w:tcPr>
            <w:tcW w:w="2480" w:type="dxa"/>
            <w:vAlign w:val="bottom"/>
          </w:tcPr>
          <w:p>
            <w:pPr>
              <w:ind w:left="60"/>
              <w:spacing w:after="0"/>
              <w:rPr>
                <w:sz w:val="20"/>
                <w:szCs w:val="20"/>
                <w:color w:val="auto"/>
              </w:rPr>
            </w:pPr>
            <w:r>
              <w:rPr>
                <w:rFonts w:ascii="Arial" w:cs="Arial" w:eastAsia="Arial" w:hAnsi="Arial"/>
                <w:sz w:val="22"/>
                <w:szCs w:val="22"/>
                <w:color w:val="auto"/>
              </w:rPr>
              <w:t>Recitals</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Appraisal Procedure</w:t>
            </w:r>
          </w:p>
        </w:tc>
        <w:tc>
          <w:tcPr>
            <w:tcW w:w="2480" w:type="dxa"/>
            <w:vAlign w:val="bottom"/>
          </w:tcPr>
          <w:p>
            <w:pPr>
              <w:ind w:left="60"/>
              <w:spacing w:after="0"/>
              <w:rPr>
                <w:sz w:val="20"/>
                <w:szCs w:val="20"/>
                <w:color w:val="auto"/>
              </w:rPr>
            </w:pPr>
            <w:r>
              <w:rPr>
                <w:rFonts w:ascii="Arial" w:cs="Arial" w:eastAsia="Arial" w:hAnsi="Arial"/>
                <w:sz w:val="22"/>
                <w:szCs w:val="22"/>
                <w:color w:val="auto"/>
              </w:rPr>
              <w:t>Annex B</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Board of Directors</w:t>
            </w:r>
          </w:p>
        </w:tc>
        <w:tc>
          <w:tcPr>
            <w:tcW w:w="2480" w:type="dxa"/>
            <w:vAlign w:val="bottom"/>
          </w:tcPr>
          <w:p>
            <w:pPr>
              <w:ind w:left="60"/>
              <w:spacing w:after="0"/>
              <w:rPr>
                <w:sz w:val="20"/>
                <w:szCs w:val="20"/>
                <w:color w:val="auto"/>
              </w:rPr>
            </w:pPr>
            <w:r>
              <w:rPr>
                <w:rFonts w:ascii="Arial" w:cs="Arial" w:eastAsia="Arial" w:hAnsi="Arial"/>
                <w:sz w:val="22"/>
                <w:szCs w:val="22"/>
                <w:color w:val="auto"/>
              </w:rPr>
              <w:t>2.1(i)</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Business Combination</w:t>
            </w:r>
          </w:p>
        </w:tc>
        <w:tc>
          <w:tcPr>
            <w:tcW w:w="2480" w:type="dxa"/>
            <w:vAlign w:val="bottom"/>
          </w:tcPr>
          <w:p>
            <w:pPr>
              <w:ind w:left="60"/>
              <w:spacing w:after="0"/>
              <w:rPr>
                <w:sz w:val="20"/>
                <w:szCs w:val="20"/>
                <w:color w:val="auto"/>
              </w:rPr>
            </w:pPr>
            <w:r>
              <w:rPr>
                <w:rFonts w:ascii="Arial" w:cs="Arial" w:eastAsia="Arial" w:hAnsi="Arial"/>
                <w:sz w:val="22"/>
                <w:szCs w:val="22"/>
                <w:color w:val="auto"/>
              </w:rPr>
              <w:t>Annex B</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Business Day</w:t>
            </w:r>
          </w:p>
        </w:tc>
        <w:tc>
          <w:tcPr>
            <w:tcW w:w="2480" w:type="dxa"/>
            <w:vAlign w:val="bottom"/>
          </w:tcPr>
          <w:p>
            <w:pPr>
              <w:ind w:left="60"/>
              <w:spacing w:after="0"/>
              <w:rPr>
                <w:sz w:val="20"/>
                <w:szCs w:val="20"/>
                <w:color w:val="auto"/>
              </w:rPr>
            </w:pPr>
            <w:r>
              <w:rPr>
                <w:rFonts w:ascii="Arial" w:cs="Arial" w:eastAsia="Arial" w:hAnsi="Arial"/>
                <w:sz w:val="22"/>
                <w:szCs w:val="22"/>
                <w:color w:val="auto"/>
              </w:rPr>
              <w:t>Annex B</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Capitalization Date</w:t>
            </w:r>
          </w:p>
        </w:tc>
        <w:tc>
          <w:tcPr>
            <w:tcW w:w="2480" w:type="dxa"/>
            <w:vAlign w:val="bottom"/>
          </w:tcPr>
          <w:p>
            <w:pPr>
              <w:ind w:left="60"/>
              <w:spacing w:after="0"/>
              <w:rPr>
                <w:sz w:val="20"/>
                <w:szCs w:val="20"/>
                <w:color w:val="auto"/>
              </w:rPr>
            </w:pPr>
            <w:r>
              <w:rPr>
                <w:rFonts w:ascii="Arial" w:cs="Arial" w:eastAsia="Arial" w:hAnsi="Arial"/>
                <w:sz w:val="22"/>
                <w:szCs w:val="22"/>
                <w:color w:val="auto"/>
              </w:rPr>
              <w:t>2.1(b)</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Closing</w:t>
            </w:r>
          </w:p>
        </w:tc>
        <w:tc>
          <w:tcPr>
            <w:tcW w:w="2480" w:type="dxa"/>
            <w:vAlign w:val="bottom"/>
          </w:tcPr>
          <w:p>
            <w:pPr>
              <w:ind w:left="60"/>
              <w:spacing w:after="0"/>
              <w:rPr>
                <w:sz w:val="20"/>
                <w:szCs w:val="20"/>
                <w:color w:val="auto"/>
              </w:rPr>
            </w:pPr>
            <w:r>
              <w:rPr>
                <w:rFonts w:ascii="Arial" w:cs="Arial" w:eastAsia="Arial" w:hAnsi="Arial"/>
                <w:sz w:val="22"/>
                <w:szCs w:val="22"/>
                <w:color w:val="auto"/>
              </w:rPr>
              <w:t>1.2(a)</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Common Stock</w:t>
            </w:r>
          </w:p>
        </w:tc>
        <w:tc>
          <w:tcPr>
            <w:tcW w:w="2480" w:type="dxa"/>
            <w:vAlign w:val="bottom"/>
          </w:tcPr>
          <w:p>
            <w:pPr>
              <w:ind w:left="60"/>
              <w:spacing w:after="0"/>
              <w:rPr>
                <w:sz w:val="20"/>
                <w:szCs w:val="20"/>
                <w:color w:val="auto"/>
              </w:rPr>
            </w:pPr>
            <w:r>
              <w:rPr>
                <w:rFonts w:ascii="Arial" w:cs="Arial" w:eastAsia="Arial" w:hAnsi="Arial"/>
                <w:sz w:val="22"/>
                <w:szCs w:val="22"/>
                <w:color w:val="auto"/>
              </w:rPr>
              <w:t>Annex B</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Company</w:t>
            </w:r>
          </w:p>
        </w:tc>
        <w:tc>
          <w:tcPr>
            <w:tcW w:w="2480" w:type="dxa"/>
            <w:vAlign w:val="bottom"/>
          </w:tcPr>
          <w:p>
            <w:pPr>
              <w:ind w:left="60"/>
              <w:spacing w:after="0"/>
              <w:rPr>
                <w:sz w:val="20"/>
                <w:szCs w:val="20"/>
                <w:color w:val="auto"/>
              </w:rPr>
            </w:pPr>
            <w:r>
              <w:rPr>
                <w:rFonts w:ascii="Arial" w:cs="Arial" w:eastAsia="Arial" w:hAnsi="Arial"/>
                <w:sz w:val="22"/>
                <w:szCs w:val="22"/>
                <w:color w:val="auto"/>
              </w:rPr>
              <w:t>Recitals</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Company Reports</w:t>
            </w:r>
          </w:p>
        </w:tc>
        <w:tc>
          <w:tcPr>
            <w:tcW w:w="2480" w:type="dxa"/>
            <w:vAlign w:val="bottom"/>
          </w:tcPr>
          <w:p>
            <w:pPr>
              <w:ind w:left="60"/>
              <w:spacing w:after="0"/>
              <w:rPr>
                <w:sz w:val="20"/>
                <w:szCs w:val="20"/>
                <w:color w:val="auto"/>
              </w:rPr>
            </w:pPr>
            <w:r>
              <w:rPr>
                <w:rFonts w:ascii="Arial" w:cs="Arial" w:eastAsia="Arial" w:hAnsi="Arial"/>
                <w:sz w:val="22"/>
                <w:szCs w:val="22"/>
                <w:color w:val="auto"/>
              </w:rPr>
              <w:t>2.1(j)(i)</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Exchange Act</w:t>
            </w:r>
          </w:p>
        </w:tc>
        <w:tc>
          <w:tcPr>
            <w:tcW w:w="2480" w:type="dxa"/>
            <w:vAlign w:val="bottom"/>
          </w:tcPr>
          <w:p>
            <w:pPr>
              <w:ind w:left="60"/>
              <w:spacing w:after="0"/>
              <w:rPr>
                <w:sz w:val="20"/>
                <w:szCs w:val="20"/>
                <w:color w:val="auto"/>
              </w:rPr>
            </w:pPr>
            <w:r>
              <w:rPr>
                <w:rFonts w:ascii="Arial" w:cs="Arial" w:eastAsia="Arial" w:hAnsi="Arial"/>
                <w:sz w:val="22"/>
                <w:szCs w:val="22"/>
                <w:color w:val="auto"/>
              </w:rPr>
              <w:t>Annex B</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Governmental Authority</w:t>
            </w:r>
          </w:p>
        </w:tc>
        <w:tc>
          <w:tcPr>
            <w:tcW w:w="2480" w:type="dxa"/>
            <w:vAlign w:val="bottom"/>
          </w:tcPr>
          <w:p>
            <w:pPr>
              <w:ind w:left="60"/>
              <w:spacing w:after="0"/>
              <w:rPr>
                <w:sz w:val="20"/>
                <w:szCs w:val="20"/>
                <w:color w:val="auto"/>
              </w:rPr>
            </w:pPr>
            <w:r>
              <w:rPr>
                <w:rFonts w:ascii="Arial" w:cs="Arial" w:eastAsia="Arial" w:hAnsi="Arial"/>
                <w:sz w:val="22"/>
                <w:szCs w:val="22"/>
                <w:color w:val="auto"/>
              </w:rPr>
              <w:t>5.6(a)</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Holder</w:t>
            </w:r>
          </w:p>
        </w:tc>
        <w:tc>
          <w:tcPr>
            <w:tcW w:w="2480" w:type="dxa"/>
            <w:vAlign w:val="bottom"/>
          </w:tcPr>
          <w:p>
            <w:pPr>
              <w:ind w:left="60"/>
              <w:spacing w:after="0"/>
              <w:rPr>
                <w:sz w:val="20"/>
                <w:szCs w:val="20"/>
                <w:color w:val="auto"/>
              </w:rPr>
            </w:pPr>
            <w:r>
              <w:rPr>
                <w:rFonts w:ascii="Arial" w:cs="Arial" w:eastAsia="Arial" w:hAnsi="Arial"/>
                <w:sz w:val="22"/>
                <w:szCs w:val="22"/>
                <w:color w:val="auto"/>
              </w:rPr>
              <w:t>4.5(k)(i)</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Indemnitee</w:t>
            </w:r>
          </w:p>
        </w:tc>
        <w:tc>
          <w:tcPr>
            <w:tcW w:w="2480" w:type="dxa"/>
            <w:vAlign w:val="bottom"/>
          </w:tcPr>
          <w:p>
            <w:pPr>
              <w:ind w:left="60"/>
              <w:spacing w:after="0"/>
              <w:rPr>
                <w:sz w:val="20"/>
                <w:szCs w:val="20"/>
                <w:color w:val="auto"/>
              </w:rPr>
            </w:pPr>
            <w:r>
              <w:rPr>
                <w:rFonts w:ascii="Arial" w:cs="Arial" w:eastAsia="Arial" w:hAnsi="Arial"/>
                <w:sz w:val="22"/>
                <w:szCs w:val="22"/>
                <w:color w:val="auto"/>
              </w:rPr>
              <w:t>4.5(g)(i)</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Initial Closing</w:t>
            </w:r>
          </w:p>
        </w:tc>
        <w:tc>
          <w:tcPr>
            <w:tcW w:w="2480" w:type="dxa"/>
            <w:vAlign w:val="bottom"/>
          </w:tcPr>
          <w:p>
            <w:pPr>
              <w:ind w:left="60"/>
              <w:spacing w:after="0"/>
              <w:rPr>
                <w:sz w:val="20"/>
                <w:szCs w:val="20"/>
                <w:color w:val="auto"/>
              </w:rPr>
            </w:pPr>
            <w:r>
              <w:rPr>
                <w:rFonts w:ascii="Arial" w:cs="Arial" w:eastAsia="Arial" w:hAnsi="Arial"/>
                <w:sz w:val="22"/>
                <w:szCs w:val="22"/>
                <w:color w:val="auto"/>
              </w:rPr>
              <w:t>1.2(a)</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Lien</w:t>
            </w:r>
          </w:p>
        </w:tc>
        <w:tc>
          <w:tcPr>
            <w:tcW w:w="2480" w:type="dxa"/>
            <w:vAlign w:val="bottom"/>
          </w:tcPr>
          <w:p>
            <w:pPr>
              <w:ind w:left="60"/>
              <w:spacing w:after="0"/>
              <w:rPr>
                <w:sz w:val="20"/>
                <w:szCs w:val="20"/>
                <w:color w:val="auto"/>
              </w:rPr>
            </w:pPr>
            <w:r>
              <w:rPr>
                <w:rFonts w:ascii="Arial" w:cs="Arial" w:eastAsia="Arial" w:hAnsi="Arial"/>
                <w:sz w:val="22"/>
                <w:szCs w:val="22"/>
                <w:color w:val="auto"/>
              </w:rPr>
              <w:t>5.6(c)</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Material Adverse Effect</w:t>
            </w:r>
          </w:p>
        </w:tc>
        <w:tc>
          <w:tcPr>
            <w:tcW w:w="2480" w:type="dxa"/>
            <w:vAlign w:val="bottom"/>
          </w:tcPr>
          <w:p>
            <w:pPr>
              <w:ind w:left="60"/>
              <w:spacing w:after="0"/>
              <w:rPr>
                <w:sz w:val="20"/>
                <w:szCs w:val="20"/>
                <w:color w:val="auto"/>
              </w:rPr>
            </w:pPr>
            <w:r>
              <w:rPr>
                <w:rFonts w:ascii="Arial" w:cs="Arial" w:eastAsia="Arial" w:hAnsi="Arial"/>
                <w:sz w:val="22"/>
                <w:szCs w:val="22"/>
                <w:color w:val="auto"/>
              </w:rPr>
              <w:t>5.6(d)</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Organizational Documents</w:t>
            </w:r>
          </w:p>
        </w:tc>
        <w:tc>
          <w:tcPr>
            <w:tcW w:w="2480" w:type="dxa"/>
            <w:vAlign w:val="bottom"/>
          </w:tcPr>
          <w:p>
            <w:pPr>
              <w:ind w:left="60"/>
              <w:spacing w:after="0"/>
              <w:rPr>
                <w:sz w:val="20"/>
                <w:szCs w:val="20"/>
                <w:color w:val="auto"/>
              </w:rPr>
            </w:pPr>
            <w:r>
              <w:rPr>
                <w:rFonts w:ascii="Arial" w:cs="Arial" w:eastAsia="Arial" w:hAnsi="Arial"/>
                <w:sz w:val="22"/>
                <w:szCs w:val="22"/>
                <w:color w:val="auto"/>
              </w:rPr>
              <w:t>5.6(e)</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Pending Underwritten Offering</w:t>
            </w:r>
          </w:p>
        </w:tc>
        <w:tc>
          <w:tcPr>
            <w:tcW w:w="2480" w:type="dxa"/>
            <w:vAlign w:val="bottom"/>
          </w:tcPr>
          <w:p>
            <w:pPr>
              <w:ind w:left="60"/>
              <w:spacing w:after="0"/>
              <w:rPr>
                <w:sz w:val="20"/>
                <w:szCs w:val="20"/>
                <w:color w:val="auto"/>
              </w:rPr>
            </w:pPr>
            <w:r>
              <w:rPr>
                <w:rFonts w:ascii="Arial" w:cs="Arial" w:eastAsia="Arial" w:hAnsi="Arial"/>
                <w:sz w:val="22"/>
                <w:szCs w:val="22"/>
                <w:color w:val="auto"/>
              </w:rPr>
              <w:t>4.5(l)</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Piggyback Registration</w:t>
            </w:r>
          </w:p>
        </w:tc>
        <w:tc>
          <w:tcPr>
            <w:tcW w:w="2480" w:type="dxa"/>
            <w:vAlign w:val="bottom"/>
          </w:tcPr>
          <w:p>
            <w:pPr>
              <w:ind w:left="60"/>
              <w:spacing w:after="0"/>
              <w:rPr>
                <w:sz w:val="20"/>
                <w:szCs w:val="20"/>
                <w:color w:val="auto"/>
              </w:rPr>
            </w:pPr>
            <w:r>
              <w:rPr>
                <w:rFonts w:ascii="Arial" w:cs="Arial" w:eastAsia="Arial" w:hAnsi="Arial"/>
                <w:sz w:val="22"/>
                <w:szCs w:val="22"/>
                <w:color w:val="auto"/>
              </w:rPr>
              <w:t>4.5(a)(iv)</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Promissory Note</w:t>
            </w:r>
          </w:p>
        </w:tc>
        <w:tc>
          <w:tcPr>
            <w:tcW w:w="2480" w:type="dxa"/>
            <w:vAlign w:val="bottom"/>
          </w:tcPr>
          <w:p>
            <w:pPr>
              <w:ind w:left="60"/>
              <w:spacing w:after="0"/>
              <w:rPr>
                <w:sz w:val="20"/>
                <w:szCs w:val="20"/>
                <w:color w:val="auto"/>
              </w:rPr>
            </w:pPr>
            <w:r>
              <w:rPr>
                <w:rFonts w:ascii="Arial" w:cs="Arial" w:eastAsia="Arial" w:hAnsi="Arial"/>
                <w:sz w:val="22"/>
                <w:szCs w:val="22"/>
                <w:color w:val="auto"/>
              </w:rPr>
              <w:t>Recitals</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register; registered; registration</w:t>
            </w:r>
          </w:p>
        </w:tc>
        <w:tc>
          <w:tcPr>
            <w:tcW w:w="2480" w:type="dxa"/>
            <w:vAlign w:val="bottom"/>
          </w:tcPr>
          <w:p>
            <w:pPr>
              <w:ind w:left="60"/>
              <w:spacing w:after="0"/>
              <w:rPr>
                <w:sz w:val="20"/>
                <w:szCs w:val="20"/>
                <w:color w:val="auto"/>
              </w:rPr>
            </w:pPr>
            <w:r>
              <w:rPr>
                <w:rFonts w:ascii="Arial" w:cs="Arial" w:eastAsia="Arial" w:hAnsi="Arial"/>
                <w:sz w:val="22"/>
                <w:szCs w:val="22"/>
                <w:color w:val="auto"/>
              </w:rPr>
              <w:t>4.5(k)(ii)</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Registrable Securities</w:t>
            </w:r>
          </w:p>
        </w:tc>
        <w:tc>
          <w:tcPr>
            <w:tcW w:w="2480" w:type="dxa"/>
            <w:vAlign w:val="bottom"/>
          </w:tcPr>
          <w:p>
            <w:pPr>
              <w:ind w:left="60"/>
              <w:spacing w:after="0"/>
              <w:rPr>
                <w:sz w:val="20"/>
                <w:szCs w:val="20"/>
                <w:color w:val="auto"/>
              </w:rPr>
            </w:pPr>
            <w:r>
              <w:rPr>
                <w:rFonts w:ascii="Arial" w:cs="Arial" w:eastAsia="Arial" w:hAnsi="Arial"/>
                <w:sz w:val="22"/>
                <w:szCs w:val="22"/>
                <w:color w:val="auto"/>
              </w:rPr>
              <w:t>4.5(k)(iii)</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Registration Commencement Date</w:t>
            </w:r>
          </w:p>
        </w:tc>
        <w:tc>
          <w:tcPr>
            <w:tcW w:w="2480" w:type="dxa"/>
            <w:vAlign w:val="bottom"/>
          </w:tcPr>
          <w:p>
            <w:pPr>
              <w:ind w:left="60"/>
              <w:spacing w:after="0"/>
              <w:rPr>
                <w:sz w:val="20"/>
                <w:szCs w:val="20"/>
                <w:color w:val="auto"/>
              </w:rPr>
            </w:pPr>
            <w:r>
              <w:rPr>
                <w:rFonts w:ascii="Arial" w:cs="Arial" w:eastAsia="Arial" w:hAnsi="Arial"/>
                <w:sz w:val="22"/>
                <w:szCs w:val="22"/>
                <w:color w:val="auto"/>
              </w:rPr>
              <w:t>4.5(a)(i)</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Registration Expenses</w:t>
            </w:r>
          </w:p>
        </w:tc>
        <w:tc>
          <w:tcPr>
            <w:tcW w:w="2480" w:type="dxa"/>
            <w:vAlign w:val="bottom"/>
          </w:tcPr>
          <w:p>
            <w:pPr>
              <w:ind w:left="60"/>
              <w:spacing w:after="0"/>
              <w:rPr>
                <w:sz w:val="20"/>
                <w:szCs w:val="20"/>
                <w:color w:val="auto"/>
              </w:rPr>
            </w:pPr>
            <w:r>
              <w:rPr>
                <w:rFonts w:ascii="Arial" w:cs="Arial" w:eastAsia="Arial" w:hAnsi="Arial"/>
                <w:sz w:val="22"/>
                <w:szCs w:val="22"/>
                <w:color w:val="auto"/>
              </w:rPr>
              <w:t>4.5(k)(iv)</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Rule 144; Rule 144A; Rule 159A; Rule 405; Rule 415</w:t>
            </w:r>
          </w:p>
        </w:tc>
        <w:tc>
          <w:tcPr>
            <w:tcW w:w="2480" w:type="dxa"/>
            <w:vAlign w:val="bottom"/>
          </w:tcPr>
          <w:p>
            <w:pPr>
              <w:ind w:left="60"/>
              <w:spacing w:after="0"/>
              <w:rPr>
                <w:sz w:val="20"/>
                <w:szCs w:val="20"/>
                <w:color w:val="auto"/>
              </w:rPr>
            </w:pPr>
            <w:r>
              <w:rPr>
                <w:rFonts w:ascii="Arial" w:cs="Arial" w:eastAsia="Arial" w:hAnsi="Arial"/>
                <w:sz w:val="22"/>
                <w:szCs w:val="22"/>
                <w:color w:val="auto"/>
              </w:rPr>
              <w:t>4.5(k)(v)</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SEC</w:t>
            </w:r>
          </w:p>
        </w:tc>
        <w:tc>
          <w:tcPr>
            <w:tcW w:w="2480" w:type="dxa"/>
            <w:vAlign w:val="bottom"/>
          </w:tcPr>
          <w:p>
            <w:pPr>
              <w:ind w:left="60"/>
              <w:spacing w:after="0"/>
              <w:rPr>
                <w:sz w:val="20"/>
                <w:szCs w:val="20"/>
                <w:color w:val="auto"/>
              </w:rPr>
            </w:pPr>
            <w:r>
              <w:rPr>
                <w:rFonts w:ascii="Arial" w:cs="Arial" w:eastAsia="Arial" w:hAnsi="Arial"/>
                <w:sz w:val="22"/>
                <w:szCs w:val="22"/>
                <w:color w:val="auto"/>
              </w:rPr>
              <w:t>2.1(c)</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Securities Act</w:t>
            </w:r>
          </w:p>
        </w:tc>
        <w:tc>
          <w:tcPr>
            <w:tcW w:w="2480" w:type="dxa"/>
            <w:vAlign w:val="bottom"/>
          </w:tcPr>
          <w:p>
            <w:pPr>
              <w:ind w:left="60"/>
              <w:spacing w:after="0"/>
              <w:rPr>
                <w:sz w:val="20"/>
                <w:szCs w:val="20"/>
                <w:color w:val="auto"/>
              </w:rPr>
            </w:pPr>
            <w:r>
              <w:rPr>
                <w:rFonts w:ascii="Arial" w:cs="Arial" w:eastAsia="Arial" w:hAnsi="Arial"/>
                <w:sz w:val="22"/>
                <w:szCs w:val="22"/>
                <w:color w:val="auto"/>
              </w:rPr>
              <w:t>Annex B</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Selling Expenses</w:t>
            </w:r>
          </w:p>
        </w:tc>
        <w:tc>
          <w:tcPr>
            <w:tcW w:w="2480" w:type="dxa"/>
            <w:vAlign w:val="bottom"/>
          </w:tcPr>
          <w:p>
            <w:pPr>
              <w:ind w:left="60"/>
              <w:spacing w:after="0"/>
              <w:rPr>
                <w:sz w:val="20"/>
                <w:szCs w:val="20"/>
                <w:color w:val="auto"/>
              </w:rPr>
            </w:pPr>
            <w:r>
              <w:rPr>
                <w:rFonts w:ascii="Arial" w:cs="Arial" w:eastAsia="Arial" w:hAnsi="Arial"/>
                <w:sz w:val="22"/>
                <w:szCs w:val="22"/>
                <w:color w:val="auto"/>
              </w:rPr>
              <w:t>4.5(k)(vi)</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Shelf Registration Statement</w:t>
            </w:r>
          </w:p>
        </w:tc>
        <w:tc>
          <w:tcPr>
            <w:tcW w:w="2480" w:type="dxa"/>
            <w:vAlign w:val="bottom"/>
          </w:tcPr>
          <w:p>
            <w:pPr>
              <w:ind w:left="60"/>
              <w:spacing w:after="0"/>
              <w:rPr>
                <w:sz w:val="20"/>
                <w:szCs w:val="20"/>
                <w:color w:val="auto"/>
              </w:rPr>
            </w:pPr>
            <w:r>
              <w:rPr>
                <w:rFonts w:ascii="Arial" w:cs="Arial" w:eastAsia="Arial" w:hAnsi="Arial"/>
                <w:sz w:val="22"/>
                <w:szCs w:val="22"/>
                <w:color w:val="auto"/>
              </w:rPr>
              <w:t>4.5(a)(ii)</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Special Registration</w:t>
            </w:r>
          </w:p>
        </w:tc>
        <w:tc>
          <w:tcPr>
            <w:tcW w:w="2480" w:type="dxa"/>
            <w:vAlign w:val="bottom"/>
          </w:tcPr>
          <w:p>
            <w:pPr>
              <w:ind w:left="60"/>
              <w:spacing w:after="0"/>
              <w:rPr>
                <w:sz w:val="20"/>
                <w:szCs w:val="20"/>
                <w:color w:val="auto"/>
              </w:rPr>
            </w:pPr>
            <w:r>
              <w:rPr>
                <w:rFonts w:ascii="Arial" w:cs="Arial" w:eastAsia="Arial" w:hAnsi="Arial"/>
                <w:sz w:val="22"/>
                <w:szCs w:val="22"/>
                <w:color w:val="auto"/>
              </w:rPr>
              <w:t>4.5(i)</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Stockholder Proposals</w:t>
            </w:r>
          </w:p>
        </w:tc>
        <w:tc>
          <w:tcPr>
            <w:tcW w:w="2480" w:type="dxa"/>
            <w:vAlign w:val="bottom"/>
          </w:tcPr>
          <w:p>
            <w:pPr>
              <w:ind w:left="60"/>
              <w:spacing w:after="0"/>
              <w:rPr>
                <w:sz w:val="20"/>
                <w:szCs w:val="20"/>
                <w:color w:val="auto"/>
              </w:rPr>
            </w:pPr>
            <w:r>
              <w:rPr>
                <w:rFonts w:ascii="Arial" w:cs="Arial" w:eastAsia="Arial" w:hAnsi="Arial"/>
                <w:sz w:val="22"/>
                <w:szCs w:val="22"/>
                <w:color w:val="auto"/>
              </w:rPr>
              <w:t>3.1(b)</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Subsidiary</w:t>
            </w:r>
          </w:p>
        </w:tc>
        <w:tc>
          <w:tcPr>
            <w:tcW w:w="2480" w:type="dxa"/>
            <w:vAlign w:val="bottom"/>
          </w:tcPr>
          <w:p>
            <w:pPr>
              <w:ind w:left="60"/>
              <w:spacing w:after="0"/>
              <w:rPr>
                <w:sz w:val="20"/>
                <w:szCs w:val="20"/>
                <w:color w:val="auto"/>
              </w:rPr>
            </w:pPr>
            <w:r>
              <w:rPr>
                <w:rFonts w:ascii="Arial" w:cs="Arial" w:eastAsia="Arial" w:hAnsi="Arial"/>
                <w:sz w:val="22"/>
                <w:szCs w:val="22"/>
                <w:color w:val="auto"/>
              </w:rPr>
              <w:t>5.6(f)</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Transfer</w:t>
            </w:r>
          </w:p>
        </w:tc>
        <w:tc>
          <w:tcPr>
            <w:tcW w:w="2480" w:type="dxa"/>
            <w:vAlign w:val="bottom"/>
          </w:tcPr>
          <w:p>
            <w:pPr>
              <w:ind w:left="60"/>
              <w:spacing w:after="0"/>
              <w:rPr>
                <w:sz w:val="20"/>
                <w:szCs w:val="20"/>
                <w:color w:val="auto"/>
              </w:rPr>
            </w:pPr>
            <w:r>
              <w:rPr>
                <w:rFonts w:ascii="Arial" w:cs="Arial" w:eastAsia="Arial" w:hAnsi="Arial"/>
                <w:sz w:val="22"/>
                <w:szCs w:val="22"/>
                <w:color w:val="auto"/>
              </w:rPr>
              <w:t>4.4</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Treasury</w:t>
            </w:r>
          </w:p>
        </w:tc>
        <w:tc>
          <w:tcPr>
            <w:tcW w:w="2480" w:type="dxa"/>
            <w:vAlign w:val="bottom"/>
          </w:tcPr>
          <w:p>
            <w:pPr>
              <w:ind w:left="60"/>
              <w:spacing w:after="0"/>
              <w:rPr>
                <w:sz w:val="20"/>
                <w:szCs w:val="20"/>
                <w:color w:val="auto"/>
              </w:rPr>
            </w:pPr>
            <w:r>
              <w:rPr>
                <w:rFonts w:ascii="Arial" w:cs="Arial" w:eastAsia="Arial" w:hAnsi="Arial"/>
                <w:sz w:val="22"/>
                <w:szCs w:val="22"/>
                <w:color w:val="auto"/>
              </w:rPr>
              <w:t>Recitals</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Warrant Closing Date</w:t>
            </w:r>
          </w:p>
        </w:tc>
        <w:tc>
          <w:tcPr>
            <w:tcW w:w="2480" w:type="dxa"/>
            <w:vAlign w:val="bottom"/>
          </w:tcPr>
          <w:p>
            <w:pPr>
              <w:ind w:left="60"/>
              <w:spacing w:after="0"/>
              <w:rPr>
                <w:sz w:val="20"/>
                <w:szCs w:val="20"/>
                <w:color w:val="auto"/>
              </w:rPr>
            </w:pPr>
            <w:r>
              <w:rPr>
                <w:rFonts w:ascii="Arial" w:cs="Arial" w:eastAsia="Arial" w:hAnsi="Arial"/>
                <w:sz w:val="22"/>
                <w:szCs w:val="22"/>
                <w:color w:val="auto"/>
              </w:rPr>
              <w:t>1.2(a)</w:t>
            </w:r>
          </w:p>
        </w:tc>
      </w:tr>
      <w:tr>
        <w:trPr>
          <w:trHeight w:val="270"/>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Warrants</w:t>
            </w:r>
          </w:p>
        </w:tc>
        <w:tc>
          <w:tcPr>
            <w:tcW w:w="2480" w:type="dxa"/>
            <w:vAlign w:val="bottom"/>
          </w:tcPr>
          <w:p>
            <w:pPr>
              <w:ind w:left="60"/>
              <w:spacing w:after="0"/>
              <w:rPr>
                <w:sz w:val="20"/>
                <w:szCs w:val="20"/>
                <w:color w:val="auto"/>
              </w:rPr>
            </w:pPr>
            <w:r>
              <w:rPr>
                <w:rFonts w:ascii="Arial" w:cs="Arial" w:eastAsia="Arial" w:hAnsi="Arial"/>
                <w:sz w:val="22"/>
                <w:szCs w:val="22"/>
                <w:color w:val="auto"/>
              </w:rPr>
              <w:t>Recitals</w:t>
            </w:r>
          </w:p>
        </w:tc>
      </w:tr>
      <w:tr>
        <w:trPr>
          <w:trHeight w:val="274"/>
        </w:trPr>
        <w:tc>
          <w:tcPr>
            <w:tcW w:w="8760" w:type="dxa"/>
            <w:vAlign w:val="bottom"/>
            <w:gridSpan w:val="2"/>
          </w:tcPr>
          <w:p>
            <w:pPr>
              <w:ind w:left="80"/>
              <w:spacing w:after="0"/>
              <w:rPr>
                <w:sz w:val="20"/>
                <w:szCs w:val="20"/>
                <w:color w:val="auto"/>
              </w:rPr>
            </w:pPr>
            <w:r>
              <w:rPr>
                <w:rFonts w:ascii="Arial" w:cs="Arial" w:eastAsia="Arial" w:hAnsi="Arial"/>
                <w:sz w:val="22"/>
                <w:szCs w:val="22"/>
                <w:color w:val="auto"/>
              </w:rPr>
              <w:t>Warrant Shares</w:t>
            </w:r>
          </w:p>
        </w:tc>
        <w:tc>
          <w:tcPr>
            <w:tcW w:w="2480" w:type="dxa"/>
            <w:vAlign w:val="bottom"/>
          </w:tcPr>
          <w:p>
            <w:pPr>
              <w:ind w:left="60"/>
              <w:spacing w:after="0"/>
              <w:rPr>
                <w:sz w:val="20"/>
                <w:szCs w:val="20"/>
                <w:color w:val="auto"/>
              </w:rPr>
            </w:pPr>
            <w:r>
              <w:rPr>
                <w:rFonts w:ascii="Arial" w:cs="Arial" w:eastAsia="Arial" w:hAnsi="Arial"/>
                <w:sz w:val="22"/>
                <w:szCs w:val="22"/>
                <w:color w:val="auto"/>
              </w:rPr>
              <w:t>Annex B</w:t>
            </w:r>
          </w:p>
        </w:tc>
      </w:tr>
    </w:tbl>
    <w:p>
      <w:pPr>
        <w:spacing w:after="0" w:line="200" w:lineRule="exact"/>
        <w:rPr>
          <w:sz w:val="20"/>
          <w:szCs w:val="20"/>
          <w:color w:val="auto"/>
        </w:rPr>
      </w:pP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40"/>
          </w:cols>
          <w:pgMar w:left="320" w:top="1422" w:right="339" w:bottom="1440" w:gutter="0" w:footer="0" w:header="0"/>
          <w:type w:val="continuous"/>
        </w:sectPr>
      </w:pPr>
    </w:p>
    <w:bookmarkStart w:id="116" w:name="page117"/>
    <w:bookmarkEnd w:id="116"/>
    <w:p>
      <w:pPr>
        <w:ind w:right="400" w:firstLine="648"/>
        <w:spacing w:after="0" w:line="253" w:lineRule="auto"/>
        <w:rPr>
          <w:sz w:val="20"/>
          <w:szCs w:val="20"/>
          <w:color w:val="auto"/>
        </w:rPr>
      </w:pPr>
      <w:r>
        <w:rPr>
          <w:rFonts w:ascii="Arial" w:cs="Arial" w:eastAsia="Arial" w:hAnsi="Arial"/>
          <w:sz w:val="22"/>
          <w:szCs w:val="22"/>
          <w:color w:val="auto"/>
        </w:rPr>
        <w:t>WARRANT AGREEMENT dated as of April 23, 2021 (this “</w:t>
      </w:r>
      <w:r>
        <w:rPr>
          <w:rFonts w:ascii="Arial" w:cs="Arial" w:eastAsia="Arial" w:hAnsi="Arial"/>
          <w:sz w:val="22"/>
          <w:szCs w:val="22"/>
          <w:u w:val="single" w:color="auto"/>
          <w:color w:val="auto"/>
        </w:rPr>
        <w:t>Agreement</w:t>
      </w:r>
      <w:r>
        <w:rPr>
          <w:rFonts w:ascii="Arial" w:cs="Arial" w:eastAsia="Arial" w:hAnsi="Arial"/>
          <w:sz w:val="22"/>
          <w:szCs w:val="22"/>
          <w:color w:val="auto"/>
        </w:rPr>
        <w:t>”), between American Airlines Group Inc., a corporation organized under the laws of Delaware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UNITED STATES DEPARTMENT OF THE TREASURY (“</w:t>
      </w:r>
      <w:r>
        <w:rPr>
          <w:rFonts w:ascii="Arial" w:cs="Arial" w:eastAsia="Arial" w:hAnsi="Arial"/>
          <w:sz w:val="22"/>
          <w:szCs w:val="22"/>
          <w:u w:val="single" w:color="auto"/>
          <w:color w:val="auto"/>
        </w:rPr>
        <w:t>Treasury</w:t>
      </w:r>
      <w:r>
        <w:rPr>
          <w:rFonts w:ascii="Arial" w:cs="Arial" w:eastAsia="Arial" w:hAnsi="Arial"/>
          <w:sz w:val="22"/>
          <w:szCs w:val="22"/>
          <w:color w:val="auto"/>
        </w:rPr>
        <w:t>”).</w:t>
      </w:r>
    </w:p>
    <w:p>
      <w:pPr>
        <w:spacing w:after="0" w:line="185"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WHEREAS, the Company has requested that Treasury provide financial assistance to the Recipient (as defined in the PSP3 Agreement) that shall exclusively be used for the continuation of payment of employee wages, salaries, and benefits as is permissible under Section 301(b)(1) of Subtitle C of Title VII of the American Rescue Plan Act of 2021 (March 11, 2021), as the same may be amended from time to time, and Treasury is willing to do so on the terms and conditions set forth in that certain Payroll Support Program 3 Agreement dated as of April 23, 2021, between American Airlines, Inc. and Treasury (the “</w:t>
      </w:r>
      <w:r>
        <w:rPr>
          <w:rFonts w:ascii="Arial" w:cs="Arial" w:eastAsia="Arial" w:hAnsi="Arial"/>
          <w:sz w:val="22"/>
          <w:szCs w:val="22"/>
          <w:u w:val="single" w:color="auto"/>
          <w:color w:val="auto"/>
        </w:rPr>
        <w:t>PSP3</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and</w:t>
      </w:r>
    </w:p>
    <w:p>
      <w:pPr>
        <w:spacing w:after="0" w:line="193"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WHEREAS, as appropriate compensation to the Federal Government of the United States of America for the provision of financial assistance under the PSP3 Agreement, the Company has agreed to issue a note to be repaid to Treasury on the terms and conditions set forth in the promissory note dated as of April 23, 2021, issued by the Company, in the name of Treasury as the holder (the “</w:t>
      </w:r>
      <w:r>
        <w:rPr>
          <w:rFonts w:ascii="Arial" w:cs="Arial" w:eastAsia="Arial" w:hAnsi="Arial"/>
          <w:sz w:val="19"/>
          <w:szCs w:val="19"/>
          <w:u w:val="single" w:color="auto"/>
          <w:color w:val="auto"/>
        </w:rPr>
        <w:t>Promissory Note</w:t>
      </w:r>
      <w:r>
        <w:rPr>
          <w:rFonts w:ascii="Arial" w:cs="Arial" w:eastAsia="Arial" w:hAnsi="Arial"/>
          <w:sz w:val="19"/>
          <w:szCs w:val="19"/>
          <w:color w:val="auto"/>
        </w:rPr>
        <w:t>”) and agreed to issue in a private placement warrants to purchase the number of shares of its Common Stock determined in accordance with Schedule 1 to this Agreement (the “</w:t>
      </w:r>
      <w:r>
        <w:rPr>
          <w:rFonts w:ascii="Arial" w:cs="Arial" w:eastAsia="Arial" w:hAnsi="Arial"/>
          <w:sz w:val="19"/>
          <w:szCs w:val="19"/>
          <w:u w:val="single" w:color="auto"/>
          <w:color w:val="auto"/>
        </w:rPr>
        <w:t>Warrants</w:t>
      </w:r>
      <w:r>
        <w:rPr>
          <w:rFonts w:ascii="Arial" w:cs="Arial" w:eastAsia="Arial" w:hAnsi="Arial"/>
          <w:sz w:val="19"/>
          <w:szCs w:val="19"/>
          <w:color w:val="auto"/>
        </w:rPr>
        <w:t>”) to Treasury;</w:t>
      </w:r>
    </w:p>
    <w:p>
      <w:pPr>
        <w:spacing w:after="0" w:line="141"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of the representations, warranties, covenants and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herein, the parties agree as follows:</w:t>
      </w:r>
    </w:p>
    <w:p>
      <w:pPr>
        <w:spacing w:after="0" w:line="16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Closing</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u w:val="single" w:color="auto"/>
          <w:color w:val="auto"/>
        </w:rPr>
        <w:t>Issuance</w:t>
      </w:r>
      <w:r>
        <w:rPr>
          <w:rFonts w:ascii="Arial" w:cs="Arial" w:eastAsia="Arial" w:hAnsi="Arial"/>
          <w:sz w:val="18"/>
          <w:szCs w:val="18"/>
          <w:color w:val="auto"/>
        </w:rPr>
        <w:t>.</w:t>
      </w:r>
    </w:p>
    <w:p>
      <w:pPr>
        <w:spacing w:after="0" w:line="220" w:lineRule="exact"/>
        <w:rPr>
          <w:sz w:val="20"/>
          <w:szCs w:val="20"/>
          <w:color w:val="auto"/>
        </w:rPr>
      </w:pPr>
    </w:p>
    <w:p>
      <w:pPr>
        <w:ind w:right="260" w:firstLine="656"/>
        <w:spacing w:after="0" w:line="253" w:lineRule="auto"/>
        <w:tabs>
          <w:tab w:leader="none" w:pos="1293"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On the terms and subject to the conditions set forth in this Agreement, the Company agrees to issue to Treasury, on each Warrant Closing Date, Warrants for a number of shares of Common Stock determined by the formula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Initial Closing; Warrant Closing Date</w:t>
      </w:r>
      <w:r>
        <w:rPr>
          <w:rFonts w:ascii="Arial" w:cs="Arial" w:eastAsia="Arial" w:hAnsi="Arial"/>
          <w:sz w:val="19"/>
          <w:szCs w:val="19"/>
          <w:color w:val="auto"/>
        </w:rPr>
        <w:t>.</w:t>
      </w:r>
    </w:p>
    <w:p>
      <w:pPr>
        <w:spacing w:after="0" w:line="206" w:lineRule="exact"/>
        <w:rPr>
          <w:sz w:val="20"/>
          <w:szCs w:val="20"/>
          <w:color w:val="auto"/>
        </w:rPr>
      </w:pPr>
    </w:p>
    <w:p>
      <w:pPr>
        <w:ind w:right="20" w:firstLine="656"/>
        <w:spacing w:after="0" w:line="235" w:lineRule="auto"/>
        <w:tabs>
          <w:tab w:leader="none" w:pos="1293" w:val="left"/>
        </w:tabs>
        <w:numPr>
          <w:ilvl w:val="0"/>
          <w:numId w:val="53"/>
        </w:numPr>
        <w:rPr>
          <w:rFonts w:ascii="Arial" w:cs="Arial" w:eastAsia="Arial" w:hAnsi="Arial"/>
          <w:sz w:val="22"/>
          <w:szCs w:val="22"/>
          <w:color w:val="auto"/>
        </w:rPr>
      </w:pPr>
      <w:r>
        <w:rPr>
          <w:rFonts w:ascii="Arial" w:cs="Arial" w:eastAsia="Arial" w:hAnsi="Arial"/>
          <w:sz w:val="22"/>
          <w:szCs w:val="22"/>
          <w:color w:val="auto"/>
        </w:rPr>
        <w:t>On the terms and subject to the conditions set forth in this Agreement, the closing of the initial issuance of the Warrants (the “</w:t>
      </w:r>
      <w:r>
        <w:rPr>
          <w:rFonts w:ascii="Arial" w:cs="Arial" w:eastAsia="Arial" w:hAnsi="Arial"/>
          <w:sz w:val="22"/>
          <w:szCs w:val="22"/>
          <w:u w:val="single" w:color="auto"/>
          <w:color w:val="auto"/>
        </w:rPr>
        <w:t>Initial Closing</w:t>
      </w:r>
      <w:r>
        <w:rPr>
          <w:rFonts w:ascii="Arial" w:cs="Arial" w:eastAsia="Arial" w:hAnsi="Arial"/>
          <w:sz w:val="22"/>
          <w:szCs w:val="22"/>
          <w:color w:val="auto"/>
        </w:rPr>
        <w:t>”) will take place on the Closing Date (as defined in the Promissory Note) or, if on the Closing Date the principal amount of the Promissory Note is $0, the first date on which such principal amount is increased. After the Initial Closing, the closing of any subsequent issuance will take place on the date of each increase, if any, of the principal amount of the Promissory Note (each subsequent closing, together with the Initial Closing, a “</w:t>
      </w:r>
      <w:r>
        <w:rPr>
          <w:rFonts w:ascii="Arial" w:cs="Arial" w:eastAsia="Arial" w:hAnsi="Arial"/>
          <w:sz w:val="22"/>
          <w:szCs w:val="22"/>
          <w:u w:val="single" w:color="auto"/>
          <w:color w:val="auto"/>
        </w:rPr>
        <w:t>Closing</w:t>
      </w:r>
      <w:r>
        <w:rPr>
          <w:rFonts w:ascii="Arial" w:cs="Arial" w:eastAsia="Arial" w:hAnsi="Arial"/>
          <w:sz w:val="22"/>
          <w:szCs w:val="22"/>
          <w:color w:val="auto"/>
        </w:rPr>
        <w:t>” and each such date a “</w:t>
      </w:r>
      <w:r>
        <w:rPr>
          <w:rFonts w:ascii="Arial" w:cs="Arial" w:eastAsia="Arial" w:hAnsi="Arial"/>
          <w:sz w:val="22"/>
          <w:szCs w:val="22"/>
          <w:u w:val="single" w:color="auto"/>
          <w:color w:val="auto"/>
        </w:rPr>
        <w:t>Warrant Closing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right="20" w:firstLine="656"/>
        <w:spacing w:after="0" w:line="238" w:lineRule="auto"/>
        <w:tabs>
          <w:tab w:leader="none" w:pos="1291"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On each Warrant Closing Date, the Company will issue to Treasury a duly executed Warrant or Warrants for a number of shares of Common Stock determined by the formula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as evidenced by one or more certificates dated the Warrant Closing Date and bearing appropriate legends as hereinafter provided for and in substantially the form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w:t>
      </w:r>
    </w:p>
    <w:p>
      <w:pPr>
        <w:sectPr>
          <w:pgSz w:w="11900" w:h="16838" w:orient="portrait"/>
          <w:cols w:equalWidth="0" w:num="1">
            <w:col w:w="11220"/>
          </w:cols>
          <w:pgMar w:left="320" w:top="1428" w:right="359" w:bottom="1440" w:gutter="0" w:footer="0" w:header="0"/>
        </w:sectPr>
      </w:pPr>
    </w:p>
    <w:bookmarkStart w:id="117" w:name="page118"/>
    <w:bookmarkEnd w:id="117"/>
    <w:p>
      <w:pPr>
        <w:ind w:left="-656" w:right="40" w:firstLine="656"/>
        <w:spacing w:after="0" w:line="260" w:lineRule="auto"/>
        <w:tabs>
          <w:tab w:leader="none" w:pos="637"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On each Warrant Closing Date, the Company shall deliver to Treasury (i) a written opinion from counsel to the Company (which may be internal counsel) addressed to Treasury and dated as of such Warrant Closing Date, in substantially the form attached hereto as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and (ii) a certificate executed by the chief executive officer, president, executive vice president, chief financial officer, principal accounting officer, treasurer or controller confirming that the representations and warranties of the Company in this Agreement are true and correct with the same force and effect as though expressly made at and as of such Warrant Closing Date and the Company has complied with all agreements on its part to be performed or satisfied hereunder at or prior to such Closing.</w:t>
      </w:r>
    </w:p>
    <w:p>
      <w:pPr>
        <w:spacing w:after="0" w:line="180" w:lineRule="exact"/>
        <w:rPr>
          <w:rFonts w:ascii="Arial" w:cs="Arial" w:eastAsia="Arial" w:hAnsi="Arial"/>
          <w:sz w:val="21"/>
          <w:szCs w:val="21"/>
          <w:color w:val="auto"/>
        </w:rPr>
      </w:pPr>
    </w:p>
    <w:p>
      <w:pPr>
        <w:ind w:left="-656" w:right="80" w:firstLine="656"/>
        <w:spacing w:after="0" w:line="290" w:lineRule="auto"/>
        <w:tabs>
          <w:tab w:leader="none" w:pos="635" w:val="left"/>
        </w:tabs>
        <w:numPr>
          <w:ilvl w:val="0"/>
          <w:numId w:val="54"/>
        </w:numPr>
        <w:rPr>
          <w:rFonts w:ascii="Arial" w:cs="Arial" w:eastAsia="Arial" w:hAnsi="Arial"/>
          <w:sz w:val="19"/>
          <w:szCs w:val="19"/>
          <w:color w:val="auto"/>
        </w:rPr>
      </w:pPr>
      <w:r>
        <w:rPr>
          <w:rFonts w:ascii="Arial" w:cs="Arial" w:eastAsia="Arial" w:hAnsi="Arial"/>
          <w:sz w:val="19"/>
          <w:szCs w:val="19"/>
          <w:color w:val="auto"/>
        </w:rPr>
        <w:t>On the initial Warrant Closing Date, the Company shall deliver to Treasury (i) such customary certificates of resolutions or other action, incumbency certificates and/or other certificates of the chief executive officer, president, executive vice president, chief financial officer, principal accounting officer, treasurer or controller as Treasury may require evidencing the identity, authority and capacity of each such officer thereof authorized to act as such officer in connection with this Agreement and (ii) customary resolutions or evidence of corporate authorization, secretary's certificates and such other documents and certificates (including Organizational Documents and good standing certificates) as Treasury may reasonably request relating to the organization, existence and good standing of the Company and any other legal matters relating to the Company, this Agreement, the Warrants or the transactions contemplated hereby or thereby.</w:t>
      </w:r>
    </w:p>
    <w:p>
      <w:pPr>
        <w:spacing w:after="0" w:line="156"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w:t>
      </w:r>
    </w:p>
    <w:p>
      <w:pPr>
        <w:spacing w:after="0" w:line="220" w:lineRule="exact"/>
        <w:rPr>
          <w:sz w:val="20"/>
          <w:szCs w:val="20"/>
          <w:color w:val="auto"/>
        </w:rPr>
      </w:pPr>
    </w:p>
    <w:p>
      <w:pPr>
        <w:ind w:left="-656" w:firstLine="656"/>
        <w:spacing w:after="0" w:line="287" w:lineRule="auto"/>
        <w:tabs>
          <w:tab w:leader="none" w:pos="637" w:val="left"/>
        </w:tabs>
        <w:numPr>
          <w:ilvl w:val="0"/>
          <w:numId w:val="55"/>
        </w:numPr>
        <w:rPr>
          <w:rFonts w:ascii="Arial" w:cs="Arial" w:eastAsia="Arial" w:hAnsi="Arial"/>
          <w:sz w:val="19"/>
          <w:szCs w:val="19"/>
          <w:color w:val="auto"/>
        </w:rPr>
      </w:pPr>
      <w:r>
        <w:rPr>
          <w:rFonts w:ascii="Arial" w:cs="Arial" w:eastAsia="Arial" w:hAnsi="Arial"/>
          <w:sz w:val="19"/>
          <w:szCs w:val="19"/>
          <w:color w:val="auto"/>
        </w:rPr>
        <w:t>When a reference is made in this Agreement to “Recitals,” “Articles,” “Sections,” or “Annexes” such reference shall be to a Recital, Article or Section of, or Annex to, this Warrant Agreement, unless otherwise indicated. The terms defined in the singular have a comparable meaning when used in the plural, and vice versa. References to “herein”, “hereof”, “hereunder” and the like refer to this Agreement as a whole and not to any particular section or provision, unless the context requires otherwise. The table of contents and headings contained in this Agreement are for reference purposes only and are not part of this Agreement. Whenever the words “include,” “includes” or “including” are used in this Agreement, they shall be deemed followed by the words “without limitation.” No rule of construction against the draftsperson shall be applied in connection with the interpretation or enforcement of this Agreement, as this Agreement is the product of negotiation between sophisticated parties advised by counsel. All references to “$” or “dollars” mean the lawful currency of the United States of America. 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p>
    <w:p>
      <w:pPr>
        <w:spacing w:after="0" w:line="158" w:lineRule="exact"/>
        <w:rPr>
          <w:rFonts w:ascii="Arial" w:cs="Arial" w:eastAsia="Arial" w:hAnsi="Arial"/>
          <w:sz w:val="19"/>
          <w:szCs w:val="19"/>
          <w:color w:val="auto"/>
        </w:rPr>
      </w:pPr>
    </w:p>
    <w:p>
      <w:pPr>
        <w:ind w:left="644" w:hanging="644"/>
        <w:spacing w:after="0"/>
        <w:tabs>
          <w:tab w:leader="none" w:pos="6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Capitalized terms not defined herein have the meanings ascribed thereto in Annex B.</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4924" w:hanging="136"/>
        <w:spacing w:after="0"/>
        <w:tabs>
          <w:tab w:leader="none" w:pos="4924" w:val="left"/>
        </w:tabs>
        <w:numPr>
          <w:ilvl w:val="1"/>
          <w:numId w:val="55"/>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0544"/>
          </w:cols>
          <w:pgMar w:left="976" w:top="1428" w:right="379" w:bottom="1440" w:gutter="0" w:footer="0" w:header="0"/>
        </w:sectPr>
      </w:pPr>
    </w:p>
    <w:bookmarkStart w:id="118" w:name="page119"/>
    <w:bookmarkEnd w:id="118"/>
    <w:p>
      <w:pPr>
        <w:ind w:left="5380"/>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Representations and Warranties</w:t>
      </w:r>
    </w:p>
    <w:p>
      <w:pPr>
        <w:spacing w:after="0" w:line="188"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Treasury that as of the date hereof and each Warrant Closing Date (or such other date specified herein):</w:t>
      </w:r>
    </w:p>
    <w:p>
      <w:pPr>
        <w:spacing w:after="0" w:line="175" w:lineRule="exact"/>
        <w:rPr>
          <w:sz w:val="20"/>
          <w:szCs w:val="20"/>
          <w:color w:val="auto"/>
        </w:rPr>
      </w:pPr>
    </w:p>
    <w:p>
      <w:pPr>
        <w:ind w:right="40" w:firstLine="656"/>
        <w:spacing w:after="0" w:line="276" w:lineRule="auto"/>
        <w:tabs>
          <w:tab w:leader="none" w:pos="1293"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Existence, Qualification and Power</w:t>
      </w:r>
      <w:r>
        <w:rPr>
          <w:rFonts w:ascii="Arial" w:cs="Arial" w:eastAsia="Arial" w:hAnsi="Arial"/>
          <w:sz w:val="19"/>
          <w:szCs w:val="19"/>
          <w:color w:val="auto"/>
        </w:rPr>
        <w:t>. The Company is duly organized or formed, validly existing and, if applicable, in good standing under the Laws of the jurisdiction of its incorporation or organization, and the Company and each Subsidiary</w:t>
      </w:r>
    </w:p>
    <w:p>
      <w:pPr>
        <w:spacing w:after="0" w:line="1" w:lineRule="exact"/>
        <w:rPr>
          <w:rFonts w:ascii="Arial" w:cs="Arial" w:eastAsia="Arial" w:hAnsi="Arial"/>
          <w:sz w:val="19"/>
          <w:szCs w:val="19"/>
          <w:color w:val="auto"/>
        </w:rPr>
      </w:pPr>
    </w:p>
    <w:p>
      <w:pPr>
        <w:ind w:right="20" w:firstLine="8"/>
        <w:spacing w:after="0" w:line="232" w:lineRule="auto"/>
        <w:tabs>
          <w:tab w:leader="none" w:pos="2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has all requisite power and authority and all requisite governmental licenses, authorizations, consents and approvals to (i) own or lease its assets and carry on its business and (ii) execute, deliver and perform its obligations under the this Agreement and the Warrants, and (b) is duly qualified and is licensed and, as applicable, in good standing under the Laws of each jurisdiction where its ownership, lease or operation of properties or the conduct of its business requires such qualification or license, except, in each case referred to in clause (a)(i) or (b), to the extent that failure to do so could not reasonably be expected to have a Material Adverse Effect.</w:t>
      </w:r>
    </w:p>
    <w:p>
      <w:pPr>
        <w:spacing w:after="0" w:line="188" w:lineRule="exact"/>
        <w:rPr>
          <w:rFonts w:ascii="Arial" w:cs="Arial" w:eastAsia="Arial" w:hAnsi="Arial"/>
          <w:sz w:val="22"/>
          <w:szCs w:val="22"/>
          <w:color w:val="auto"/>
        </w:rPr>
      </w:pPr>
    </w:p>
    <w:p>
      <w:pPr>
        <w:ind w:right="20" w:firstLine="656"/>
        <w:spacing w:after="0" w:line="272" w:lineRule="auto"/>
        <w:tabs>
          <w:tab w:leader="none" w:pos="1291"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5"/>
          <w:szCs w:val="15"/>
          <w:color w:val="auto"/>
        </w:rPr>
        <w:t>.</w:t>
      </w:r>
      <w:r>
        <w:rPr>
          <w:rFonts w:ascii="Arial" w:cs="Arial" w:eastAsia="Arial" w:hAnsi="Arial"/>
          <w:sz w:val="19"/>
          <w:szCs w:val="19"/>
          <w:color w:val="auto"/>
        </w:rPr>
        <w:t xml:space="preserve"> The authorized capital stock of the Company, and the outstanding capital stock of the Company (including securities convertible into, or exercisable or exchangeable for, capital stock of the Company) as of the most recent fiscal month-end preceding the date hereof (the “</w:t>
      </w:r>
      <w:r>
        <w:rPr>
          <w:rFonts w:ascii="Arial" w:cs="Arial" w:eastAsia="Arial" w:hAnsi="Arial"/>
          <w:sz w:val="19"/>
          <w:szCs w:val="19"/>
          <w:u w:val="single" w:color="auto"/>
          <w:color w:val="auto"/>
        </w:rPr>
        <w:t>Capitalization Date</w:t>
      </w:r>
      <w:r>
        <w:rPr>
          <w:rFonts w:ascii="Arial" w:cs="Arial" w:eastAsia="Arial" w:hAnsi="Arial"/>
          <w:sz w:val="19"/>
          <w:szCs w:val="19"/>
          <w:color w:val="auto"/>
        </w:rPr>
        <w:t>”) is set forth in Schedule 2. The outstanding shares of capital stock of the Company have been duly authorized and are validly issued and outstanding, fully paid and nonassessable, and subject to no preemptive rights (and were not issued in violation of any preemptive rights). Except as provided in the Warrants, as of the date hereof, the Company does not have outstanding any securities or other obligations providing the holder the right to acquire Common Stock that is not reserved for issuance as specified on Schedule 2, and the Company has not made any other commitment to authorize, issue or sell any Common Stock. Since the Capitalization Date, the Company has not issued any shares of Common Stock, other than (i) shares issued upon the exercise of stock options or delivered under other equity-based awards or other convertible securities or warrants which were issued and outstanding on the Capitalization Date and disclosed on Schedule 2 and (ii) shares disclosed on Schedule 2 as it may be updated by written notice from the Company to Treasury in connection with each Warrant Closing Date.</w:t>
      </w:r>
    </w:p>
    <w:p>
      <w:pPr>
        <w:spacing w:after="0" w:line="160" w:lineRule="exact"/>
        <w:rPr>
          <w:rFonts w:ascii="Arial" w:cs="Arial" w:eastAsia="Arial" w:hAnsi="Arial"/>
          <w:sz w:val="19"/>
          <w:szCs w:val="19"/>
          <w:color w:val="auto"/>
        </w:rPr>
      </w:pPr>
    </w:p>
    <w:p>
      <w:pPr>
        <w:ind w:firstLine="656"/>
        <w:spacing w:after="0" w:line="279" w:lineRule="auto"/>
        <w:tabs>
          <w:tab w:leader="none" w:pos="1293"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Listing</w:t>
      </w:r>
      <w:r>
        <w:rPr>
          <w:rFonts w:ascii="Arial" w:cs="Arial" w:eastAsia="Arial" w:hAnsi="Arial"/>
          <w:sz w:val="19"/>
          <w:szCs w:val="19"/>
          <w:color w:val="auto"/>
        </w:rPr>
        <w:t>. The Common Stock has been registered pursuant to Section 12(b) of the Exchange Act and the shares of the Common Stock outstanding on the date hereof are listed on a national securities exchange. The Company has taken no action designed to, or likely to have the effect of, terminating the registration of the Common Stock under the Exchange Act or the listing of the Common Stock on such national securities exchange, nor has the Company received any notification that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or such exchange is contemplating terminating such registration or listing. The Company is in compliance with applicable continued listing requirements of such exchange in all material respects.</w:t>
      </w:r>
    </w:p>
    <w:p>
      <w:pPr>
        <w:spacing w:after="0" w:line="150" w:lineRule="exact"/>
        <w:rPr>
          <w:rFonts w:ascii="Arial" w:cs="Arial" w:eastAsia="Arial" w:hAnsi="Arial"/>
          <w:sz w:val="19"/>
          <w:szCs w:val="19"/>
          <w:color w:val="auto"/>
        </w:rPr>
      </w:pPr>
    </w:p>
    <w:p>
      <w:pPr>
        <w:ind w:right="100" w:firstLine="656"/>
        <w:spacing w:after="0"/>
        <w:tabs>
          <w:tab w:leader="none" w:pos="1291"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Governmental Authorization; Other Consents</w:t>
      </w:r>
      <w:r>
        <w:rPr>
          <w:rFonts w:ascii="Arial" w:cs="Arial" w:eastAsia="Arial" w:hAnsi="Arial"/>
          <w:sz w:val="22"/>
          <w:szCs w:val="22"/>
          <w:color w:val="auto"/>
        </w:rPr>
        <w:t>. No approval, consent, exemption, authorization, or other action by, or notice to, or filing with, any Governmental Authority or any other Person is necessary or required in connection with the execution, delivery or performance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9" w:lineRule="exact"/>
        <w:rPr>
          <w:rFonts w:ascii="Arial" w:cs="Arial" w:eastAsia="Arial" w:hAnsi="Arial"/>
          <w:sz w:val="22"/>
          <w:szCs w:val="22"/>
          <w:color w:val="auto"/>
        </w:rPr>
      </w:pPr>
    </w:p>
    <w:p>
      <w:pPr>
        <w:ind w:left="5580" w:hanging="136"/>
        <w:spacing w:after="0"/>
        <w:tabs>
          <w:tab w:leader="none" w:pos="5580" w:val="left"/>
        </w:tabs>
        <w:numPr>
          <w:ilvl w:val="2"/>
          <w:numId w:val="57"/>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40"/>
          </w:cols>
          <w:pgMar w:left="320" w:top="1428" w:right="339" w:bottom="1440" w:gutter="0" w:footer="0" w:header="0"/>
        </w:sectPr>
      </w:pPr>
    </w:p>
    <w:bookmarkStart w:id="119" w:name="page120"/>
    <w:bookmarkEnd w:id="119"/>
    <w:p>
      <w:pPr>
        <w:ind w:right="340"/>
        <w:spacing w:after="0" w:line="250" w:lineRule="auto"/>
        <w:rPr>
          <w:sz w:val="20"/>
          <w:szCs w:val="20"/>
          <w:color w:val="auto"/>
        </w:rPr>
      </w:pPr>
      <w:r>
        <w:rPr>
          <w:rFonts w:ascii="Arial" w:cs="Arial" w:eastAsia="Arial" w:hAnsi="Arial"/>
          <w:sz w:val="22"/>
          <w:szCs w:val="22"/>
          <w:color w:val="auto"/>
        </w:rPr>
        <w:t>by, or enforcement against, the Company of this Agreement, except for such approvals, consents, exemptions, authorizations, actions or notices that have been duly obtained, taken or made and are in full force and effect.</w:t>
      </w:r>
    </w:p>
    <w:p>
      <w:pPr>
        <w:spacing w:after="0" w:line="188" w:lineRule="exact"/>
        <w:rPr>
          <w:sz w:val="20"/>
          <w:szCs w:val="20"/>
          <w:color w:val="auto"/>
        </w:rPr>
      </w:pPr>
    </w:p>
    <w:p>
      <w:pPr>
        <w:jc w:val="both"/>
        <w:ind w:right="40" w:firstLine="656"/>
        <w:spacing w:after="0" w:line="302" w:lineRule="auto"/>
        <w:tabs>
          <w:tab w:leader="none" w:pos="129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Execution and Delivery; Binding Effect</w:t>
      </w:r>
      <w:r>
        <w:rPr>
          <w:rFonts w:ascii="Arial" w:cs="Arial" w:eastAsia="Arial" w:hAnsi="Arial"/>
          <w:sz w:val="19"/>
          <w:szCs w:val="19"/>
          <w:color w:val="auto"/>
        </w:rPr>
        <w:t>. This Agreement has been duly authorized, executed and delivered by the Company. This Agreement constitutes a legal, valid and binding obligation of the Company, enforceable against the Company in accordance with its terms, except as such enforceability may be limited by bankruptcy, insolvency, reorganization, receivership, moratorium or other Laws affecting creditors’ rights generally and by general principles of equity.</w:t>
      </w:r>
    </w:p>
    <w:p>
      <w:pPr>
        <w:spacing w:after="0" w:line="142" w:lineRule="exact"/>
        <w:rPr>
          <w:rFonts w:ascii="Arial" w:cs="Arial" w:eastAsia="Arial" w:hAnsi="Arial"/>
          <w:sz w:val="19"/>
          <w:szCs w:val="19"/>
          <w:color w:val="auto"/>
        </w:rPr>
      </w:pPr>
    </w:p>
    <w:p>
      <w:pPr>
        <w:ind w:firstLine="656"/>
        <w:spacing w:after="0" w:line="246" w:lineRule="auto"/>
        <w:tabs>
          <w:tab w:leader="none" w:pos="129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The Warrants and Warrant Shares</w:t>
      </w:r>
      <w:r>
        <w:rPr>
          <w:rFonts w:ascii="Arial" w:cs="Arial" w:eastAsia="Arial" w:hAnsi="Arial"/>
          <w:sz w:val="22"/>
          <w:szCs w:val="22"/>
          <w:color w:val="auto"/>
        </w:rPr>
        <w:t xml:space="preserve">. Each Warrant has been duly authorized and, when executed and delivered as contemplated hereby, will constitute a valid and legally binding obligation of the Company enforceable against the Company in accordance with its terms, except as such enforceability may be limited by bankruptcy, insolvency, reorganization, receivership, moratorium or other Laws affecting creditors’ rights generally and by general principles of equity. The Warrant Shares have been duly authorized and reserved for issuance upon exercise of the Warrants and when so issued in accordance with the terms of the Warrants will be validly issued, fully paid and non-assessable, subject, if applicable, to the approvals of its stockholders set forth on </w:t>
      </w:r>
      <w:r>
        <w:rPr>
          <w:rFonts w:ascii="Arial" w:cs="Arial" w:eastAsia="Arial" w:hAnsi="Arial"/>
          <w:sz w:val="22"/>
          <w:szCs w:val="22"/>
          <w:u w:val="single" w:color="auto"/>
          <w:color w:val="auto"/>
        </w:rPr>
        <w:t>Schedule 3</w:t>
      </w:r>
      <w:r>
        <w:rPr>
          <w:rFonts w:ascii="Arial" w:cs="Arial" w:eastAsia="Arial" w:hAnsi="Arial"/>
          <w:sz w:val="22"/>
          <w:szCs w:val="22"/>
          <w:color w:val="auto"/>
        </w:rPr>
        <w:t>.</w:t>
      </w:r>
    </w:p>
    <w:p>
      <w:pPr>
        <w:spacing w:after="0" w:line="182" w:lineRule="exact"/>
        <w:rPr>
          <w:rFonts w:ascii="Arial" w:cs="Arial" w:eastAsia="Arial" w:hAnsi="Arial"/>
          <w:sz w:val="22"/>
          <w:szCs w:val="22"/>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40" w:firstLine="644"/>
        <w:spacing w:after="0" w:line="277" w:lineRule="auto"/>
        <w:tabs>
          <w:tab w:leader="none" w:pos="1944"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The Company has the corporate power and authority to execute and deliver this Agreement and the Warrants and, subject, if applicable, to the approvals of its stockholders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to carry out its obligations hereunder and thereunder (which includes the issuance of the Warrants and Warrant Shares). The execution, delivery and performance by the Company of this Agreement and the Warrants and the consummation of the transactions contemplated hereby and thereby have been duly authorized by all necessary corporate or other organizational action on the part of the Company and its stockholders, and no further approval or authorization is required on the part of the Company, subject, in each case, if applicable, to the approvals of its stockholders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ind w:left="660" w:right="40" w:firstLine="644"/>
        <w:spacing w:after="0" w:line="277" w:lineRule="auto"/>
        <w:tabs>
          <w:tab w:leader="none" w:pos="1950"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this Agreement do not and will not (a) contravene the terms of its Organizational Documents, (b) conflict with or result in any breach or contravention of, or the creation of any Lien (as defined in the Promissory Note) under, or require any payment to be made under (i) any material Contractual Obligation to which the Company is a party or affecting the Company or the properties of the Company or any Subsidiary or (ii) any material order, injunction, writ or decree of any Governmental Authority or any arbitral award to which the Company or any Subsidiary or its property is subject or (c) violate any Law, except to the extent that such violation could not reasonably be expected to have a Material Adverse Effect.</w:t>
      </w:r>
    </w:p>
    <w:p>
      <w:pPr>
        <w:spacing w:after="0" w:line="151" w:lineRule="exact"/>
        <w:rPr>
          <w:rFonts w:ascii="Arial" w:cs="Arial" w:eastAsia="Arial" w:hAnsi="Arial"/>
          <w:sz w:val="19"/>
          <w:szCs w:val="19"/>
          <w:color w:val="auto"/>
        </w:rPr>
      </w:pPr>
    </w:p>
    <w:p>
      <w:pPr>
        <w:ind w:left="660" w:right="220" w:firstLine="644"/>
        <w:spacing w:after="0" w:line="250" w:lineRule="auto"/>
        <w:tabs>
          <w:tab w:leader="none" w:pos="1956" w:val="left"/>
        </w:tabs>
        <w:numPr>
          <w:ilvl w:val="1"/>
          <w:numId w:val="58"/>
        </w:numPr>
        <w:rPr>
          <w:rFonts w:ascii="Arial" w:cs="Arial" w:eastAsia="Arial" w:hAnsi="Arial"/>
          <w:sz w:val="22"/>
          <w:szCs w:val="22"/>
          <w:color w:val="auto"/>
        </w:rPr>
      </w:pPr>
      <w:r>
        <w:rPr>
          <w:rFonts w:ascii="Arial" w:cs="Arial" w:eastAsia="Arial" w:hAnsi="Arial"/>
          <w:sz w:val="22"/>
          <w:szCs w:val="22"/>
          <w:color w:val="auto"/>
        </w:rPr>
        <w:t>Other than any current report on Form 8-K required to be filed with the SEC (which shall be made on or before the date on which it is required to be filed), such</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7" w:lineRule="exact"/>
        <w:rPr>
          <w:rFonts w:ascii="Arial" w:cs="Arial" w:eastAsia="Arial" w:hAnsi="Arial"/>
          <w:sz w:val="22"/>
          <w:szCs w:val="22"/>
          <w:color w:val="auto"/>
        </w:rPr>
      </w:pPr>
    </w:p>
    <w:p>
      <w:pPr>
        <w:ind w:left="5580" w:hanging="136"/>
        <w:spacing w:after="0"/>
        <w:tabs>
          <w:tab w:leader="none" w:pos="5580" w:val="left"/>
        </w:tabs>
        <w:numPr>
          <w:ilvl w:val="2"/>
          <w:numId w:val="58"/>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180"/>
          </w:cols>
          <w:pgMar w:left="320" w:top="1414" w:right="399" w:bottom="1440" w:gutter="0" w:footer="0" w:header="0"/>
        </w:sectPr>
      </w:pPr>
    </w:p>
    <w:bookmarkStart w:id="120" w:name="page121"/>
    <w:bookmarkEnd w:id="120"/>
    <w:p>
      <w:pPr>
        <w:ind w:left="4" w:right="100"/>
        <w:spacing w:after="0" w:line="277" w:lineRule="auto"/>
        <w:rPr>
          <w:sz w:val="20"/>
          <w:szCs w:val="20"/>
          <w:color w:val="auto"/>
        </w:rPr>
      </w:pPr>
      <w:r>
        <w:rPr>
          <w:rFonts w:ascii="Arial" w:cs="Arial" w:eastAsia="Arial" w:hAnsi="Arial"/>
          <w:sz w:val="19"/>
          <w:szCs w:val="19"/>
          <w:color w:val="auto"/>
        </w:rPr>
        <w:t>filings and approvals as are required to be made or obtained under any state “blue sky” laws, the filing of any proxy statement contemplated by Section 3.1 and such filings and approvals as have been made or obtained, no notice to, filing with, exemption or review by, or authorization, consent or approval of, any Governmental Authority is required to be made or obtained by the Company in connection with the execution, delivery and performance by the Company of this Agreement and the consummation by the Company of the issuance of the Warrants except for any such notices, filings, exemptions, reviews, authorizations, consents and approvals the failure of which to make or obtain would not, individually or in the aggregate, reasonably be expected to have a Material Adverse Effect.</w:t>
      </w:r>
    </w:p>
    <w:p>
      <w:pPr>
        <w:spacing w:after="0" w:line="165" w:lineRule="exact"/>
        <w:rPr>
          <w:sz w:val="20"/>
          <w:szCs w:val="20"/>
          <w:color w:val="auto"/>
        </w:rPr>
      </w:pPr>
    </w:p>
    <w:p>
      <w:pPr>
        <w:ind w:left="-656" w:right="20" w:firstLine="656"/>
        <w:spacing w:after="0" w:line="289" w:lineRule="auto"/>
        <w:tabs>
          <w:tab w:leader="none" w:pos="635"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Anti-takeover Provisions and Rights Plan</w:t>
      </w:r>
      <w:r>
        <w:rPr>
          <w:rFonts w:ascii="Arial" w:cs="Arial" w:eastAsia="Arial" w:hAnsi="Arial"/>
          <w:sz w:val="19"/>
          <w:szCs w:val="19"/>
          <w:color w:val="auto"/>
        </w:rPr>
        <w:t>. The Board of Directors of the Company (the “</w:t>
      </w:r>
      <w:r>
        <w:rPr>
          <w:rFonts w:ascii="Arial" w:cs="Arial" w:eastAsia="Arial" w:hAnsi="Arial"/>
          <w:sz w:val="19"/>
          <w:szCs w:val="19"/>
          <w:u w:val="single" w:color="auto"/>
          <w:color w:val="auto"/>
        </w:rPr>
        <w:t>Board of Directors</w:t>
      </w:r>
      <w:r>
        <w:rPr>
          <w:rFonts w:ascii="Arial" w:cs="Arial" w:eastAsia="Arial" w:hAnsi="Arial"/>
          <w:sz w:val="19"/>
          <w:szCs w:val="19"/>
          <w:color w:val="auto"/>
        </w:rPr>
        <w:t>”) has taken all necessary action, and will in the future take any necessary action, to ensure that the transactions contemplated by this Agreement and the Warrants and the consummation of the transactions contemplated hereby and thereby, including the exercise of the Warrants in accordance with their terms, will be exempt from any anti-takeover or similar provisions of the Company’s Organizational Documents, and any other provisions of any applicable “moratorium”, “control share”, “fair price”, “interested stockholder” or other anti-takeover laws and regulations of any jurisdiction, whether existing on the date hereof or implemented after the date hereof. The Company has taken all actions necessary, and will in the future take any necessary action, to render any stockholders’ rights plan of the Company inapplicable to this Agreement and the Warrants and the consummation of the transactions contemplated hereby and thereby, including the exercise of the Warrants by Treasury in accordance with its terms.</w:t>
      </w:r>
    </w:p>
    <w:p>
      <w:pPr>
        <w:spacing w:after="0" w:line="156" w:lineRule="exact"/>
        <w:rPr>
          <w:rFonts w:ascii="Arial" w:cs="Arial" w:eastAsia="Arial" w:hAnsi="Arial"/>
          <w:sz w:val="19"/>
          <w:szCs w:val="19"/>
          <w:color w:val="auto"/>
        </w:rPr>
      </w:pPr>
    </w:p>
    <w:p>
      <w:pPr>
        <w:ind w:left="644" w:hanging="644"/>
        <w:spacing w:after="0"/>
        <w:tabs>
          <w:tab w:leader="none" w:pos="644"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Reports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4" w:firstLine="644"/>
        <w:spacing w:after="0" w:line="286" w:lineRule="auto"/>
        <w:tabs>
          <w:tab w:leader="none" w:pos="1288" w:val="left"/>
        </w:tabs>
        <w:numPr>
          <w:ilvl w:val="1"/>
          <w:numId w:val="59"/>
        </w:numPr>
        <w:rPr>
          <w:rFonts w:ascii="Arial" w:cs="Arial" w:eastAsia="Arial" w:hAnsi="Arial"/>
          <w:sz w:val="19"/>
          <w:szCs w:val="19"/>
          <w:color w:val="auto"/>
        </w:rPr>
      </w:pPr>
      <w:r>
        <w:rPr>
          <w:rFonts w:ascii="Arial" w:cs="Arial" w:eastAsia="Arial" w:hAnsi="Arial"/>
          <w:sz w:val="19"/>
          <w:szCs w:val="19"/>
          <w:color w:val="auto"/>
        </w:rPr>
        <w:t>Since December 31, 2017, the Company and each Subsidiary has timely filed all reports, registrations, documents, filings, statements and submissions, together with any amendments thereto, that it was required to file with any Governmental Authority (the foregoing, collectively, the “</w:t>
      </w:r>
      <w:r>
        <w:rPr>
          <w:rFonts w:ascii="Arial" w:cs="Arial" w:eastAsia="Arial" w:hAnsi="Arial"/>
          <w:sz w:val="19"/>
          <w:szCs w:val="19"/>
          <w:u w:val="single" w:color="auto"/>
          <w:color w:val="auto"/>
        </w:rPr>
        <w:t>Company Reports</w:t>
      </w:r>
      <w:r>
        <w:rPr>
          <w:rFonts w:ascii="Arial" w:cs="Arial" w:eastAsia="Arial" w:hAnsi="Arial"/>
          <w:sz w:val="19"/>
          <w:szCs w:val="19"/>
          <w:color w:val="auto"/>
        </w:rPr>
        <w:t>”) and has paid all fees and assessments due and payable in connection therewith, except, in each case, as would not, individually or in the aggregate, reasonably be expected to have a Material Adverse Effect. As of their respective dates of filing, the Company Reports complied in all material respects with all statutes and applicable rules and regulations of the applicable Governmental Authority. In the case of each such Company Report filed with or furnished to the SEC, such Company Report (A) did not, as of its date or if amended prior to the date hereof, as of the date of such amendment, contain an untrue statement of a material fact or omit to state a material fact necessary in order to make the statements made therein, in light of the circumstances under which they were made, not misleading, and (B) complied as to form in all material respects with the applicable requirements of the Securities Act and the Exchange Act. With respect to all other Company Reports, the Company Reports were complete and accurate in all material respects as of their respective dates. No executive officer of the Company or any Subsidiary has failed in any respect to make the certifications required of him or her under Section 302 or 906 of the Sarbanes-Oxley Act of 2002.</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4924" w:hanging="136"/>
        <w:spacing w:after="0"/>
        <w:tabs>
          <w:tab w:leader="none" w:pos="4924" w:val="left"/>
        </w:tabs>
        <w:numPr>
          <w:ilvl w:val="2"/>
          <w:numId w:val="59"/>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0544"/>
          </w:cols>
          <w:pgMar w:left="976" w:top="1414" w:right="379" w:bottom="1440" w:gutter="0" w:footer="0" w:header="0"/>
        </w:sectPr>
      </w:pPr>
    </w:p>
    <w:bookmarkStart w:id="121" w:name="page122"/>
    <w:bookmarkEnd w:id="121"/>
    <w:p>
      <w:pPr>
        <w:ind w:left="4" w:firstLine="644"/>
        <w:spacing w:after="0" w:line="289" w:lineRule="auto"/>
        <w:tabs>
          <w:tab w:leader="none" w:pos="1294"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Company (A) has implemented and maintains disclosure controls and procedures (as defined in Rule 13a-15(e) of the Exchange Act) to ensure that material information relating to the Company, including its Subsidiaries, is made known to the chief executive officer and the chief financial officer of the Company by others within those entities, and (B) has disclosed, based on its most recent evaluation prior to the date hereof, to the Company’s outside auditors and the audit committee of the Board of Directors (x) any significant deficiencies and material weaknesses in the design or operation of internal controls over financial reporting (as defined in Rule 13a-15(f) of the Exchange Act) that are reasonably likely to adversely affect the Company’s ability to record, process, summarize and report financial information and (y) any fraud, whether or not material, that involves management or other employees who have a significant role in the Company’s internal controls over financial reporting.</w:t>
      </w:r>
    </w:p>
    <w:p>
      <w:pPr>
        <w:spacing w:after="0" w:line="156" w:lineRule="exact"/>
        <w:rPr>
          <w:rFonts w:ascii="Arial" w:cs="Arial" w:eastAsia="Arial" w:hAnsi="Arial"/>
          <w:sz w:val="19"/>
          <w:szCs w:val="19"/>
          <w:color w:val="auto"/>
        </w:rPr>
      </w:pPr>
    </w:p>
    <w:p>
      <w:pPr>
        <w:ind w:left="-656" w:right="60" w:firstLine="656"/>
        <w:spacing w:after="0" w:line="297" w:lineRule="auto"/>
        <w:tabs>
          <w:tab w:leader="none" w:pos="62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Offering of Securities</w:t>
      </w:r>
      <w:r>
        <w:rPr>
          <w:rFonts w:ascii="Arial" w:cs="Arial" w:eastAsia="Arial" w:hAnsi="Arial"/>
          <w:sz w:val="19"/>
          <w:szCs w:val="19"/>
          <w:color w:val="auto"/>
        </w:rPr>
        <w:t>. Neither the Company nor any person acting on its behalf has taken any action (including any offering of any securities of the Company under circumstances which would require the integration of such offering with the offering of any of the Warrants under the Securities Act, and the rules and regulations of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promulgated thereunder), which might subject the offering, issuance or sale of any of the Warrants to Treasury pursuant to this Agreement to the registration requirements of the Securities Act.</w:t>
      </w:r>
    </w:p>
    <w:p>
      <w:pPr>
        <w:spacing w:after="0" w:line="133" w:lineRule="exact"/>
        <w:rPr>
          <w:rFonts w:ascii="Arial" w:cs="Arial" w:eastAsia="Arial" w:hAnsi="Arial"/>
          <w:sz w:val="19"/>
          <w:szCs w:val="19"/>
          <w:color w:val="auto"/>
        </w:rPr>
      </w:pPr>
    </w:p>
    <w:p>
      <w:pPr>
        <w:ind w:left="-656" w:firstLine="656"/>
        <w:spacing w:after="0" w:line="238" w:lineRule="auto"/>
        <w:tabs>
          <w:tab w:leader="none" w:pos="635"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Brokers and Finders</w:t>
      </w:r>
      <w:r>
        <w:rPr>
          <w:rFonts w:ascii="Arial" w:cs="Arial" w:eastAsia="Arial" w:hAnsi="Arial"/>
          <w:sz w:val="22"/>
          <w:szCs w:val="22"/>
          <w:color w:val="0B0B0B"/>
        </w:rPr>
        <w:t>.</w:t>
      </w:r>
      <w:r>
        <w:rPr>
          <w:rFonts w:ascii="Arial" w:cs="Arial" w:eastAsia="Arial" w:hAnsi="Arial"/>
          <w:sz w:val="22"/>
          <w:szCs w:val="22"/>
          <w:color w:val="auto"/>
        </w:rPr>
        <w:t xml:space="preserve"> No broker, finder or investment banker is entitled to any financial advisory, brokerage, finder’s or other fee or commission in connection with this Agreement or the Warrants or the transactions contemplated hereby or thereby based upon arrangements made by or on behalf of the Company or any Subsidiary for which Treasury could have any liability.</w:t>
      </w:r>
    </w:p>
    <w:p>
      <w:pPr>
        <w:spacing w:after="0" w:line="185" w:lineRule="exact"/>
        <w:rPr>
          <w:sz w:val="20"/>
          <w:szCs w:val="20"/>
          <w:color w:val="auto"/>
        </w:rPr>
      </w:pPr>
    </w:p>
    <w:p>
      <w:pPr>
        <w:ind w:left="4704"/>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ind w:left="4484"/>
        <w:spacing w:after="0"/>
        <w:rPr>
          <w:sz w:val="20"/>
          <w:szCs w:val="20"/>
          <w:color w:val="auto"/>
        </w:rPr>
      </w:pPr>
      <w:r>
        <w:rPr>
          <w:rFonts w:ascii="Arial" w:cs="Arial" w:eastAsia="Arial" w:hAnsi="Arial"/>
          <w:sz w:val="22"/>
          <w:szCs w:val="22"/>
          <w:b w:val="1"/>
          <w:bCs w:val="1"/>
          <w:color w:val="auto"/>
        </w:rPr>
        <w:t>Covenants</w:t>
      </w:r>
    </w:p>
    <w:p>
      <w:pPr>
        <w:spacing w:after="0" w:line="188"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w:t>
      </w:r>
    </w:p>
    <w:p>
      <w:pPr>
        <w:spacing w:after="0" w:line="206" w:lineRule="exact"/>
        <w:rPr>
          <w:sz w:val="20"/>
          <w:szCs w:val="20"/>
          <w:color w:val="auto"/>
        </w:rPr>
      </w:pPr>
    </w:p>
    <w:p>
      <w:pPr>
        <w:ind w:left="-656" w:right="340" w:firstLine="656"/>
        <w:spacing w:after="0" w:line="252" w:lineRule="auto"/>
        <w:tabs>
          <w:tab w:leader="none" w:pos="637" w:val="left"/>
        </w:tabs>
        <w:numPr>
          <w:ilvl w:val="0"/>
          <w:numId w:val="62"/>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each of the parties will use its commercially reasonable efforts in good faith to take, or cause to be taken, all actions, and to do, or cause to be done, all things necessary, proper or desirable, or advisable under applicable laws, to enable consummation of the transactions contemplated hereby and shall use commercially reasonable efforts to cooperate with the other party to that end.</w:t>
      </w:r>
    </w:p>
    <w:p>
      <w:pPr>
        <w:spacing w:after="0" w:line="173" w:lineRule="exact"/>
        <w:rPr>
          <w:rFonts w:ascii="Arial" w:cs="Arial" w:eastAsia="Arial" w:hAnsi="Arial"/>
          <w:sz w:val="21"/>
          <w:szCs w:val="21"/>
          <w:color w:val="auto"/>
        </w:rPr>
      </w:pPr>
    </w:p>
    <w:p>
      <w:pPr>
        <w:ind w:left="-656" w:right="100" w:firstLine="656"/>
        <w:spacing w:after="0" w:line="277" w:lineRule="auto"/>
        <w:tabs>
          <w:tab w:leader="none" w:pos="635"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If the Company is required to obtain any stockholder approvals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then the Company shall comply with this Section 3.1(b) and Section 3.1(c). The Company shall call a special meeting of its stockholders, as promptly as practicable following the Initial Closing, to vote on proposals (collectively, the “</w:t>
      </w:r>
      <w:r>
        <w:rPr>
          <w:rFonts w:ascii="Arial" w:cs="Arial" w:eastAsia="Arial" w:hAnsi="Arial"/>
          <w:sz w:val="19"/>
          <w:szCs w:val="19"/>
          <w:u w:val="single" w:color="auto"/>
          <w:color w:val="auto"/>
        </w:rPr>
        <w:t>Stockholder Proposals</w:t>
      </w:r>
      <w:r>
        <w:rPr>
          <w:rFonts w:ascii="Arial" w:cs="Arial" w:eastAsia="Arial" w:hAnsi="Arial"/>
          <w:sz w:val="19"/>
          <w:szCs w:val="19"/>
          <w:color w:val="auto"/>
        </w:rPr>
        <w:t>”) to (i) approve the exercise of the Warrants for Common Stock for purposes of the rules of the national securities exchange on which the Common Stock is listed and/or (ii) amend the Company’s Organizational Documents to increase the number of authorized shares of Common Stock to at least such number as shall be sufficient to permit the full exercise of the Warrants for Common Stock and comply with the other provisions of this Section 3.1(b) and Section 3.1(c). The Board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4924" w:hanging="136"/>
        <w:spacing w:after="0"/>
        <w:tabs>
          <w:tab w:leader="none" w:pos="4924" w:val="left"/>
        </w:tabs>
        <w:numPr>
          <w:ilvl w:val="1"/>
          <w:numId w:val="62"/>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0544"/>
          </w:cols>
          <w:pgMar w:left="976" w:top="1428" w:right="379" w:bottom="1440" w:gutter="0" w:footer="0" w:header="0"/>
        </w:sectPr>
      </w:pPr>
    </w:p>
    <w:bookmarkStart w:id="122" w:name="page123"/>
    <w:bookmarkEnd w:id="122"/>
    <w:p>
      <w:pPr>
        <w:spacing w:after="0" w:line="270" w:lineRule="auto"/>
        <w:rPr>
          <w:sz w:val="20"/>
          <w:szCs w:val="20"/>
          <w:color w:val="auto"/>
        </w:rPr>
      </w:pPr>
      <w:r>
        <w:rPr>
          <w:rFonts w:ascii="Arial" w:cs="Arial" w:eastAsia="Arial" w:hAnsi="Arial"/>
          <w:sz w:val="19"/>
          <w:szCs w:val="19"/>
          <w:color w:val="auto"/>
        </w:rPr>
        <w:t>of Directors shall recommend to the Company’s stockholders that such stockholders vote in favor of the Stockholder Proposals. In connection with such meeting, the Company shall prepare (and Treasury will reasonably cooperate with the Company to prepare) and file with the SEC as promptly as practicable (but in no event more than ten Business Days after the Initial Closing) a preliminary proxy statement, shall use its reasonable best efforts to respond to any comments of the SEC or its staff thereon and to cause a definitive proxy statement related to such stockholders’ meeting to be mailed to the Company’s stockholders not more than five Business Days after clearance thereof by the SEC, and shall use its reasonable best efforts to solicit proxies for such stockholder approval of the Stockholder Proposals. The Company shall notify Treasury promptly of the receipt of any comments from the SEC or its staff with respect to the proxy statement and of any request by the SEC or its staff for amendments or supplements to such proxy statement or for additional information and will supply Treasury with copies of all correspondence between the Company or any of its representatives, on the one hand, and the SEC or its staff, on the other hand, with respect to such proxy statement. If at any time prior to such stockholders’ meeting there shall occur any event that is required to be set forth in an amendment or supplement to the proxy statement, the Company shall as promptly as practicable prepare and mail to its stockholders such an amendment or supplement. Each of Treasury and the Company agrees promptly to correct any information provided by it or on its behalf for use in the proxy statement if and to the extent that such information shall have become false or misleading in any material respect, and the Company shall as promptly as practicable prepare and mail to its stockholders an amendment or supplement to correct such information to the extent required by applicable laws and regulations. The Company shall consult with Treasury prior to filing any proxy statement, or any amendment or supplement thereto, and provide Treasury with a reasonable opportunity to comment thereon. In the event that the approval of any of the Stockholder Proposals is not obtained at such special stockholders meeting, the Company shall include a proposal to approve (and the Board of Directors shall recommend approval of) each such proposal at a meeting of its stockholders no less than once in each subsequent six-month period beginning on June 30, 2021 until all such approvals are obtained or made.</w:t>
      </w:r>
    </w:p>
    <w:p>
      <w:pPr>
        <w:spacing w:after="0" w:line="157" w:lineRule="exact"/>
        <w:rPr>
          <w:sz w:val="20"/>
          <w:szCs w:val="20"/>
          <w:color w:val="auto"/>
        </w:rPr>
      </w:pPr>
    </w:p>
    <w:p>
      <w:pPr>
        <w:ind w:right="100" w:firstLine="656"/>
        <w:spacing w:after="0" w:line="282" w:lineRule="auto"/>
        <w:tabs>
          <w:tab w:leader="none" w:pos="1293"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None of the information supplied by the Company or any of the Company Subsidiaries for inclusion in any proxy statement in connection with any such stockholders meeting of the Company will, at the date it is filed with the SEC, when first mailed to the Company’s stockholders and at the time of any stockholders meeting, and at the time of any amendment or supplement thereof, contain any untrue statement of a material fact or omit to state any material fact necessary in order to make the statements therein, in light of the circumstances under which they are made, not misleading.</w:t>
      </w:r>
    </w:p>
    <w:p>
      <w:pPr>
        <w:spacing w:after="0" w:line="147" w:lineRule="exact"/>
        <w:rPr>
          <w:sz w:val="20"/>
          <w:szCs w:val="20"/>
          <w:color w:val="auto"/>
        </w:rPr>
      </w:pPr>
    </w:p>
    <w:p>
      <w:pPr>
        <w:ind w:right="220" w:firstLine="648"/>
        <w:spacing w:after="0" w:line="27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Expenses</w:t>
      </w:r>
      <w:r>
        <w:rPr>
          <w:rFonts w:ascii="Arial" w:cs="Arial" w:eastAsia="Arial" w:hAnsi="Arial"/>
          <w:sz w:val="19"/>
          <w:szCs w:val="19"/>
          <w:color w:val="auto"/>
        </w:rPr>
        <w:t>. The Company shall pay (i) all reasonable out-of-pocket expenses incurred by Treasury (including the reasonable fees, charges and disbursements of any counsel for Treasury) in connection with the preparation, negotiation, execution, delivery and administration of this Agreement and the Warrants, any other agreements or documents executed in connection herewith or therewith, or any amendments, modifications or waivers of the provisions hereof or thereof (whether or not the transactions contemplated hereby or thereby shall be consummated), and (ii) all out-of-pocket expenses incurred by Treasury (including the fees, charges and disbursements of any counsel for Treasury), in connection with the enforcement or protection of its rights in connection with this Agreement and the Warrants, any other agreements or documents executed in connected herewith or therewith,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20"/>
          </w:cols>
          <w:pgMar w:left="320" w:top="1414" w:right="359" w:bottom="1440" w:gutter="0" w:footer="0" w:header="0"/>
        </w:sectPr>
      </w:pPr>
    </w:p>
    <w:bookmarkStart w:id="123" w:name="page124"/>
    <w:bookmarkEnd w:id="123"/>
    <w:p>
      <w:pPr>
        <w:ind w:right="180"/>
        <w:spacing w:after="0" w:line="238" w:lineRule="auto"/>
        <w:rPr>
          <w:sz w:val="20"/>
          <w:szCs w:val="20"/>
          <w:color w:val="auto"/>
        </w:rPr>
      </w:pPr>
      <w:r>
        <w:rPr>
          <w:rFonts w:ascii="Arial" w:cs="Arial" w:eastAsia="Arial" w:hAnsi="Arial"/>
          <w:sz w:val="22"/>
          <w:szCs w:val="22"/>
          <w:color w:val="auto"/>
        </w:rPr>
        <w:t>amendments, modifications or waivers of the provisions hereof or thereof (whether or not the transactions contemplated hereby or thereby shall be consummated), including all such out-of-pocket expenses incurred during any workout, restructuring, negotiations or enforcement in respect of such Warrant Agreement, Warrant and other agreements or documents executed in connection herewith or therewith.</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Sufficiency of Authorized Common Stock; Exchange Listing</w:t>
      </w:r>
      <w:r>
        <w:rPr>
          <w:rFonts w:ascii="Arial" w:cs="Arial" w:eastAsia="Arial" w:hAnsi="Arial"/>
          <w:sz w:val="19"/>
          <w:szCs w:val="19"/>
          <w:color w:val="auto"/>
        </w:rPr>
        <w:t>.</w:t>
      </w:r>
    </w:p>
    <w:p>
      <w:pPr>
        <w:spacing w:after="0" w:line="20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During the period from each Warrant Closing Date (or, if the approval of the Stockholder Proposals is required, the date of such approval) until the date on which no Warrants remain outstanding, the Company shall at all times have reserved for issuance, free of preemptive or similar rights, a sufficient number of authorized and unissued Warrant Shares to effectuate such exercise. Nothing in this Section 3.3 shall preclude the Company from satisfying its obligations in respect of the exercise of the Warrants by delivery of shares of Common Stock which are held in the treasury of the Company. As soon as reasonably practicable following each Warrant Closing Date, the Company shall, at its expense, cause the Warrant Shares to be listed on the same national securities exchange on which the Common Stock is listed, subject to official notice of issuance, and shall maintain such listing for so long as any Common Stock is listed on such exchange. The Company will use commercially reasonable efforts to maintain the listing of Common Stock on such national securities exchange so long as any Warrants or Warrant Shares remain outstanding. Neither the Company nor any of its Subsidiaries shall take any action which would be reasonably expected to result in the delisting or suspension of the Common Stock on such exchange. The foregoing shall not preclude the Company from undertaking any transaction set forth in Section 4.3 subject to compliance with that provision.</w:t>
      </w:r>
    </w:p>
    <w:p>
      <w:pPr>
        <w:spacing w:after="0" w:line="161"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Additional Agreements</w:t>
      </w:r>
    </w:p>
    <w:p>
      <w:pPr>
        <w:spacing w:after="0" w:line="188"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Investment Purposes</w:t>
      </w:r>
      <w:r>
        <w:rPr>
          <w:rFonts w:ascii="Arial" w:cs="Arial" w:eastAsia="Arial" w:hAnsi="Arial"/>
          <w:sz w:val="19"/>
          <w:szCs w:val="19"/>
          <w:color w:val="auto"/>
        </w:rPr>
        <w:t>. Treasury acknowledges that the Warrants and the Warrant Shares have not been registered under the Securities Act or under any state securities laws. Treasury (a) is acquiring the Warrants pursuant to an exemption from registration under the Securities Act solely for investment without a view to sell and with no present intention to distribute them to any person in violation of the Securities Act or any applicable U.S. state securities laws; (b) will not sell or otherwise dispose of any of the Warrants or the Warrant Shares, except in compliance with the registration requirements or exemption provisions of the Securities Act and any applicable U.S. state securities laws; and (c) has such knowledge and experience in financial and business matters and in investments of this type that it is capable of evaluating the merits and risks of the Warrants and the Warrant Shares and of making an informed investment decision.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w:t>
      </w:r>
    </w:p>
    <w:p>
      <w:pPr>
        <w:spacing w:after="0" w:line="206" w:lineRule="exact"/>
        <w:rPr>
          <w:sz w:val="20"/>
          <w:szCs w:val="20"/>
          <w:color w:val="auto"/>
        </w:rPr>
      </w:pPr>
    </w:p>
    <w:p>
      <w:pPr>
        <w:ind w:right="380" w:firstLine="656"/>
        <w:spacing w:after="0" w:line="250" w:lineRule="auto"/>
        <w:tabs>
          <w:tab w:leader="none" w:pos="1293" w:val="left"/>
        </w:tabs>
        <w:numPr>
          <w:ilvl w:val="0"/>
          <w:numId w:val="64"/>
        </w:numPr>
        <w:rPr>
          <w:rFonts w:ascii="Arial" w:cs="Arial" w:eastAsia="Arial" w:hAnsi="Arial"/>
          <w:sz w:val="22"/>
          <w:szCs w:val="22"/>
          <w:color w:val="auto"/>
        </w:rPr>
      </w:pPr>
      <w:r>
        <w:rPr>
          <w:rFonts w:ascii="Arial" w:cs="Arial" w:eastAsia="Arial" w:hAnsi="Arial"/>
          <w:sz w:val="22"/>
          <w:szCs w:val="22"/>
          <w:color w:val="auto"/>
        </w:rPr>
        <w:t>Treasury agrees that all certificates or other instruments representing the Warrants and the Warrant Shares will bear a legend substantially to the following effect:</w:t>
      </w:r>
    </w:p>
    <w:p>
      <w:pPr>
        <w:spacing w:after="0" w:line="188" w:lineRule="exact"/>
        <w:rPr>
          <w:sz w:val="20"/>
          <w:szCs w:val="20"/>
          <w:color w:val="auto"/>
        </w:rPr>
      </w:pPr>
    </w:p>
    <w:p>
      <w:pPr>
        <w:ind w:left="660" w:right="480"/>
        <w:spacing w:after="0" w:line="263" w:lineRule="auto"/>
        <w:rPr>
          <w:sz w:val="20"/>
          <w:szCs w:val="20"/>
          <w:color w:val="auto"/>
        </w:rPr>
      </w:pPr>
      <w:r>
        <w:rPr>
          <w:rFonts w:ascii="Arial" w:cs="Arial" w:eastAsia="Arial" w:hAnsi="Arial"/>
          <w:sz w:val="22"/>
          <w:szCs w:val="22"/>
          <w:color w:val="auto"/>
        </w:rPr>
        <w:t>“THE SECURITIES REPRESENTED BY THIS INSTRUMENT HAVE NOT BEEN REGISTERED UNDER THE SECURITIES ACT OF 1933, AS AMENDED,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00"/>
          </w:cols>
          <w:pgMar w:left="320" w:top="1414" w:right="379" w:bottom="1440" w:gutter="0" w:footer="0" w:header="0"/>
        </w:sectPr>
      </w:pPr>
    </w:p>
    <w:bookmarkStart w:id="124" w:name="page125"/>
    <w:bookmarkEnd w:id="124"/>
    <w:p>
      <w:pPr>
        <w:ind w:left="660" w:right="140"/>
        <w:spacing w:after="0" w:line="250" w:lineRule="auto"/>
        <w:rPr>
          <w:sz w:val="20"/>
          <w:szCs w:val="20"/>
          <w:color w:val="auto"/>
        </w:rPr>
      </w:pPr>
      <w:r>
        <w:rPr>
          <w:rFonts w:ascii="Arial" w:cs="Arial" w:eastAsia="Arial" w:hAnsi="Arial"/>
          <w:sz w:val="22"/>
          <w:szCs w:val="22"/>
          <w:color w:val="auto"/>
        </w:rPr>
        <w:t>SECURITIES LAWS OF ANY STATE AND MAY NOT BE TRANSFERRED, SOLD OR OTHERWISE DISPOSED OF EXCEPT WHILE A REGISTRATION STATEMENT RELATING THERETO IS IN EFFECT UNDER SUCH ACT AND APPLICABLE STATE SECURITIES LAWS OR PURSUANT TO AN EXEMPTION FROM REGISTRATION UNDER SUCH ACT AND SUCH LAWS.”</w:t>
      </w:r>
    </w:p>
    <w:p>
      <w:pPr>
        <w:spacing w:after="0" w:line="188" w:lineRule="exact"/>
        <w:rPr>
          <w:sz w:val="20"/>
          <w:szCs w:val="20"/>
          <w:color w:val="auto"/>
        </w:rPr>
      </w:pPr>
    </w:p>
    <w:p>
      <w:pPr>
        <w:ind w:right="80" w:firstLine="656"/>
        <w:spacing w:after="0" w:line="248" w:lineRule="auto"/>
        <w:tabs>
          <w:tab w:leader="none" w:pos="1291"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In the event that any Warrants or Warrant Shares (i) become registered under the Securities Act or (ii) are eligible to be transferred without restriction in accordance with Rule 144 or another exemption from registration under the Securities Act (other than Rule 144A), the Company shall issue new certificates or other instruments representing such Warrants or Warrant Shares, which shall not contain the legend in Section 4.2(a) above;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Treasury surrenders to the Company the previously issued certificates or other instruments.</w:t>
      </w:r>
    </w:p>
    <w:p>
      <w:pPr>
        <w:spacing w:after="0" w:line="192"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Certain Transactions</w:t>
      </w:r>
      <w:r>
        <w:rPr>
          <w:rFonts w:ascii="Arial" w:cs="Arial" w:eastAsia="Arial" w:hAnsi="Arial"/>
          <w:sz w:val="19"/>
          <w:szCs w:val="19"/>
          <w:color w:val="auto"/>
        </w:rPr>
        <w:t>. The Company will not merge or consolidate with, or sell, transfer or lease all or substantially all of its property or assets to, any other party unless the successor, transferee or lessee party (or its ultimate parent entity), as the case may be (if not the Company), expressly assumes the due and punctual performance and observance of each and every covenant, agreement and condition of this Agreement and the Warrants to be performed and observed by the Company.</w:t>
      </w:r>
    </w:p>
    <w:p>
      <w:pPr>
        <w:spacing w:after="0" w:line="129" w:lineRule="exact"/>
        <w:rPr>
          <w:sz w:val="20"/>
          <w:szCs w:val="20"/>
          <w:color w:val="auto"/>
        </w:rPr>
      </w:pPr>
    </w:p>
    <w:p>
      <w:pPr>
        <w:ind w:right="800" w:firstLine="648"/>
        <w:spacing w:after="0" w:line="238"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Transfer of Warrants and Warrant Shares</w:t>
      </w:r>
      <w:r>
        <w:rPr>
          <w:rFonts w:ascii="Arial" w:cs="Arial" w:eastAsia="Arial" w:hAnsi="Arial"/>
          <w:sz w:val="22"/>
          <w:szCs w:val="22"/>
          <w:color w:val="auto"/>
        </w:rPr>
        <w:t>. Subject to compliance with applicable securities laws, Treasury shall be permitted to transfer, sell, assign or otherwise dispose of (“</w:t>
      </w:r>
      <w:r>
        <w:rPr>
          <w:rFonts w:ascii="Arial" w:cs="Arial" w:eastAsia="Arial" w:hAnsi="Arial"/>
          <w:sz w:val="22"/>
          <w:szCs w:val="22"/>
          <w:u w:val="single" w:color="auto"/>
          <w:color w:val="auto"/>
        </w:rPr>
        <w:t>Transfer</w:t>
      </w:r>
      <w:r>
        <w:rPr>
          <w:rFonts w:ascii="Arial" w:cs="Arial" w:eastAsia="Arial" w:hAnsi="Arial"/>
          <w:sz w:val="22"/>
          <w:szCs w:val="22"/>
          <w:color w:val="auto"/>
        </w:rPr>
        <w:t>”) all or a portion of the Warrants or Warrant Shares at any time, and the Company shall take all steps as may be reasonably requested by Treasury to facilitate the Transfer of the Warrants and the Warrant Shares.</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Registration Rights</w:t>
      </w:r>
      <w:r>
        <w:rPr>
          <w:rFonts w:ascii="Arial" w:cs="Arial" w:eastAsia="Arial" w:hAnsi="Arial"/>
          <w:sz w:val="19"/>
          <w:szCs w:val="19"/>
          <w:color w:val="auto"/>
        </w:rPr>
        <w:t>.</w:t>
      </w:r>
    </w:p>
    <w:p>
      <w:pPr>
        <w:spacing w:after="0" w:line="220"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Registration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60" w:firstLine="644"/>
        <w:spacing w:after="0" w:line="272" w:lineRule="auto"/>
        <w:tabs>
          <w:tab w:leader="none" w:pos="1944" w:val="left"/>
        </w:tabs>
        <w:numPr>
          <w:ilvl w:val="1"/>
          <w:numId w:val="66"/>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Company covenants and agrees that on or before the earlier of (A) 30 days after the date on which all Warrants that may be issued pursuant to this Agreement have been issued and (B) June 30, 2021 (the end of such period, the “</w:t>
      </w:r>
      <w:r>
        <w:rPr>
          <w:rFonts w:ascii="Arial" w:cs="Arial" w:eastAsia="Arial" w:hAnsi="Arial"/>
          <w:sz w:val="19"/>
          <w:szCs w:val="19"/>
          <w:u w:val="single" w:color="auto"/>
          <w:color w:val="auto"/>
        </w:rPr>
        <w:t>Registration Commencement Date</w:t>
      </w:r>
      <w:r>
        <w:rPr>
          <w:rFonts w:ascii="Arial" w:cs="Arial" w:eastAsia="Arial" w:hAnsi="Arial"/>
          <w:sz w:val="19"/>
          <w:szCs w:val="19"/>
          <w:color w:val="auto"/>
        </w:rPr>
        <w:t>”), the Company shall prepare and file with the SEC a Shelf Registration Statement covering the maximum number of Registrable Securities (or otherwise designate an existing Shelf Registration Statement filed with the SEC to cover the Registrable Securities) that may be issued pursuant to this Agreement and any Warrants outstanding at that time, and, to the extent the Shelf Registration Statement has not theretofore been declared effective or is not automatically effective upon such filing, the Company shall use reasonable best efforts to cause such Shelf Registration Statement to be declared or become effective and to keep such Shelf Registration Statement continuously effective and in compliance with the Securities Act and usable for resale of such Registrable Securities for a period from the date of its initial effectiveness until such time as there are no Registrable Securities remaining (including by refiling such Shelf Registration Statement (or a new Shelf Registration Statement) if the initial Shelf Registration Statement expires). So long as the Company is a well-known seasoned issuer (as defined in Rule 405 under the Securities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5580" w:hanging="136"/>
        <w:spacing w:after="0"/>
        <w:tabs>
          <w:tab w:leader="none" w:pos="5580" w:val="left"/>
        </w:tabs>
        <w:numPr>
          <w:ilvl w:val="2"/>
          <w:numId w:val="66"/>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220"/>
          </w:cols>
          <w:pgMar w:left="320" w:top="1428" w:right="359" w:bottom="1440" w:gutter="0" w:footer="0" w:header="0"/>
        </w:sectPr>
      </w:pPr>
    </w:p>
    <w:bookmarkStart w:id="125" w:name="page126"/>
    <w:bookmarkEnd w:id="125"/>
    <w:p>
      <w:pPr>
        <w:ind w:left="4" w:right="220"/>
        <w:spacing w:after="0" w:line="287" w:lineRule="auto"/>
        <w:rPr>
          <w:sz w:val="20"/>
          <w:szCs w:val="20"/>
          <w:color w:val="auto"/>
        </w:rPr>
      </w:pPr>
      <w:r>
        <w:rPr>
          <w:rFonts w:ascii="Arial" w:cs="Arial" w:eastAsia="Arial" w:hAnsi="Arial"/>
          <w:sz w:val="19"/>
          <w:szCs w:val="19"/>
          <w:color w:val="auto"/>
        </w:rPr>
        <w:t>Act) at the time of filing of the Shelf Registration Statement with the SEC, such Shelf Registration Statement shall be designated by the Company as an automatic Shelf Registration Statement. Notwithstanding the foregoing, if on the date hereof the Company is not eligible to file a registration statement on Form S-3, then the Company shall not be obligated to file a Shelf Registration Statement unless and until it is so eligible and is requested to do so in writing by Treasury.</w:t>
      </w:r>
    </w:p>
    <w:p>
      <w:pPr>
        <w:spacing w:after="0" w:line="143" w:lineRule="exact"/>
        <w:rPr>
          <w:sz w:val="20"/>
          <w:szCs w:val="20"/>
          <w:color w:val="auto"/>
        </w:rPr>
      </w:pPr>
    </w:p>
    <w:p>
      <w:pPr>
        <w:ind w:left="4" w:right="20" w:firstLine="644"/>
        <w:spacing w:after="0" w:line="244" w:lineRule="auto"/>
        <w:tabs>
          <w:tab w:leader="none" w:pos="1294" w:val="left"/>
        </w:tabs>
        <w:numPr>
          <w:ilvl w:val="1"/>
          <w:numId w:val="67"/>
        </w:numPr>
        <w:rPr>
          <w:rFonts w:ascii="Arial" w:cs="Arial" w:eastAsia="Arial" w:hAnsi="Arial"/>
          <w:sz w:val="21"/>
          <w:szCs w:val="21"/>
          <w:color w:val="auto"/>
        </w:rPr>
      </w:pPr>
      <w:r>
        <w:rPr>
          <w:rFonts w:ascii="Arial" w:cs="Arial" w:eastAsia="Arial" w:hAnsi="Arial"/>
          <w:sz w:val="21"/>
          <w:szCs w:val="21"/>
          <w:color w:val="auto"/>
        </w:rPr>
        <w:t>Any registration pursuant to Section 4.5(a)(i) shall be effected by means of a shelf registration on an appropriate form under Rule 415 under the Securities Act (a “</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xml:space="preserve">”). If Treasury or any other Holder intends to distribute any Registrable Securities by means of an underwritten offering it shall promptly so advise the Company and the Company shall take all reasonable steps to facilitate such distribution, including the actions required pursuant to Section 4.5(c);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shall not be required to facilitate an underwritten offering of Registrable Securities unless the total number of Warrant Shares and Warrants expected to be sold in such offering exceeds, or are exercisable for, at least 20% of the total number of Warrant Shares for which Warrants issued under this Agreement could be exercised (giving effect to the anti-dilution adjustments in Warrants);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that the Company shall not be required to facilitate more than two completed underwritten offerings within any 12-month period. The lead underwriters in any such distribution shall be selected by the Holders of a majority of the Registrable Securities to be distributed.</w:t>
      </w:r>
    </w:p>
    <w:p>
      <w:pPr>
        <w:spacing w:after="0" w:line="188" w:lineRule="exact"/>
        <w:rPr>
          <w:rFonts w:ascii="Arial" w:cs="Arial" w:eastAsia="Arial" w:hAnsi="Arial"/>
          <w:sz w:val="21"/>
          <w:szCs w:val="21"/>
          <w:color w:val="auto"/>
        </w:rPr>
      </w:pPr>
    </w:p>
    <w:p>
      <w:pPr>
        <w:ind w:left="4" w:firstLine="644"/>
        <w:spacing w:after="0" w:line="269" w:lineRule="auto"/>
        <w:tabs>
          <w:tab w:leader="none" w:pos="1300"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The Company shall not be required to effect a registration (including a resale of Registrable Securities from an effective Shelf Registration Statement) or an underwritten offering pursuant to Section 4.5(a): (A) prior to the Registration Commencement Date; (B) with respect to securities that are not Registrable Securities; or (C) if the Company has notified Treasury and all other Holders that in the good faith judgment of the Board of Directors, it would be materially detrimental to the Company or its securityholders for such registration or underwritten offering to be effected at such time, in which event the Company shall have the right to defer such registration or offering for a period of not more than 45 days after receipt of the request of Treasury or any other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right to delay a registration or underwritten offering shall be exercised by the Company (1) only if the Company has generally exercised (or is concurrently exercising) similar black-out rights against holders of similar securities that have registration rights and</w:t>
      </w:r>
    </w:p>
    <w:p>
      <w:pPr>
        <w:spacing w:after="0" w:line="1" w:lineRule="exact"/>
        <w:rPr>
          <w:rFonts w:ascii="Arial" w:cs="Arial" w:eastAsia="Arial" w:hAnsi="Arial"/>
          <w:sz w:val="19"/>
          <w:szCs w:val="19"/>
          <w:color w:val="auto"/>
        </w:rPr>
      </w:pPr>
    </w:p>
    <w:p>
      <w:pPr>
        <w:jc w:val="both"/>
        <w:ind w:left="4" w:right="60" w:hanging="4"/>
        <w:spacing w:after="0" w:line="234" w:lineRule="auto"/>
        <w:tabs>
          <w:tab w:leader="none" w:pos="310"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not more than three times in any 12-month period and not more than 90 days in the aggregate in any 12-month period. The Company shall notify the Holders of the date of any anticipated termination of any such deferral period prior to such date.</w:t>
      </w:r>
    </w:p>
    <w:p>
      <w:pPr>
        <w:spacing w:after="0" w:line="187" w:lineRule="exact"/>
        <w:rPr>
          <w:rFonts w:ascii="Arial" w:cs="Arial" w:eastAsia="Arial" w:hAnsi="Arial"/>
          <w:sz w:val="22"/>
          <w:szCs w:val="22"/>
          <w:color w:val="auto"/>
        </w:rPr>
      </w:pPr>
    </w:p>
    <w:p>
      <w:pPr>
        <w:ind w:left="4" w:right="240" w:firstLine="644"/>
        <w:spacing w:after="0" w:line="279" w:lineRule="auto"/>
        <w:tabs>
          <w:tab w:leader="none" w:pos="1288" w:val="left"/>
        </w:tabs>
        <w:numPr>
          <w:ilvl w:val="1"/>
          <w:numId w:val="68"/>
        </w:numPr>
        <w:rPr>
          <w:rFonts w:ascii="Arial" w:cs="Arial" w:eastAsia="Arial" w:hAnsi="Arial"/>
          <w:sz w:val="19"/>
          <w:szCs w:val="19"/>
          <w:color w:val="auto"/>
        </w:rPr>
      </w:pPr>
      <w:r>
        <w:rPr>
          <w:rFonts w:ascii="Arial" w:cs="Arial" w:eastAsia="Arial" w:hAnsi="Arial"/>
          <w:sz w:val="19"/>
          <w:szCs w:val="19"/>
          <w:color w:val="auto"/>
        </w:rPr>
        <w:t>If during any period when an effective Shelf Registration Statement is not available, the Company proposes to register any of its equity securities, other than a registration pursuant to Section 4.5(a)(i) or a Special Registration, and the registration form to be filed may be used for the registration or qualification for distribution of Registrable Securities, the Company will give prompt written notice to Treasury and all other Holders of its intention to effect such a registration (but in no event less than ten days prior to the anticipated filing date) and will include in such registration all Registrable Securities with respect to which the Company has received written requests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4864" w:hanging="130"/>
        <w:spacing w:after="0"/>
        <w:tabs>
          <w:tab w:leader="none" w:pos="4864" w:val="left"/>
        </w:tabs>
        <w:numPr>
          <w:ilvl w:val="2"/>
          <w:numId w:val="68"/>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0584"/>
          </w:cols>
          <w:pgMar w:left="976" w:top="1414" w:right="339" w:bottom="1440" w:gutter="0" w:footer="0" w:header="0"/>
        </w:sectPr>
      </w:pPr>
    </w:p>
    <w:bookmarkStart w:id="126" w:name="page127"/>
    <w:bookmarkEnd w:id="126"/>
    <w:p>
      <w:pPr>
        <w:spacing w:after="0" w:line="279" w:lineRule="auto"/>
        <w:rPr>
          <w:sz w:val="20"/>
          <w:szCs w:val="20"/>
          <w:color w:val="auto"/>
        </w:rPr>
      </w:pPr>
      <w:r>
        <w:rPr>
          <w:rFonts w:ascii="Arial" w:cs="Arial" w:eastAsia="Arial" w:hAnsi="Arial"/>
          <w:sz w:val="19"/>
          <w:szCs w:val="19"/>
          <w:color w:val="auto"/>
        </w:rPr>
        <w:t>for inclusion therein within ten Business Days after the date of the Company’s notice (a “</w:t>
      </w:r>
      <w:r>
        <w:rPr>
          <w:rFonts w:ascii="Arial" w:cs="Arial" w:eastAsia="Arial" w:hAnsi="Arial"/>
          <w:sz w:val="19"/>
          <w:szCs w:val="19"/>
          <w:u w:val="single" w:color="auto"/>
          <w:color w:val="auto"/>
        </w:rPr>
        <w:t>Piggyback Registration</w:t>
      </w:r>
      <w:r>
        <w:rPr>
          <w:rFonts w:ascii="Arial" w:cs="Arial" w:eastAsia="Arial" w:hAnsi="Arial"/>
          <w:sz w:val="19"/>
          <w:szCs w:val="19"/>
          <w:color w:val="auto"/>
        </w:rPr>
        <w:t>”). Any such person that has made such a written request may withdraw its Registrable Securities from such Piggyback Registration by giving written notice to the Company and the managing underwriter, if any, on or before the fifth Business Day prior to the planned effective date of such Piggyback Registration. The Company may terminate or withdraw any registration under this Section 4.5(a)(iv) prior to the effectiveness of such registration, whether or not Treasury or any other Holders have elected to include Registrable Securities in such registration.</w:t>
      </w:r>
    </w:p>
    <w:p>
      <w:pPr>
        <w:spacing w:after="0" w:line="150" w:lineRule="exact"/>
        <w:rPr>
          <w:sz w:val="20"/>
          <w:szCs w:val="20"/>
          <w:color w:val="auto"/>
        </w:rPr>
      </w:pPr>
    </w:p>
    <w:p>
      <w:pPr>
        <w:ind w:firstLine="644"/>
        <w:spacing w:after="0" w:line="273" w:lineRule="auto"/>
        <w:tabs>
          <w:tab w:leader="none" w:pos="1291"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If the registration referred to in Section 4.5(a)(iv) is proposed to be underwritten, the Company will so advise Treasury and all other Holders as a part of the written notice given pursuant to Section 4.5(a)(iv). In such event, the right of Treasury and all other Holders to registration pursuant to Section 4.5(a) will be conditioned upon such persons’ participation in such underwriting and the inclusion of such person’s Registrable Securities in the underwriting if such securities are of the same class of securities as the securities to be offered in the underwritten offering, and each such person will (together with the Company and the other persons distributing their securities through such underwriting) enter into an underwriting agreement in customary form with the underwriter or underwriters selected for such underwriting by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Treasury (as opposed to other Holders) shall not be required to indemnify any person in connection with any registration. If any participating person disapproves of the terms of the underwriting, such person may elect to withdraw therefrom by written notice to the Company, the managing underwriters and Treasury (if Treasury is participating in the underwriting).</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firstLine="644"/>
        <w:spacing w:after="0" w:line="271" w:lineRule="auto"/>
        <w:tabs>
          <w:tab w:leader="none" w:pos="1284"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If either (x) the Company grants “piggyback” registration rights to one or more third parties to include their securities in an underwritten offering under the Shelf Registration Statement pursuant to Section 4.5(a)(ii) or (y) a Piggyback Registration under Section 4.5(a)(iv) relates to an underwritten offering on behalf of the Company, and in either case the managing underwriters advise the Company that in their reasonable opinion the number of securities requested to be included in such offering exceeds the number which can be sold without adversely affecting the marketability of such offering (including an adverse effect on the per share offering price), the Company will include in such offering only such number of securities that in the reasonable opinion of such managing underwriters can be sold without adversely affecting the marketability of the offering (including an adverse effect on the per share offering price), which securities will be so included in the following order of priority: (A) first, in the case of a Piggyback Registration under Section 4.5(a)(iv), the securities the Company proposes to sell, (B) then the Registrable Securities of Treasury and all other Holders who have requested inclusion of Registrable Securities pursuant to Section 4.5(a)(ii) or Section 4.5(a) (iv), as applicable,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on the basis of the aggregate number of such securities or shares owned by each such person and (C) lastly, any other securities of the Company that have been requested to be so included, subject to the terms of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Company has, prior to the date hereof, entered into an agreement with respect to its securities that is inconsistent with the order of priority contemplated hereby then it shall apply the order of priority in such conflicting agreement to the extent that this Agreement would otherwise result in a breach under such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4860" w:hanging="126"/>
        <w:spacing w:after="0"/>
        <w:tabs>
          <w:tab w:leader="none" w:pos="48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0580"/>
          </w:cols>
          <w:pgMar w:left="980" w:top="1414" w:right="339" w:bottom="1440" w:gutter="0" w:footer="0" w:header="0"/>
        </w:sectPr>
      </w:pPr>
    </w:p>
    <w:bookmarkStart w:id="127" w:name="page128"/>
    <w:bookmarkEnd w:id="127"/>
    <w:p>
      <w:pPr>
        <w:ind w:left="-656" w:right="60" w:firstLine="656"/>
        <w:spacing w:after="0" w:line="250" w:lineRule="auto"/>
        <w:tabs>
          <w:tab w:leader="none" w:pos="635"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Expenses of Registration</w:t>
      </w:r>
      <w:r>
        <w:rPr>
          <w:rFonts w:ascii="Arial" w:cs="Arial" w:eastAsia="Arial" w:hAnsi="Arial"/>
          <w:sz w:val="22"/>
          <w:szCs w:val="22"/>
          <w:color w:val="auto"/>
        </w:rPr>
        <w:t xml:space="preserve">. All Registration Expenses incurred in connection with any registration, qualification or compliance hereunder shall be borne by the Company. All Selling Expenses incurred in connection with any registrations hereunder shall be borne by the holders of the securities so registered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 aggregate offering or sale price of the securities so registered.</w:t>
      </w:r>
    </w:p>
    <w:p>
      <w:pPr>
        <w:spacing w:after="0" w:line="187" w:lineRule="exact"/>
        <w:rPr>
          <w:rFonts w:ascii="Arial" w:cs="Arial" w:eastAsia="Arial" w:hAnsi="Arial"/>
          <w:sz w:val="22"/>
          <w:szCs w:val="22"/>
          <w:color w:val="auto"/>
        </w:rPr>
      </w:pPr>
    </w:p>
    <w:p>
      <w:pPr>
        <w:ind w:left="-656" w:right="40" w:firstLine="656"/>
        <w:spacing w:after="0" w:line="294" w:lineRule="auto"/>
        <w:tabs>
          <w:tab w:leader="none" w:pos="637"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Obligations of the Company</w:t>
      </w:r>
      <w:r>
        <w:rPr>
          <w:rFonts w:ascii="Arial" w:cs="Arial" w:eastAsia="Arial" w:hAnsi="Arial"/>
          <w:sz w:val="19"/>
          <w:szCs w:val="19"/>
          <w:color w:val="auto"/>
        </w:rPr>
        <w:t>. The Company shall use its reasonable best efforts, for so long as there are Registrable Securities outstanding, to take such actions as are under its control to not become an ineligible issuer (as defined in Rule 405 under the Securities Act) and to remain a well-known seasoned issuer (as defined in Rule 405 under the Securities Act) if it has such status on the date hereof or becomes eligible for such status in the future. In addition, whenever required to effect the registration of any Registrable Securities or facilitate the distribution of Registrable Securities pursuant to an effective Shelf Registration Statement, the Company shall, as expeditiously as reasonably practicable:</w:t>
      </w:r>
    </w:p>
    <w:p>
      <w:pPr>
        <w:spacing w:after="0" w:line="149" w:lineRule="exact"/>
        <w:rPr>
          <w:rFonts w:ascii="Arial" w:cs="Arial" w:eastAsia="Arial" w:hAnsi="Arial"/>
          <w:sz w:val="19"/>
          <w:szCs w:val="19"/>
          <w:color w:val="auto"/>
        </w:rPr>
      </w:pPr>
    </w:p>
    <w:p>
      <w:pPr>
        <w:ind w:left="4" w:right="100" w:firstLine="644"/>
        <w:spacing w:after="0" w:line="259" w:lineRule="auto"/>
        <w:tabs>
          <w:tab w:leader="none" w:pos="1288" w:val="left"/>
        </w:tabs>
        <w:numPr>
          <w:ilvl w:val="1"/>
          <w:numId w:val="70"/>
        </w:numPr>
        <w:rPr>
          <w:rFonts w:ascii="Arial" w:cs="Arial" w:eastAsia="Arial" w:hAnsi="Arial"/>
          <w:sz w:val="21"/>
          <w:szCs w:val="21"/>
          <w:color w:val="auto"/>
        </w:rPr>
      </w:pPr>
      <w:r>
        <w:rPr>
          <w:rFonts w:ascii="Arial" w:cs="Arial" w:eastAsia="Arial" w:hAnsi="Arial"/>
          <w:sz w:val="21"/>
          <w:szCs w:val="21"/>
          <w:color w:val="auto"/>
        </w:rPr>
        <w:t>Prepare and file with the SEC a prospectus supplement with respect to a proposed offering of Registrable Securities pursuant to an effective registration statement, subject to Section 4.5(d), keep such registration statement effective and keep such prospectus supplement current until the securities described therein are no longer Registrable Securities. The plan of distribution included in such registration statement, or, as applicable, prospectus supplement thereto, shall include, among other things, an underwritten offering, ordinary brokerage transactions and transactions in which the broker-dealer solicits purchasers, block trades, privately negotiated transactions, the writing or settlement of options or other derivative transactions and any other method permitted pursuant to applicable law, and any combination of any such methods of sale.</w:t>
      </w:r>
    </w:p>
    <w:p>
      <w:pPr>
        <w:spacing w:after="0" w:line="183" w:lineRule="exact"/>
        <w:rPr>
          <w:rFonts w:ascii="Arial" w:cs="Arial" w:eastAsia="Arial" w:hAnsi="Arial"/>
          <w:sz w:val="21"/>
          <w:szCs w:val="21"/>
          <w:color w:val="auto"/>
        </w:rPr>
      </w:pPr>
    </w:p>
    <w:p>
      <w:pPr>
        <w:jc w:val="both"/>
        <w:ind w:left="4" w:right="140" w:firstLine="644"/>
        <w:spacing w:after="0" w:line="250" w:lineRule="auto"/>
        <w:tabs>
          <w:tab w:leader="none" w:pos="1294" w:val="left"/>
        </w:tabs>
        <w:numPr>
          <w:ilvl w:val="1"/>
          <w:numId w:val="70"/>
        </w:numPr>
        <w:rPr>
          <w:rFonts w:ascii="Arial" w:cs="Arial" w:eastAsia="Arial" w:hAnsi="Arial"/>
          <w:sz w:val="22"/>
          <w:szCs w:val="22"/>
          <w:color w:val="auto"/>
        </w:rPr>
      </w:pPr>
      <w:r>
        <w:rPr>
          <w:rFonts w:ascii="Arial" w:cs="Arial" w:eastAsia="Arial" w:hAnsi="Arial"/>
          <w:sz w:val="22"/>
          <w:szCs w:val="22"/>
          <w:color w:val="auto"/>
        </w:rPr>
        <w:t>Prepare and file with the SEC such amendments and supplements to the applicable registration statement and the prospectus or prospectus supplement used in connection with such registration statement as may be necessary to comply with the provisions of the Securities Act with respect to the disposition of all securities covered by such registration statement.</w:t>
      </w:r>
    </w:p>
    <w:p>
      <w:pPr>
        <w:spacing w:after="0" w:line="187" w:lineRule="exact"/>
        <w:rPr>
          <w:rFonts w:ascii="Arial" w:cs="Arial" w:eastAsia="Arial" w:hAnsi="Arial"/>
          <w:sz w:val="22"/>
          <w:szCs w:val="22"/>
          <w:color w:val="auto"/>
        </w:rPr>
      </w:pPr>
    </w:p>
    <w:p>
      <w:pPr>
        <w:ind w:left="4" w:firstLine="644"/>
        <w:spacing w:after="0" w:line="302" w:lineRule="auto"/>
        <w:tabs>
          <w:tab w:leader="none" w:pos="1300" w:val="left"/>
        </w:tabs>
        <w:numPr>
          <w:ilvl w:val="1"/>
          <w:numId w:val="70"/>
        </w:numPr>
        <w:rPr>
          <w:rFonts w:ascii="Arial" w:cs="Arial" w:eastAsia="Arial" w:hAnsi="Arial"/>
          <w:sz w:val="19"/>
          <w:szCs w:val="19"/>
          <w:color w:val="auto"/>
        </w:rPr>
      </w:pPr>
      <w:r>
        <w:rPr>
          <w:rFonts w:ascii="Arial" w:cs="Arial" w:eastAsia="Arial" w:hAnsi="Arial"/>
          <w:sz w:val="19"/>
          <w:szCs w:val="19"/>
          <w:color w:val="auto"/>
        </w:rPr>
        <w:t>Furnish to the Holders and any underwriters such number of copies of the applicable registration statement and each such amendment and supplement thereto (including in each case all exhibits) and of a prospectus, including a preliminary prospectus, in conformity with the requirements of the Securities Act, and such other documents as they may reasonably request in order to facilitate the disposition of Registrable Securities owned or to be distributed by them.</w:t>
      </w:r>
    </w:p>
    <w:p>
      <w:pPr>
        <w:spacing w:after="0" w:line="142" w:lineRule="exact"/>
        <w:rPr>
          <w:rFonts w:ascii="Arial" w:cs="Arial" w:eastAsia="Arial" w:hAnsi="Arial"/>
          <w:sz w:val="19"/>
          <w:szCs w:val="19"/>
          <w:color w:val="auto"/>
        </w:rPr>
      </w:pPr>
    </w:p>
    <w:p>
      <w:pPr>
        <w:ind w:left="4" w:right="120" w:firstLine="644"/>
        <w:spacing w:after="0" w:line="297" w:lineRule="auto"/>
        <w:tabs>
          <w:tab w:leader="none" w:pos="1288"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Use its reasonable best efforts to register and qualify the securities covered by such registration statement under such other securities or Blue Sky laws of such jurisdictions as shall be reasonably requested by the Holders or any managing underwriter(s), to keep such registration or qualification in effect for so long as such registration statement remains in effect, and to take any other action which may be reasonably necessary to enable such seller to consummate the disposition in such jurisdictions of the securities owned by such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6" w:lineRule="exact"/>
        <w:rPr>
          <w:rFonts w:ascii="Arial" w:cs="Arial" w:eastAsia="Arial" w:hAnsi="Arial"/>
          <w:sz w:val="19"/>
          <w:szCs w:val="19"/>
          <w:color w:val="auto"/>
        </w:rPr>
      </w:pPr>
    </w:p>
    <w:p>
      <w:pPr>
        <w:ind w:left="4864" w:hanging="130"/>
        <w:spacing w:after="0"/>
        <w:tabs>
          <w:tab w:leader="none" w:pos="4864" w:val="left"/>
        </w:tabs>
        <w:numPr>
          <w:ilvl w:val="2"/>
          <w:numId w:val="70"/>
        </w:numPr>
        <w:rPr>
          <w:rFonts w:ascii="Arial" w:cs="Arial" w:eastAsia="Arial" w:hAnsi="Arial"/>
          <w:sz w:val="22"/>
          <w:szCs w:val="22"/>
          <w:color w:val="auto"/>
        </w:rPr>
      </w:pPr>
      <w:r>
        <w:rPr>
          <w:rFonts w:ascii="Arial" w:cs="Arial" w:eastAsia="Arial" w:hAnsi="Arial"/>
          <w:sz w:val="22"/>
          <w:szCs w:val="22"/>
          <w:color w:val="auto"/>
        </w:rPr>
        <w:t>12 -</w:t>
      </w:r>
    </w:p>
    <w:p>
      <w:pPr>
        <w:sectPr>
          <w:pgSz w:w="11900" w:h="16838" w:orient="portrait"/>
          <w:cols w:equalWidth="0" w:num="1">
            <w:col w:w="10524"/>
          </w:cols>
          <w:pgMar w:left="976" w:top="1428" w:right="399" w:bottom="1440" w:gutter="0" w:footer="0" w:header="0"/>
        </w:sectPr>
      </w:pPr>
    </w:p>
    <w:bookmarkStart w:id="128" w:name="page129"/>
    <w:bookmarkEnd w:id="128"/>
    <w:p>
      <w:pPr>
        <w:ind w:left="4" w:right="600"/>
        <w:spacing w:after="0" w:line="263" w:lineRule="auto"/>
        <w:rPr>
          <w:sz w:val="20"/>
          <w:szCs w:val="20"/>
          <w:color w:val="auto"/>
        </w:rPr>
      </w:pPr>
      <w:r>
        <w:rPr>
          <w:rFonts w:ascii="Arial" w:cs="Arial" w:eastAsia="Arial" w:hAnsi="Arial"/>
          <w:sz w:val="22"/>
          <w:szCs w:val="22"/>
          <w:color w:val="auto"/>
        </w:rPr>
        <w:t>be required in connection therewith or as a condition thereto to qualify to do business or to file a general consent to service of process in any such states or jurisdictions.</w:t>
      </w:r>
    </w:p>
    <w:p>
      <w:pPr>
        <w:spacing w:after="0" w:line="175" w:lineRule="exact"/>
        <w:rPr>
          <w:sz w:val="20"/>
          <w:szCs w:val="20"/>
          <w:color w:val="auto"/>
        </w:rPr>
      </w:pPr>
    </w:p>
    <w:p>
      <w:pPr>
        <w:ind w:left="4" w:right="40" w:firstLine="644"/>
        <w:spacing w:after="0" w:line="302" w:lineRule="auto"/>
        <w:tabs>
          <w:tab w:leader="none" w:pos="1295" w:val="left"/>
        </w:tabs>
        <w:numPr>
          <w:ilvl w:val="0"/>
          <w:numId w:val="71"/>
        </w:numPr>
        <w:rPr>
          <w:rFonts w:ascii="Arial" w:cs="Arial" w:eastAsia="Arial" w:hAnsi="Arial"/>
          <w:sz w:val="19"/>
          <w:szCs w:val="19"/>
          <w:color w:val="auto"/>
        </w:rPr>
      </w:pPr>
      <w:r>
        <w:rPr>
          <w:rFonts w:ascii="Arial" w:cs="Arial" w:eastAsia="Arial" w:hAnsi="Arial"/>
          <w:sz w:val="19"/>
          <w:szCs w:val="19"/>
          <w:color w:val="auto"/>
        </w:rPr>
        <w:t>Notify each Holder of Registrable Securities at any time when a prospectus relating thereto is required to be delivered under the Securities Act of the happening of any event as a result of which the applicable prospectus, as then in effect, includes an untrue statement of a material fact or omits to state a material fact required to be stated therein or necessary to make the statements therein not misleading in light of the circumstances then existing.</w:t>
      </w:r>
    </w:p>
    <w:p>
      <w:pPr>
        <w:spacing w:after="0" w:line="142" w:lineRule="exact"/>
        <w:rPr>
          <w:rFonts w:ascii="Arial" w:cs="Arial" w:eastAsia="Arial" w:hAnsi="Arial"/>
          <w:sz w:val="19"/>
          <w:szCs w:val="19"/>
          <w:color w:val="auto"/>
        </w:rPr>
      </w:pPr>
    </w:p>
    <w:p>
      <w:pPr>
        <w:ind w:left="1284" w:hanging="636"/>
        <w:spacing w:after="0"/>
        <w:tabs>
          <w:tab w:leader="none" w:pos="1284" w:val="left"/>
        </w:tabs>
        <w:numPr>
          <w:ilvl w:val="0"/>
          <w:numId w:val="71"/>
        </w:numPr>
        <w:rPr>
          <w:rFonts w:ascii="Arial" w:cs="Arial" w:eastAsia="Arial" w:hAnsi="Arial"/>
          <w:sz w:val="22"/>
          <w:szCs w:val="22"/>
          <w:color w:val="auto"/>
        </w:rPr>
      </w:pPr>
      <w:r>
        <w:rPr>
          <w:rFonts w:ascii="Arial" w:cs="Arial" w:eastAsia="Arial" w:hAnsi="Arial"/>
          <w:sz w:val="22"/>
          <w:szCs w:val="22"/>
          <w:color w:val="auto"/>
        </w:rPr>
        <w:t>Give written notice to the Holders:</w:t>
      </w:r>
    </w:p>
    <w:p>
      <w:pPr>
        <w:spacing w:after="0" w:line="220" w:lineRule="exact"/>
        <w:rPr>
          <w:sz w:val="20"/>
          <w:szCs w:val="20"/>
          <w:color w:val="auto"/>
        </w:rPr>
      </w:pPr>
    </w:p>
    <w:p>
      <w:pPr>
        <w:ind w:left="4" w:right="200" w:firstLine="644"/>
        <w:spacing w:after="0" w:line="312" w:lineRule="auto"/>
        <w:tabs>
          <w:tab w:leader="none" w:pos="1289" w:val="left"/>
        </w:tabs>
        <w:numPr>
          <w:ilvl w:val="1"/>
          <w:numId w:val="72"/>
        </w:numPr>
        <w:rPr>
          <w:rFonts w:ascii="Arial" w:cs="Arial" w:eastAsia="Arial" w:hAnsi="Arial"/>
          <w:sz w:val="19"/>
          <w:szCs w:val="19"/>
          <w:color w:val="auto"/>
        </w:rPr>
      </w:pPr>
      <w:r>
        <w:rPr>
          <w:rFonts w:ascii="Arial" w:cs="Arial" w:eastAsia="Arial" w:hAnsi="Arial"/>
          <w:sz w:val="19"/>
          <w:szCs w:val="19"/>
          <w:color w:val="auto"/>
        </w:rPr>
        <w:t>when any registration statement filed pursuant to Section 4.5(a) or any amendment thereto has been filed with the SEC (except for any amendment effected by the filing of a document with the SEC pursuant to the Exchange Act) and when such registration statement or any post-effective amendment thereto has become effective;</w:t>
      </w:r>
    </w:p>
    <w:p>
      <w:pPr>
        <w:spacing w:after="0" w:line="133" w:lineRule="exact"/>
        <w:rPr>
          <w:rFonts w:ascii="Arial" w:cs="Arial" w:eastAsia="Arial" w:hAnsi="Arial"/>
          <w:sz w:val="19"/>
          <w:szCs w:val="19"/>
          <w:color w:val="auto"/>
        </w:rPr>
      </w:pPr>
    </w:p>
    <w:p>
      <w:pPr>
        <w:ind w:left="4" w:right="140" w:firstLine="644"/>
        <w:spacing w:after="0" w:line="263" w:lineRule="auto"/>
        <w:tabs>
          <w:tab w:leader="none" w:pos="1291" w:val="left"/>
        </w:tabs>
        <w:numPr>
          <w:ilvl w:val="1"/>
          <w:numId w:val="72"/>
        </w:numPr>
        <w:rPr>
          <w:rFonts w:ascii="Arial" w:cs="Arial" w:eastAsia="Arial" w:hAnsi="Arial"/>
          <w:sz w:val="22"/>
          <w:szCs w:val="22"/>
          <w:color w:val="auto"/>
        </w:rPr>
      </w:pPr>
      <w:r>
        <w:rPr>
          <w:rFonts w:ascii="Arial" w:cs="Arial" w:eastAsia="Arial" w:hAnsi="Arial"/>
          <w:sz w:val="22"/>
          <w:szCs w:val="22"/>
          <w:color w:val="auto"/>
        </w:rPr>
        <w:t>of any request by the SEC for amendments or supplements to any registration statement or the prospectus included therein or for additional information;</w:t>
      </w:r>
    </w:p>
    <w:p>
      <w:pPr>
        <w:spacing w:after="0" w:line="174" w:lineRule="exact"/>
        <w:rPr>
          <w:rFonts w:ascii="Arial" w:cs="Arial" w:eastAsia="Arial" w:hAnsi="Arial"/>
          <w:sz w:val="22"/>
          <w:szCs w:val="22"/>
          <w:color w:val="auto"/>
        </w:rPr>
      </w:pPr>
    </w:p>
    <w:p>
      <w:pPr>
        <w:ind w:left="4" w:right="140" w:firstLine="644"/>
        <w:spacing w:after="0" w:line="263" w:lineRule="auto"/>
        <w:tabs>
          <w:tab w:leader="none" w:pos="1291" w:val="left"/>
        </w:tabs>
        <w:numPr>
          <w:ilvl w:val="1"/>
          <w:numId w:val="72"/>
        </w:numPr>
        <w:rPr>
          <w:rFonts w:ascii="Arial" w:cs="Arial" w:eastAsia="Arial" w:hAnsi="Arial"/>
          <w:sz w:val="22"/>
          <w:szCs w:val="22"/>
          <w:color w:val="auto"/>
        </w:rPr>
      </w:pPr>
      <w:r>
        <w:rPr>
          <w:rFonts w:ascii="Arial" w:cs="Arial" w:eastAsia="Arial" w:hAnsi="Arial"/>
          <w:sz w:val="22"/>
          <w:szCs w:val="22"/>
          <w:color w:val="auto"/>
        </w:rPr>
        <w:t>of the issuance by the SEC of any stop order suspending the effectiveness of any registration statement or the initiation of any proceedings for that purpose;</w:t>
      </w:r>
    </w:p>
    <w:p>
      <w:pPr>
        <w:spacing w:after="0" w:line="174" w:lineRule="exact"/>
        <w:rPr>
          <w:rFonts w:ascii="Arial" w:cs="Arial" w:eastAsia="Arial" w:hAnsi="Arial"/>
          <w:sz w:val="22"/>
          <w:szCs w:val="22"/>
          <w:color w:val="auto"/>
        </w:rPr>
      </w:pPr>
    </w:p>
    <w:p>
      <w:pPr>
        <w:jc w:val="both"/>
        <w:ind w:left="4" w:right="100" w:firstLine="644"/>
        <w:spacing w:after="0" w:line="253" w:lineRule="auto"/>
        <w:tabs>
          <w:tab w:leader="none" w:pos="1289" w:val="left"/>
        </w:tabs>
        <w:numPr>
          <w:ilvl w:val="1"/>
          <w:numId w:val="72"/>
        </w:numPr>
        <w:rPr>
          <w:rFonts w:ascii="Arial" w:cs="Arial" w:eastAsia="Arial" w:hAnsi="Arial"/>
          <w:sz w:val="22"/>
          <w:szCs w:val="22"/>
          <w:color w:val="auto"/>
        </w:rPr>
      </w:pPr>
      <w:r>
        <w:rPr>
          <w:rFonts w:ascii="Arial" w:cs="Arial" w:eastAsia="Arial" w:hAnsi="Arial"/>
          <w:sz w:val="22"/>
          <w:szCs w:val="22"/>
          <w:color w:val="auto"/>
        </w:rPr>
        <w:t>of the receipt by the Company or its legal counsel of any notification with respect to the suspension of the qualification of the Common Stock for sale in any jurisdiction or the initiation or threatening of any proceeding for such purpose;</w:t>
      </w:r>
    </w:p>
    <w:p>
      <w:pPr>
        <w:spacing w:after="0" w:line="185" w:lineRule="exact"/>
        <w:rPr>
          <w:rFonts w:ascii="Arial" w:cs="Arial" w:eastAsia="Arial" w:hAnsi="Arial"/>
          <w:sz w:val="22"/>
          <w:szCs w:val="22"/>
          <w:color w:val="auto"/>
        </w:rPr>
      </w:pPr>
    </w:p>
    <w:p>
      <w:pPr>
        <w:ind w:left="4" w:firstLine="644"/>
        <w:spacing w:after="0" w:line="250" w:lineRule="auto"/>
        <w:tabs>
          <w:tab w:leader="none" w:pos="1292" w:val="left"/>
        </w:tabs>
        <w:numPr>
          <w:ilvl w:val="1"/>
          <w:numId w:val="72"/>
        </w:numPr>
        <w:rPr>
          <w:rFonts w:ascii="Arial" w:cs="Arial" w:eastAsia="Arial" w:hAnsi="Arial"/>
          <w:sz w:val="22"/>
          <w:szCs w:val="22"/>
          <w:color w:val="auto"/>
        </w:rPr>
      </w:pPr>
      <w:r>
        <w:rPr>
          <w:rFonts w:ascii="Arial" w:cs="Arial" w:eastAsia="Arial" w:hAnsi="Arial"/>
          <w:sz w:val="22"/>
          <w:szCs w:val="22"/>
          <w:color w:val="auto"/>
        </w:rPr>
        <w:t>of the happening of any event that requires the Company to make changes in any effective registration statement or the prospectus related to the registration statement in order to make the statements therein not misleading (which notice shall be accompanied by an instruction to suspend the use of the prospectus until the requisite changes have been made); and</w:t>
      </w:r>
    </w:p>
    <w:p>
      <w:pPr>
        <w:spacing w:after="0" w:line="187" w:lineRule="exact"/>
        <w:rPr>
          <w:rFonts w:ascii="Arial" w:cs="Arial" w:eastAsia="Arial" w:hAnsi="Arial"/>
          <w:sz w:val="22"/>
          <w:szCs w:val="22"/>
          <w:color w:val="auto"/>
        </w:rPr>
      </w:pPr>
    </w:p>
    <w:p>
      <w:pPr>
        <w:ind w:left="4" w:right="60" w:firstLine="644"/>
        <w:spacing w:after="0" w:line="263" w:lineRule="auto"/>
        <w:tabs>
          <w:tab w:leader="none" w:pos="1294" w:val="left"/>
        </w:tabs>
        <w:numPr>
          <w:ilvl w:val="1"/>
          <w:numId w:val="72"/>
        </w:numPr>
        <w:rPr>
          <w:rFonts w:ascii="Arial" w:cs="Arial" w:eastAsia="Arial" w:hAnsi="Arial"/>
          <w:sz w:val="22"/>
          <w:szCs w:val="22"/>
          <w:color w:val="auto"/>
        </w:rPr>
      </w:pPr>
      <w:r>
        <w:rPr>
          <w:rFonts w:ascii="Arial" w:cs="Arial" w:eastAsia="Arial" w:hAnsi="Arial"/>
          <w:sz w:val="22"/>
          <w:szCs w:val="22"/>
          <w:color w:val="auto"/>
        </w:rPr>
        <w:t>if at any time the representations and warranties of the Company contained in any underwriting agreement contemplated by Section 4.5(c)(x) cease to be true and correct.</w:t>
      </w:r>
    </w:p>
    <w:p>
      <w:pPr>
        <w:spacing w:after="0" w:line="174" w:lineRule="exact"/>
        <w:rPr>
          <w:rFonts w:ascii="Arial" w:cs="Arial" w:eastAsia="Arial" w:hAnsi="Arial"/>
          <w:sz w:val="22"/>
          <w:szCs w:val="22"/>
          <w:color w:val="auto"/>
        </w:rPr>
      </w:pPr>
    </w:p>
    <w:p>
      <w:pPr>
        <w:ind w:left="-656" w:right="660" w:firstLine="656"/>
        <w:spacing w:after="0" w:line="343" w:lineRule="auto"/>
        <w:tabs>
          <w:tab w:leader="none" w:pos="634" w:val="left"/>
        </w:tabs>
        <w:numPr>
          <w:ilvl w:val="0"/>
          <w:numId w:val="73"/>
        </w:numPr>
        <w:rPr>
          <w:rFonts w:ascii="Arial" w:cs="Arial" w:eastAsia="Arial" w:hAnsi="Arial"/>
          <w:sz w:val="19"/>
          <w:szCs w:val="19"/>
          <w:color w:val="auto"/>
        </w:rPr>
      </w:pPr>
      <w:r>
        <w:rPr>
          <w:rFonts w:ascii="Arial" w:cs="Arial" w:eastAsia="Arial" w:hAnsi="Arial"/>
          <w:sz w:val="19"/>
          <w:szCs w:val="19"/>
          <w:color w:val="auto"/>
        </w:rPr>
        <w:t>Use its reasonable best efforts to prevent the issuance or obtain the withdrawal of any order suspending the effectiveness of any registration statement referred to in Section 4.5(c)(vi)(C) at the earliest practicable time.</w:t>
      </w:r>
    </w:p>
    <w:p>
      <w:pPr>
        <w:spacing w:after="0" w:line="104" w:lineRule="exact"/>
        <w:rPr>
          <w:rFonts w:ascii="Arial" w:cs="Arial" w:eastAsia="Arial" w:hAnsi="Arial"/>
          <w:sz w:val="19"/>
          <w:szCs w:val="19"/>
          <w:color w:val="auto"/>
        </w:rPr>
      </w:pPr>
    </w:p>
    <w:p>
      <w:pPr>
        <w:ind w:left="-656" w:right="20" w:firstLine="656"/>
        <w:spacing w:after="0" w:line="265" w:lineRule="auto"/>
        <w:tabs>
          <w:tab w:leader="none" w:pos="640" w:val="left"/>
        </w:tabs>
        <w:numPr>
          <w:ilvl w:val="0"/>
          <w:numId w:val="73"/>
        </w:numPr>
        <w:rPr>
          <w:rFonts w:ascii="Arial" w:cs="Arial" w:eastAsia="Arial" w:hAnsi="Arial"/>
          <w:sz w:val="21"/>
          <w:szCs w:val="21"/>
          <w:color w:val="auto"/>
        </w:rPr>
      </w:pPr>
      <w:r>
        <w:rPr>
          <w:rFonts w:ascii="Arial" w:cs="Arial" w:eastAsia="Arial" w:hAnsi="Arial"/>
          <w:sz w:val="21"/>
          <w:szCs w:val="21"/>
          <w:color w:val="auto"/>
        </w:rPr>
        <w:t>Upon the occurrence of any event contemplated by Section 4.5(c)(v), 4.5(c)(vi)(E) or 4.5(d), promptly prepare a post-effective amendment to such registration statement or a supplement to the related prospectus or file any other required document so that, as thereafter delivered to the Holders and any underwriters, the prospectus will not contain an untrue statement of a material fact or omit to state any material fact necessary to make the statements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4864" w:hanging="130"/>
        <w:spacing w:after="0"/>
        <w:tabs>
          <w:tab w:leader="none" w:pos="4864" w:val="left"/>
        </w:tabs>
        <w:numPr>
          <w:ilvl w:val="2"/>
          <w:numId w:val="73"/>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0544"/>
          </w:cols>
          <w:pgMar w:left="976" w:top="1428" w:right="379" w:bottom="1440" w:gutter="0" w:footer="0" w:header="0"/>
        </w:sectPr>
      </w:pPr>
    </w:p>
    <w:bookmarkStart w:id="129" w:name="page130"/>
    <w:bookmarkEnd w:id="129"/>
    <w:p>
      <w:pPr>
        <w:ind w:right="20"/>
        <w:spacing w:after="0" w:line="246" w:lineRule="auto"/>
        <w:rPr>
          <w:sz w:val="20"/>
          <w:szCs w:val="20"/>
          <w:color w:val="auto"/>
        </w:rPr>
      </w:pPr>
      <w:r>
        <w:rPr>
          <w:rFonts w:ascii="Arial" w:cs="Arial" w:eastAsia="Arial" w:hAnsi="Arial"/>
          <w:sz w:val="22"/>
          <w:szCs w:val="22"/>
          <w:color w:val="auto"/>
        </w:rPr>
        <w:t>therein, in light of the circumstances under which they were made, not misleading. If the Company notifies the Holders in accordance with Section 4.5(c)(vi)(E) to suspend the use of the prospectus until the requisite changes to the prospectus have been made, then the Holders and any underwriters shall suspend use of such prospectus and use their reasonable best efforts to return to the Company all copies of such prospectus (at the Company’s expense) other than permanent file copies then in such Holders’ or underwriters’ possession. The total number of days that any such suspension may be in effect in any 12-month period shall not exceed 90 days. The Company shall notify the Holders of the date of any anticipated termination of any such suspension period prior to such date.</w:t>
      </w:r>
    </w:p>
    <w:p>
      <w:pPr>
        <w:spacing w:after="0" w:line="196" w:lineRule="exact"/>
        <w:rPr>
          <w:sz w:val="20"/>
          <w:szCs w:val="20"/>
          <w:color w:val="auto"/>
        </w:rPr>
      </w:pPr>
    </w:p>
    <w:p>
      <w:pPr>
        <w:ind w:left="660" w:right="300" w:firstLine="644"/>
        <w:spacing w:after="0" w:line="312" w:lineRule="auto"/>
        <w:tabs>
          <w:tab w:leader="none" w:pos="1944" w:val="left"/>
        </w:tabs>
        <w:numPr>
          <w:ilvl w:val="0"/>
          <w:numId w:val="74"/>
        </w:numPr>
        <w:rPr>
          <w:rFonts w:ascii="Arial" w:cs="Arial" w:eastAsia="Arial" w:hAnsi="Arial"/>
          <w:sz w:val="19"/>
          <w:szCs w:val="19"/>
          <w:color w:val="auto"/>
        </w:rPr>
      </w:pPr>
      <w:r>
        <w:rPr>
          <w:rFonts w:ascii="Arial" w:cs="Arial" w:eastAsia="Arial" w:hAnsi="Arial"/>
          <w:sz w:val="19"/>
          <w:szCs w:val="19"/>
          <w:color w:val="auto"/>
        </w:rPr>
        <w:t>Use reasonable best efforts to procure the cooperation of the Company’s transfer agent in settling any offering or sale of Registrable Securities, including with respect to the transfer of physical stock certificates into book-entry form in accordance with any procedures reasonably requested by the Holders or any managing underwriter(s).</w:t>
      </w:r>
    </w:p>
    <w:p>
      <w:pPr>
        <w:spacing w:after="0" w:line="133" w:lineRule="exact"/>
        <w:rPr>
          <w:rFonts w:ascii="Arial" w:cs="Arial" w:eastAsia="Arial" w:hAnsi="Arial"/>
          <w:sz w:val="19"/>
          <w:szCs w:val="19"/>
          <w:color w:val="auto"/>
        </w:rPr>
      </w:pPr>
    </w:p>
    <w:p>
      <w:pPr>
        <w:ind w:left="660" w:firstLine="644"/>
        <w:spacing w:after="0" w:line="284" w:lineRule="auto"/>
        <w:tabs>
          <w:tab w:leader="none" w:pos="1951" w:val="left"/>
        </w:tabs>
        <w:numPr>
          <w:ilvl w:val="0"/>
          <w:numId w:val="74"/>
        </w:numPr>
        <w:rPr>
          <w:rFonts w:ascii="Arial" w:cs="Arial" w:eastAsia="Arial" w:hAnsi="Arial"/>
          <w:sz w:val="19"/>
          <w:szCs w:val="19"/>
          <w:color w:val="auto"/>
        </w:rPr>
      </w:pPr>
      <w:r>
        <w:rPr>
          <w:rFonts w:ascii="Arial" w:cs="Arial" w:eastAsia="Arial" w:hAnsi="Arial"/>
          <w:sz w:val="19"/>
          <w:szCs w:val="19"/>
          <w:color w:val="auto"/>
        </w:rPr>
        <w:t>If an underwritten offering is requested pursuant to Section 4.5(a)(ii), enter into an underwriting agreement in customary form, scope and substance and take all such other actions reasonably requested by the Holders of a majority of the Registrable Securities being sold in connection therewith or by the managing underwriter(s), if any, to expedite or facilitate the underwritten disposition of such Registrable Securities, and in connection therewith in any underwritten offering (including making members of management and executives of the Company available to participate in “road shows”, similar sales events and other marketing activities), (A) make such representations and warranties to the Holders that are selling stockholders and the managing underwriter(s), if any, with respect to the business of the Company and its subsidiaries, and the Shelf Registration Statement, prospectus and documents, if any, incorporated or deemed to be incorporated by reference therein, in each case, in customary form, substance and scope, and, if true, confirm the same if and when requested, (B) use its reasonable best efforts to furnish the underwriters with opinions and “10b-5” letters of counsel to the Company, addressed to the managing underwriter(s), if any, covering the matters customarily covered in such opinions and letters requested in underwritten offerings, (C) use its reasonable best efforts to obtain “cold comfort” letters from the independent certified public accountants of the Company (and, if necessary, any other independent certified public accountants of any business acquired by the Company for which financial statements and financial data are included in the Shelf Registration Statement) who have certified the financial statements included in such Shelf Registration Statement, addressed to each of the managing underwriter(s), if any, such letters to be in customary form and covering matters of the type customarily covered in “cold comfort” letters, (D) if an underwriting agreement is entered into, the same shall contain indemnification provisions and procedures customary in underwritten offerings (provided that Treasury shall not be obligated to provide any indemnity), and (E) deliver such documents and certificates as may be reasonably requested by the Holders of a majority of the Registrable Securities being sold in connection therewith, their counsel and the managing underwriter(s), if any, to evidence the continued validity of the representations and warranties made pursuant to</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ind w:left="5520" w:hanging="130"/>
        <w:spacing w:after="0"/>
        <w:tabs>
          <w:tab w:leader="none" w:pos="55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14 -</w:t>
      </w:r>
    </w:p>
    <w:p>
      <w:pPr>
        <w:sectPr>
          <w:pgSz w:w="11900" w:h="16838" w:orient="portrait"/>
          <w:cols w:equalWidth="0" w:num="1">
            <w:col w:w="11200"/>
          </w:cols>
          <w:pgMar w:left="320" w:top="1428" w:right="379" w:bottom="1440" w:gutter="0" w:footer="0" w:header="0"/>
        </w:sectPr>
      </w:pPr>
    </w:p>
    <w:bookmarkStart w:id="130" w:name="page131"/>
    <w:bookmarkEnd w:id="130"/>
    <w:p>
      <w:pPr>
        <w:ind w:left="4" w:right="160"/>
        <w:spacing w:after="0" w:line="263" w:lineRule="auto"/>
        <w:rPr>
          <w:sz w:val="20"/>
          <w:szCs w:val="20"/>
          <w:color w:val="auto"/>
        </w:rPr>
      </w:pPr>
      <w:r>
        <w:rPr>
          <w:rFonts w:ascii="Arial" w:cs="Arial" w:eastAsia="Arial" w:hAnsi="Arial"/>
          <w:sz w:val="22"/>
          <w:szCs w:val="22"/>
          <w:color w:val="auto"/>
        </w:rPr>
        <w:t>clause (A) above and to evidence compliance with any customary conditions contained in the underwriting agreement or other agreement entered into by the Company.</w:t>
      </w:r>
    </w:p>
    <w:p>
      <w:pPr>
        <w:spacing w:after="0" w:line="175" w:lineRule="exact"/>
        <w:rPr>
          <w:sz w:val="20"/>
          <w:szCs w:val="20"/>
          <w:color w:val="auto"/>
        </w:rPr>
      </w:pPr>
    </w:p>
    <w:p>
      <w:pPr>
        <w:ind w:left="4" w:right="40" w:firstLine="644"/>
        <w:spacing w:after="0" w:line="292" w:lineRule="auto"/>
        <w:tabs>
          <w:tab w:leader="none" w:pos="1288" w:val="left"/>
        </w:tabs>
        <w:numPr>
          <w:ilvl w:val="1"/>
          <w:numId w:val="75"/>
        </w:numPr>
        <w:rPr>
          <w:rFonts w:ascii="Arial" w:cs="Arial" w:eastAsia="Arial" w:hAnsi="Arial"/>
          <w:sz w:val="19"/>
          <w:szCs w:val="19"/>
          <w:color w:val="auto"/>
        </w:rPr>
      </w:pPr>
      <w:r>
        <w:rPr>
          <w:rFonts w:ascii="Arial" w:cs="Arial" w:eastAsia="Arial" w:hAnsi="Arial"/>
          <w:sz w:val="19"/>
          <w:szCs w:val="19"/>
          <w:color w:val="auto"/>
        </w:rPr>
        <w:t>Make available for inspection by a representative of Holders that are selling stockholders, the managing underwriter(s), if any, and any attorneys or accountants retained by such Holders or managing underwriter(s), at the offices where normally kept, during reasonable business hours, financial and other records, pertinent corporate documents and properties of the Company, and cause the officers, directors and employees of the Company to supply all information in each case reasonably requested (and of the type customarily provided in connection with due diligence conducted in connection with a registered public offering of securities) by any such representative, managing underwriter(s), attorney or accountant in connection with such Shelf Registration Statement.</w:t>
      </w:r>
    </w:p>
    <w:p>
      <w:pPr>
        <w:spacing w:after="0" w:line="150" w:lineRule="exact"/>
        <w:rPr>
          <w:rFonts w:ascii="Arial" w:cs="Arial" w:eastAsia="Arial" w:hAnsi="Arial"/>
          <w:sz w:val="19"/>
          <w:szCs w:val="19"/>
          <w:color w:val="auto"/>
        </w:rPr>
      </w:pPr>
    </w:p>
    <w:p>
      <w:pPr>
        <w:ind w:left="4" w:right="200" w:firstLine="644"/>
        <w:spacing w:after="0" w:line="265" w:lineRule="auto"/>
        <w:tabs>
          <w:tab w:leader="none" w:pos="1294" w:val="left"/>
        </w:tabs>
        <w:numPr>
          <w:ilvl w:val="1"/>
          <w:numId w:val="75"/>
        </w:numPr>
        <w:rPr>
          <w:rFonts w:ascii="Arial" w:cs="Arial" w:eastAsia="Arial" w:hAnsi="Arial"/>
          <w:sz w:val="21"/>
          <w:szCs w:val="21"/>
          <w:color w:val="auto"/>
        </w:rPr>
      </w:pPr>
      <w:r>
        <w:rPr>
          <w:rFonts w:ascii="Arial" w:cs="Arial" w:eastAsia="Arial" w:hAnsi="Arial"/>
          <w:sz w:val="21"/>
          <w:szCs w:val="21"/>
          <w:color w:val="auto"/>
        </w:rPr>
        <w:t>Use reasonable best efforts to cause all such Registrable Securities to be listed on each national securities exchange on which similar securities issued by the Company are then listed or, if no similar securities issued by the Company are then listed on any national securities exchange, use its reasonable best efforts to cause all such Registrable Securities to be listed on such securities exchange as Treasury may designate.</w:t>
      </w:r>
    </w:p>
    <w:p>
      <w:pPr>
        <w:spacing w:after="0" w:line="175" w:lineRule="exact"/>
        <w:rPr>
          <w:rFonts w:ascii="Arial" w:cs="Arial" w:eastAsia="Arial" w:hAnsi="Arial"/>
          <w:sz w:val="21"/>
          <w:szCs w:val="21"/>
          <w:color w:val="auto"/>
        </w:rPr>
      </w:pPr>
    </w:p>
    <w:p>
      <w:pPr>
        <w:ind w:left="4" w:right="80" w:firstLine="644"/>
        <w:spacing w:after="0" w:line="261" w:lineRule="auto"/>
        <w:tabs>
          <w:tab w:leader="none" w:pos="1300" w:val="left"/>
        </w:tabs>
        <w:numPr>
          <w:ilvl w:val="1"/>
          <w:numId w:val="75"/>
        </w:numPr>
        <w:rPr>
          <w:rFonts w:ascii="Arial" w:cs="Arial" w:eastAsia="Arial" w:hAnsi="Arial"/>
          <w:sz w:val="21"/>
          <w:szCs w:val="21"/>
          <w:color w:val="auto"/>
        </w:rPr>
      </w:pPr>
      <w:r>
        <w:rPr>
          <w:rFonts w:ascii="Arial" w:cs="Arial" w:eastAsia="Arial" w:hAnsi="Arial"/>
          <w:sz w:val="21"/>
          <w:szCs w:val="21"/>
          <w:color w:val="auto"/>
        </w:rPr>
        <w:t>If requested by Holders of a majority of the Registrable Securities being registered and/or sold in connection therewith, or the managing underwriter(s), if any, promptly include in a prospectus supplement or amendment such information as the Holders of a majority of the Registrable Securities being registered and/or sold in connection therewith or managing underwriter(s), if any, may reasonably request in order to permit the intended method of distribution of such securities and make all required filings of such prospectus supplement or such amendment as soon as practicable after the Company has received such request.</w:t>
      </w:r>
    </w:p>
    <w:p>
      <w:pPr>
        <w:spacing w:after="0" w:line="179" w:lineRule="exact"/>
        <w:rPr>
          <w:rFonts w:ascii="Arial" w:cs="Arial" w:eastAsia="Arial" w:hAnsi="Arial"/>
          <w:sz w:val="21"/>
          <w:szCs w:val="21"/>
          <w:color w:val="auto"/>
        </w:rPr>
      </w:pPr>
    </w:p>
    <w:p>
      <w:pPr>
        <w:ind w:left="4" w:right="240" w:firstLine="644"/>
        <w:spacing w:after="0" w:line="263" w:lineRule="auto"/>
        <w:tabs>
          <w:tab w:leader="none" w:pos="1288" w:val="left"/>
        </w:tabs>
        <w:numPr>
          <w:ilvl w:val="1"/>
          <w:numId w:val="75"/>
        </w:numPr>
        <w:rPr>
          <w:rFonts w:ascii="Arial" w:cs="Arial" w:eastAsia="Arial" w:hAnsi="Arial"/>
          <w:sz w:val="22"/>
          <w:szCs w:val="22"/>
          <w:color w:val="auto"/>
        </w:rPr>
      </w:pPr>
      <w:r>
        <w:rPr>
          <w:rFonts w:ascii="Arial" w:cs="Arial" w:eastAsia="Arial" w:hAnsi="Arial"/>
          <w:sz w:val="22"/>
          <w:szCs w:val="22"/>
          <w:color w:val="auto"/>
        </w:rPr>
        <w:t>Timely provide to its security holders earning statements satisfying the provisions of Section 11(a) of the Securities Act and Rule 158 thereunder.</w:t>
      </w:r>
    </w:p>
    <w:p>
      <w:pPr>
        <w:spacing w:after="0" w:line="174" w:lineRule="exact"/>
        <w:rPr>
          <w:rFonts w:ascii="Arial" w:cs="Arial" w:eastAsia="Arial" w:hAnsi="Arial"/>
          <w:sz w:val="22"/>
          <w:szCs w:val="22"/>
          <w:color w:val="auto"/>
        </w:rPr>
      </w:pPr>
    </w:p>
    <w:p>
      <w:pPr>
        <w:ind w:left="-656" w:firstLine="656"/>
        <w:spacing w:after="0" w:line="287" w:lineRule="auto"/>
        <w:tabs>
          <w:tab w:leader="none" w:pos="63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Suspension of Sales</w:t>
      </w:r>
      <w:r>
        <w:rPr>
          <w:rFonts w:ascii="Arial" w:cs="Arial" w:eastAsia="Arial" w:hAnsi="Arial"/>
          <w:sz w:val="19"/>
          <w:szCs w:val="19"/>
          <w:color w:val="auto"/>
        </w:rPr>
        <w:t>. Upon receipt of written notice from the Company that a registration statement, prospectus or prospectus supplement contains or may contain an untrue statement of a material fact or omits or may omit to state a material fact required to be stated therein or necessary to make the statements therein not misleading or that circumstances exist that make inadvisable use of such registration statement, prospectus or prospectus supplement, Treasury and each Holder of Registrable Securities shall forthwith discontinue disposition of Registrable Securities until Treasury and/or Holder has received copies of a supplemented or amended prospectus or prospectus supplement, or until Treasury and/or such Holder is advised in writing by the Company that the use of the prospectus and, if applicable, prospectus supplement may be resumed, and, if so directed by the Company, Treasury and/or such Holder shall deliver to the Company (at the Company’s expense) all copies, other than permanent file copies then in Treasury and/or such Holder’s possession, of the prospectus and, if applicable, prospectus supplement covering such Registrable Securities current at the time of receipt of such notice. The total number of days that any such suspension may be in effect in any 12-month period shall not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4864" w:hanging="130"/>
        <w:spacing w:after="0"/>
        <w:tabs>
          <w:tab w:leader="none" w:pos="4864" w:val="left"/>
        </w:tabs>
        <w:numPr>
          <w:ilvl w:val="2"/>
          <w:numId w:val="76"/>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0584"/>
          </w:cols>
          <w:pgMar w:left="976" w:top="1428" w:right="339" w:bottom="1440" w:gutter="0" w:footer="0" w:header="0"/>
        </w:sectPr>
      </w:pPr>
    </w:p>
    <w:bookmarkStart w:id="131" w:name="page132"/>
    <w:bookmarkEnd w:id="131"/>
    <w:p>
      <w:pPr>
        <w:ind w:right="20"/>
        <w:spacing w:after="0" w:line="263" w:lineRule="auto"/>
        <w:rPr>
          <w:sz w:val="20"/>
          <w:szCs w:val="20"/>
          <w:color w:val="auto"/>
        </w:rPr>
      </w:pPr>
      <w:r>
        <w:rPr>
          <w:rFonts w:ascii="Arial" w:cs="Arial" w:eastAsia="Arial" w:hAnsi="Arial"/>
          <w:sz w:val="22"/>
          <w:szCs w:val="22"/>
          <w:color w:val="auto"/>
        </w:rPr>
        <w:t>exceed 90 days. The Company shall notify Treasury prior to the anticipated termination of any such suspension period of the date of such anticipated termination</w:t>
      </w:r>
    </w:p>
    <w:p>
      <w:pPr>
        <w:spacing w:after="0" w:line="175" w:lineRule="exact"/>
        <w:rPr>
          <w:sz w:val="20"/>
          <w:szCs w:val="20"/>
          <w:color w:val="auto"/>
        </w:rPr>
      </w:pPr>
    </w:p>
    <w:p>
      <w:pPr>
        <w:ind w:right="300" w:firstLine="656"/>
        <w:spacing w:after="0" w:line="263" w:lineRule="auto"/>
        <w:tabs>
          <w:tab w:leader="none" w:pos="1293"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Termination of Registration Rights</w:t>
      </w:r>
      <w:r>
        <w:rPr>
          <w:rFonts w:ascii="Arial" w:cs="Arial" w:eastAsia="Arial" w:hAnsi="Arial"/>
          <w:sz w:val="22"/>
          <w:szCs w:val="22"/>
          <w:color w:val="auto"/>
        </w:rPr>
        <w:t>. A Holder’s registration rights as to any securities held by such Holder shall not be available unless such securities are Registrable Securities.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Furnishing Information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880" w:firstLine="644"/>
        <w:spacing w:after="0" w:line="343" w:lineRule="auto"/>
        <w:tabs>
          <w:tab w:leader="none" w:pos="1944" w:val="left"/>
        </w:tabs>
        <w:numPr>
          <w:ilvl w:val="1"/>
          <w:numId w:val="77"/>
        </w:numPr>
        <w:rPr>
          <w:rFonts w:ascii="Arial" w:cs="Arial" w:eastAsia="Arial" w:hAnsi="Arial"/>
          <w:sz w:val="19"/>
          <w:szCs w:val="19"/>
          <w:color w:val="auto"/>
        </w:rPr>
      </w:pPr>
      <w:r>
        <w:rPr>
          <w:rFonts w:ascii="Arial" w:cs="Arial" w:eastAsia="Arial" w:hAnsi="Arial"/>
          <w:sz w:val="19"/>
          <w:szCs w:val="19"/>
          <w:color w:val="auto"/>
        </w:rPr>
        <w:t>Neither Treasury nor any Holder shall use any free writing prospectus (as defined in Rule 405) in connection with the sale of Registrable Securities without the prior written consent of the Company.</w:t>
      </w:r>
    </w:p>
    <w:p>
      <w:pPr>
        <w:spacing w:after="0" w:line="104" w:lineRule="exact"/>
        <w:rPr>
          <w:rFonts w:ascii="Arial" w:cs="Arial" w:eastAsia="Arial" w:hAnsi="Arial"/>
          <w:sz w:val="19"/>
          <w:szCs w:val="19"/>
          <w:color w:val="auto"/>
        </w:rPr>
      </w:pPr>
    </w:p>
    <w:p>
      <w:pPr>
        <w:ind w:left="660" w:firstLine="644"/>
        <w:spacing w:after="0" w:line="265" w:lineRule="auto"/>
        <w:tabs>
          <w:tab w:leader="none" w:pos="1950" w:val="left"/>
        </w:tabs>
        <w:numPr>
          <w:ilvl w:val="1"/>
          <w:numId w:val="77"/>
        </w:numPr>
        <w:rPr>
          <w:rFonts w:ascii="Arial" w:cs="Arial" w:eastAsia="Arial" w:hAnsi="Arial"/>
          <w:sz w:val="21"/>
          <w:szCs w:val="21"/>
          <w:color w:val="auto"/>
        </w:rPr>
      </w:pPr>
      <w:r>
        <w:rPr>
          <w:rFonts w:ascii="Arial" w:cs="Arial" w:eastAsia="Arial" w:hAnsi="Arial"/>
          <w:sz w:val="21"/>
          <w:szCs w:val="21"/>
          <w:color w:val="auto"/>
        </w:rPr>
        <w:t>It shall be a condition precedent to the obligations of the Company to take any action pursuant to Section 4.5(c) that Treasury and/or the selling Holders and the underwriters, if any, shall furnish to the Company such information regarding themselves, the Registrable Securities held by them and the intended method of disposition of such securities as shall be required to effect the registered offering of their Registrable Securities.</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60" w:firstLine="644"/>
        <w:spacing w:after="0" w:line="285" w:lineRule="auto"/>
        <w:tabs>
          <w:tab w:leader="none" w:pos="1944"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Company agrees to indemnify each Holder and, if a Holder is a person other than an individual, such Holder’s officers, directors, employees, agents, representatives and Affiliates, and each Person, if any, that controls a Holder within the meaning of the Securities Act (each,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any and all losses, claims, damages, actions, liabilities, costs and expenses (including reasonable fees, expenses and disbursements of attorneys and other professionals incurred in connection with investigating, defending, settling, compromising or paying any such losses, claims, damages, actions, liabilities, costs and expenses), joint or several, arising out of or based upon any untrue statement or alleged untrue statement of material fact contained in any registration statement, including any preliminary prospectus or final prospectus contained therein or any amendments or supplements thereto or any documents incorporated therein by reference or contained in any free writing prospectus (as such term is defined in Rule 405) prepared by the Company or authorized by it in writing for use by such Holder (or any amendment or supplement thereto); or any omission to state therein a material fact required to be stated therein or necessary to make the statements therein, in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be liable to such Indemnitee in any such case to the extent that any such loss, claim, damage, liability (or action or proceeding in respect thereof) or expense arises out of or is based upon (A) an untrue statement or omission made in such registration statement, including any such preliminary prospectus or final prospectus contained therein or any such amendments or supplements thereto or contained in any free writing prospectus (as such term is defined in Rule 405) prepared by the Company or authorized by it in writing for use by such Holder (or any amendment or supplement thereto), in reliance upon and in conformity with information regarding such Indemnitee or its plan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5520" w:hanging="130"/>
        <w:spacing w:after="0"/>
        <w:tabs>
          <w:tab w:leader="none" w:pos="5520" w:val="left"/>
        </w:tabs>
        <w:numPr>
          <w:ilvl w:val="2"/>
          <w:numId w:val="77"/>
        </w:numPr>
        <w:rPr>
          <w:rFonts w:ascii="Arial" w:cs="Arial" w:eastAsia="Arial" w:hAnsi="Arial"/>
          <w:sz w:val="22"/>
          <w:szCs w:val="22"/>
          <w:color w:val="auto"/>
        </w:rPr>
      </w:pPr>
      <w:r>
        <w:rPr>
          <w:rFonts w:ascii="Arial" w:cs="Arial" w:eastAsia="Arial" w:hAnsi="Arial"/>
          <w:sz w:val="22"/>
          <w:szCs w:val="22"/>
          <w:color w:val="auto"/>
        </w:rPr>
        <w:t>16 -</w:t>
      </w:r>
    </w:p>
    <w:p>
      <w:pPr>
        <w:sectPr>
          <w:pgSz w:w="11900" w:h="16838" w:orient="portrait"/>
          <w:cols w:equalWidth="0" w:num="1">
            <w:col w:w="11220"/>
          </w:cols>
          <w:pgMar w:left="320" w:top="1428" w:right="359" w:bottom="1440" w:gutter="0" w:footer="0" w:header="0"/>
        </w:sectPr>
      </w:pPr>
    </w:p>
    <w:bookmarkStart w:id="132" w:name="page133"/>
    <w:bookmarkEnd w:id="132"/>
    <w:p>
      <w:pPr>
        <w:ind w:left="4" w:right="60"/>
        <w:spacing w:after="0" w:line="248" w:lineRule="auto"/>
        <w:rPr>
          <w:sz w:val="20"/>
          <w:szCs w:val="20"/>
          <w:color w:val="auto"/>
        </w:rPr>
      </w:pPr>
      <w:r>
        <w:rPr>
          <w:rFonts w:ascii="Arial" w:cs="Arial" w:eastAsia="Arial" w:hAnsi="Arial"/>
          <w:sz w:val="22"/>
          <w:szCs w:val="22"/>
          <w:color w:val="auto"/>
        </w:rPr>
        <w:t>of distribution or ownership interests which was furnished in writing to the Company by such Indemnitee for use in connection with such registration statement, including any such preliminary prospectus or final prospectus contained therein or any such amendments or supplements thereto, or (B) offers or sales effected by or on behalf of such Indemnitee “by means of” (as defined in Rule 159A) a “free writing prospectus” (as defined in Rule 405) that was not authorized in writing by the Company.</w:t>
      </w:r>
    </w:p>
    <w:p>
      <w:pPr>
        <w:spacing w:after="0" w:line="192" w:lineRule="exact"/>
        <w:rPr>
          <w:sz w:val="20"/>
          <w:szCs w:val="20"/>
          <w:color w:val="auto"/>
        </w:rPr>
      </w:pPr>
    </w:p>
    <w:p>
      <w:pPr>
        <w:ind w:left="4" w:firstLine="644"/>
        <w:spacing w:after="0" w:line="286" w:lineRule="auto"/>
        <w:tabs>
          <w:tab w:leader="none" w:pos="1294"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in Section 4.5(g)(i) is unavailable to an Indemnitee with respect to any losses, claims, damages, actions, liabilities, costs or expenses referred to therein or is insufficient to hold the Indemnitee harmless as contemplated therein, then the Company, in lieu of indemnifying such Indemnitee, shall contribute to the amount paid or payable by such Indemnitee as a result of such losses, claims, damages, actions, liabilities, costs or expenses in such proportion as is appropriate to reflect the relative fault of the Indemnitee, on the one hand, and the Company, on the other hand, in connection with the statements or omissions which resulted in such losses, claims, damages, actions, liabilities, costs or expenses as well as any other relevant equitable considerations. The relative fault of the Company, on the one hand, and of the Indemnitee, on the other hand, shall be determined by reference to, among other factors, whether the untrue statement of a material fact or omission to state a material fact relates to information supplied by the Company or by the Indemnitee and the parties’ relative intent, knowledge, access to information and opportunity to correct or prevent such statement or omission; the Company and each Holder agree that it would not be just and equitable if contribution pursuant to this Section 4.5(g)(ii)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or by any other method of allocation that does not take account of the equitable considerations referred to in Section 4.5(g)(i). No Indemnitee guilty of fraudulent misrepresentation (within the meaning of Section 11(f) of the Securities Act) shall be entitled to contribution from the Company if the Company was not guilty of such fraudulent misrepresentation.</w:t>
      </w:r>
    </w:p>
    <w:p>
      <w:pPr>
        <w:spacing w:after="0" w:line="144" w:lineRule="exact"/>
        <w:rPr>
          <w:rFonts w:ascii="Arial" w:cs="Arial" w:eastAsia="Arial" w:hAnsi="Arial"/>
          <w:sz w:val="19"/>
          <w:szCs w:val="19"/>
          <w:color w:val="auto"/>
        </w:rPr>
      </w:pPr>
    </w:p>
    <w:p>
      <w:pPr>
        <w:ind w:left="-656" w:right="80" w:firstLine="656"/>
        <w:spacing w:after="0" w:line="279" w:lineRule="auto"/>
        <w:tabs>
          <w:tab w:leader="none" w:pos="635"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Assignment of Registration Rights</w:t>
      </w:r>
      <w:r>
        <w:rPr>
          <w:rFonts w:ascii="Arial" w:cs="Arial" w:eastAsia="Arial" w:hAnsi="Arial"/>
          <w:sz w:val="19"/>
          <w:szCs w:val="19"/>
          <w:color w:val="auto"/>
        </w:rPr>
        <w:t xml:space="preserve">. The rights of Treasury to registration of Registrable Securities pursuant to Section 4.5(a) may be assigned by Treasury to a transferee or assignee of Registrable Securities in connection with a transfer of a total number of Warrant Shares and/or Warrants exercisable for at least 20% of the total number of Warrant Shares for which Warrants issued and to be issued under this Agreement could be exercised (giving effect to the anti-dilution adjustments in Warrants);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the transferor shall, within ten days after such transfer, furnish to the Company written notice of the name and address of such transferee or assignee and the number and type of Registrable Securities that are being assigned.</w:t>
      </w:r>
    </w:p>
    <w:p>
      <w:pPr>
        <w:spacing w:after="0" w:line="150" w:lineRule="exact"/>
        <w:rPr>
          <w:rFonts w:ascii="Arial" w:cs="Arial" w:eastAsia="Arial" w:hAnsi="Arial"/>
          <w:sz w:val="19"/>
          <w:szCs w:val="19"/>
          <w:color w:val="auto"/>
        </w:rPr>
      </w:pPr>
    </w:p>
    <w:p>
      <w:pPr>
        <w:ind w:left="-656" w:right="160" w:firstLine="656"/>
        <w:spacing w:after="0" w:line="279" w:lineRule="auto"/>
        <w:tabs>
          <w:tab w:leader="none" w:pos="62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Clear Market</w:t>
      </w:r>
      <w:r>
        <w:rPr>
          <w:rFonts w:ascii="Arial" w:cs="Arial" w:eastAsia="Arial" w:hAnsi="Arial"/>
          <w:sz w:val="19"/>
          <w:szCs w:val="19"/>
          <w:color w:val="auto"/>
        </w:rPr>
        <w:t>. With respect to any underwritten offering of Registrable Securities by Treasury or other Holders pursuant to this Section 4.5, the Company agrees not to effect (other than pursuant to such registration or pursuant to a Special Registration) any public sale or distribution, or to file any Shelf Registration Statement (other than such registration or a Special Registration) covering, in the case of an underwritten offering of Common Stock or Warrants, any of its equity securities, or, in each case, any securities convertible into or exchangeable or exercisable for such securities, during the period not to exceed 30 days following the effective date of such offering. The Company also agrees to cause such of its directors and senior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4864" w:hanging="130"/>
        <w:spacing w:after="0"/>
        <w:tabs>
          <w:tab w:leader="none" w:pos="4864" w:val="left"/>
        </w:tabs>
        <w:numPr>
          <w:ilvl w:val="2"/>
          <w:numId w:val="79"/>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0584"/>
          </w:cols>
          <w:pgMar w:left="976" w:top="1427" w:right="339" w:bottom="1440" w:gutter="0" w:footer="0" w:header="0"/>
        </w:sectPr>
      </w:pPr>
    </w:p>
    <w:bookmarkStart w:id="133" w:name="page134"/>
    <w:bookmarkEnd w:id="133"/>
    <w:p>
      <w:pPr>
        <w:spacing w:after="0" w:line="235" w:lineRule="auto"/>
        <w:rPr>
          <w:sz w:val="20"/>
          <w:szCs w:val="20"/>
          <w:color w:val="auto"/>
        </w:rPr>
      </w:pPr>
      <w:r>
        <w:rPr>
          <w:rFonts w:ascii="Arial" w:cs="Arial" w:eastAsia="Arial" w:hAnsi="Arial"/>
          <w:sz w:val="22"/>
          <w:szCs w:val="22"/>
          <w:color w:val="auto"/>
        </w:rPr>
        <w:t>executive officers to execute and deliver customary lock-up agreements in such form and for such time period up to 30 days as may be requested by the managing underwriter. “</w:t>
      </w:r>
      <w:r>
        <w:rPr>
          <w:rFonts w:ascii="Arial" w:cs="Arial" w:eastAsia="Arial" w:hAnsi="Arial"/>
          <w:sz w:val="22"/>
          <w:szCs w:val="22"/>
          <w:u w:val="single" w:color="auto"/>
          <w:color w:val="auto"/>
        </w:rPr>
        <w:t>Special Registration</w:t>
      </w:r>
      <w:r>
        <w:rPr>
          <w:rFonts w:ascii="Arial" w:cs="Arial" w:eastAsia="Arial" w:hAnsi="Arial"/>
          <w:sz w:val="22"/>
          <w:szCs w:val="22"/>
          <w:color w:val="auto"/>
        </w:rPr>
        <w:t>” means the registration of (A) equity securities and/or options or other rights in respect thereof solely registered on Form S-4 or Form S-8 (or successor form) or (B) shares of equity securities and/or options or other rights in respect thereof to be offered to directors, members of management, employees, consultants, customers, lenders or vendors of the Company or Company Subsidiaries or in connection with dividend reinvestment plans.</w:t>
      </w:r>
    </w:p>
    <w:p>
      <w:pPr>
        <w:spacing w:after="0" w:line="188" w:lineRule="exact"/>
        <w:rPr>
          <w:sz w:val="20"/>
          <w:szCs w:val="20"/>
          <w:color w:val="auto"/>
        </w:rPr>
      </w:pPr>
    </w:p>
    <w:p>
      <w:pPr>
        <w:jc w:val="both"/>
        <w:ind w:right="260" w:firstLine="656"/>
        <w:spacing w:after="0"/>
        <w:tabs>
          <w:tab w:leader="none" w:pos="1284"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Rule 144; Rule 144A</w:t>
      </w:r>
      <w:r>
        <w:rPr>
          <w:rFonts w:ascii="Arial" w:cs="Arial" w:eastAsia="Arial" w:hAnsi="Arial"/>
          <w:sz w:val="22"/>
          <w:szCs w:val="22"/>
          <w:color w:val="auto"/>
        </w:rPr>
        <w:t>. With a view to making available to Treasury and Holders the benefits of certain rules and regulations of the SEC which may permit the sale of the Registrable Securities to the public without registration, the Company agrees to use its reasonable best efforts to:</w:t>
      </w:r>
    </w:p>
    <w:p>
      <w:pPr>
        <w:spacing w:after="0" w:line="186" w:lineRule="exact"/>
        <w:rPr>
          <w:rFonts w:ascii="Arial" w:cs="Arial" w:eastAsia="Arial" w:hAnsi="Arial"/>
          <w:sz w:val="22"/>
          <w:szCs w:val="22"/>
          <w:color w:val="auto"/>
        </w:rPr>
      </w:pPr>
    </w:p>
    <w:p>
      <w:pPr>
        <w:ind w:left="660" w:right="240" w:firstLine="644"/>
        <w:spacing w:after="0" w:line="328" w:lineRule="auto"/>
        <w:tabs>
          <w:tab w:leader="none" w:pos="19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make and keep adequate public information available, as those terms are understood and defined in Rule 144(c)(1) or any similar or analogous rule promulgated under the Securities Act, at all times after the date hereof;</w:t>
      </w:r>
    </w:p>
    <w:p>
      <w:pPr>
        <w:spacing w:after="0" w:line="104" w:lineRule="exact"/>
        <w:rPr>
          <w:rFonts w:ascii="Arial" w:cs="Arial" w:eastAsia="Arial" w:hAnsi="Arial"/>
          <w:sz w:val="19"/>
          <w:szCs w:val="19"/>
          <w:color w:val="auto"/>
        </w:rPr>
      </w:pPr>
    </w:p>
    <w:p>
      <w:pPr>
        <w:ind w:left="660" w:right="100" w:firstLine="644"/>
        <w:spacing w:after="0" w:line="238" w:lineRule="auto"/>
        <w:tabs>
          <w:tab w:leader="none" w:pos="195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 file with the SEC, in a timely manner, all reports and other documents required of the Company under the Exchange Act, and (B) if at any time the Company is not required to file such reports, make available, upon the request of any Holder, such information necessary to permit sales pursuant to Rule 144A (including the information required by Rule 144A(d)(4) under the Securities Act);</w:t>
      </w:r>
    </w:p>
    <w:p>
      <w:pPr>
        <w:spacing w:after="0" w:line="184" w:lineRule="exact"/>
        <w:rPr>
          <w:rFonts w:ascii="Arial" w:cs="Arial" w:eastAsia="Arial" w:hAnsi="Arial"/>
          <w:sz w:val="22"/>
          <w:szCs w:val="22"/>
          <w:color w:val="auto"/>
        </w:rPr>
      </w:pPr>
    </w:p>
    <w:p>
      <w:pPr>
        <w:ind w:left="660" w:right="120" w:firstLine="644"/>
        <w:spacing w:after="0" w:line="234" w:lineRule="auto"/>
        <w:tabs>
          <w:tab w:leader="none" w:pos="1956" w:val="left"/>
        </w:tabs>
        <w:numPr>
          <w:ilvl w:val="1"/>
          <w:numId w:val="80"/>
        </w:numPr>
        <w:rPr>
          <w:rFonts w:ascii="Arial" w:cs="Arial" w:eastAsia="Arial" w:hAnsi="Arial"/>
          <w:sz w:val="22"/>
          <w:szCs w:val="22"/>
          <w:color w:val="auto"/>
        </w:rPr>
      </w:pPr>
      <w:r>
        <w:rPr>
          <w:rFonts w:ascii="Arial" w:cs="Arial" w:eastAsia="Arial" w:hAnsi="Arial"/>
          <w:sz w:val="22"/>
          <w:szCs w:val="22"/>
          <w:color w:val="auto"/>
        </w:rPr>
        <w:t xml:space="preserve">so long as Treasury or a Holder owns any Registrable Securities, furnish to Treasury or such Holder forthwith upon request: a written statement by the Company as to its compliance with the reporting requirements of Rule 144 under the Securities Act, and of the Exchange Act; a copy of the most recent annual or quarterly report of the Company; and such other reports and documents as Treasury or Holder may reasonably request in availing itself of any rule or regulation of the SEC allowing it to sell any such securities to the public without registration;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availability of the foregoing reports on the EDGAR filing system of the SEC will be deemed to satisfy the foregoing delivery requirements; and</w:t>
      </w:r>
    </w:p>
    <w:p>
      <w:pPr>
        <w:spacing w:after="0" w:line="190" w:lineRule="exact"/>
        <w:rPr>
          <w:rFonts w:ascii="Arial" w:cs="Arial" w:eastAsia="Arial" w:hAnsi="Arial"/>
          <w:sz w:val="22"/>
          <w:szCs w:val="22"/>
          <w:color w:val="auto"/>
        </w:rPr>
      </w:pPr>
    </w:p>
    <w:p>
      <w:pPr>
        <w:ind w:left="660" w:right="100" w:firstLine="644"/>
        <w:spacing w:after="0" w:line="274" w:lineRule="auto"/>
        <w:tabs>
          <w:tab w:leader="none" w:pos="1944" w:val="left"/>
        </w:tabs>
        <w:numPr>
          <w:ilvl w:val="1"/>
          <w:numId w:val="80"/>
        </w:numPr>
        <w:rPr>
          <w:rFonts w:ascii="Arial" w:cs="Arial" w:eastAsia="Arial" w:hAnsi="Arial"/>
          <w:sz w:val="21"/>
          <w:szCs w:val="21"/>
          <w:color w:val="auto"/>
        </w:rPr>
      </w:pPr>
      <w:r>
        <w:rPr>
          <w:rFonts w:ascii="Arial" w:cs="Arial" w:eastAsia="Arial" w:hAnsi="Arial"/>
          <w:sz w:val="21"/>
          <w:szCs w:val="21"/>
          <w:color w:val="auto"/>
        </w:rPr>
        <w:t>take such further action as any Holder may reasonably request, all to the extent required from time to time to enable such Holder to sell Registrable Securities without registration under the Securities Act.</w:t>
      </w:r>
    </w:p>
    <w:p>
      <w:pPr>
        <w:spacing w:after="0" w:line="150" w:lineRule="exact"/>
        <w:rPr>
          <w:rFonts w:ascii="Arial" w:cs="Arial" w:eastAsia="Arial" w:hAnsi="Arial"/>
          <w:sz w:val="21"/>
          <w:szCs w:val="21"/>
          <w:color w:val="auto"/>
        </w:rPr>
      </w:pPr>
    </w:p>
    <w:p>
      <w:pPr>
        <w:ind w:left="1300" w:hanging="644"/>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As used in this Section 4.5, the following terms shall have the following respective meanings:</w:t>
      </w:r>
    </w:p>
    <w:p>
      <w:pPr>
        <w:spacing w:after="0" w:line="206" w:lineRule="exact"/>
        <w:rPr>
          <w:rFonts w:ascii="Arial" w:cs="Arial" w:eastAsia="Arial" w:hAnsi="Arial"/>
          <w:sz w:val="22"/>
          <w:szCs w:val="22"/>
          <w:color w:val="auto"/>
        </w:rPr>
      </w:pPr>
    </w:p>
    <w:p>
      <w:pPr>
        <w:ind w:left="660" w:right="340" w:firstLine="644"/>
        <w:spacing w:after="0" w:line="328" w:lineRule="auto"/>
        <w:tabs>
          <w:tab w:leader="none" w:pos="19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Holder</w:t>
      </w:r>
      <w:r>
        <w:rPr>
          <w:rFonts w:ascii="Arial" w:cs="Arial" w:eastAsia="Arial" w:hAnsi="Arial"/>
          <w:sz w:val="19"/>
          <w:szCs w:val="19"/>
          <w:color w:val="auto"/>
        </w:rPr>
        <w:t>” means Treasury and any other holder of Registrable Securities to whom the registration rights conferred by this Agreement have been transferred in compliance with Section 4.5(h) hereof.</w:t>
      </w:r>
    </w:p>
    <w:p>
      <w:pPr>
        <w:spacing w:after="0" w:line="104" w:lineRule="exact"/>
        <w:rPr>
          <w:rFonts w:ascii="Arial" w:cs="Arial" w:eastAsia="Arial" w:hAnsi="Arial"/>
          <w:sz w:val="19"/>
          <w:szCs w:val="19"/>
          <w:color w:val="auto"/>
        </w:rPr>
      </w:pPr>
    </w:p>
    <w:p>
      <w:pPr>
        <w:ind w:left="660" w:right="100" w:firstLine="644"/>
        <w:spacing w:after="0" w:line="297" w:lineRule="auto"/>
        <w:tabs>
          <w:tab w:leader="none" w:pos="1950" w:val="left"/>
        </w:tabs>
        <w:numPr>
          <w:ilvl w:val="1"/>
          <w:numId w:val="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w:t>
      </w:r>
      <w:r>
        <w:rPr>
          <w:rFonts w:ascii="Arial" w:cs="Arial" w:eastAsia="Arial" w:hAnsi="Arial"/>
          <w:sz w:val="19"/>
          <w:szCs w:val="19"/>
          <w:u w:val="single" w:color="auto"/>
          <w:color w:val="auto"/>
        </w:rPr>
        <w:t>registered</w:t>
      </w:r>
      <w:r>
        <w:rPr>
          <w:rFonts w:ascii="Arial" w:cs="Arial" w:eastAsia="Arial" w:hAnsi="Arial"/>
          <w:sz w:val="19"/>
          <w:szCs w:val="19"/>
          <w:color w:val="auto"/>
        </w:rPr>
        <w:t>,” and “</w:t>
      </w:r>
      <w:r>
        <w:rPr>
          <w:rFonts w:ascii="Arial" w:cs="Arial" w:eastAsia="Arial" w:hAnsi="Arial"/>
          <w:sz w:val="19"/>
          <w:szCs w:val="19"/>
          <w:u w:val="single" w:color="auto"/>
          <w:color w:val="auto"/>
        </w:rPr>
        <w:t>registration</w:t>
      </w:r>
      <w:r>
        <w:rPr>
          <w:rFonts w:ascii="Arial" w:cs="Arial" w:eastAsia="Arial" w:hAnsi="Arial"/>
          <w:sz w:val="19"/>
          <w:szCs w:val="19"/>
          <w:color w:val="auto"/>
        </w:rPr>
        <w:t>” shall refer to a registration effected by preparing and (A) filing a registration statement in compliance with the Securities Act and applicable rules and regulations thereunder, and the declaration or ordering of effectiveness of such registration statement or (B) filing a prospectus and/or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6" w:lineRule="exact"/>
        <w:rPr>
          <w:rFonts w:ascii="Arial" w:cs="Arial" w:eastAsia="Arial" w:hAnsi="Arial"/>
          <w:sz w:val="19"/>
          <w:szCs w:val="19"/>
          <w:color w:val="auto"/>
        </w:rPr>
      </w:pPr>
    </w:p>
    <w:p>
      <w:pPr>
        <w:ind w:left="5520" w:hanging="130"/>
        <w:spacing w:after="0"/>
        <w:tabs>
          <w:tab w:leader="none" w:pos="5520" w:val="left"/>
        </w:tabs>
        <w:numPr>
          <w:ilvl w:val="2"/>
          <w:numId w:val="80"/>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1220"/>
          </w:cols>
          <w:pgMar w:left="320" w:top="1414" w:right="359" w:bottom="1440" w:gutter="0" w:footer="0" w:header="0"/>
        </w:sectPr>
      </w:pPr>
    </w:p>
    <w:bookmarkStart w:id="134" w:name="page135"/>
    <w:bookmarkEnd w:id="134"/>
    <w:p>
      <w:pPr>
        <w:ind w:left="660"/>
        <w:spacing w:after="0"/>
        <w:rPr>
          <w:sz w:val="20"/>
          <w:szCs w:val="20"/>
          <w:color w:val="auto"/>
        </w:rPr>
      </w:pPr>
      <w:r>
        <w:rPr>
          <w:rFonts w:ascii="Arial" w:cs="Arial" w:eastAsia="Arial" w:hAnsi="Arial"/>
          <w:sz w:val="22"/>
          <w:szCs w:val="22"/>
          <w:color w:val="auto"/>
        </w:rPr>
        <w:t>prospectus supplement in respect of an appropriate effective registration statement on Form S-3.</w:t>
      </w:r>
    </w:p>
    <w:p>
      <w:pPr>
        <w:spacing w:after="0" w:line="206" w:lineRule="exact"/>
        <w:rPr>
          <w:sz w:val="20"/>
          <w:szCs w:val="20"/>
          <w:color w:val="auto"/>
        </w:rPr>
      </w:pPr>
    </w:p>
    <w:p>
      <w:pPr>
        <w:ind w:left="660" w:firstLine="644"/>
        <w:spacing w:after="0" w:line="273" w:lineRule="auto"/>
        <w:tabs>
          <w:tab w:leader="none" w:pos="1956" w:val="left"/>
        </w:tabs>
        <w:numPr>
          <w:ilvl w:val="1"/>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w:t>
      </w:r>
      <w:r>
        <w:rPr>
          <w:rFonts w:ascii="Arial" w:cs="Arial" w:eastAsia="Arial" w:hAnsi="Arial"/>
          <w:sz w:val="19"/>
          <w:szCs w:val="19"/>
          <w:i w:val="1"/>
          <w:iCs w:val="1"/>
          <w:color w:val="auto"/>
        </w:rPr>
        <w:t>s</w:t>
      </w:r>
      <w:r>
        <w:rPr>
          <w:rFonts w:ascii="Arial" w:cs="Arial" w:eastAsia="Arial" w:hAnsi="Arial"/>
          <w:sz w:val="19"/>
          <w:szCs w:val="19"/>
          <w:color w:val="auto"/>
        </w:rPr>
        <w:t xml:space="preserve">” means (A) the Warrants (subject to Section 4.5(p)) and (B) any equity securities issued or issuable directly or indirectly with respect to the securities referred to in the foregoing clause (A) by way of conversion, exercise or exchange thereof, including the Warrant Shares, or share dividend or share split or in connection with a combination of shares, recapitalization, reclassification, merger, amalgamation, arrangement, consolidation or other reorganization,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once issued, such securities will not be Registrable Securities when (1) they are sold pursuant to an effective registration statement under the Securities Act, (2) except as provided below in Section 4.5(o), they may be sold pursuant to Rule 144 without limitation thereunder on volume or manner of sale, (3) they shall have ceased to be outstanding or (4) they have been sold in a private transaction in which the transferor’s rights under this Agreement are not assigned to the transferee of the securities. No Registrable Securities may be registered under more than one registration statement at any one time.</w:t>
      </w:r>
    </w:p>
    <w:p>
      <w:pPr>
        <w:spacing w:after="0" w:line="160" w:lineRule="exact"/>
        <w:rPr>
          <w:rFonts w:ascii="Arial" w:cs="Arial" w:eastAsia="Arial" w:hAnsi="Arial"/>
          <w:sz w:val="19"/>
          <w:szCs w:val="19"/>
          <w:color w:val="auto"/>
        </w:rPr>
      </w:pPr>
    </w:p>
    <w:p>
      <w:pPr>
        <w:ind w:left="660" w:right="60" w:firstLine="644"/>
        <w:spacing w:after="0" w:line="277" w:lineRule="auto"/>
        <w:tabs>
          <w:tab w:leader="none" w:pos="1944" w:val="left"/>
        </w:tabs>
        <w:numPr>
          <w:ilvl w:val="1"/>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mean all expenses incurred by the Company in effecting any registration pursuant to this Agreement (whether or not any registration or prospectus becomes effective or final) or otherwise complying with its obligations under this Section 4.5, including all registration, filing and listing fees, printing expenses, fees and disbursements of counsel for the Company, blue sky fees and expenses, expenses incurred in connection with any “road show”, the reasonable fees and disbursements of Treasury’s counsel (if Treasury is participating in the registered offering), and expenses of the Company’s independent accountants in connection with any regular or special reviews or audits incident to or required by any such registration, but shall not include Selling Expenses.</w:t>
      </w:r>
    </w:p>
    <w:p>
      <w:pPr>
        <w:spacing w:after="0" w:line="151" w:lineRule="exact"/>
        <w:rPr>
          <w:rFonts w:ascii="Arial" w:cs="Arial" w:eastAsia="Arial" w:hAnsi="Arial"/>
          <w:sz w:val="19"/>
          <w:szCs w:val="19"/>
          <w:color w:val="auto"/>
        </w:rPr>
      </w:pPr>
    </w:p>
    <w:p>
      <w:pPr>
        <w:ind w:left="660" w:right="580" w:firstLine="644"/>
        <w:spacing w:after="0" w:line="328" w:lineRule="auto"/>
        <w:tabs>
          <w:tab w:leader="none" w:pos="1951" w:val="left"/>
        </w:tabs>
        <w:numPr>
          <w:ilvl w:val="1"/>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144</w:t>
      </w:r>
      <w:r>
        <w:rPr>
          <w:rFonts w:ascii="Arial" w:cs="Arial" w:eastAsia="Arial" w:hAnsi="Arial"/>
          <w:sz w:val="19"/>
          <w:szCs w:val="19"/>
          <w:color w:val="auto"/>
        </w:rPr>
        <w:t>”, “</w:t>
      </w:r>
      <w:r>
        <w:rPr>
          <w:rFonts w:ascii="Arial" w:cs="Arial" w:eastAsia="Arial" w:hAnsi="Arial"/>
          <w:sz w:val="19"/>
          <w:szCs w:val="19"/>
          <w:u w:val="single" w:color="auto"/>
          <w:color w:val="auto"/>
        </w:rPr>
        <w:t>Rule 144A</w:t>
      </w:r>
      <w:r>
        <w:rPr>
          <w:rFonts w:ascii="Arial" w:cs="Arial" w:eastAsia="Arial" w:hAnsi="Arial"/>
          <w:sz w:val="19"/>
          <w:szCs w:val="19"/>
          <w:color w:val="auto"/>
        </w:rPr>
        <w:t>”, “</w:t>
      </w:r>
      <w:r>
        <w:rPr>
          <w:rFonts w:ascii="Arial" w:cs="Arial" w:eastAsia="Arial" w:hAnsi="Arial"/>
          <w:sz w:val="19"/>
          <w:szCs w:val="19"/>
          <w:u w:val="single" w:color="auto"/>
          <w:color w:val="auto"/>
        </w:rPr>
        <w:t>Rule 159A</w:t>
      </w:r>
      <w:r>
        <w:rPr>
          <w:rFonts w:ascii="Arial" w:cs="Arial" w:eastAsia="Arial" w:hAnsi="Arial"/>
          <w:sz w:val="19"/>
          <w:szCs w:val="19"/>
          <w:color w:val="auto"/>
        </w:rPr>
        <w:t>”, “</w:t>
      </w:r>
      <w:r>
        <w:rPr>
          <w:rFonts w:ascii="Arial" w:cs="Arial" w:eastAsia="Arial" w:hAnsi="Arial"/>
          <w:sz w:val="19"/>
          <w:szCs w:val="19"/>
          <w:u w:val="single" w:color="auto"/>
          <w:color w:val="auto"/>
        </w:rPr>
        <w:t>Rule 405</w:t>
      </w:r>
      <w:r>
        <w:rPr>
          <w:rFonts w:ascii="Arial" w:cs="Arial" w:eastAsia="Arial" w:hAnsi="Arial"/>
          <w:sz w:val="19"/>
          <w:szCs w:val="19"/>
          <w:color w:val="auto"/>
        </w:rPr>
        <w:t>” and “</w:t>
      </w:r>
      <w:r>
        <w:rPr>
          <w:rFonts w:ascii="Arial" w:cs="Arial" w:eastAsia="Arial" w:hAnsi="Arial"/>
          <w:sz w:val="19"/>
          <w:szCs w:val="19"/>
          <w:u w:val="single" w:color="auto"/>
          <w:color w:val="auto"/>
        </w:rPr>
        <w:t>Rule 415</w:t>
      </w:r>
      <w:r>
        <w:rPr>
          <w:rFonts w:ascii="Arial" w:cs="Arial" w:eastAsia="Arial" w:hAnsi="Arial"/>
          <w:sz w:val="19"/>
          <w:szCs w:val="19"/>
          <w:color w:val="auto"/>
        </w:rPr>
        <w:t>” mean, in each case, such rule promulgated under the Securities Act (or any successor provision), as the same shall be amended from time to time.</w:t>
      </w:r>
    </w:p>
    <w:p>
      <w:pPr>
        <w:spacing w:after="0" w:line="104" w:lineRule="exact"/>
        <w:rPr>
          <w:rFonts w:ascii="Arial" w:cs="Arial" w:eastAsia="Arial" w:hAnsi="Arial"/>
          <w:sz w:val="19"/>
          <w:szCs w:val="19"/>
          <w:color w:val="auto"/>
        </w:rPr>
      </w:pPr>
    </w:p>
    <w:p>
      <w:pPr>
        <w:jc w:val="both"/>
        <w:ind w:left="660" w:right="140" w:firstLine="644"/>
        <w:spacing w:after="0"/>
        <w:tabs>
          <w:tab w:leader="none" w:pos="1944" w:val="left"/>
        </w:tabs>
        <w:numPr>
          <w:ilvl w:val="1"/>
          <w:numId w:val="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Expenses</w:t>
      </w:r>
      <w:r>
        <w:rPr>
          <w:rFonts w:ascii="Arial" w:cs="Arial" w:eastAsia="Arial" w:hAnsi="Arial"/>
          <w:sz w:val="22"/>
          <w:szCs w:val="22"/>
          <w:color w:val="auto"/>
        </w:rPr>
        <w:t>” mean all discounts, selling commissions and stock transfer taxes applicable to the sale of Registrable Securities and fees and disbursements of counsel for any Holder (other than the fees and disbursements of Treasury’s counsel included in Registration Expenses).</w:t>
      </w:r>
    </w:p>
    <w:p>
      <w:pPr>
        <w:spacing w:after="0" w:line="186" w:lineRule="exact"/>
        <w:rPr>
          <w:rFonts w:ascii="Arial" w:cs="Arial" w:eastAsia="Arial" w:hAnsi="Arial"/>
          <w:sz w:val="22"/>
          <w:szCs w:val="22"/>
          <w:color w:val="auto"/>
        </w:rPr>
      </w:pPr>
    </w:p>
    <w:p>
      <w:pPr>
        <w:ind w:right="60" w:firstLine="656"/>
        <w:spacing w:after="0" w:line="276" w:lineRule="auto"/>
        <w:tabs>
          <w:tab w:leader="none" w:pos="1284"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At any time, any holder of Securities (including any Holder) may elect to forfeit its rights set forth in this Section 4.5 from that date forward; </w:t>
      </w:r>
      <w:r>
        <w:rPr>
          <w:rFonts w:ascii="Arial" w:cs="Arial" w:eastAsia="Arial" w:hAnsi="Arial"/>
          <w:sz w:val="19"/>
          <w:szCs w:val="19"/>
          <w:i w:val="1"/>
          <w:iCs w:val="1"/>
          <w:color w:val="auto"/>
        </w:rPr>
        <w:t>provided</w:t>
      </w:r>
      <w:r>
        <w:rPr>
          <w:rFonts w:ascii="Arial" w:cs="Arial" w:eastAsia="Arial" w:hAnsi="Arial"/>
          <w:sz w:val="19"/>
          <w:szCs w:val="19"/>
          <w:color w:val="auto"/>
        </w:rPr>
        <w:t>, that a Holder forfeiting such rights shall nonetheless be entitled to participate under Section</w:t>
      </w:r>
    </w:p>
    <w:p>
      <w:pPr>
        <w:spacing w:after="0" w:line="1" w:lineRule="exact"/>
        <w:rPr>
          <w:rFonts w:ascii="Arial" w:cs="Arial" w:eastAsia="Arial" w:hAnsi="Arial"/>
          <w:sz w:val="19"/>
          <w:szCs w:val="19"/>
          <w:color w:val="auto"/>
        </w:rPr>
      </w:pPr>
    </w:p>
    <w:p>
      <w:pPr>
        <w:ind w:right="140"/>
        <w:spacing w:after="0" w:line="245" w:lineRule="auto"/>
        <w:rPr>
          <w:rFonts w:ascii="Arial" w:cs="Arial" w:eastAsia="Arial" w:hAnsi="Arial"/>
          <w:sz w:val="19"/>
          <w:szCs w:val="19"/>
          <w:color w:val="auto"/>
        </w:rPr>
      </w:pPr>
      <w:r>
        <w:rPr>
          <w:rFonts w:ascii="Arial" w:cs="Arial" w:eastAsia="Arial" w:hAnsi="Arial"/>
          <w:sz w:val="21"/>
          <w:szCs w:val="21"/>
          <w:color w:val="auto"/>
        </w:rPr>
        <w:t xml:space="preserve">4.5(a)(iv) – (vi) in any Pending Underwritten Offering to the same extent that such Holder would have been entitled to if the holder had not withdrawn;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no such forfeiture shall terminate a Holder’s rights or obligations under Section 4.5(f) with respect to any prior registration or Pending Underwritten Offering. “</w:t>
      </w:r>
      <w:r>
        <w:rPr>
          <w:rFonts w:ascii="Arial" w:cs="Arial" w:eastAsia="Arial" w:hAnsi="Arial"/>
          <w:sz w:val="21"/>
          <w:szCs w:val="21"/>
          <w:i w:val="1"/>
          <w:iCs w:val="1"/>
          <w:color w:val="auto"/>
        </w:rPr>
        <w:t>Pending Underwritten Offering”</w:t>
      </w:r>
      <w:r>
        <w:rPr>
          <w:rFonts w:ascii="Arial" w:cs="Arial" w:eastAsia="Arial" w:hAnsi="Arial"/>
          <w:sz w:val="21"/>
          <w:szCs w:val="21"/>
          <w:color w:val="auto"/>
        </w:rPr>
        <w:t xml:space="preserve"> means</w:t>
      </w:r>
      <w:r>
        <w:rPr>
          <w:rFonts w:ascii="Arial" w:cs="Arial" w:eastAsia="Arial" w:hAnsi="Arial"/>
          <w:sz w:val="21"/>
          <w:szCs w:val="21"/>
          <w:i w:val="1"/>
          <w:iCs w:val="1"/>
          <w:color w:val="auto"/>
        </w:rPr>
        <w:t>,</w:t>
      </w:r>
      <w:r>
        <w:rPr>
          <w:rFonts w:ascii="Arial" w:cs="Arial" w:eastAsia="Arial" w:hAnsi="Arial"/>
          <w:sz w:val="21"/>
          <w:szCs w:val="21"/>
          <w:color w:val="auto"/>
        </w:rPr>
        <w:t xml:space="preserve"> with respect to any Holder forfeiting its rights pursuant to this Section 4.5(l), any underwritten offering of Registrable Securities in which such Holder has advised the Company of its intent to register its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left="5520" w:hanging="130"/>
        <w:spacing w:after="0"/>
        <w:tabs>
          <w:tab w:leader="none" w:pos="5520" w:val="left"/>
        </w:tabs>
        <w:numPr>
          <w:ilvl w:val="2"/>
          <w:numId w:val="82"/>
        </w:numPr>
        <w:rPr>
          <w:rFonts w:ascii="Arial" w:cs="Arial" w:eastAsia="Arial" w:hAnsi="Arial"/>
          <w:sz w:val="22"/>
          <w:szCs w:val="22"/>
          <w:color w:val="auto"/>
        </w:rPr>
      </w:pPr>
      <w:r>
        <w:rPr>
          <w:rFonts w:ascii="Arial" w:cs="Arial" w:eastAsia="Arial" w:hAnsi="Arial"/>
          <w:sz w:val="22"/>
          <w:szCs w:val="22"/>
          <w:color w:val="auto"/>
        </w:rPr>
        <w:t>19 -</w:t>
      </w:r>
    </w:p>
    <w:p>
      <w:pPr>
        <w:sectPr>
          <w:pgSz w:w="11900" w:h="16838" w:orient="portrait"/>
          <w:cols w:equalWidth="0" w:num="1">
            <w:col w:w="11240"/>
          </w:cols>
          <w:pgMar w:left="320" w:top="1414" w:right="3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Registrable Securities either pursuant to Section 4.5(a)(ii) or 4.5(a)(iv) prior to the date of such Holder’s forfeiture.</w:t>
      </w:r>
    </w:p>
    <w:p>
      <w:pPr>
        <w:spacing w:after="0" w:line="220" w:lineRule="exact"/>
        <w:rPr>
          <w:sz w:val="20"/>
          <w:szCs w:val="20"/>
          <w:color w:val="auto"/>
        </w:rPr>
      </w:pPr>
    </w:p>
    <w:p>
      <w:pPr>
        <w:ind w:right="40" w:firstLine="656"/>
        <w:spacing w:after="0" w:line="247" w:lineRule="auto"/>
        <w:tabs>
          <w:tab w:leader="none" w:pos="1284"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r>
        <w:rPr>
          <w:rFonts w:ascii="Arial" w:cs="Arial" w:eastAsia="Arial" w:hAnsi="Arial"/>
          <w:sz w:val="22"/>
          <w:szCs w:val="22"/>
          <w:color w:val="auto"/>
        </w:rPr>
        <w:t>. The parties hereto acknowledge that there would be no adequate remedy at law if the Company fails to perform any of its obligations under this Section 4.5 and that Treasury and the Holders from time to time may be irreparably harmed by any such failure, and accordingly agree that Treasury and such Holders, in addition to any other remedy to which they may be entitled at law or in equity, to the fullest extent permitted and enforceable under applicable law shall be entitled to compel specific performance of the obligations of the Company under this Section 4.5 in accordance with the terms and conditions of this Section 4.5.</w:t>
      </w:r>
    </w:p>
    <w:p>
      <w:pPr>
        <w:spacing w:after="0" w:line="192" w:lineRule="exact"/>
        <w:rPr>
          <w:rFonts w:ascii="Arial" w:cs="Arial" w:eastAsia="Arial" w:hAnsi="Arial"/>
          <w:sz w:val="22"/>
          <w:szCs w:val="22"/>
          <w:color w:val="auto"/>
        </w:rPr>
      </w:pPr>
    </w:p>
    <w:p>
      <w:pPr>
        <w:ind w:firstLine="656"/>
        <w:spacing w:after="0" w:line="287" w:lineRule="auto"/>
        <w:tabs>
          <w:tab w:leader="none" w:pos="1291"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 Inconsistent Agreements</w:t>
      </w:r>
      <w:r>
        <w:rPr>
          <w:rFonts w:ascii="Arial" w:cs="Arial" w:eastAsia="Arial" w:hAnsi="Arial"/>
          <w:sz w:val="19"/>
          <w:szCs w:val="19"/>
          <w:color w:val="auto"/>
        </w:rPr>
        <w:t>. The Company shall not, on or after the date hereof, enter into any agreement with respect to its securities that may impair the rights granted to Treasury and the Holders under this Section 4.5 or that otherwise conflicts with the provisions hereof in any manner that may impair the rights granted to Treasury and the Holders under this Section 4.5. In the event the Company has, prior to the date hereof, entered into any agreement with respect to its securities that is inconsistent with the rights granted to Treasury and the Holders under this Section 4.5 (including agreements that are inconsistent with the order of priority contemplated by Section 4.5(a)(vi)) or that may otherwise conflict with the provisions hereof, the Company shall use its reasonable best efforts to amend such agreements to ensure they are consistent with the provisions of this Section 4.5. Any transaction entered into by the Company that would reasonably be expected to require the inclusion in a Shelf Registration Statement or any Company Report filed with the SEC of any separate financial statements pursuant to Rule 3-05 of Regulation S-X or pro forma financial statements pursuant to Article 11 of Regulation S-X shall include provisions requiring the Company’s counterparty to provide any information necessary to allow the Company to comply with its obligation hereunder.</w:t>
      </w:r>
    </w:p>
    <w:p>
      <w:pPr>
        <w:spacing w:after="0" w:line="163" w:lineRule="exact"/>
        <w:rPr>
          <w:rFonts w:ascii="Arial" w:cs="Arial" w:eastAsia="Arial" w:hAnsi="Arial"/>
          <w:sz w:val="19"/>
          <w:szCs w:val="19"/>
          <w:color w:val="auto"/>
        </w:rPr>
      </w:pPr>
    </w:p>
    <w:p>
      <w:pPr>
        <w:ind w:firstLine="656"/>
        <w:spacing w:after="0" w:line="292" w:lineRule="auto"/>
        <w:tabs>
          <w:tab w:leader="none" w:pos="1291"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Certain Offerings by Treasury</w:t>
      </w:r>
      <w:r>
        <w:rPr>
          <w:rFonts w:ascii="Arial" w:cs="Arial" w:eastAsia="Arial" w:hAnsi="Arial"/>
          <w:sz w:val="19"/>
          <w:szCs w:val="19"/>
          <w:color w:val="auto"/>
        </w:rPr>
        <w:t>. In the case of any securities held by Treasury that cease to be Registrable Securities solely by reason of clause (2) in the definition of “Registrable Securities,” the provisions of Sections 4.5(a)(ii), clauses (iv), (ix) and (x)-(xii) of Section 4.5(c), Section 4.5(g) and Section 4.5(i) shall continue to apply until such securities otherwise cease to be Registrable Securities. In any such case, an “underwritten” offering or other disposition shall include any distribution of such securities on behalf of Treasury by one or more broker-dealers, an “underwriting agreement” shall include any purchase agreement entered into by such broker-dealers, and any “registration statement” or “prospectus” shall include any offering document approved by the Company and used in connection with such distribution.</w:t>
      </w:r>
    </w:p>
    <w:p>
      <w:pPr>
        <w:spacing w:after="0" w:line="150" w:lineRule="exact"/>
        <w:rPr>
          <w:rFonts w:ascii="Arial" w:cs="Arial" w:eastAsia="Arial" w:hAnsi="Arial"/>
          <w:sz w:val="19"/>
          <w:szCs w:val="19"/>
          <w:color w:val="auto"/>
        </w:rPr>
      </w:pPr>
    </w:p>
    <w:p>
      <w:pPr>
        <w:ind w:right="320" w:firstLine="656"/>
        <w:spacing w:after="0" w:line="297" w:lineRule="auto"/>
        <w:tabs>
          <w:tab w:leader="none" w:pos="1291"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Registered Sales of the Warrants</w:t>
      </w:r>
      <w:r>
        <w:rPr>
          <w:rFonts w:ascii="Arial" w:cs="Arial" w:eastAsia="Arial" w:hAnsi="Arial"/>
          <w:sz w:val="19"/>
          <w:szCs w:val="19"/>
          <w:color w:val="auto"/>
        </w:rPr>
        <w:t>. The Holders agree to sell the Warrants or any portion thereof under the Shelf Registration Statement only beginning 30 days after notifying the Company of any such sale, during which 30-day period Treasury and all Holders of the Warrants shall take reasonable steps to agree to revisions to the Warrants, at the expense of the Company, to permit a public distribution of the Warrants, including entering into a revised warrant agreement, appointing a warrant agent, and making the securities eligible for book entry clearing and settlement at the Depositary Trust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6" w:lineRule="exact"/>
        <w:rPr>
          <w:rFonts w:ascii="Arial" w:cs="Arial" w:eastAsia="Arial" w:hAnsi="Arial"/>
          <w:sz w:val="19"/>
          <w:szCs w:val="19"/>
          <w:color w:val="auto"/>
        </w:rPr>
      </w:pPr>
    </w:p>
    <w:p>
      <w:pPr>
        <w:ind w:left="5520" w:hanging="130"/>
        <w:spacing w:after="0"/>
        <w:tabs>
          <w:tab w:leader="none" w:pos="5520" w:val="left"/>
        </w:tabs>
        <w:numPr>
          <w:ilvl w:val="1"/>
          <w:numId w:val="83"/>
        </w:numPr>
        <w:rPr>
          <w:rFonts w:ascii="Arial" w:cs="Arial" w:eastAsia="Arial" w:hAnsi="Arial"/>
          <w:sz w:val="22"/>
          <w:szCs w:val="22"/>
          <w:color w:val="auto"/>
        </w:rPr>
      </w:pPr>
      <w:r>
        <w:rPr>
          <w:rFonts w:ascii="Arial" w:cs="Arial" w:eastAsia="Arial" w:hAnsi="Arial"/>
          <w:sz w:val="22"/>
          <w:szCs w:val="22"/>
          <w:color w:val="auto"/>
        </w:rPr>
        <w:t>20 -</w:t>
      </w:r>
    </w:p>
    <w:p>
      <w:pPr>
        <w:sectPr>
          <w:pgSz w:w="11900" w:h="16838" w:orient="portrait"/>
          <w:cols w:equalWidth="0" w:num="1">
            <w:col w:w="11240"/>
          </w:cols>
          <w:pgMar w:left="320" w:top="1414" w:right="339" w:bottom="1440" w:gutter="0" w:footer="0" w:header="0"/>
        </w:sectPr>
      </w:pPr>
    </w:p>
    <w:bookmarkStart w:id="136" w:name="page137"/>
    <w:bookmarkEnd w:id="136"/>
    <w:p>
      <w:pPr>
        <w:ind w:right="40" w:firstLine="648"/>
        <w:spacing w:after="0" w:line="263"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Voting of Warrant Shares</w:t>
      </w:r>
      <w:r>
        <w:rPr>
          <w:rFonts w:ascii="Arial" w:cs="Arial" w:eastAsia="Arial" w:hAnsi="Arial"/>
          <w:sz w:val="22"/>
          <w:szCs w:val="22"/>
          <w:color w:val="auto"/>
        </w:rPr>
        <w:t>. Notwithstanding anything in this Agreement to the contrary, Treasury shall not exercise any voting rights with respect to the Warrant Shares.</w:t>
      </w:r>
    </w:p>
    <w:p>
      <w:pPr>
        <w:spacing w:after="0" w:line="175"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Article V</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Miscellaneous</w:t>
      </w:r>
    </w:p>
    <w:p>
      <w:pPr>
        <w:spacing w:after="0" w:line="202"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The representations and warranties of the Company made herein or in any certificates delivered in connection with the Initial Closing or any subsequent Closing shall survive such Closing without limitation.</w:t>
      </w:r>
    </w:p>
    <w:p>
      <w:pPr>
        <w:spacing w:after="0" w:line="185"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No amendment of any provision of this Agreement will be effective unless made in writing and signed by an officer or a duly authorized representative of each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Treasury may unilaterally amend any provision of this Agreement to the extent required to comply with any changes after the date hereof in applicable federal statutes. No failure or delay by any party in exercising any right, power or privilege hereunder shall operate as a waiver thereof nor shall any single or partial exercise thereof preclude any other or further exercise of any other right, power or privilege. The rights and remedies herein provided shall be cumulative of any rights or remedies provided by law.</w:t>
      </w:r>
    </w:p>
    <w:p>
      <w:pPr>
        <w:spacing w:after="0" w:line="136"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Waiver of Conditions</w:t>
      </w:r>
      <w:r>
        <w:rPr>
          <w:rFonts w:ascii="Arial" w:cs="Arial" w:eastAsia="Arial" w:hAnsi="Arial"/>
          <w:sz w:val="22"/>
          <w:szCs w:val="22"/>
          <w:color w:val="auto"/>
        </w:rPr>
        <w:t>. No waiver will be effective unless it is in a writing signed by a duly authorized officer of the waiving party that makes express reference to the provision or provisions subject to such waiver.</w:t>
      </w:r>
    </w:p>
    <w:p>
      <w:pPr>
        <w:spacing w:after="0" w:line="169"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u w:val="single" w:color="auto"/>
          <w:color w:val="auto"/>
        </w:rPr>
        <w:t>Governing Law: Submission to Jurisdiction, Etc.</w:t>
      </w:r>
      <w:r>
        <w:rPr>
          <w:rFonts w:ascii="Arial" w:cs="Arial" w:eastAsia="Arial" w:hAnsi="Arial"/>
          <w:sz w:val="19"/>
          <w:szCs w:val="19"/>
          <w:color w:val="auto"/>
        </w:rPr>
        <w:t xml:space="preserve"> </w:t>
      </w:r>
      <w:r>
        <w:rPr>
          <w:rFonts w:ascii="Arial" w:cs="Arial" w:eastAsia="Arial" w:hAnsi="Arial"/>
          <w:sz w:val="19"/>
          <w:szCs w:val="19"/>
          <w:b w:val="1"/>
          <w:bCs w:val="1"/>
          <w:color w:val="auto"/>
        </w:rPr>
        <w:t>This Agreement will be governed by and construed in</w:t>
      </w:r>
      <w:r>
        <w:rPr>
          <w:rFonts w:ascii="Arial" w:cs="Arial" w:eastAsia="Arial" w:hAnsi="Arial"/>
          <w:sz w:val="19"/>
          <w:szCs w:val="19"/>
          <w:color w:val="auto"/>
        </w:rPr>
        <w:t xml:space="preserve"> </w:t>
      </w:r>
      <w:r>
        <w:rPr>
          <w:rFonts w:ascii="Arial" w:cs="Arial" w:eastAsia="Arial" w:hAnsi="Arial"/>
          <w:sz w:val="19"/>
          <w:szCs w:val="19"/>
          <w:b w:val="1"/>
          <w:bCs w:val="1"/>
          <w:color w:val="auto"/>
        </w:rPr>
        <w:t>accordance with the federal law of the United States if and to the extent such law is applicable, and otherwise in accordance with the laws of the State of New York applicable to contracts made and to be performed entirely within such State. Each of the parties hereto agrees (a) to submit to the exclusive jurisdiction and venue of the United States District Court for the District of Columbia and the United States Court of Federal Claims for any and all civil actions, suits or proceedings arising out of or relating to this Agreement or the Warrants or the transactions contemplated hereby or thereby, and (b) that notice may be served upon (i) the Company at the address and in the manner set forth for notices to the Company in Section 5.5 and (ii) Treasury in accordance with federal law. To the extent permitted by applicable law, each of the parties hereto hereby unconditionally waives trial by jury in any civil legal action or proceeding relating to this Agreement or the Warrants or the transactions contemplated hereby or thereby.</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request, instruction or other document to be given hereunder by any party to the other will be in writing and will be deemed to have been duly given (a) on the date of delivery if delivered personally, or by facsimile, upon confirmation of receipt, or (b) on the second Business Day following the date of dispatch if delivered by a recognized next day courier service. All notices to the Company shall be delivered as set forth below, or pursuant to such other instruction as may be designated in writing by the Company to Treasury. All notices to Treasury shall be delivered as set forth below, or pursuant to such other instructions as may be designated in writing by Treasury to the Company.</w:t>
      </w:r>
    </w:p>
    <w:p>
      <w:pPr>
        <w:spacing w:after="0" w:line="15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1200"/>
          </w:cols>
          <w:pgMar w:left="320" w:top="1427" w:right="379" w:bottom="1440" w:gutter="0" w:footer="0" w:header="0"/>
        </w:sectPr>
      </w:pPr>
    </w:p>
    <w:bookmarkStart w:id="137" w:name="page138"/>
    <w:bookmarkEnd w:id="137"/>
    <w:p>
      <w:pPr>
        <w:ind w:left="2344"/>
        <w:spacing w:after="0"/>
        <w:rPr>
          <w:sz w:val="20"/>
          <w:szCs w:val="20"/>
          <w:color w:val="auto"/>
        </w:rPr>
      </w:pPr>
      <w:r>
        <w:rPr>
          <w:rFonts w:ascii="Arial" w:cs="Arial" w:eastAsia="Arial" w:hAnsi="Arial"/>
          <w:sz w:val="22"/>
          <w:szCs w:val="22"/>
          <w:color w:val="auto"/>
        </w:rPr>
        <w:t>American Airlines Group Inc.</w:t>
      </w:r>
    </w:p>
    <w:p>
      <w:pPr>
        <w:ind w:left="2344"/>
        <w:spacing w:after="0" w:line="238" w:lineRule="auto"/>
        <w:rPr>
          <w:sz w:val="20"/>
          <w:szCs w:val="20"/>
          <w:color w:val="auto"/>
        </w:rPr>
      </w:pPr>
      <w:r>
        <w:rPr>
          <w:rFonts w:ascii="Arial" w:cs="Arial" w:eastAsia="Arial" w:hAnsi="Arial"/>
          <w:sz w:val="22"/>
          <w:szCs w:val="22"/>
          <w:color w:val="auto"/>
        </w:rPr>
        <w:t>1 Skyview Drive</w:t>
      </w:r>
    </w:p>
    <w:p>
      <w:pPr>
        <w:ind w:left="2344"/>
        <w:spacing w:after="0" w:line="230" w:lineRule="auto"/>
        <w:rPr>
          <w:sz w:val="20"/>
          <w:szCs w:val="20"/>
          <w:color w:val="auto"/>
        </w:rPr>
      </w:pPr>
      <w:r>
        <w:rPr>
          <w:rFonts w:ascii="Arial" w:cs="Arial" w:eastAsia="Arial" w:hAnsi="Arial"/>
          <w:sz w:val="22"/>
          <w:szCs w:val="22"/>
          <w:color w:val="auto"/>
        </w:rPr>
        <w:t>Fort Worth, Texas 76155</w:t>
      </w:r>
    </w:p>
    <w:p>
      <w:pPr>
        <w:ind w:left="2344"/>
        <w:spacing w:after="0" w:line="231" w:lineRule="auto"/>
        <w:rPr>
          <w:sz w:val="20"/>
          <w:szCs w:val="20"/>
          <w:color w:val="auto"/>
        </w:rPr>
      </w:pPr>
      <w:r>
        <w:rPr>
          <w:rFonts w:ascii="Arial" w:cs="Arial" w:eastAsia="Arial" w:hAnsi="Arial"/>
          <w:sz w:val="22"/>
          <w:szCs w:val="22"/>
          <w:color w:val="auto"/>
        </w:rPr>
        <w:t>Facsimile: ###</w:t>
      </w:r>
    </w:p>
    <w:p>
      <w:pPr>
        <w:ind w:left="2344"/>
        <w:spacing w:after="0" w:line="230" w:lineRule="auto"/>
        <w:rPr>
          <w:sz w:val="20"/>
          <w:szCs w:val="20"/>
          <w:color w:val="auto"/>
        </w:rPr>
      </w:pPr>
      <w:r>
        <w:rPr>
          <w:rFonts w:ascii="Arial" w:cs="Arial" w:eastAsia="Arial" w:hAnsi="Arial"/>
          <w:sz w:val="22"/>
          <w:szCs w:val="22"/>
          <w:color w:val="auto"/>
        </w:rPr>
        <w:t>Attention: Meghan B. Montana, Treasurer</w:t>
      </w:r>
    </w:p>
    <w:p>
      <w:pPr>
        <w:ind w:left="2344"/>
        <w:spacing w:after="0" w:line="231" w:lineRule="auto"/>
        <w:rPr>
          <w:sz w:val="20"/>
          <w:szCs w:val="20"/>
          <w:color w:val="auto"/>
        </w:rPr>
      </w:pPr>
      <w:r>
        <w:rPr>
          <w:rFonts w:ascii="Arial" w:cs="Arial" w:eastAsia="Arial" w:hAnsi="Arial"/>
          <w:sz w:val="22"/>
          <w:szCs w:val="22"/>
          <w:color w:val="auto"/>
        </w:rPr>
        <w:t>Email: ###</w:t>
      </w:r>
    </w:p>
    <w:p>
      <w:pPr>
        <w:ind w:left="2344"/>
        <w:spacing w:after="0"/>
        <w:rPr>
          <w:sz w:val="20"/>
          <w:szCs w:val="20"/>
          <w:color w:val="auto"/>
        </w:rPr>
      </w:pPr>
      <w:r>
        <w:rPr>
          <w:rFonts w:ascii="Arial" w:cs="Arial" w:eastAsia="Arial" w:hAnsi="Arial"/>
          <w:sz w:val="22"/>
          <w:szCs w:val="22"/>
          <w:color w:val="auto"/>
        </w:rPr>
        <w:t>Telephone: ###</w:t>
      </w:r>
    </w:p>
    <w:p>
      <w:pPr>
        <w:spacing w:after="0" w:line="215" w:lineRule="exact"/>
        <w:rPr>
          <w:sz w:val="20"/>
          <w:szCs w:val="20"/>
          <w:color w:val="auto"/>
        </w:rPr>
      </w:pPr>
    </w:p>
    <w:p>
      <w:pPr>
        <w:ind w:left="2344"/>
        <w:spacing w:after="0"/>
        <w:rPr>
          <w:sz w:val="20"/>
          <w:szCs w:val="20"/>
          <w:color w:val="auto"/>
        </w:rPr>
      </w:pPr>
      <w:r>
        <w:rPr>
          <w:rFonts w:ascii="Arial" w:cs="Arial" w:eastAsia="Arial" w:hAnsi="Arial"/>
          <w:sz w:val="22"/>
          <w:szCs w:val="22"/>
          <w:i w:val="1"/>
          <w:iCs w:val="1"/>
          <w:color w:val="auto"/>
        </w:rPr>
        <w:t>With copies to (which shall not constitute notice):</w:t>
      </w:r>
    </w:p>
    <w:p>
      <w:pPr>
        <w:ind w:left="2344"/>
        <w:spacing w:after="0" w:line="238" w:lineRule="auto"/>
        <w:rPr>
          <w:sz w:val="20"/>
          <w:szCs w:val="20"/>
          <w:color w:val="auto"/>
        </w:rPr>
      </w:pPr>
      <w:r>
        <w:rPr>
          <w:rFonts w:ascii="Arial" w:cs="Arial" w:eastAsia="Arial" w:hAnsi="Arial"/>
          <w:sz w:val="22"/>
          <w:szCs w:val="22"/>
          <w:color w:val="auto"/>
        </w:rPr>
        <w:t>Latham &amp; Watkins LLP</w:t>
      </w:r>
    </w:p>
    <w:p>
      <w:pPr>
        <w:ind w:left="2344"/>
        <w:spacing w:after="0" w:line="230" w:lineRule="auto"/>
        <w:rPr>
          <w:sz w:val="20"/>
          <w:szCs w:val="20"/>
          <w:color w:val="auto"/>
        </w:rPr>
      </w:pPr>
      <w:r>
        <w:rPr>
          <w:rFonts w:ascii="Arial" w:cs="Arial" w:eastAsia="Arial" w:hAnsi="Arial"/>
          <w:sz w:val="22"/>
          <w:szCs w:val="22"/>
          <w:color w:val="auto"/>
        </w:rPr>
        <w:t>140 Scott Drive</w:t>
      </w:r>
    </w:p>
    <w:p>
      <w:pPr>
        <w:ind w:left="2344"/>
        <w:spacing w:after="0" w:line="231" w:lineRule="auto"/>
        <w:rPr>
          <w:sz w:val="20"/>
          <w:szCs w:val="20"/>
          <w:color w:val="auto"/>
        </w:rPr>
      </w:pPr>
      <w:r>
        <w:rPr>
          <w:rFonts w:ascii="Arial" w:cs="Arial" w:eastAsia="Arial" w:hAnsi="Arial"/>
          <w:sz w:val="22"/>
          <w:szCs w:val="22"/>
          <w:color w:val="auto"/>
        </w:rPr>
        <w:t>Menlo Park, CA 94025</w:t>
      </w:r>
    </w:p>
    <w:p>
      <w:pPr>
        <w:ind w:left="2344"/>
        <w:spacing w:after="0" w:line="230" w:lineRule="auto"/>
        <w:rPr>
          <w:sz w:val="20"/>
          <w:szCs w:val="20"/>
          <w:color w:val="auto"/>
        </w:rPr>
      </w:pPr>
      <w:r>
        <w:rPr>
          <w:rFonts w:ascii="Arial" w:cs="Arial" w:eastAsia="Arial" w:hAnsi="Arial"/>
          <w:sz w:val="22"/>
          <w:szCs w:val="22"/>
          <w:color w:val="auto"/>
        </w:rPr>
        <w:t>Attention: Tony Richmond</w:t>
      </w:r>
    </w:p>
    <w:p>
      <w:pPr>
        <w:ind w:left="2344"/>
        <w:spacing w:after="0" w:line="231" w:lineRule="auto"/>
        <w:rPr>
          <w:sz w:val="20"/>
          <w:szCs w:val="20"/>
          <w:color w:val="auto"/>
        </w:rPr>
      </w:pPr>
      <w:r>
        <w:rPr>
          <w:rFonts w:ascii="Arial" w:cs="Arial" w:eastAsia="Arial" w:hAnsi="Arial"/>
          <w:sz w:val="22"/>
          <w:szCs w:val="22"/>
          <w:color w:val="auto"/>
        </w:rPr>
        <w:t>Facsimile: ###</w:t>
      </w:r>
    </w:p>
    <w:p>
      <w:pPr>
        <w:ind w:left="2344"/>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If to Treasury:</w:t>
      </w:r>
    </w:p>
    <w:p>
      <w:pPr>
        <w:spacing w:after="0" w:line="206"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United States Department of the Treasury</w:t>
      </w:r>
    </w:p>
    <w:p>
      <w:pPr>
        <w:ind w:left="2344"/>
        <w:spacing w:after="0" w:line="238" w:lineRule="auto"/>
        <w:rPr>
          <w:sz w:val="20"/>
          <w:szCs w:val="20"/>
          <w:color w:val="auto"/>
        </w:rPr>
      </w:pPr>
      <w:r>
        <w:rPr>
          <w:rFonts w:ascii="Arial" w:cs="Arial" w:eastAsia="Arial" w:hAnsi="Arial"/>
          <w:sz w:val="22"/>
          <w:szCs w:val="22"/>
          <w:color w:val="auto"/>
        </w:rPr>
        <w:t>1500 Pennsylvania Avenue, NW, Room 2312</w:t>
      </w:r>
    </w:p>
    <w:p>
      <w:pPr>
        <w:ind w:left="2344"/>
        <w:spacing w:after="0" w:line="230" w:lineRule="auto"/>
        <w:rPr>
          <w:sz w:val="20"/>
          <w:szCs w:val="20"/>
          <w:color w:val="auto"/>
        </w:rPr>
      </w:pPr>
      <w:r>
        <w:rPr>
          <w:rFonts w:ascii="Arial" w:cs="Arial" w:eastAsia="Arial" w:hAnsi="Arial"/>
          <w:sz w:val="22"/>
          <w:szCs w:val="22"/>
          <w:color w:val="auto"/>
        </w:rPr>
        <w:t>Washington, D.C. 20220</w:t>
      </w:r>
    </w:p>
    <w:p>
      <w:pPr>
        <w:spacing w:after="0" w:line="1"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Attention: Assistant General Counsel (Banking and Finance)</w:t>
      </w:r>
    </w:p>
    <w:p>
      <w:pPr>
        <w:spacing w:after="0" w:line="188"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6" w:lineRule="exact"/>
        <w:rPr>
          <w:sz w:val="20"/>
          <w:szCs w:val="20"/>
          <w:color w:val="auto"/>
        </w:rPr>
      </w:pPr>
    </w:p>
    <w:p>
      <w:pPr>
        <w:jc w:val="both"/>
        <w:ind w:left="-656" w:firstLine="656"/>
        <w:spacing w:after="0" w:line="287" w:lineRule="auto"/>
        <w:tabs>
          <w:tab w:leader="none" w:pos="637"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2" w:lineRule="exact"/>
        <w:rPr>
          <w:rFonts w:ascii="Arial" w:cs="Arial" w:eastAsia="Arial" w:hAnsi="Arial"/>
          <w:sz w:val="19"/>
          <w:szCs w:val="19"/>
          <w:color w:val="auto"/>
        </w:rPr>
      </w:pPr>
    </w:p>
    <w:p>
      <w:pPr>
        <w:ind w:left="644" w:hanging="644"/>
        <w:spacing w:after="0"/>
        <w:tabs>
          <w:tab w:leader="none" w:pos="6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Laws</w:t>
      </w:r>
      <w:r>
        <w:rPr>
          <w:rFonts w:ascii="Arial" w:cs="Arial" w:eastAsia="Arial" w:hAnsi="Arial"/>
          <w:sz w:val="22"/>
          <w:szCs w:val="22"/>
          <w:color w:val="auto"/>
        </w:rPr>
        <w:t>” has the meaning ascribed thereto in the Promissory Note.</w:t>
      </w:r>
    </w:p>
    <w:p>
      <w:pPr>
        <w:spacing w:after="0" w:line="206" w:lineRule="exact"/>
        <w:rPr>
          <w:rFonts w:ascii="Arial" w:cs="Arial" w:eastAsia="Arial" w:hAnsi="Arial"/>
          <w:sz w:val="22"/>
          <w:szCs w:val="22"/>
          <w:color w:val="auto"/>
        </w:rPr>
      </w:pPr>
    </w:p>
    <w:p>
      <w:pPr>
        <w:ind w:left="644" w:hanging="644"/>
        <w:spacing w:after="0"/>
        <w:tabs>
          <w:tab w:leader="none" w:pos="6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Lien</w:t>
      </w:r>
      <w:r>
        <w:rPr>
          <w:rFonts w:ascii="Arial" w:cs="Arial" w:eastAsia="Arial" w:hAnsi="Arial"/>
          <w:sz w:val="22"/>
          <w:szCs w:val="22"/>
          <w:color w:val="auto"/>
        </w:rPr>
        <w:t>” has the meaning ascribed thereto in the Promissory Note.</w:t>
      </w:r>
    </w:p>
    <w:p>
      <w:pPr>
        <w:spacing w:after="0" w:line="206" w:lineRule="exact"/>
        <w:rPr>
          <w:rFonts w:ascii="Arial" w:cs="Arial" w:eastAsia="Arial" w:hAnsi="Arial"/>
          <w:sz w:val="22"/>
          <w:szCs w:val="22"/>
          <w:color w:val="auto"/>
        </w:rPr>
      </w:pPr>
    </w:p>
    <w:p>
      <w:pPr>
        <w:ind w:left="-656" w:firstLine="656"/>
        <w:spacing w:after="0" w:line="236" w:lineRule="auto"/>
        <w:tabs>
          <w:tab w:leader="none" w:pos="635"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a material adverse change in, or a material adverse effect on, the operations, business, properties, liabilities (actual or contingent), condition (financial or otherwise) or prospects of the Company and its Subsidiaries taken as a whole; or (b) a material adverse effect on (i) the ability of the Company to perform its obligations under this Agreement or any Warrant or (ii) the legality, validity, binding effect or enforceability against the Company of this Agreement or any Warrant to which it is a party.</w:t>
      </w:r>
    </w:p>
    <w:p>
      <w:pPr>
        <w:spacing w:after="0" w:line="187" w:lineRule="exact"/>
        <w:rPr>
          <w:rFonts w:ascii="Arial" w:cs="Arial" w:eastAsia="Arial" w:hAnsi="Arial"/>
          <w:sz w:val="22"/>
          <w:szCs w:val="22"/>
          <w:color w:val="auto"/>
        </w:rPr>
      </w:pPr>
    </w:p>
    <w:p>
      <w:pPr>
        <w:ind w:left="644" w:hanging="644"/>
        <w:spacing w:after="0"/>
        <w:tabs>
          <w:tab w:leader="none" w:pos="6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has the meaning ascribed thereto in the Promissory Note.</w:t>
      </w:r>
    </w:p>
    <w:p>
      <w:pPr>
        <w:spacing w:after="0" w:line="206" w:lineRule="exact"/>
        <w:rPr>
          <w:rFonts w:ascii="Arial" w:cs="Arial" w:eastAsia="Arial" w:hAnsi="Arial"/>
          <w:sz w:val="22"/>
          <w:szCs w:val="22"/>
          <w:color w:val="auto"/>
        </w:rPr>
      </w:pPr>
    </w:p>
    <w:p>
      <w:pPr>
        <w:ind w:left="644" w:hanging="644"/>
        <w:spacing w:after="0"/>
        <w:tabs>
          <w:tab w:leader="none" w:pos="6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Subsidiary</w:t>
      </w:r>
      <w:r>
        <w:rPr>
          <w:rFonts w:ascii="Arial" w:cs="Arial" w:eastAsia="Arial" w:hAnsi="Arial"/>
          <w:sz w:val="22"/>
          <w:szCs w:val="22"/>
          <w:color w:val="auto"/>
        </w:rPr>
        <w:t>” has the meaning ascribed thereto in the Promissory Note.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4864" w:hanging="130"/>
        <w:spacing w:after="0"/>
        <w:tabs>
          <w:tab w:leader="none" w:pos="4864" w:val="left"/>
        </w:tabs>
        <w:numPr>
          <w:ilvl w:val="1"/>
          <w:numId w:val="84"/>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0444"/>
          </w:cols>
          <w:pgMar w:left="976" w:top="1414" w:right="479" w:bottom="1440" w:gutter="0" w:footer="0" w:header="0"/>
        </w:sectPr>
      </w:pPr>
    </w:p>
    <w:bookmarkStart w:id="138" w:name="page139"/>
    <w:bookmarkEnd w:id="138"/>
    <w:p>
      <w:pPr>
        <w:ind w:firstLine="648"/>
        <w:spacing w:after="0" w:line="297"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Assignment</w:t>
      </w:r>
      <w:r>
        <w:rPr>
          <w:rFonts w:ascii="Arial" w:cs="Arial" w:eastAsia="Arial" w:hAnsi="Arial"/>
          <w:sz w:val="19"/>
          <w:szCs w:val="19"/>
          <w:color w:val="auto"/>
        </w:rPr>
        <w:t>. Neither this Agreement nor any right, remedy, obligation nor liability arising hereunder or by reason hereof shall be assignable by any party hereto without the prior written consent of the other party, and any attempt to assign any right, remedy, obligation or liability hereunder without such consent shall be void, except (a) an assignment, in the case of a Business Combination where such party is not the surviving entity, or a sale of substantially all of its assets, to the entity which is the survivor of such Business Combination or the purchaser in such sale and (b) as provided in Section 4.5.</w:t>
      </w:r>
    </w:p>
    <w:p>
      <w:pPr>
        <w:spacing w:after="0" w:line="147"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or the Warrants, or the application thereof to any person or circumstance, is determined by a court of competent jurisdiction to be invalid, void or unenforceable, the remaining provisions hereof, or the application of such provision to persons or circumstances other than those as to which it has been held invalid or unenforceable, will remain in full force and effect and shall in no way be affected, impaired or invalidated thereby, so long as the economic or legal substance of the transactions contemplated hereby is not affected in any manner materially adverse to any party. Upon such determination, the parties shall negotiate in good faith in an effort to agree upon a suitable and equitable substitute provision to effect the original intent of the parties.</w:t>
      </w:r>
    </w:p>
    <w:p>
      <w:pPr>
        <w:spacing w:after="0" w:line="180"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Nothing contained in this Agreement, expressed or implied, is intended to confer upon any person or entity other than the Company and Treasury any benefit, right or remedies, except that the provisions of Section 4.5 shall inure to the benefit of the persons referred to in that Section.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 *</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180"/>
          </w:cols>
          <w:pgMar w:left="320" w:top="1427" w:right="399" w:bottom="1440" w:gutter="0" w:footer="0" w:header="0"/>
        </w:sectPr>
      </w:pPr>
    </w:p>
    <w:bookmarkStart w:id="139" w:name="page140"/>
    <w:bookmarkEnd w:id="139"/>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above written.</w:t>
      </w:r>
    </w:p>
    <w:p>
      <w:pPr>
        <w:spacing w:after="0" w:line="3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UNITED STATES DEPARTMENT OF THE</w:t>
      </w:r>
    </w:p>
    <w:p>
      <w:pPr>
        <w:ind w:left="3900"/>
        <w:spacing w:after="0"/>
        <w:rPr>
          <w:sz w:val="20"/>
          <w:szCs w:val="20"/>
          <w:color w:val="auto"/>
        </w:rPr>
      </w:pPr>
      <w:r>
        <w:rPr>
          <w:rFonts w:ascii="Arial" w:cs="Arial" w:eastAsia="Arial" w:hAnsi="Arial"/>
          <w:sz w:val="22"/>
          <w:szCs w:val="22"/>
          <w:color w:val="auto"/>
        </w:rPr>
        <w:t>TREASURY</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David A. Lebryk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2344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David A. Lebryk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Fiscal Assistant Secretary</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Meghan B. Montana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4325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32560"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 and Treasurer</w:t>
      </w:r>
    </w:p>
    <w:p>
      <w:pPr>
        <w:sectPr>
          <w:pgSz w:w="11900" w:h="16838" w:orient="portrait"/>
          <w:cols w:equalWidth="0" w:num="1">
            <w:col w:w="11240"/>
          </w:cols>
          <w:pgMar w:left="320" w:top="1427"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ANNEX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OPINION</w:t>
      </w:r>
    </w:p>
    <w:p>
      <w:pPr>
        <w:spacing w:after="0" w:line="200" w:lineRule="exact"/>
        <w:rPr>
          <w:sz w:val="20"/>
          <w:szCs w:val="20"/>
          <w:color w:val="auto"/>
        </w:rPr>
      </w:pPr>
    </w:p>
    <w:p>
      <w:pPr>
        <w:spacing w:after="0" w:line="242" w:lineRule="exact"/>
        <w:rPr>
          <w:sz w:val="20"/>
          <w:szCs w:val="20"/>
          <w:color w:val="auto"/>
        </w:rPr>
      </w:pPr>
    </w:p>
    <w:p>
      <w:pPr>
        <w:ind w:right="120" w:firstLine="656"/>
        <w:spacing w:after="0" w:line="263" w:lineRule="auto"/>
        <w:tabs>
          <w:tab w:leader="none" w:pos="1293"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Company has been duly incorporated and is validly existing as a corporation in good standing under the laws of the state of its incorporation.</w:t>
      </w:r>
    </w:p>
    <w:p>
      <w:pPr>
        <w:spacing w:after="0" w:line="174" w:lineRule="exact"/>
        <w:rPr>
          <w:rFonts w:ascii="Arial" w:cs="Arial" w:eastAsia="Arial" w:hAnsi="Arial"/>
          <w:sz w:val="22"/>
          <w:szCs w:val="22"/>
          <w:color w:val="auto"/>
        </w:rPr>
      </w:pPr>
    </w:p>
    <w:p>
      <w:pPr>
        <w:ind w:right="20" w:firstLine="656"/>
        <w:spacing w:after="0" w:line="248" w:lineRule="auto"/>
        <w:tabs>
          <w:tab w:leader="none" w:pos="1291" w:val="left"/>
        </w:tabs>
        <w:numPr>
          <w:ilvl w:val="0"/>
          <w:numId w:val="85"/>
        </w:numPr>
        <w:rPr>
          <w:rFonts w:ascii="Arial" w:cs="Arial" w:eastAsia="Arial" w:hAnsi="Arial"/>
          <w:sz w:val="22"/>
          <w:szCs w:val="22"/>
          <w:color w:val="auto"/>
        </w:rPr>
      </w:pPr>
      <w:r>
        <w:rPr>
          <w:rFonts w:ascii="Arial" w:cs="Arial" w:eastAsia="Arial" w:hAnsi="Arial"/>
          <w:sz w:val="22"/>
          <w:szCs w:val="22"/>
          <w:color w:val="auto"/>
        </w:rPr>
        <w:t>Each of the Warrants has been duly authorized and, when executed and delivered as contemplated by the Agreement, will constitute a valid and legally binding obligation of the Company enforceable against the Company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w:t>
      </w:r>
    </w:p>
    <w:p>
      <w:pPr>
        <w:spacing w:after="0" w:line="191" w:lineRule="exact"/>
        <w:rPr>
          <w:rFonts w:ascii="Arial" w:cs="Arial" w:eastAsia="Arial" w:hAnsi="Arial"/>
          <w:sz w:val="22"/>
          <w:szCs w:val="22"/>
          <w:color w:val="auto"/>
        </w:rPr>
      </w:pPr>
    </w:p>
    <w:p>
      <w:pPr>
        <w:jc w:val="both"/>
        <w:ind w:right="200" w:firstLine="656"/>
        <w:spacing w:after="0" w:line="253" w:lineRule="auto"/>
        <w:tabs>
          <w:tab w:leader="none" w:pos="1293"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shares of Common Stock issuable upon exercise of the Warrants have been duly authorized and reserved for issuance upon exercise of the Warrants and when so issued in accordance with the terms of the Warrants will be validly issued, fully paid and non-assessable.</w:t>
      </w:r>
    </w:p>
    <w:p>
      <w:pPr>
        <w:spacing w:after="0" w:line="185" w:lineRule="exact"/>
        <w:rPr>
          <w:rFonts w:ascii="Arial" w:cs="Arial" w:eastAsia="Arial" w:hAnsi="Arial"/>
          <w:sz w:val="22"/>
          <w:szCs w:val="22"/>
          <w:color w:val="auto"/>
        </w:rPr>
      </w:pPr>
    </w:p>
    <w:p>
      <w:pPr>
        <w:ind w:right="220" w:firstLine="656"/>
        <w:spacing w:after="0" w:line="343" w:lineRule="auto"/>
        <w:tabs>
          <w:tab w:leader="none" w:pos="1291"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Company has the corporate power and authority to execute and deliver the Agreement and the Warrants and to carry out its obligations thereunder (which includes the issuance of the Warrants and Warrant Shares).</w:t>
      </w:r>
    </w:p>
    <w:p>
      <w:pPr>
        <w:spacing w:after="0" w:line="104" w:lineRule="exact"/>
        <w:rPr>
          <w:rFonts w:ascii="Arial" w:cs="Arial" w:eastAsia="Arial" w:hAnsi="Arial"/>
          <w:sz w:val="19"/>
          <w:szCs w:val="19"/>
          <w:color w:val="auto"/>
        </w:rPr>
      </w:pPr>
    </w:p>
    <w:p>
      <w:pPr>
        <w:ind w:right="220" w:firstLine="656"/>
        <w:spacing w:after="0" w:line="312" w:lineRule="auto"/>
        <w:tabs>
          <w:tab w:leader="none" w:pos="1293"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the Agreement and the Warrants and the consummation of the transactions contemplated thereby have been duly authorized by all necessary corporate action on the part of the Company and its stockholders, and no further approval or authorization is required on the part of the Company.</w:t>
      </w:r>
    </w:p>
    <w:p>
      <w:pPr>
        <w:spacing w:after="0" w:line="133" w:lineRule="exact"/>
        <w:rPr>
          <w:rFonts w:ascii="Arial" w:cs="Arial" w:eastAsia="Arial" w:hAnsi="Arial"/>
          <w:sz w:val="19"/>
          <w:szCs w:val="19"/>
          <w:color w:val="auto"/>
        </w:rPr>
      </w:pPr>
    </w:p>
    <w:p>
      <w:pPr>
        <w:ind w:right="100" w:firstLine="656"/>
        <w:spacing w:after="0" w:line="297" w:lineRule="auto"/>
        <w:tabs>
          <w:tab w:leader="none" w:pos="1296"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Agreement is a valid and binding obligation of the Company enforceable against the Company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such counsel need express no opinion with respect to Section 4.5(g) or the severability provisions of the Agreement insofar as Section 4.5(g) is concerned.</w:t>
      </w:r>
    </w:p>
    <w:p>
      <w:pPr>
        <w:spacing w:after="0" w:line="146" w:lineRule="exact"/>
        <w:rPr>
          <w:rFonts w:ascii="Arial" w:cs="Arial" w:eastAsia="Arial" w:hAnsi="Arial"/>
          <w:sz w:val="19"/>
          <w:szCs w:val="19"/>
          <w:color w:val="auto"/>
        </w:rPr>
      </w:pPr>
    </w:p>
    <w:p>
      <w:pPr>
        <w:ind w:right="40" w:firstLine="656"/>
        <w:spacing w:after="0" w:line="312" w:lineRule="auto"/>
        <w:tabs>
          <w:tab w:leader="none" w:pos="1291" w:val="left"/>
        </w:tabs>
        <w:numPr>
          <w:ilvl w:val="0"/>
          <w:numId w:val="85"/>
        </w:numPr>
        <w:rPr>
          <w:rFonts w:ascii="Arial" w:cs="Arial" w:eastAsia="Arial" w:hAnsi="Arial"/>
          <w:sz w:val="19"/>
          <w:szCs w:val="19"/>
          <w:color w:val="auto"/>
        </w:rPr>
      </w:pPr>
      <w:r>
        <w:rPr>
          <w:rFonts w:ascii="Arial" w:cs="Arial" w:eastAsia="Arial" w:hAnsi="Arial"/>
          <w:sz w:val="19"/>
          <w:szCs w:val="19"/>
          <w:color w:val="auto"/>
        </w:rPr>
        <w:t>No registration of the Warrant and the Common Stock issuable upon exercise of the Warrant under the U.S. Securities Act of 1933, as amended, is required for the offer and sale of the Warrant or the Common Stock issuable upon exercise of the Warrant by the Company to the Holder pursuant to and in the manner contemplated by this Agreement.</w:t>
      </w:r>
    </w:p>
    <w:p>
      <w:pPr>
        <w:spacing w:after="0" w:line="133" w:lineRule="exact"/>
        <w:rPr>
          <w:rFonts w:ascii="Arial" w:cs="Arial" w:eastAsia="Arial" w:hAnsi="Arial"/>
          <w:sz w:val="19"/>
          <w:szCs w:val="19"/>
          <w:color w:val="auto"/>
        </w:rPr>
      </w:pPr>
    </w:p>
    <w:p>
      <w:pPr>
        <w:ind w:right="320" w:firstLine="656"/>
        <w:spacing w:after="0" w:line="263" w:lineRule="auto"/>
        <w:tabs>
          <w:tab w:leader="none" w:pos="129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Company is not required to be registered as an investment company under the Investment Company Act of 1940, as amended.</w:t>
      </w:r>
    </w:p>
    <w:p>
      <w:pPr>
        <w:sectPr>
          <w:pgSz w:w="11900" w:h="16838" w:orient="portrait"/>
          <w:cols w:equalWidth="0" w:num="1">
            <w:col w:w="11240"/>
          </w:cols>
          <w:pgMar w:left="320" w:top="14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ANNEX B</w:t>
      </w:r>
    </w:p>
    <w:p>
      <w:pPr>
        <w:spacing w:after="0" w:line="220"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FORM OF WARRANT</w:t>
      </w:r>
    </w:p>
    <w:p>
      <w:pPr>
        <w:spacing w:after="0" w:line="200" w:lineRule="exact"/>
        <w:rPr>
          <w:sz w:val="20"/>
          <w:szCs w:val="20"/>
          <w:color w:val="auto"/>
        </w:rPr>
      </w:pPr>
    </w:p>
    <w:p>
      <w:pPr>
        <w:spacing w:after="0" w:line="24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10120"/>
          </w:cols>
          <w:pgMar w:left="1440" w:top="1421" w:right="3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2"/>
          <w:szCs w:val="22"/>
          <w:b w:val="1"/>
          <w:bCs w:val="1"/>
          <w:color w:val="auto"/>
        </w:rPr>
        <w:t>FORM OF WARRANT TO PURCHASE COMMON STOCK</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AND SUCH LAWS.</w:t>
      </w:r>
    </w:p>
    <w:p>
      <w:pPr>
        <w:spacing w:after="0" w:line="397"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WARRANT</w:t>
      </w:r>
    </w:p>
    <w:p>
      <w:pPr>
        <w:spacing w:after="0" w:line="1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to purchase</w:t>
      </w:r>
    </w:p>
    <w:p>
      <w:pPr>
        <w:spacing w:after="0" w:line="209"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27940</wp:posOffset>
            </wp:positionV>
            <wp:extent cx="22288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51"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Shares of Common Stock</w:t>
      </w:r>
    </w:p>
    <w:p>
      <w:pPr>
        <w:spacing w:after="0" w:line="200" w:lineRule="exact"/>
        <w:rPr>
          <w:sz w:val="20"/>
          <w:szCs w:val="20"/>
          <w:color w:val="auto"/>
        </w:rPr>
      </w:pPr>
    </w:p>
    <w:p>
      <w:pPr>
        <w:spacing w:after="0" w:line="249"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of American Airlines Group Inc.</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Issue Date: [ </w:t>
      </w:r>
      <w:r>
        <w:rPr>
          <w:rFonts w:ascii="Arial" w:cs="Arial" w:eastAsia="Arial" w:hAnsi="Arial"/>
          <w:sz w:val="22"/>
          <w:szCs w:val="22"/>
          <w:b w:val="1"/>
          <w:bCs w:val="1"/>
          <w:color w:val="auto"/>
        </w:rPr>
        <w:t>•</w:t>
      </w:r>
      <w:r>
        <w:rPr>
          <w:rFonts w:ascii="Arial" w:cs="Arial" w:eastAsia="Arial" w:hAnsi="Arial"/>
          <w:sz w:val="22"/>
          <w:szCs w:val="22"/>
          <w:color w:val="auto"/>
        </w:rPr>
        <w:t xml:space="preserve"> ], 2021</w:t>
      </w:r>
    </w:p>
    <w:p>
      <w:pPr>
        <w:spacing w:after="0" w:line="212"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Unless the context otherwise requires, when used herein the following terms shall have the meanings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indicated.</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means, with respect to any person, any person directly or indirectly controlling, controlled by or under common control with, such other person. For purposes of this definition, “</w:t>
      </w:r>
      <w:r>
        <w:rPr>
          <w:rFonts w:ascii="Arial" w:cs="Arial" w:eastAsia="Arial" w:hAnsi="Arial"/>
          <w:sz w:val="22"/>
          <w:szCs w:val="22"/>
          <w:u w:val="single" w:color="auto"/>
          <w:color w:val="auto"/>
        </w:rPr>
        <w:t>control</w:t>
      </w:r>
      <w:r>
        <w:rPr>
          <w:rFonts w:ascii="Arial" w:cs="Arial" w:eastAsia="Arial" w:hAnsi="Arial"/>
          <w:sz w:val="22"/>
          <w:szCs w:val="22"/>
          <w:color w:val="auto"/>
        </w:rPr>
        <w:t>” (including, with correlative meanings, the terms “</w:t>
      </w:r>
      <w:r>
        <w:rPr>
          <w:rFonts w:ascii="Arial" w:cs="Arial" w:eastAsia="Arial" w:hAnsi="Arial"/>
          <w:sz w:val="22"/>
          <w:szCs w:val="22"/>
          <w:u w:val="single" w:color="auto"/>
          <w:color w:val="auto"/>
        </w:rPr>
        <w:t>controlled by</w:t>
      </w:r>
      <w:r>
        <w:rPr>
          <w:rFonts w:ascii="Arial" w:cs="Arial" w:eastAsia="Arial" w:hAnsi="Arial"/>
          <w:sz w:val="22"/>
          <w:szCs w:val="22"/>
          <w:color w:val="auto"/>
        </w:rPr>
        <w:t>” and “</w:t>
      </w:r>
      <w:r>
        <w:rPr>
          <w:rFonts w:ascii="Arial" w:cs="Arial" w:eastAsia="Arial" w:hAnsi="Arial"/>
          <w:sz w:val="22"/>
          <w:szCs w:val="22"/>
          <w:u w:val="single" w:color="auto"/>
          <w:color w:val="auto"/>
        </w:rPr>
        <w:t>under common control with</w:t>
      </w:r>
      <w:r>
        <w:rPr>
          <w:rFonts w:ascii="Arial" w:cs="Arial" w:eastAsia="Arial" w:hAnsi="Arial"/>
          <w:sz w:val="22"/>
          <w:szCs w:val="22"/>
          <w:color w:val="auto"/>
        </w:rPr>
        <w:t>”) when used with respect to any person, means the possession, directly or indirectly, of the power to cause the direction of management and/or policies of such person, whether through the ownership of voting securities by contract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Aggregate Net Cash Settlement Amount</w:t>
      </w:r>
      <w:r>
        <w:rPr>
          <w:rFonts w:ascii="Arial" w:cs="Arial" w:eastAsia="Arial" w:hAnsi="Arial"/>
          <w:sz w:val="22"/>
          <w:szCs w:val="22"/>
          <w:color w:val="auto"/>
        </w:rPr>
        <w:t>” has the meaning ascribed thereto in Section 2(i).</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Aggregate Net Share Settlement Amount</w:t>
      </w:r>
      <w:r>
        <w:rPr>
          <w:rFonts w:ascii="Arial" w:cs="Arial" w:eastAsia="Arial" w:hAnsi="Arial"/>
          <w:sz w:val="22"/>
          <w:szCs w:val="22"/>
          <w:color w:val="auto"/>
        </w:rPr>
        <w:t>” has the meaning ascribed thereto in Section 2(ii).</w:t>
      </w:r>
    </w:p>
    <w:p>
      <w:pPr>
        <w:spacing w:after="0" w:line="206" w:lineRule="exact"/>
        <w:rPr>
          <w:sz w:val="20"/>
          <w:szCs w:val="20"/>
          <w:color w:val="auto"/>
        </w:rPr>
      </w:pPr>
    </w:p>
    <w:p>
      <w:pPr>
        <w:ind w:right="100"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Appraisal Procedure</w:t>
      </w:r>
      <w:r>
        <w:rPr>
          <w:rFonts w:ascii="Arial" w:cs="Arial" w:eastAsia="Arial" w:hAnsi="Arial"/>
          <w:sz w:val="21"/>
          <w:szCs w:val="21"/>
          <w:color w:val="auto"/>
        </w:rPr>
        <w:t>” means a procedure whereby two independent appraisers, one chosen by the Company and one by the Original Warrantholder, shall mutually agree upon the determinations then the subject of appraisal. Each party shall deliver a notice to the other appointing its appraiser within 10 days after the Appraisal Procedure is invoked. If within 30 days after appointment of the two appraisers they are unable to agree upon the amount in question, a third independent appraiser shall be chosen within 10 days thereafter by the mutual consent of such first two appraisers. The decision of the third appraiser so appointed and chosen shall be given within 30 days after the selection of such third appraiser. If three appraisers shall be appointed and the determination of one appraiser is disparate from the middle determination by more than twice the amount by which the other determination is disparate from the middle determination, then the determination of such appraiser shall be excluded, the remaining two</w:t>
      </w:r>
    </w:p>
    <w:p>
      <w:pPr>
        <w:sectPr>
          <w:pgSz w:w="11900" w:h="16838" w:orient="portrait"/>
          <w:cols w:equalWidth="0" w:num="1">
            <w:col w:w="11220"/>
          </w:cols>
          <w:pgMar w:left="320" w:top="1408" w:right="359" w:bottom="1440" w:gutter="0" w:footer="0" w:header="0"/>
        </w:sectPr>
      </w:pPr>
    </w:p>
    <w:bookmarkStart w:id="143" w:name="page144"/>
    <w:bookmarkEnd w:id="143"/>
    <w:p>
      <w:pPr>
        <w:jc w:val="both"/>
        <w:ind w:right="820"/>
        <w:spacing w:after="0" w:line="297" w:lineRule="auto"/>
        <w:rPr>
          <w:sz w:val="20"/>
          <w:szCs w:val="20"/>
          <w:color w:val="auto"/>
        </w:rPr>
      </w:pPr>
      <w:r>
        <w:rPr>
          <w:rFonts w:ascii="Arial" w:cs="Arial" w:eastAsia="Arial" w:hAnsi="Arial"/>
          <w:sz w:val="19"/>
          <w:szCs w:val="19"/>
          <w:color w:val="auto"/>
        </w:rPr>
        <w:t>determinations shall be averaged and such average shall be binding and conclusive upon the Company and the Original Warrantholder; otherwise, the average of all three determinations shall be binding upon the Company and the Original Warrantholder. The costs of conducting any Appraisal Procedure shall be borne by the Company.</w:t>
      </w:r>
    </w:p>
    <w:p>
      <w:pPr>
        <w:spacing w:after="0" w:line="134"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Average Market Price</w:t>
      </w:r>
      <w:r>
        <w:rPr>
          <w:rFonts w:ascii="Arial" w:cs="Arial" w:eastAsia="Arial" w:hAnsi="Arial"/>
          <w:sz w:val="19"/>
          <w:szCs w:val="19"/>
          <w:color w:val="auto"/>
        </w:rPr>
        <w:t>” means, with respect to any security, the arithmetic average of the Market Price of such security for the 15 consecutive trading day period ending on and including the trading day immediately preceding the determination date.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Board of Directors</w:t>
      </w:r>
      <w:r>
        <w:rPr>
          <w:rFonts w:ascii="Arial" w:cs="Arial" w:eastAsia="Arial" w:hAnsi="Arial"/>
          <w:sz w:val="19"/>
          <w:szCs w:val="19"/>
          <w:color w:val="auto"/>
        </w:rPr>
        <w:t>” means the board of directors of the Company, including any duly authorized committee thereof.</w:t>
      </w:r>
    </w:p>
    <w:p>
      <w:pPr>
        <w:spacing w:after="0" w:line="241"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Combination</w:t>
      </w:r>
      <w:r>
        <w:rPr>
          <w:rFonts w:ascii="Arial" w:cs="Arial" w:eastAsia="Arial" w:hAnsi="Arial"/>
          <w:sz w:val="22"/>
          <w:szCs w:val="22"/>
          <w:color w:val="auto"/>
        </w:rPr>
        <w:t>” means a merger, consolidation, statutory share exchange or similar transaction that requires the approval of the Company’s stockholders.</w:t>
      </w:r>
    </w:p>
    <w:p>
      <w:pPr>
        <w:spacing w:after="0" w:line="175"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xml:space="preserve">” means any day except Saturday, Sunday and any day on which banking institutions in the State of New York generally are authorized or required by law or other governmental actions to close;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banks shall be deemed to be generally open for business in the event of a “shelter in place” or similar closure of physical branch locations at the direction of any governmental entity if such banks’ electronic funds transfer system (including wire transfers) are open for use by customers on such day.</w:t>
      </w:r>
    </w:p>
    <w:p>
      <w:pPr>
        <w:spacing w:after="0" w:line="187" w:lineRule="exact"/>
        <w:rPr>
          <w:sz w:val="20"/>
          <w:szCs w:val="20"/>
          <w:color w:val="auto"/>
        </w:rPr>
      </w:pPr>
    </w:p>
    <w:p>
      <w:pPr>
        <w:ind w:right="3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Stock</w:t>
      </w:r>
      <w:r>
        <w:rPr>
          <w:rFonts w:ascii="Arial" w:cs="Arial" w:eastAsia="Arial" w:hAnsi="Arial"/>
          <w:sz w:val="19"/>
          <w:szCs w:val="19"/>
          <w:color w:val="auto"/>
        </w:rPr>
        <w:t>” means (A) with respect to any Person that is a corporation or company, any and all shares, interests, participations or other equivalents (however designated) of capital or capital stock of such Person and (B) with respect to any Person that is not a corporation or company, any and all partnership or other equity interests of such Person.</w:t>
      </w:r>
    </w:p>
    <w:p>
      <w:pPr>
        <w:spacing w:after="0" w:line="134"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Charter</w:t>
      </w:r>
      <w:r>
        <w:rPr>
          <w:rFonts w:ascii="Arial" w:cs="Arial" w:eastAsia="Arial" w:hAnsi="Arial"/>
          <w:sz w:val="22"/>
          <w:szCs w:val="22"/>
          <w:color w:val="auto"/>
        </w:rPr>
        <w:t>” means, with respect to any Person, its certificate or articles of incorporation, articles of association, or similar organizational document.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Common Stock</w:t>
      </w:r>
      <w:r>
        <w:rPr>
          <w:rFonts w:ascii="Arial" w:cs="Arial" w:eastAsia="Arial" w:hAnsi="Arial"/>
          <w:sz w:val="19"/>
          <w:szCs w:val="19"/>
          <w:color w:val="auto"/>
        </w:rPr>
        <w:t>” means common stock of the Company, par value $0.01 subject to adjustment as provided in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13(E).</w:t>
      </w:r>
    </w:p>
    <w:p>
      <w:pPr>
        <w:spacing w:after="0" w:line="188"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the Person whose name, corporate or other organizational form and jurisdiction of organization is set forth in Item 1 of Schedule A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conversion</w:t>
      </w:r>
      <w:r>
        <w:rPr>
          <w:rFonts w:ascii="Arial" w:cs="Arial" w:eastAsia="Arial" w:hAnsi="Arial"/>
          <w:sz w:val="22"/>
          <w:szCs w:val="22"/>
          <w:color w:val="auto"/>
        </w:rPr>
        <w:t>” has the meaning set forth in Section 13(B).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convertible securities</w:t>
      </w:r>
      <w:r>
        <w:rPr>
          <w:rFonts w:ascii="Arial" w:cs="Arial" w:eastAsia="Arial" w:hAnsi="Arial"/>
          <w:sz w:val="22"/>
          <w:szCs w:val="22"/>
          <w:color w:val="auto"/>
        </w:rPr>
        <w:t>” has the meaning set forth in Section 13(B).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The Depositary Trust Company, its nominees and their respective successors.</w:t>
      </w:r>
    </w:p>
    <w:p>
      <w:pPr>
        <w:spacing w:after="0" w:line="206"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 or any successor statute, and the rules and regulations promulgated thereunder.</w:t>
      </w:r>
    </w:p>
    <w:p>
      <w:pPr>
        <w:spacing w:after="0" w:line="188"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Exercise Date</w:t>
      </w:r>
      <w:r>
        <w:rPr>
          <w:rFonts w:ascii="Arial" w:cs="Arial" w:eastAsia="Arial" w:hAnsi="Arial"/>
          <w:sz w:val="22"/>
          <w:szCs w:val="22"/>
          <w:color w:val="auto"/>
        </w:rPr>
        <w:t>” means each date a Notice of Exercise substantially in the form annexed hereto is delivered to the Company in accordance with Section 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40"/>
          </w:cols>
          <w:pgMar w:left="320" w:top="1414" w:right="4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Exercise Price</w:t>
      </w:r>
      <w:r>
        <w:rPr>
          <w:rFonts w:ascii="Arial" w:cs="Arial" w:eastAsia="Arial" w:hAnsi="Arial"/>
          <w:sz w:val="19"/>
          <w:szCs w:val="19"/>
          <w:color w:val="auto"/>
        </w:rPr>
        <w:t>” means the amount set forth in Item 2 of Schedule A hereto, subject to adjustment as contemplated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88" w:lineRule="exact"/>
        <w:rPr>
          <w:sz w:val="20"/>
          <w:szCs w:val="20"/>
          <w:color w:val="auto"/>
        </w:rPr>
      </w:pPr>
    </w:p>
    <w:p>
      <w:pPr>
        <w:ind w:right="20"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Fair Market Value</w:t>
      </w:r>
      <w:r>
        <w:rPr>
          <w:rFonts w:ascii="Arial" w:cs="Arial" w:eastAsia="Arial" w:hAnsi="Arial"/>
          <w:sz w:val="21"/>
          <w:szCs w:val="21"/>
          <w:color w:val="auto"/>
        </w:rPr>
        <w:t>” means, with respect to any security or other property, the fair market value of such security or other property as determined by the Board of Directors, acting in good faith in reliance on an opinion of a nationally recognized independent investment banking firm retained by the Company for this purpose. For so long as the Original Warrantholder holds this Warrant or any portion thereof, it may object in writing to the Board of Director’s calculation of fair market value within 10 days of receipt of written notice thereof. If the Original Warrantholder and the Company are unable to agree on fair market value during the 10-day period following the delivery of the Original Warrantholder’s objection, the Appraisal Procedure may be invoked by either party to determine Fair Market Value by delivering written notification thereof not later than the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after delivery of the Original Warrantholder’s objection.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Number</w:t>
      </w:r>
      <w:r>
        <w:rPr>
          <w:rFonts w:ascii="Arial" w:cs="Arial" w:eastAsia="Arial" w:hAnsi="Arial"/>
          <w:sz w:val="22"/>
          <w:szCs w:val="22"/>
          <w:color w:val="auto"/>
        </w:rPr>
        <w:t>” has the meaning set forth in Section 13(B).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“Issue Date” </w:t>
      </w:r>
      <w:r>
        <w:rPr>
          <w:rFonts w:ascii="Arial" w:cs="Arial" w:eastAsia="Arial" w:hAnsi="Arial"/>
          <w:sz w:val="22"/>
          <w:szCs w:val="22"/>
          <w:color w:val="auto"/>
        </w:rPr>
        <w:t>means the date set forth in Item 3 of Schedule A hereto.</w:t>
      </w:r>
    </w:p>
    <w:p>
      <w:pPr>
        <w:spacing w:after="0" w:line="20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Market Price</w:t>
      </w:r>
      <w:r>
        <w:rPr>
          <w:rFonts w:ascii="Arial" w:cs="Arial" w:eastAsia="Arial" w:hAnsi="Arial"/>
          <w:sz w:val="19"/>
          <w:szCs w:val="19"/>
          <w:color w:val="auto"/>
        </w:rPr>
        <w:t>” means, with respect to a particular security, on any given day, the last reported sale price regular way or, in case no such reported sale takes place on such day, the average of the last closing bid and ask prices regular way, in either case on the principal national securities exchange on which the applicable securities are listed or admitted to trading, or if not listed or admitted to trading on any national securities exchange, the average of the closing bid and ask prices as furnished by two members of the Financial Industry Regulatory Authority, Inc. selected from time to time by the Company for that purpose. “Market Price” shall be determined without reference to after hours or extended hours trading. If such security is not listed and traded in a manner that the quotations referred to above are available for the period required hereunder, the Market Price of such security shall be deemed to be (i) in the event that any portion of the Warrant is held by the Original Warrantholder, the fair market value per share of such security as determined in good faith by the Original Warrantholder or (ii) in all other circumstances, the fair market value per share of such security as determined in good faith by the Board of Directors in reliance on an opinion of a nationally recognized independent investment banking corporation retained by the Company for this purpose and certified in a resolution to the Warrantholder.</w:t>
      </w:r>
    </w:p>
    <w:p>
      <w:pPr>
        <w:spacing w:after="0" w:line="200" w:lineRule="exact"/>
        <w:rPr>
          <w:sz w:val="20"/>
          <w:szCs w:val="20"/>
          <w:color w:val="auto"/>
        </w:rPr>
      </w:pPr>
    </w:p>
    <w:p>
      <w:pPr>
        <w:spacing w:after="0" w:line="208" w:lineRule="exact"/>
        <w:rPr>
          <w:sz w:val="20"/>
          <w:szCs w:val="20"/>
          <w:color w:val="auto"/>
        </w:rPr>
      </w:pPr>
    </w:p>
    <w:p>
      <w:pPr>
        <w:ind w:right="1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Original Warrantholder</w:t>
      </w:r>
      <w:r>
        <w:rPr>
          <w:rFonts w:ascii="Arial" w:cs="Arial" w:eastAsia="Arial" w:hAnsi="Arial"/>
          <w:sz w:val="21"/>
          <w:szCs w:val="21"/>
          <w:color w:val="auto"/>
        </w:rPr>
        <w:t>” means the United States Department of the Treasury. Any actions specified to be taken by the Original Warrantholder hereunder may only be taken by such Person and not by any other Warrantholder.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Transactions</w:t>
      </w:r>
      <w:r>
        <w:rPr>
          <w:rFonts w:ascii="Arial" w:cs="Arial" w:eastAsia="Arial" w:hAnsi="Arial"/>
          <w:sz w:val="22"/>
          <w:szCs w:val="22"/>
          <w:color w:val="auto"/>
        </w:rPr>
        <w:t>” has the meaning set forth in Section 13(B).</w:t>
      </w:r>
    </w:p>
    <w:p>
      <w:pPr>
        <w:spacing w:after="0" w:line="20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 Share Net Cash Settlement Amount</w:t>
      </w:r>
      <w:r>
        <w:rPr>
          <w:rFonts w:ascii="Arial" w:cs="Arial" w:eastAsia="Arial" w:hAnsi="Arial"/>
          <w:sz w:val="22"/>
          <w:szCs w:val="22"/>
          <w:color w:val="auto"/>
        </w:rPr>
        <w:t>” means the Average Market Price of a share of Common Stock determined as of the relevant Exercise Date less the then applicable Exercise Price.</w:t>
      </w:r>
    </w:p>
    <w:p>
      <w:pPr>
        <w:spacing w:after="0" w:line="175"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 Share Net Share Settlement Amount</w:t>
      </w:r>
      <w:r>
        <w:rPr>
          <w:rFonts w:ascii="Arial" w:cs="Arial" w:eastAsia="Arial" w:hAnsi="Arial"/>
          <w:sz w:val="22"/>
          <w:szCs w:val="22"/>
          <w:color w:val="auto"/>
        </w:rPr>
        <w:t>” means the quotient of (i) the Average Market Price of a share of Common Stock determined as of the relevant Exercise Date less the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60"/>
          </w:cols>
          <w:pgMar w:left="320" w:top="1414" w:right="419" w:bottom="1440" w:gutter="0" w:footer="0" w:header="0"/>
        </w:sectPr>
      </w:pPr>
    </w:p>
    <w:bookmarkStart w:id="145" w:name="page146"/>
    <w:bookmarkEnd w:id="145"/>
    <w:p>
      <w:pPr>
        <w:ind w:right="400"/>
        <w:spacing w:after="0" w:line="250" w:lineRule="auto"/>
        <w:rPr>
          <w:sz w:val="20"/>
          <w:szCs w:val="20"/>
          <w:color w:val="auto"/>
        </w:rPr>
      </w:pPr>
      <w:r>
        <w:rPr>
          <w:rFonts w:ascii="Arial" w:cs="Arial" w:eastAsia="Arial" w:hAnsi="Arial"/>
          <w:sz w:val="22"/>
          <w:szCs w:val="22"/>
          <w:color w:val="auto"/>
        </w:rPr>
        <w:t xml:space="preserve">applicable Exercise Price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Average Market Price of a share of Common Stock determined as of the relevant Exercise Date.</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has the meaning given to it in Section 3(a)(9) of the Exchange Act and as used in Sections 13(d)(3) and 14(d)(2) of the Exchange Act.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 Share Fair Market Value</w:t>
      </w:r>
      <w:r>
        <w:rPr>
          <w:rFonts w:ascii="Arial" w:cs="Arial" w:eastAsia="Arial" w:hAnsi="Arial"/>
          <w:sz w:val="22"/>
          <w:szCs w:val="22"/>
          <w:color w:val="auto"/>
        </w:rPr>
        <w:t>” has the meaning set forth in Section 13(C).</w:t>
      </w:r>
    </w:p>
    <w:p>
      <w:pPr>
        <w:spacing w:after="0" w:line="206"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 Rata Repurchases</w:t>
      </w:r>
      <w:r>
        <w:rPr>
          <w:rFonts w:ascii="Arial" w:cs="Arial" w:eastAsia="Arial" w:hAnsi="Arial"/>
          <w:sz w:val="19"/>
          <w:szCs w:val="19"/>
          <w:color w:val="auto"/>
        </w:rPr>
        <w:t>” means any purchase of shares of Common Stock by the Company or any Affiliate thereof pursuant to (A) any tender offer or exchange offer subject to Section 13(e) or 14(e) of the Exchange Act or Regulation 14E promulgated thereunder or (B) any other offer available to substantially all holders of Common Stock, in the case of both (A) or (B), whether for cash, shares of Capital Stock of the Company, other securities of the Company, evidences of indebtedness of the Company or any other Person or any other property (including, without limitation, shares of Capital Stock, other securities or evidences of indebtedness of a subsidiary), or any combination thereof, effected while this Warrant is outstanding. The “</w:t>
      </w:r>
      <w:r>
        <w:rPr>
          <w:rFonts w:ascii="Arial" w:cs="Arial" w:eastAsia="Arial" w:hAnsi="Arial"/>
          <w:sz w:val="19"/>
          <w:szCs w:val="19"/>
          <w:i w:val="1"/>
          <w:iCs w:val="1"/>
          <w:color w:val="auto"/>
        </w:rPr>
        <w:t>Effective</w:t>
      </w:r>
      <w:r>
        <w:rPr>
          <w:rFonts w:ascii="Arial" w:cs="Arial" w:eastAsia="Arial" w:hAnsi="Arial"/>
          <w:sz w:val="19"/>
          <w:szCs w:val="19"/>
          <w:color w:val="auto"/>
        </w:rPr>
        <w:t xml:space="preserve"> </w:t>
      </w:r>
      <w:r>
        <w:rPr>
          <w:rFonts w:ascii="Arial" w:cs="Arial" w:eastAsia="Arial" w:hAnsi="Arial"/>
          <w:sz w:val="19"/>
          <w:szCs w:val="19"/>
          <w:i w:val="1"/>
          <w:iCs w:val="1"/>
          <w:color w:val="auto"/>
        </w:rPr>
        <w:t>Date</w:t>
      </w:r>
      <w:r>
        <w:rPr>
          <w:rFonts w:ascii="Arial" w:cs="Arial" w:eastAsia="Arial" w:hAnsi="Arial"/>
          <w:sz w:val="19"/>
          <w:szCs w:val="19"/>
          <w:color w:val="auto"/>
        </w:rPr>
        <w:t>” of a Pro Rata Repurchase shall mean the date of acceptance of shares for purchase or exchange by the Company under any</w:t>
      </w:r>
      <w:r>
        <w:rPr>
          <w:rFonts w:ascii="Arial" w:cs="Arial" w:eastAsia="Arial" w:hAnsi="Arial"/>
          <w:sz w:val="19"/>
          <w:szCs w:val="19"/>
          <w:i w:val="1"/>
          <w:iCs w:val="1"/>
          <w:color w:val="auto"/>
        </w:rPr>
        <w:t xml:space="preserve"> </w:t>
      </w:r>
      <w:r>
        <w:rPr>
          <w:rFonts w:ascii="Arial" w:cs="Arial" w:eastAsia="Arial" w:hAnsi="Arial"/>
          <w:sz w:val="19"/>
          <w:szCs w:val="19"/>
          <w:color w:val="auto"/>
        </w:rPr>
        <w:t>tender or exchange offer which is a Pro Rata Repurchase or the date of purchase with respect to any Pro Rata Repurchase that is not a tender or exchange offer.</w:t>
      </w:r>
    </w:p>
    <w:p>
      <w:pPr>
        <w:spacing w:after="0" w:line="158" w:lineRule="exact"/>
        <w:rPr>
          <w:sz w:val="20"/>
          <w:szCs w:val="20"/>
          <w:color w:val="auto"/>
        </w:rPr>
      </w:pPr>
    </w:p>
    <w:p>
      <w:pPr>
        <w:ind w:right="14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Regulatory Approvals</w:t>
      </w:r>
      <w:r>
        <w:rPr>
          <w:rFonts w:ascii="Arial" w:cs="Arial" w:eastAsia="Arial" w:hAnsi="Arial"/>
          <w:sz w:val="19"/>
          <w:szCs w:val="19"/>
          <w:color w:val="auto"/>
        </w:rPr>
        <w:t>” with respect to the Warrantholder, means, to the extent applicable and required to permit the Warrantholder to exercise this Warrant for shares of Common Stock and to own such Common Stock without the Warrantholder being in violation of applicable law, rule or regulation, the receipt of any necessary approvals and authorizations of, filings and registrations with, notifications to, or expiration or termination of any applicable waiting period under, the Hart-Scott-Rodino Antitrust Improvements Act of 1976, as amended, and the rules and regulations thereunder.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U.S. Securities and Exchange Commission.</w:t>
      </w:r>
    </w:p>
    <w:p>
      <w:pPr>
        <w:spacing w:after="0" w:line="206"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 or any successor statute, and the rules and regulations promulgated thereunder.</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i w:val="1"/>
          <w:iCs w:val="1"/>
          <w:color w:val="auto"/>
        </w:rPr>
        <w:t xml:space="preserve">“trading day” </w:t>
      </w:r>
      <w:r>
        <w:rPr>
          <w:rFonts w:ascii="Arial" w:cs="Arial" w:eastAsia="Arial" w:hAnsi="Arial"/>
          <w:sz w:val="19"/>
          <w:szCs w:val="19"/>
          <w:color w:val="auto"/>
        </w:rPr>
        <w:t>means (A) if the shares of Common Stock are not traded on any national or regional securities exchange or</w:t>
      </w:r>
      <w:r>
        <w:rPr>
          <w:rFonts w:ascii="Arial" w:cs="Arial" w:eastAsia="Arial" w:hAnsi="Arial"/>
          <w:sz w:val="19"/>
          <w:szCs w:val="19"/>
          <w:i w:val="1"/>
          <w:iCs w:val="1"/>
          <w:color w:val="auto"/>
        </w:rPr>
        <w:t xml:space="preserve"> </w:t>
      </w:r>
      <w:r>
        <w:rPr>
          <w:rFonts w:ascii="Arial" w:cs="Arial" w:eastAsia="Arial" w:hAnsi="Arial"/>
          <w:sz w:val="19"/>
          <w:szCs w:val="19"/>
          <w:color w:val="auto"/>
        </w:rPr>
        <w:t>association or over-the-counter market, a Business Day or (B) if the shares of Common Stock are traded on any national or regional securities exchange or association or over-the-counter market, a Business Day on which such relevant exchange or quotation system is scheduled to be open for business and on which the shares of Common Stock (i) are not suspended from trading on any national or regional securities exchange or association or over-the-counter market for any period or periods aggregating one half hour or longer; and (ii) have traded at least once on the national or regional securities exchange or association or over-the-counter market that is the primary market for the trading of the shares of Common Stock.</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GAAP</w:t>
      </w:r>
      <w:r>
        <w:rPr>
          <w:rFonts w:ascii="Arial" w:cs="Arial" w:eastAsia="Arial" w:hAnsi="Arial"/>
          <w:sz w:val="22"/>
          <w:szCs w:val="22"/>
          <w:color w:val="auto"/>
        </w:rPr>
        <w:t>” means United States generally accepted accounting principles.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Warrant</w:t>
      </w:r>
      <w:r>
        <w:rPr>
          <w:rFonts w:ascii="Arial" w:cs="Arial" w:eastAsia="Arial" w:hAnsi="Arial"/>
          <w:sz w:val="22"/>
          <w:szCs w:val="22"/>
          <w:color w:val="auto"/>
        </w:rPr>
        <w:t>” means this Warrant, issued pursuant to the Warrant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14" w:right="359" w:bottom="1440" w:gutter="0" w:footer="0" w:header="0"/>
        </w:sectPr>
      </w:pPr>
    </w:p>
    <w:bookmarkStart w:id="146" w:name="page147"/>
    <w:bookmarkEnd w:id="146"/>
    <w:p>
      <w:pPr>
        <w:ind w:right="44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Warrant Agreement</w:t>
      </w:r>
      <w:r>
        <w:rPr>
          <w:rFonts w:ascii="Arial" w:cs="Arial" w:eastAsia="Arial" w:hAnsi="Arial"/>
          <w:sz w:val="21"/>
          <w:szCs w:val="21"/>
          <w:color w:val="auto"/>
        </w:rPr>
        <w:t>” means the Warrant Agreement, dated as of the date set forth in Item 4 of Schedule A hereto, as amended from time to time, between the Company and the United States Department of the Treasury.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Warrantholder</w:t>
      </w:r>
      <w:r>
        <w:rPr>
          <w:rFonts w:ascii="Arial" w:cs="Arial" w:eastAsia="Arial" w:hAnsi="Arial"/>
          <w:sz w:val="22"/>
          <w:szCs w:val="22"/>
          <w:color w:val="auto"/>
        </w:rPr>
        <w:t>” has the meaning set forth in Section 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Warrant Shares</w:t>
      </w:r>
      <w:r>
        <w:rPr>
          <w:rFonts w:ascii="Arial" w:cs="Arial" w:eastAsia="Arial" w:hAnsi="Arial"/>
          <w:sz w:val="22"/>
          <w:szCs w:val="22"/>
          <w:color w:val="auto"/>
        </w:rPr>
        <w:t>” has the meaning set forth in Section 2.</w:t>
      </w:r>
    </w:p>
    <w:p>
      <w:pPr>
        <w:spacing w:after="0" w:line="206" w:lineRule="exact"/>
        <w:rPr>
          <w:sz w:val="20"/>
          <w:szCs w:val="20"/>
          <w:color w:val="auto"/>
        </w:rPr>
      </w:pPr>
    </w:p>
    <w:p>
      <w:pPr>
        <w:ind w:firstLine="656"/>
        <w:spacing w:after="0" w:line="277" w:lineRule="auto"/>
        <w:tabs>
          <w:tab w:leader="none" w:pos="129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Number of Warrant Shares; Net Exercise</w:t>
      </w:r>
      <w:r>
        <w:rPr>
          <w:rFonts w:ascii="Arial" w:cs="Arial" w:eastAsia="Arial" w:hAnsi="Arial"/>
          <w:sz w:val="19"/>
          <w:szCs w:val="19"/>
          <w:color w:val="auto"/>
        </w:rPr>
        <w:t>. This certifies that, for value received, the United States Department of the Treasury or its permitted assigns (the “</w:t>
      </w:r>
      <w:r>
        <w:rPr>
          <w:rFonts w:ascii="Arial" w:cs="Arial" w:eastAsia="Arial" w:hAnsi="Arial"/>
          <w:sz w:val="19"/>
          <w:szCs w:val="19"/>
          <w:i w:val="1"/>
          <w:iCs w:val="1"/>
          <w:color w:val="auto"/>
        </w:rPr>
        <w:t>Warrantholder</w:t>
      </w:r>
      <w:r>
        <w:rPr>
          <w:rFonts w:ascii="Arial" w:cs="Arial" w:eastAsia="Arial" w:hAnsi="Arial"/>
          <w:sz w:val="19"/>
          <w:szCs w:val="19"/>
          <w:color w:val="auto"/>
        </w:rPr>
        <w:t>”) is entitled, upon the terms and subject to the conditions hereinafter set forth, to acquire from the Company, in whole or in part, after the receipt of all applicable Regulatory Approvals, if any, up to an aggregate of the number of fully paid and nonassessable shares of Common Stock set forth in Item 5 of Schedule A hereto. The number of shares of Common Stock (the “</w:t>
      </w:r>
      <w:r>
        <w:rPr>
          <w:rFonts w:ascii="Arial" w:cs="Arial" w:eastAsia="Arial" w:hAnsi="Arial"/>
          <w:sz w:val="19"/>
          <w:szCs w:val="19"/>
          <w:i w:val="1"/>
          <w:iCs w:val="1"/>
          <w:color w:val="auto"/>
        </w:rPr>
        <w:t>Warrant Shares</w:t>
      </w:r>
      <w:r>
        <w:rPr>
          <w:rFonts w:ascii="Arial" w:cs="Arial" w:eastAsia="Arial" w:hAnsi="Arial"/>
          <w:sz w:val="19"/>
          <w:szCs w:val="19"/>
          <w:color w:val="auto"/>
        </w:rPr>
        <w:t>”) issuable upon exercise of this Warrant and the Exercise Price are subject to adjustment as provided herein, and all references to “Common Stock,” “Warrant Shares” and “Exercise Price” herein shall be deemed to include any such adjustment or series of adjustments.</w:t>
      </w:r>
    </w:p>
    <w:p>
      <w:pPr>
        <w:spacing w:after="0" w:line="15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Upon exercise of the Warrant in accordance with Section 3 hereof, the Company shall elect to pay or deliver, as the case may be, to the exercising Warrantholder (a) cash (“</w:t>
      </w:r>
      <w:r>
        <w:rPr>
          <w:rFonts w:ascii="Arial" w:cs="Arial" w:eastAsia="Arial" w:hAnsi="Arial"/>
          <w:sz w:val="19"/>
          <w:szCs w:val="19"/>
          <w:i w:val="1"/>
          <w:iCs w:val="1"/>
          <w:color w:val="auto"/>
        </w:rPr>
        <w:t>Net Cash Settlement</w:t>
      </w:r>
      <w:r>
        <w:rPr>
          <w:rFonts w:ascii="Arial" w:cs="Arial" w:eastAsia="Arial" w:hAnsi="Arial"/>
          <w:sz w:val="19"/>
          <w:szCs w:val="19"/>
          <w:color w:val="auto"/>
        </w:rPr>
        <w:t>”) or (b) Warrant Shares together with cash, if applicable, in lieu of delivering any fractional shares in accordance with Section 5 of this Warrant (“</w:t>
      </w:r>
      <w:r>
        <w:rPr>
          <w:rFonts w:ascii="Arial" w:cs="Arial" w:eastAsia="Arial" w:hAnsi="Arial"/>
          <w:sz w:val="19"/>
          <w:szCs w:val="19"/>
          <w:i w:val="1"/>
          <w:iCs w:val="1"/>
          <w:color w:val="auto"/>
        </w:rPr>
        <w:t>Net Share Settlement</w:t>
      </w:r>
      <w:r>
        <w:rPr>
          <w:rFonts w:ascii="Arial" w:cs="Arial" w:eastAsia="Arial" w:hAnsi="Arial"/>
          <w:sz w:val="19"/>
          <w:szCs w:val="19"/>
          <w:color w:val="auto"/>
        </w:rPr>
        <w:t>”). The Company will notify the exercising Warrantholder of its election of a settlement method within one Business Day after the relevant Exercise Date and if it fails to deliver a timely notice shall be deemed to have elected Net Share Settlement.</w:t>
      </w:r>
    </w:p>
    <w:p>
      <w:pPr>
        <w:spacing w:after="0" w:line="147" w:lineRule="exact"/>
        <w:rPr>
          <w:sz w:val="20"/>
          <w:szCs w:val="20"/>
          <w:color w:val="auto"/>
        </w:rPr>
      </w:pPr>
    </w:p>
    <w:p>
      <w:pPr>
        <w:jc w:val="both"/>
        <w:ind w:right="360" w:firstLine="1304"/>
        <w:spacing w:after="0" w:line="297" w:lineRule="auto"/>
        <w:tabs>
          <w:tab w:leader="none" w:pos="1932" w:val="left"/>
        </w:tabs>
        <w:numPr>
          <w:ilvl w:val="1"/>
          <w:numId w:val="88"/>
        </w:numPr>
        <w:rPr>
          <w:rFonts w:ascii="Arial" w:cs="Arial" w:eastAsia="Arial" w:hAnsi="Arial"/>
          <w:sz w:val="19"/>
          <w:szCs w:val="19"/>
          <w:color w:val="auto"/>
        </w:rPr>
      </w:pPr>
      <w:r>
        <w:rPr>
          <w:rFonts w:ascii="Arial" w:cs="Arial" w:eastAsia="Arial" w:hAnsi="Arial"/>
          <w:sz w:val="19"/>
          <w:szCs w:val="19"/>
          <w:i w:val="1"/>
          <w:iCs w:val="1"/>
          <w:color w:val="auto"/>
        </w:rPr>
        <w:t xml:space="preserve">Net Cash Settlement. </w:t>
      </w:r>
      <w:r>
        <w:rPr>
          <w:rFonts w:ascii="Arial" w:cs="Arial" w:eastAsia="Arial" w:hAnsi="Arial"/>
          <w:sz w:val="19"/>
          <w:szCs w:val="19"/>
          <w:color w:val="auto"/>
        </w:rPr>
        <w:t>If the Company elects Net Cash Settlement, it shall pay to the Warrantholder cash</w:t>
      </w:r>
      <w:r>
        <w:rPr>
          <w:rFonts w:ascii="Arial" w:cs="Arial" w:eastAsia="Arial" w:hAnsi="Arial"/>
          <w:sz w:val="19"/>
          <w:szCs w:val="19"/>
          <w:i w:val="1"/>
          <w:iCs w:val="1"/>
          <w:color w:val="auto"/>
        </w:rPr>
        <w:t xml:space="preserve"> </w:t>
      </w:r>
      <w:r>
        <w:rPr>
          <w:rFonts w:ascii="Arial" w:cs="Arial" w:eastAsia="Arial" w:hAnsi="Arial"/>
          <w:sz w:val="19"/>
          <w:szCs w:val="19"/>
          <w:color w:val="auto"/>
        </w:rPr>
        <w:t>equal to the Per Share Net Cash Settlement Amount multiplied by the number of Warrant Shares as to which the Warrant has been exercised as indicated in the Notice of Exercise (the “</w:t>
      </w:r>
      <w:r>
        <w:rPr>
          <w:rFonts w:ascii="Arial" w:cs="Arial" w:eastAsia="Arial" w:hAnsi="Arial"/>
          <w:sz w:val="19"/>
          <w:szCs w:val="19"/>
          <w:i w:val="1"/>
          <w:iCs w:val="1"/>
          <w:color w:val="auto"/>
        </w:rPr>
        <w:t>Aggregate Net Cash Settlement Amount</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right="240" w:firstLine="1304"/>
        <w:spacing w:after="0" w:line="238" w:lineRule="auto"/>
        <w:tabs>
          <w:tab w:leader="none" w:pos="1938"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Net Share Settlement</w:t>
      </w:r>
      <w:r>
        <w:rPr>
          <w:rFonts w:ascii="Arial" w:cs="Arial" w:eastAsia="Arial" w:hAnsi="Arial"/>
          <w:sz w:val="22"/>
          <w:szCs w:val="22"/>
          <w:color w:val="auto"/>
        </w:rPr>
        <w:t>. If the Company elects Net Share Settlement, it shall deliver to the Warrantholder a</w:t>
      </w:r>
      <w:r>
        <w:rPr>
          <w:rFonts w:ascii="Arial" w:cs="Arial" w:eastAsia="Arial" w:hAnsi="Arial"/>
          <w:sz w:val="22"/>
          <w:szCs w:val="22"/>
          <w:i w:val="1"/>
          <w:iCs w:val="1"/>
          <w:color w:val="auto"/>
        </w:rPr>
        <w:t xml:space="preserve"> </w:t>
      </w:r>
      <w:r>
        <w:rPr>
          <w:rFonts w:ascii="Arial" w:cs="Arial" w:eastAsia="Arial" w:hAnsi="Arial"/>
          <w:sz w:val="22"/>
          <w:szCs w:val="22"/>
          <w:color w:val="auto"/>
        </w:rPr>
        <w:t>number of shares of Common Stock equal to the Per Share Net Share Settlement Amount multiplied by the number of Warrant Shares as to which the Warrant has been exercised as indicated in the Notice of Exercise (the “</w:t>
      </w:r>
      <w:r>
        <w:rPr>
          <w:rFonts w:ascii="Arial" w:cs="Arial" w:eastAsia="Arial" w:hAnsi="Arial"/>
          <w:sz w:val="22"/>
          <w:szCs w:val="22"/>
          <w:i w:val="1"/>
          <w:iCs w:val="1"/>
          <w:color w:val="auto"/>
        </w:rPr>
        <w:t>Aggregate Net Share Settlement</w:t>
      </w:r>
      <w:r>
        <w:rPr>
          <w:rFonts w:ascii="Arial" w:cs="Arial" w:eastAsia="Arial" w:hAnsi="Arial"/>
          <w:sz w:val="22"/>
          <w:szCs w:val="22"/>
          <w:color w:val="auto"/>
        </w:rPr>
        <w:t xml:space="preserve"> </w:t>
      </w:r>
      <w:r>
        <w:rPr>
          <w:rFonts w:ascii="Arial" w:cs="Arial" w:eastAsia="Arial" w:hAnsi="Arial"/>
          <w:sz w:val="22"/>
          <w:szCs w:val="22"/>
          <w:i w:val="1"/>
          <w:iCs w:val="1"/>
          <w:color w:val="auto"/>
        </w:rPr>
        <w:t>Amount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right="20" w:firstLine="656"/>
        <w:spacing w:after="0" w:line="277" w:lineRule="auto"/>
        <w:tabs>
          <w:tab w:leader="none" w:pos="1296"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Term; Method of Exercise</w:t>
      </w:r>
      <w:r>
        <w:rPr>
          <w:rFonts w:ascii="Arial" w:cs="Arial" w:eastAsia="Arial" w:hAnsi="Arial"/>
          <w:sz w:val="19"/>
          <w:szCs w:val="19"/>
          <w:color w:val="auto"/>
        </w:rPr>
        <w:t>. Subject to Section 2, to the extent permitted by applicable laws and regulations, this Warrant is exercisable, in whole or in part by the Warrantholder, at any time or from time to time after the execution and delivery of this Warrant by the Company on the date hereof, but in no event later than 5:00 p.m., New York City time on the fifth anniversary of the Issue Date of this Warrant, by the surrender of this Warrant and delivery of the Notice of Exercise annexed hereto, duly completed and executed on behalf of the Warrantholder, at the principal executive office of the Company located at the address set forth in Item 6 of Schedule A hereto (or such other office or agency of the Company in the United States as it may designate by notice in writing to the Warrantholder at the address of the Warrantholder appearing on the books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14" w:right="359" w:bottom="1440" w:gutter="0" w:footer="0" w:header="0"/>
        </w:sectPr>
      </w:pPr>
    </w:p>
    <w:bookmarkStart w:id="147" w:name="page148"/>
    <w:bookmarkEnd w:id="147"/>
    <w:p>
      <w:pPr>
        <w:ind w:right="180" w:firstLine="1296"/>
        <w:spacing w:after="0" w:line="292" w:lineRule="auto"/>
        <w:rPr>
          <w:sz w:val="20"/>
          <w:szCs w:val="20"/>
          <w:color w:val="auto"/>
        </w:rPr>
      </w:pPr>
      <w:r>
        <w:rPr>
          <w:rFonts w:ascii="Arial" w:cs="Arial" w:eastAsia="Arial" w:hAnsi="Arial"/>
          <w:sz w:val="19"/>
          <w:szCs w:val="19"/>
          <w:color w:val="auto"/>
        </w:rPr>
        <w:t>If the Warrantholder does not exercise this Warrant in its entirety, the Warrantholder will be entitled to receive from the Company within a reasonable time after the date on which this Warrant has been duly exercised in accordance with the terms of this Warrant, and in any event not exceeding three Business Days after the date thereof, a new warrant in substantially identical form for the purchase of that number of Warrant Shares equal to the difference between the number of Warrant Shares subject to this Warrant and the number of Warrant Shares as to which this Warrant is so exercised. Notwithstanding anything in this Warrant to the contrary, the Warrantholder hereby acknowledges and agrees that its exercise of this Warrant for Warrant Shares is subject to the condition that the Warrantholder will have first received any applicable Regulatory Approvals.</w:t>
      </w:r>
    </w:p>
    <w:p>
      <w:pPr>
        <w:spacing w:after="0" w:line="137" w:lineRule="exact"/>
        <w:rPr>
          <w:sz w:val="20"/>
          <w:szCs w:val="20"/>
          <w:color w:val="auto"/>
        </w:rPr>
      </w:pPr>
    </w:p>
    <w:p>
      <w:pPr>
        <w:ind w:left="1300" w:hanging="644"/>
        <w:spacing w:after="0"/>
        <w:tabs>
          <w:tab w:leader="none" w:pos="1300"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Method of Settlement.</w:t>
      </w:r>
    </w:p>
    <w:p>
      <w:pPr>
        <w:spacing w:after="0" w:line="206" w:lineRule="exact"/>
        <w:rPr>
          <w:rFonts w:ascii="Arial" w:cs="Arial" w:eastAsia="Arial" w:hAnsi="Arial"/>
          <w:sz w:val="22"/>
          <w:szCs w:val="22"/>
          <w:color w:val="auto"/>
        </w:rPr>
      </w:pPr>
    </w:p>
    <w:p>
      <w:pPr>
        <w:ind w:right="80" w:firstLine="1304"/>
        <w:spacing w:after="0" w:line="297" w:lineRule="auto"/>
        <w:tabs>
          <w:tab w:leader="none" w:pos="1941" w:val="left"/>
        </w:tabs>
        <w:numPr>
          <w:ilvl w:val="2"/>
          <w:numId w:val="90"/>
        </w:numPr>
        <w:rPr>
          <w:rFonts w:ascii="Arial" w:cs="Arial" w:eastAsia="Arial" w:hAnsi="Arial"/>
          <w:sz w:val="19"/>
          <w:szCs w:val="19"/>
          <w:color w:val="auto"/>
        </w:rPr>
      </w:pPr>
      <w:r>
        <w:rPr>
          <w:rFonts w:ascii="Arial" w:cs="Arial" w:eastAsia="Arial" w:hAnsi="Arial"/>
          <w:sz w:val="19"/>
          <w:szCs w:val="19"/>
          <w:i w:val="1"/>
          <w:iCs w:val="1"/>
          <w:color w:val="auto"/>
        </w:rPr>
        <w:t>Net Cash Settlement</w:t>
      </w:r>
      <w:r>
        <w:rPr>
          <w:rFonts w:ascii="Arial" w:cs="Arial" w:eastAsia="Arial" w:hAnsi="Arial"/>
          <w:sz w:val="19"/>
          <w:szCs w:val="19"/>
          <w:color w:val="auto"/>
        </w:rPr>
        <w:t>. If the Company elects Net Cash Settlement, the Company shall, within a reasonable</w:t>
      </w:r>
      <w:r>
        <w:rPr>
          <w:rFonts w:ascii="Arial" w:cs="Arial" w:eastAsia="Arial" w:hAnsi="Arial"/>
          <w:sz w:val="19"/>
          <w:szCs w:val="19"/>
          <w:i w:val="1"/>
          <w:iCs w:val="1"/>
          <w:color w:val="auto"/>
        </w:rPr>
        <w:t xml:space="preserve"> </w:t>
      </w:r>
      <w:r>
        <w:rPr>
          <w:rFonts w:ascii="Arial" w:cs="Arial" w:eastAsia="Arial" w:hAnsi="Arial"/>
          <w:sz w:val="19"/>
          <w:szCs w:val="19"/>
          <w:color w:val="auto"/>
        </w:rPr>
        <w:t>time, not to exceed five Business Days after the date on which this Warrant has been duly exercised in accordance with the terms of this Warrant, pay to the exercising Warrantholder the Aggregate Net Cash Settlement Amount.</w:t>
      </w:r>
    </w:p>
    <w:p>
      <w:pPr>
        <w:spacing w:after="0" w:line="133" w:lineRule="exact"/>
        <w:rPr>
          <w:rFonts w:ascii="Arial" w:cs="Arial" w:eastAsia="Arial" w:hAnsi="Arial"/>
          <w:sz w:val="19"/>
          <w:szCs w:val="19"/>
          <w:color w:val="auto"/>
        </w:rPr>
      </w:pPr>
    </w:p>
    <w:p>
      <w:pPr>
        <w:ind w:right="220" w:firstLine="1304"/>
        <w:spacing w:after="0" w:line="273" w:lineRule="auto"/>
        <w:tabs>
          <w:tab w:leader="none" w:pos="1939" w:val="left"/>
        </w:tabs>
        <w:numPr>
          <w:ilvl w:val="2"/>
          <w:numId w:val="90"/>
        </w:numPr>
        <w:rPr>
          <w:rFonts w:ascii="Arial" w:cs="Arial" w:eastAsia="Arial" w:hAnsi="Arial"/>
          <w:sz w:val="19"/>
          <w:szCs w:val="19"/>
          <w:color w:val="auto"/>
        </w:rPr>
      </w:pPr>
      <w:r>
        <w:rPr>
          <w:rFonts w:ascii="Arial" w:cs="Arial" w:eastAsia="Arial" w:hAnsi="Arial"/>
          <w:sz w:val="19"/>
          <w:szCs w:val="19"/>
          <w:i w:val="1"/>
          <w:iCs w:val="1"/>
          <w:color w:val="auto"/>
        </w:rPr>
        <w:t>Net Share Settlement</w:t>
      </w:r>
      <w:r>
        <w:rPr>
          <w:rFonts w:ascii="Arial" w:cs="Arial" w:eastAsia="Arial" w:hAnsi="Arial"/>
          <w:sz w:val="19"/>
          <w:szCs w:val="19"/>
          <w:color w:val="auto"/>
        </w:rPr>
        <w:t>. If the Company elects Net Share Settlement, shares of Common Stock equal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Aggregate Net Share Settlement Amount shall be (x) issued in such name or names as the exercising Warrantholder may designate and (y) delivered by the Company or the Company's transfer agent to such Warrantholder or its nominee or nominees</w:t>
      </w:r>
    </w:p>
    <w:p>
      <w:pPr>
        <w:spacing w:after="0" w:line="1" w:lineRule="exact"/>
        <w:rPr>
          <w:rFonts w:ascii="Arial" w:cs="Arial" w:eastAsia="Arial" w:hAnsi="Arial"/>
          <w:sz w:val="19"/>
          <w:szCs w:val="19"/>
          <w:color w:val="auto"/>
        </w:rPr>
      </w:pPr>
    </w:p>
    <w:p>
      <w:pPr>
        <w:ind w:firstLine="8"/>
        <w:spacing w:after="0" w:line="269" w:lineRule="auto"/>
        <w:tabs>
          <w:tab w:leader="none" w:pos="258"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the shares are then able to be so delivered, via book-entry transfer crediting the account of such Warrantholder (or the relevant agent member for the benefit of such Warrantholder) through the Depositary’s DWAC system (if the Company's transfer agent participates in such system), or (ii) otherwise in certificated form by physical delivery to the address specified by the Warrantholder in the Notice of Exercise, within a reasonable time, not to exceed three Business Days after the date on which this Warrant has been duly exercised in accordance with the terms of this Warrant. The Company hereby represents and warrants that any Warrant Shares issued upon the exercise of this Warrant in accordance with the provisions of Section 3 will be duly and validly authorized and issued, fully paid and nonassessable and free from all taxes, liens and charges (other than liens or charges created by the Warrantholder, income and franchise taxes incurred in connection with the exercise of the Warrant or taxes in respect of any transfer occurring contemporaneously therewith). The Company agrees that the Warrant Shares so issued will be deemed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The Company will at all times reserve and keep available, out of its authorized but unissued Common Stock, solely for the purpose of providing for the exercise of this Warrant, the aggregate number of shares of Common Stock then issuable upon exercise of this Warrant at any time. The Company will (A) procure, at its sole expense, the listing of the Warrant Shares issuable upon exercise of this Warrant at any time, subject to issuance or notice of issuance, on all principal stock exchanges on which the Common Stock is then listed or traded and (B) maintain such listings of such Warrant Shares at all times after issuance. The Company will use reasonable best efforts to ensure that the Warrant Shares may be issued without violation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7" w:right="339" w:bottom="1440" w:gutter="0" w:footer="0" w:header="0"/>
        </w:sectPr>
      </w:pPr>
    </w:p>
    <w:bookmarkStart w:id="148" w:name="page149"/>
    <w:bookmarkEnd w:id="148"/>
    <w:p>
      <w:pPr>
        <w:spacing w:after="0"/>
        <w:rPr>
          <w:sz w:val="20"/>
          <w:szCs w:val="20"/>
          <w:color w:val="auto"/>
        </w:rPr>
      </w:pPr>
      <w:r>
        <w:rPr>
          <w:rFonts w:ascii="Arial" w:cs="Arial" w:eastAsia="Arial" w:hAnsi="Arial"/>
          <w:sz w:val="19"/>
          <w:szCs w:val="19"/>
          <w:color w:val="auto"/>
        </w:rPr>
        <w:t>applicable law or regulation or of any requirement of any securities exchange on which the Warrant Shares are listed or traded.</w:t>
      </w:r>
    </w:p>
    <w:p>
      <w:pPr>
        <w:spacing w:after="0" w:line="241" w:lineRule="exact"/>
        <w:rPr>
          <w:sz w:val="20"/>
          <w:szCs w:val="20"/>
          <w:color w:val="auto"/>
        </w:rPr>
      </w:pPr>
    </w:p>
    <w:p>
      <w:pPr>
        <w:ind w:right="340" w:firstLine="656"/>
        <w:spacing w:after="0" w:line="236" w:lineRule="auto"/>
        <w:tabs>
          <w:tab w:leader="none" w:pos="1296"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No Fractional Warrant Shares or Scrip</w:t>
      </w:r>
      <w:r>
        <w:rPr>
          <w:rFonts w:ascii="Arial" w:cs="Arial" w:eastAsia="Arial" w:hAnsi="Arial"/>
          <w:sz w:val="22"/>
          <w:szCs w:val="22"/>
          <w:color w:val="auto"/>
        </w:rPr>
        <w:t>. No fractional Warrant Shares or scrip representing fractional Warrant Shares shall be issued upon any exercise of this Warrant. In lieu of any fractional Share to which the Warrantholder would otherwise be entitled, the Warrantholder shall be entitled to receive a cash payment equal to the Average Market Price of the Common Stock determined as of the Exercise Date multiplied by such fraction of a share, less the pro-rated Exercise Price for such fractional share.</w:t>
      </w:r>
    </w:p>
    <w:p>
      <w:pPr>
        <w:spacing w:after="0" w:line="187" w:lineRule="exact"/>
        <w:rPr>
          <w:rFonts w:ascii="Arial" w:cs="Arial" w:eastAsia="Arial" w:hAnsi="Arial"/>
          <w:sz w:val="22"/>
          <w:szCs w:val="22"/>
          <w:color w:val="auto"/>
        </w:rPr>
      </w:pPr>
    </w:p>
    <w:p>
      <w:pPr>
        <w:ind w:right="220" w:firstLine="656"/>
        <w:spacing w:after="0" w:line="297" w:lineRule="auto"/>
        <w:tabs>
          <w:tab w:leader="none" w:pos="129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No Rights as Stockholders; Transfer Books</w:t>
      </w:r>
      <w:r>
        <w:rPr>
          <w:rFonts w:ascii="Arial" w:cs="Arial" w:eastAsia="Arial" w:hAnsi="Arial"/>
          <w:sz w:val="19"/>
          <w:szCs w:val="19"/>
          <w:color w:val="auto"/>
        </w:rPr>
        <w:t>. This Warrant does not entitle the Warrantholder to any voting rights or other rights as a stockholder of the Company prior to the date of exercise hereof. The Company will at no time close its transfer books against transfer of this Warrant in any manner which interferes with the timely exercise of this Warrant.</w:t>
      </w:r>
    </w:p>
    <w:p>
      <w:pPr>
        <w:spacing w:after="0" w:line="133" w:lineRule="exact"/>
        <w:rPr>
          <w:rFonts w:ascii="Arial" w:cs="Arial" w:eastAsia="Arial" w:hAnsi="Arial"/>
          <w:sz w:val="19"/>
          <w:szCs w:val="19"/>
          <w:color w:val="auto"/>
        </w:rPr>
      </w:pPr>
    </w:p>
    <w:p>
      <w:pPr>
        <w:ind w:right="100" w:firstLine="656"/>
        <w:spacing w:after="0" w:line="248" w:lineRule="auto"/>
        <w:tabs>
          <w:tab w:leader="none" w:pos="1296"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Charges, Taxes and Expenses</w:t>
      </w:r>
      <w:r>
        <w:rPr>
          <w:rFonts w:ascii="Arial" w:cs="Arial" w:eastAsia="Arial" w:hAnsi="Arial"/>
          <w:sz w:val="21"/>
          <w:szCs w:val="21"/>
          <w:color w:val="auto"/>
        </w:rPr>
        <w:t xml:space="preserve">. Issuance of certificates for Warrant Shares to the Warrantholder upon the exercise of this Warrant shall be made without charge to the Warrantholder for any issue or transfer tax or other incidental expense in respect of the issuance of such certificates, all of which taxes and expenses shall be paid by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shall not be required to pay any tax that may be payable in respect of any transfer involved in the issuance and delivery of any such certificate, or any certificates or other securities in a name other than that of the registered holder of the Warrant surrendered upon exercise of the Warrant.</w:t>
      </w:r>
    </w:p>
    <w:p>
      <w:pPr>
        <w:spacing w:after="0" w:line="176" w:lineRule="exact"/>
        <w:rPr>
          <w:rFonts w:ascii="Arial" w:cs="Arial" w:eastAsia="Arial" w:hAnsi="Arial"/>
          <w:sz w:val="21"/>
          <w:szCs w:val="21"/>
          <w:color w:val="auto"/>
        </w:rPr>
      </w:pPr>
    </w:p>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Transfer/Assignment</w:t>
      </w:r>
      <w:r>
        <w:rPr>
          <w:rFonts w:ascii="Arial" w:cs="Arial" w:eastAsia="Arial" w:hAnsi="Arial"/>
          <w:sz w:val="22"/>
          <w:szCs w:val="22"/>
          <w:color w:val="auto"/>
        </w:rPr>
        <w:t>.</w:t>
      </w:r>
    </w:p>
    <w:p>
      <w:pPr>
        <w:spacing w:after="0" w:line="206" w:lineRule="exact"/>
        <w:rPr>
          <w:sz w:val="20"/>
          <w:szCs w:val="20"/>
          <w:color w:val="auto"/>
        </w:rPr>
      </w:pPr>
    </w:p>
    <w:p>
      <w:pPr>
        <w:ind w:right="160" w:firstLine="656"/>
        <w:spacing w:after="0" w:line="279" w:lineRule="auto"/>
        <w:tabs>
          <w:tab w:leader="none" w:pos="1285"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Subject to compliance with clause (B) of this Section 8,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office or agency of the Company described in Section 3. All expenses (other than stock transfer taxes) and other charges payable in connection with the preparation, execution and delivery of the new warrants pursuant to this Section 8 shall be paid by the Company.</w:t>
      </w:r>
    </w:p>
    <w:p>
      <w:pPr>
        <w:spacing w:after="0" w:line="150" w:lineRule="exact"/>
        <w:rPr>
          <w:rFonts w:ascii="Arial" w:cs="Arial" w:eastAsia="Arial" w:hAnsi="Arial"/>
          <w:sz w:val="19"/>
          <w:szCs w:val="19"/>
          <w:color w:val="auto"/>
        </w:rPr>
      </w:pPr>
    </w:p>
    <w:p>
      <w:pPr>
        <w:ind w:right="600" w:firstLine="656"/>
        <w:spacing w:after="0" w:line="250" w:lineRule="auto"/>
        <w:tabs>
          <w:tab w:leader="none" w:pos="1287"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and for so long as required by the Warrant Agreement, this Warrant shall contain the legend as set forth in Sections 4.2(a) of the Warrant Agreement.</w:t>
      </w:r>
    </w:p>
    <w:p>
      <w:pPr>
        <w:spacing w:after="0" w:line="175" w:lineRule="exact"/>
        <w:rPr>
          <w:sz w:val="20"/>
          <w:szCs w:val="20"/>
          <w:color w:val="auto"/>
        </w:rPr>
      </w:pPr>
    </w:p>
    <w:p>
      <w:pPr>
        <w:ind w:firstLine="656"/>
        <w:spacing w:after="0" w:line="282" w:lineRule="auto"/>
        <w:tabs>
          <w:tab w:leader="none" w:pos="129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Exchange and Registry of Warrant</w:t>
      </w:r>
      <w:r>
        <w:rPr>
          <w:rFonts w:ascii="Arial" w:cs="Arial" w:eastAsia="Arial" w:hAnsi="Arial"/>
          <w:sz w:val="19"/>
          <w:szCs w:val="19"/>
          <w:color w:val="auto"/>
        </w:rPr>
        <w:t>. This Warrant is exchangeable, upon the surrender hereof by the Warrantholder to the Company, for a new warrant or warrants of like tenor and representing the right to purchase the same aggregate number of Warrant Shares. The Company shall maintain a registry showing the name and address of the Warrantholder as the registered holder of this Warrant. This Warrant may be surrendered for exchange or exercise in accordance with its terms, at the office of the Company, and the Company shall be entitled to rely in all respects, prior to written notice to the contrary, upon such registry.</w:t>
      </w:r>
    </w:p>
    <w:p>
      <w:pPr>
        <w:spacing w:after="0" w:line="147" w:lineRule="exact"/>
        <w:rPr>
          <w:rFonts w:ascii="Arial" w:cs="Arial" w:eastAsia="Arial" w:hAnsi="Arial"/>
          <w:sz w:val="19"/>
          <w:szCs w:val="19"/>
          <w:color w:val="auto"/>
        </w:rPr>
      </w:pPr>
    </w:p>
    <w:p>
      <w:pPr>
        <w:ind w:right="900" w:firstLine="656"/>
        <w:spacing w:after="0" w:line="250" w:lineRule="auto"/>
        <w:tabs>
          <w:tab w:leader="none" w:pos="129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Loss, Theft, Destruction or Mutilation of Warrant</w:t>
      </w:r>
      <w:r>
        <w:rPr>
          <w:rFonts w:ascii="Arial" w:cs="Arial" w:eastAsia="Arial" w:hAnsi="Arial"/>
          <w:sz w:val="22"/>
          <w:szCs w:val="22"/>
          <w:color w:val="auto"/>
        </w:rPr>
        <w:t>. Upon receipt by the Company of evidence reasonably satisfactory to it of the loss, theft, destruction or mutilation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149" w:name="page150"/>
    <w:bookmarkEnd w:id="149"/>
    <w:p>
      <w:pPr>
        <w:ind w:right="40"/>
        <w:spacing w:after="0" w:line="236" w:lineRule="auto"/>
        <w:rPr>
          <w:sz w:val="20"/>
          <w:szCs w:val="20"/>
          <w:color w:val="auto"/>
        </w:rPr>
      </w:pPr>
      <w:r>
        <w:rPr>
          <w:rFonts w:ascii="Arial" w:cs="Arial" w:eastAsia="Arial" w:hAnsi="Arial"/>
          <w:sz w:val="22"/>
          <w:szCs w:val="22"/>
          <w:color w:val="auto"/>
        </w:rPr>
        <w:t>Warrant, and in the case of any such loss, theft or destruction, upon receipt of a bond, indemnity or security reasonably satisfactory to the Company, or, in the case of any such mutilation, upon surrender and cancellation of this Warrant, the Company shall make and deliver, in lieu of such lost, stolen, destroyed or mutilated Warrant, a new Warrant of like tenor and representing the right to purchase the same aggregate number of Warrant Shares as provided for in such lost, stolen, destroyed or mutilated Warrant.</w:t>
      </w:r>
    </w:p>
    <w:p>
      <w:pPr>
        <w:spacing w:after="0" w:line="187" w:lineRule="exact"/>
        <w:rPr>
          <w:sz w:val="20"/>
          <w:szCs w:val="20"/>
          <w:color w:val="auto"/>
        </w:rPr>
      </w:pPr>
    </w:p>
    <w:p>
      <w:pPr>
        <w:jc w:val="both"/>
        <w:ind w:right="100" w:firstLine="656"/>
        <w:spacing w:after="0"/>
        <w:tabs>
          <w:tab w:leader="none" w:pos="1288"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Saturdays, Sundays, Holidays, etc</w:t>
      </w:r>
      <w:r>
        <w:rPr>
          <w:rFonts w:ascii="Arial" w:cs="Arial" w:eastAsia="Arial" w:hAnsi="Arial"/>
          <w:sz w:val="22"/>
          <w:szCs w:val="22"/>
          <w:color w:val="auto"/>
        </w:rPr>
        <w:t>.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186" w:lineRule="exact"/>
        <w:rPr>
          <w:rFonts w:ascii="Arial" w:cs="Arial" w:eastAsia="Arial" w:hAnsi="Arial"/>
          <w:sz w:val="22"/>
          <w:szCs w:val="22"/>
          <w:color w:val="auto"/>
        </w:rPr>
      </w:pPr>
    </w:p>
    <w:p>
      <w:pPr>
        <w:jc w:val="both"/>
        <w:ind w:right="60" w:firstLine="656"/>
        <w:spacing w:after="0"/>
        <w:tabs>
          <w:tab w:leader="none" w:pos="129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With a view to making available to Warrantholders the benefits of certain rules and regulations of the SEC which may permit the sale of the Warrants and Warrant Shares to the public without registration, the Company agrees to use its reasonable best efforts to:</w:t>
      </w:r>
    </w:p>
    <w:p>
      <w:pPr>
        <w:spacing w:after="0" w:line="186" w:lineRule="exact"/>
        <w:rPr>
          <w:sz w:val="20"/>
          <w:szCs w:val="20"/>
          <w:color w:val="auto"/>
        </w:rPr>
      </w:pPr>
    </w:p>
    <w:p>
      <w:pPr>
        <w:ind w:right="60" w:firstLine="656"/>
        <w:spacing w:after="0" w:line="274" w:lineRule="auto"/>
        <w:tabs>
          <w:tab w:leader="none" w:pos="1285" w:val="left"/>
        </w:tabs>
        <w:numPr>
          <w:ilvl w:val="0"/>
          <w:numId w:val="96"/>
        </w:numPr>
        <w:rPr>
          <w:rFonts w:ascii="Arial" w:cs="Arial" w:eastAsia="Arial" w:hAnsi="Arial"/>
          <w:sz w:val="21"/>
          <w:szCs w:val="21"/>
          <w:color w:val="auto"/>
        </w:rPr>
      </w:pPr>
      <w:r>
        <w:rPr>
          <w:rFonts w:ascii="Arial" w:cs="Arial" w:eastAsia="Arial" w:hAnsi="Arial"/>
          <w:sz w:val="21"/>
          <w:szCs w:val="21"/>
          <w:color w:val="auto"/>
        </w:rPr>
        <w:t>make and keep adequate public information available, as those terms are understood and defined in Rule 144(c) or any similar or analogous rule promulgated under the Securities Act, at all times after the date hereof;</w:t>
      </w:r>
    </w:p>
    <w:p>
      <w:pPr>
        <w:spacing w:after="0" w:line="150" w:lineRule="exact"/>
        <w:rPr>
          <w:rFonts w:ascii="Arial" w:cs="Arial" w:eastAsia="Arial" w:hAnsi="Arial"/>
          <w:sz w:val="21"/>
          <w:szCs w:val="21"/>
          <w:color w:val="auto"/>
        </w:rPr>
      </w:pPr>
    </w:p>
    <w:p>
      <w:pPr>
        <w:ind w:firstLine="656"/>
        <w:spacing w:after="0" w:line="238" w:lineRule="auto"/>
        <w:tabs>
          <w:tab w:leader="none" w:pos="1287" w:val="left"/>
        </w:tabs>
        <w:numPr>
          <w:ilvl w:val="0"/>
          <w:numId w:val="96"/>
        </w:numPr>
        <w:rPr>
          <w:rFonts w:ascii="Arial" w:cs="Arial" w:eastAsia="Arial" w:hAnsi="Arial"/>
          <w:sz w:val="22"/>
          <w:szCs w:val="22"/>
          <w:color w:val="auto"/>
        </w:rPr>
      </w:pPr>
      <w:r>
        <w:rPr>
          <w:rFonts w:ascii="Arial" w:cs="Arial" w:eastAsia="Arial" w:hAnsi="Arial"/>
          <w:sz w:val="22"/>
          <w:szCs w:val="22"/>
          <w:color w:val="auto"/>
        </w:rPr>
        <w:t>(x) file with the SEC, in a timely manner, all reports and other documents required of the Company under the Securities Act and the Exchange Act, and (y) if at any time the Company is not required to file such reports, make available, upon the request of any Warrantholder, such information necessary to permit sales pursuant to Rule 144A (including the information required by Rule 144A(d)(4) under the Securities Act);</w:t>
      </w:r>
    </w:p>
    <w:p>
      <w:pPr>
        <w:spacing w:after="0" w:line="184" w:lineRule="exact"/>
        <w:rPr>
          <w:rFonts w:ascii="Arial" w:cs="Arial" w:eastAsia="Arial" w:hAnsi="Arial"/>
          <w:sz w:val="22"/>
          <w:szCs w:val="22"/>
          <w:color w:val="auto"/>
        </w:rPr>
      </w:pPr>
    </w:p>
    <w:p>
      <w:pPr>
        <w:ind w:right="60" w:firstLine="656"/>
        <w:spacing w:after="0" w:line="287" w:lineRule="auto"/>
        <w:tabs>
          <w:tab w:leader="none" w:pos="1287" w:val="left"/>
        </w:tabs>
        <w:numPr>
          <w:ilvl w:val="0"/>
          <w:numId w:val="96"/>
        </w:numPr>
        <w:rPr>
          <w:rFonts w:ascii="Arial" w:cs="Arial" w:eastAsia="Arial" w:hAnsi="Arial"/>
          <w:sz w:val="19"/>
          <w:szCs w:val="19"/>
          <w:color w:val="auto"/>
        </w:rPr>
      </w:pPr>
      <w:r>
        <w:rPr>
          <w:rFonts w:ascii="Arial" w:cs="Arial" w:eastAsia="Arial" w:hAnsi="Arial"/>
          <w:sz w:val="19"/>
          <w:szCs w:val="19"/>
          <w:color w:val="auto"/>
        </w:rPr>
        <w:t>furnish to any holder of Warrants or Warrant Shares forthwith upon request: a written statement by the Company as to its compliance with the reporting requirements of the Exchange Act and Rule 144(c)(1); a copy of the most recent annual or quarterly report of the Company; and such other reports and documents as the Warrantholder may reasonably request in availing itself of any rule or regulation of the SEC allowing it to sell any such securities to the public without registration; and</w:t>
      </w:r>
    </w:p>
    <w:p>
      <w:pPr>
        <w:spacing w:after="0" w:line="142" w:lineRule="exact"/>
        <w:rPr>
          <w:rFonts w:ascii="Arial" w:cs="Arial" w:eastAsia="Arial" w:hAnsi="Arial"/>
          <w:sz w:val="19"/>
          <w:szCs w:val="19"/>
          <w:color w:val="auto"/>
        </w:rPr>
      </w:pPr>
    </w:p>
    <w:p>
      <w:pPr>
        <w:ind w:right="140" w:firstLine="656"/>
        <w:spacing w:after="0" w:line="328" w:lineRule="auto"/>
        <w:tabs>
          <w:tab w:leader="none" w:pos="1285" w:val="left"/>
        </w:tabs>
        <w:numPr>
          <w:ilvl w:val="0"/>
          <w:numId w:val="96"/>
        </w:numPr>
        <w:rPr>
          <w:rFonts w:ascii="Arial" w:cs="Arial" w:eastAsia="Arial" w:hAnsi="Arial"/>
          <w:sz w:val="19"/>
          <w:szCs w:val="19"/>
          <w:color w:val="auto"/>
        </w:rPr>
      </w:pPr>
      <w:r>
        <w:rPr>
          <w:rFonts w:ascii="Arial" w:cs="Arial" w:eastAsia="Arial" w:hAnsi="Arial"/>
          <w:sz w:val="19"/>
          <w:szCs w:val="19"/>
          <w:color w:val="auto"/>
        </w:rPr>
        <w:t>take such further action as any Warrantholder may reasonably request, all to the extent required from time to time to enable such Warantholder to sell Warrants or Warrant Shares without registration under the Securities Act.</w:t>
      </w:r>
    </w:p>
    <w:p>
      <w:pPr>
        <w:spacing w:after="0" w:line="105" w:lineRule="exact"/>
        <w:rPr>
          <w:sz w:val="20"/>
          <w:szCs w:val="20"/>
          <w:color w:val="auto"/>
        </w:rPr>
      </w:pPr>
    </w:p>
    <w:p>
      <w:pPr>
        <w:ind w:right="20" w:firstLine="656"/>
        <w:spacing w:after="0" w:line="287" w:lineRule="auto"/>
        <w:tabs>
          <w:tab w:leader="none" w:pos="129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Adjustments and Other Rights</w:t>
      </w:r>
      <w:r>
        <w:rPr>
          <w:rFonts w:ascii="Arial" w:cs="Arial" w:eastAsia="Arial" w:hAnsi="Arial"/>
          <w:sz w:val="19"/>
          <w:szCs w:val="19"/>
          <w:color w:val="auto"/>
        </w:rPr>
        <w:t xml:space="preserve">. The Exercise Price and the number of Warrant Shares issuable upon exercise of the Warrant shall be subject to adjustment from time to time as follows; </w:t>
      </w:r>
      <w:r>
        <w:rPr>
          <w:rFonts w:ascii="Arial" w:cs="Arial" w:eastAsia="Arial" w:hAnsi="Arial"/>
          <w:sz w:val="19"/>
          <w:szCs w:val="19"/>
          <w:i w:val="1"/>
          <w:iCs w:val="1"/>
          <w:color w:val="auto"/>
        </w:rPr>
        <w:t>provided</w:t>
      </w:r>
      <w:r>
        <w:rPr>
          <w:rFonts w:ascii="Arial" w:cs="Arial" w:eastAsia="Arial" w:hAnsi="Arial"/>
          <w:sz w:val="19"/>
          <w:szCs w:val="19"/>
          <w:color w:val="auto"/>
        </w:rPr>
        <w:t>, that if more than one subsection of this Section 13 is applicable to a single event, the subsection shall be applied that produces the largest adjustment and no single event shall cause an adjustment under more than one subsection of this Section 13 so as to result in duplication:</w:t>
      </w:r>
    </w:p>
    <w:p>
      <w:pPr>
        <w:spacing w:after="0" w:line="143" w:lineRule="exact"/>
        <w:rPr>
          <w:sz w:val="20"/>
          <w:szCs w:val="20"/>
          <w:color w:val="auto"/>
        </w:rPr>
      </w:pPr>
    </w:p>
    <w:p>
      <w:pPr>
        <w:ind w:right="60" w:firstLine="656"/>
        <w:spacing w:after="0"/>
        <w:tabs>
          <w:tab w:leader="none" w:pos="1285"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Stock Splits, Subdivisions, Reclassifications or Combinations</w:t>
      </w:r>
      <w:r>
        <w:rPr>
          <w:rFonts w:ascii="Arial" w:cs="Arial" w:eastAsia="Arial" w:hAnsi="Arial"/>
          <w:sz w:val="22"/>
          <w:szCs w:val="22"/>
          <w:color w:val="auto"/>
        </w:rPr>
        <w:t>. If the Company shall (i) declare and pay a dividend or make a distribution on its Common Stock in shares of Common Stock, (ii) subdivide or reclassify the outstanding shares of Common Stock into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4" w:right="339" w:bottom="1440" w:gutter="0" w:footer="0" w:header="0"/>
        </w:sectPr>
      </w:pPr>
    </w:p>
    <w:bookmarkStart w:id="150" w:name="page151"/>
    <w:bookmarkEnd w:id="150"/>
    <w:p>
      <w:pPr>
        <w:ind w:right="40"/>
        <w:spacing w:after="0" w:line="273" w:lineRule="auto"/>
        <w:rPr>
          <w:sz w:val="20"/>
          <w:szCs w:val="20"/>
          <w:color w:val="auto"/>
        </w:rPr>
      </w:pPr>
      <w:r>
        <w:rPr>
          <w:rFonts w:ascii="Arial" w:cs="Arial" w:eastAsia="Arial" w:hAnsi="Arial"/>
          <w:sz w:val="19"/>
          <w:szCs w:val="19"/>
          <w:color w:val="auto"/>
        </w:rPr>
        <w:t>greater number of shares, or (iii) combine or reclassify the outstanding shares of Common Stock into a smaller number of shares, the number of Warrant Shares issuable upon exercise of this Warrant at the time of the record date for such dividend or distribution or the effective date of such subdivision, combination or reclassification shall be proportionately adjusted so that the Warrantholder after such date shall be entitled to acquire the number of shares of Common Stock which such holder would have owned or been entitled to receive in respect of the shares of Common Stock subject to this Warrant after such date had this Warrant been exercised immediately prior to such date. In such event, the Exercise Price in effect at the time of the record date for such dividend or distribution or the effective date of such subdivision, combination or reclassification shall be adjusted to the number obtained by dividing (x) the product of (1) the number of Warrant Shares issuable upon the exercise of this Warrant before such adjustment and (2) the Exercise Price in effect immediately prior to the record or effective date, as the case may be, for the dividend, distribution, subdivision, combination or reclassification giving rise to this adjustment by (y) the new number of Warrant Shares issuable upon exercise of the Warrant determined pursuant to the immediately preceding sentence.</w:t>
      </w:r>
    </w:p>
    <w:p>
      <w:pPr>
        <w:spacing w:after="0" w:line="155" w:lineRule="exact"/>
        <w:rPr>
          <w:sz w:val="20"/>
          <w:szCs w:val="20"/>
          <w:color w:val="auto"/>
        </w:rPr>
      </w:pPr>
    </w:p>
    <w:p>
      <w:pPr>
        <w:ind w:right="40" w:firstLine="656"/>
        <w:spacing w:after="0" w:line="248" w:lineRule="auto"/>
        <w:tabs>
          <w:tab w:leader="none" w:pos="1287"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Certain Issuances of Common Stock or Convertible Securities</w:t>
      </w:r>
      <w:r>
        <w:rPr>
          <w:rFonts w:ascii="Arial" w:cs="Arial" w:eastAsia="Arial" w:hAnsi="Arial"/>
          <w:sz w:val="21"/>
          <w:szCs w:val="21"/>
          <w:color w:val="auto"/>
        </w:rPr>
        <w:t>. If the Company shall issue shares of Common Stock (or rights or warrants or other securities exercisable or convertible into or exchangeable (collectively, a “</w:t>
      </w:r>
      <w:r>
        <w:rPr>
          <w:rFonts w:ascii="Arial" w:cs="Arial" w:eastAsia="Arial" w:hAnsi="Arial"/>
          <w:sz w:val="21"/>
          <w:szCs w:val="21"/>
          <w:i w:val="1"/>
          <w:iCs w:val="1"/>
          <w:color w:val="auto"/>
        </w:rPr>
        <w:t>conversion</w:t>
      </w:r>
      <w:r>
        <w:rPr>
          <w:rFonts w:ascii="Arial" w:cs="Arial" w:eastAsia="Arial" w:hAnsi="Arial"/>
          <w:sz w:val="21"/>
          <w:szCs w:val="21"/>
          <w:color w:val="auto"/>
        </w:rPr>
        <w:t>”) for shares of Common Stock) (collectively, “</w:t>
      </w:r>
      <w:r>
        <w:rPr>
          <w:rFonts w:ascii="Arial" w:cs="Arial" w:eastAsia="Arial" w:hAnsi="Arial"/>
          <w:sz w:val="21"/>
          <w:szCs w:val="21"/>
          <w:i w:val="1"/>
          <w:iCs w:val="1"/>
          <w:color w:val="auto"/>
        </w:rPr>
        <w:t>convertible securities</w:t>
      </w:r>
      <w:r>
        <w:rPr>
          <w:rFonts w:ascii="Arial" w:cs="Arial" w:eastAsia="Arial" w:hAnsi="Arial"/>
          <w:sz w:val="21"/>
          <w:szCs w:val="21"/>
          <w:color w:val="auto"/>
        </w:rPr>
        <w:t>”) (other than in Permitted Transactions (as defined below) or a transaction to which subsection (A) of this Section 13 is applicable) without consideration or at a consideration per share (or having a conversion price per share) that is less than 90% of the Average Market Price determined as of the date of the agreement on pricing such shares (or such convertible securities) then, in such event:</w:t>
      </w:r>
    </w:p>
    <w:p>
      <w:pPr>
        <w:spacing w:after="0" w:line="176" w:lineRule="exact"/>
        <w:rPr>
          <w:rFonts w:ascii="Arial" w:cs="Arial" w:eastAsia="Arial" w:hAnsi="Arial"/>
          <w:sz w:val="21"/>
          <w:szCs w:val="21"/>
          <w:color w:val="auto"/>
        </w:rPr>
      </w:pPr>
    </w:p>
    <w:p>
      <w:pPr>
        <w:ind w:left="1300" w:right="40" w:firstLine="4"/>
        <w:spacing w:after="0" w:line="273" w:lineRule="auto"/>
        <w:tabs>
          <w:tab w:leader="none" w:pos="1937"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number of Warrant Shares issuable upon the exercise of this Warrant immediately prior to the date of the agreement on pricing of such shares (or of such convertible securities) (the “</w:t>
      </w:r>
      <w:r>
        <w:rPr>
          <w:rFonts w:ascii="Arial" w:cs="Arial" w:eastAsia="Arial" w:hAnsi="Arial"/>
          <w:sz w:val="19"/>
          <w:szCs w:val="19"/>
          <w:i w:val="1"/>
          <w:iCs w:val="1"/>
          <w:color w:val="auto"/>
        </w:rPr>
        <w:t>Initial Number</w:t>
      </w:r>
      <w:r>
        <w:rPr>
          <w:rFonts w:ascii="Arial" w:cs="Arial" w:eastAsia="Arial" w:hAnsi="Arial"/>
          <w:sz w:val="19"/>
          <w:szCs w:val="19"/>
          <w:color w:val="auto"/>
        </w:rPr>
        <w:t>”) shall be increased to the number obtained by multiplying the Initial Number by a fraction (A) the numerator of which shall be the sum of (x) the number of shares of Common Stock of the Company outstanding on such date and (y) the number of additional shares of Common Stock issued (or into which convertible securities may be exercised or convert) and (B) the denominator of which shall be the sum of (I) the number of shares of Common Stock outstanding on such date and (II) the number of shares of Common Stock which the aggregate consideration receivable by the Company for the total number of shares of Common Stock so issued (or into which convertible securities may be exercised or convert) would purchase at the Average Market Price determined as of the date of the agreement on pricing such shares (or such convertible securities); and</w:t>
      </w:r>
    </w:p>
    <w:p>
      <w:pPr>
        <w:spacing w:after="0" w:line="160" w:lineRule="exact"/>
        <w:rPr>
          <w:rFonts w:ascii="Arial" w:cs="Arial" w:eastAsia="Arial" w:hAnsi="Arial"/>
          <w:sz w:val="19"/>
          <w:szCs w:val="19"/>
          <w:color w:val="auto"/>
        </w:rPr>
      </w:pPr>
    </w:p>
    <w:p>
      <w:pPr>
        <w:ind w:left="1300" w:firstLine="4"/>
        <w:spacing w:after="0" w:line="282" w:lineRule="auto"/>
        <w:tabs>
          <w:tab w:leader="none" w:pos="1939"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Exercise Price payable upon exercise of the Warrant shall be adjusted by multiplying such Exercise Price in effect immediately prior to the date of the agreement on pricing of such shares (or of such convertible securities) by a fraction, the numerator of which shall be the number of shares of Common Stock issuable upon exercise of this Warrant prior to such date and the denominator of which shall be the number of shares of Common Stock issuable upon exercise of this Warrant immediately after the adjustment described in clause (A)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151" w:name="page152"/>
    <w:bookmarkEnd w:id="151"/>
    <w:p>
      <w:pPr>
        <w:ind w:firstLine="648"/>
        <w:spacing w:after="0" w:line="272" w:lineRule="auto"/>
        <w:rPr>
          <w:sz w:val="20"/>
          <w:szCs w:val="20"/>
          <w:color w:val="auto"/>
        </w:rPr>
      </w:pPr>
      <w:r>
        <w:rPr>
          <w:rFonts w:ascii="Arial" w:cs="Arial" w:eastAsia="Arial" w:hAnsi="Arial"/>
          <w:sz w:val="19"/>
          <w:szCs w:val="19"/>
          <w:color w:val="auto"/>
        </w:rPr>
        <w:t>For purposes of the foregoing, the aggregate consideration receivable by the Company in connection with the issuance of such shares of Common Stock or convertible securities shall be deemed to be equal to the sum of the net offering price (including the Fair Market Value of any non-cash consideration and after deduction of any related expenses payable to third parties) of all such securities plus the minimum aggregate amount, if any, payable upon exercise or conversion of any such convertible securities into shares of Common Stock; and “</w:t>
      </w:r>
      <w:r>
        <w:rPr>
          <w:rFonts w:ascii="Arial" w:cs="Arial" w:eastAsia="Arial" w:hAnsi="Arial"/>
          <w:sz w:val="19"/>
          <w:szCs w:val="19"/>
          <w:i w:val="1"/>
          <w:iCs w:val="1"/>
          <w:color w:val="auto"/>
        </w:rPr>
        <w:t>Permitted Transactions</w:t>
      </w:r>
      <w:r>
        <w:rPr>
          <w:rFonts w:ascii="Arial" w:cs="Arial" w:eastAsia="Arial" w:hAnsi="Arial"/>
          <w:sz w:val="19"/>
          <w:szCs w:val="19"/>
          <w:color w:val="auto"/>
        </w:rPr>
        <w:t>” shall mean issuances (i) as consideration for or to fund the acquisition of businesses and/or related assets, (ii) in connection with employee benefit plans and compensation related arrangements in the ordinary course and consistent with past practice approved by the Board of Directors, (iii) in connection with a public or broadly marketed offering and sale of Common Stock or convertible securities for cash conducted by the Company or its affiliates pursuant to registration under the Securities Act or Rule 144A thereunder on a basis consistent with capital raising transactions by comparable institutions and (iv) in connection with the exercise of preemptive rights on terms existing as of the Issue Date. Any adjustment made pursuant to this Section 13(B) shall become effective immediately upon the date of such issuance.</w:t>
      </w:r>
    </w:p>
    <w:p>
      <w:pPr>
        <w:spacing w:after="0" w:line="200" w:lineRule="exact"/>
        <w:rPr>
          <w:sz w:val="20"/>
          <w:szCs w:val="20"/>
          <w:color w:val="auto"/>
        </w:rPr>
      </w:pPr>
    </w:p>
    <w:p>
      <w:pPr>
        <w:spacing w:after="0" w:line="208" w:lineRule="exact"/>
        <w:rPr>
          <w:sz w:val="20"/>
          <w:szCs w:val="20"/>
          <w:color w:val="auto"/>
        </w:rPr>
      </w:pPr>
    </w:p>
    <w:p>
      <w:pPr>
        <w:ind w:firstLine="656"/>
        <w:spacing w:after="0" w:line="270" w:lineRule="auto"/>
        <w:tabs>
          <w:tab w:leader="none" w:pos="1287"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Other Distributions</w:t>
      </w:r>
      <w:r>
        <w:rPr>
          <w:rFonts w:ascii="Arial" w:cs="Arial" w:eastAsia="Arial" w:hAnsi="Arial"/>
          <w:sz w:val="19"/>
          <w:szCs w:val="19"/>
          <w:color w:val="auto"/>
        </w:rPr>
        <w:t>. In case the Company shall fix a record date for the making of a distribution to all holders of shares of its Common Stock of securities, evidences of indebtedness, assets, cash, rights or warrants (excluding dividends of its Common Stock and other dividends or distributions referred to in Section 13(A)), in each such case, the Exercise Price in effect prior to such record date shall be reduced immediately thereafter to the price determined by multiplying the Exercise Price in effect immediately prior to the reduction by the quotient of (x) the Average Market Price of the Common Stock determined as of the first date on which the Common Stock trades regular way on the principal national securities exchange on which the Common Stock is listed or admitted to trading without the right to receive such distribution, minus the amount of cash and/or the Fair Market Value of the securities, evidences of indebtedness, assets, rights or warrants to be so distributed in respect of one share of Common Stock (such amount and/or Fair Market Value, the “</w:t>
      </w:r>
      <w:r>
        <w:rPr>
          <w:rFonts w:ascii="Arial" w:cs="Arial" w:eastAsia="Arial" w:hAnsi="Arial"/>
          <w:sz w:val="19"/>
          <w:szCs w:val="19"/>
          <w:i w:val="1"/>
          <w:iCs w:val="1"/>
          <w:color w:val="auto"/>
        </w:rPr>
        <w:t>Per Share Fair Market Value</w:t>
      </w:r>
      <w:r>
        <w:rPr>
          <w:rFonts w:ascii="Arial" w:cs="Arial" w:eastAsia="Arial" w:hAnsi="Arial"/>
          <w:sz w:val="19"/>
          <w:szCs w:val="19"/>
          <w:color w:val="auto"/>
        </w:rPr>
        <w:t>”) divided by (y) the Average Market Price specified in clause (x); such adjustment shall be made successively whenever such a record date is fixed. In such event, the number of Warrant Shares issuable upon the exercise of this Warrant shall be increased to the number obtained by dividing (x) the product of (1) the number of Warrant Shares issuable upon the exercise of this Warrant before such adjustment, and (2) the Exercise Price in effect immediately prior to the distribution giving rise to this adjustment by (y) the new Exercise Price determined in accordance with the immediately preceding sentence. In the event that such distribution is not so made, the Exercise Price and the number of Warrant Shares issuable upon exercise of this Warrant then in effect shall be readjusted, effective as of the date when the Board of Directors determines not to distribute such shares, evidences of indebtedness, assets, rights, cash or warrants, as the case may be, to the Exercise Price that would then be in effect and the number of Warrant Shares that would then be issuable upon exercise of this Warrant if such record date had not been fixed.</w:t>
      </w:r>
    </w:p>
    <w:p>
      <w:pPr>
        <w:spacing w:after="0" w:line="165" w:lineRule="exact"/>
        <w:rPr>
          <w:rFonts w:ascii="Arial" w:cs="Arial" w:eastAsia="Arial" w:hAnsi="Arial"/>
          <w:sz w:val="19"/>
          <w:szCs w:val="19"/>
          <w:color w:val="auto"/>
        </w:rPr>
      </w:pPr>
    </w:p>
    <w:p>
      <w:pPr>
        <w:jc w:val="both"/>
        <w:ind w:right="80" w:firstLine="656"/>
        <w:spacing w:after="0" w:line="249" w:lineRule="auto"/>
        <w:tabs>
          <w:tab w:leader="none" w:pos="1285"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Certain Repurchases of Common Stock</w:t>
      </w:r>
      <w:r>
        <w:rPr>
          <w:rFonts w:ascii="Arial" w:cs="Arial" w:eastAsia="Arial" w:hAnsi="Arial"/>
          <w:sz w:val="21"/>
          <w:szCs w:val="21"/>
          <w:color w:val="auto"/>
        </w:rPr>
        <w:t>. In case the Company effects a Pro Rata Repurchase of Common Stock, then the Exercise Price shall be reduced to the price determined by multiplying the Exercise Price in effect immediately prior to the Effective Date of such Pro Rata Repurchase by a fraction of which the numerator shall be (i) the product of (x) the number of shares of Common Stock outstanding immediately before such Pro Rata Repurchase and (y) the Average Market Price of a share of Common Stock determined as of the date of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4" w:right="339" w:bottom="1440" w:gutter="0" w:footer="0" w:header="0"/>
        </w:sectPr>
      </w:pPr>
    </w:p>
    <w:bookmarkStart w:id="152" w:name="page153"/>
    <w:bookmarkEnd w:id="152"/>
    <w:p>
      <w:pPr>
        <w:spacing w:after="0" w:line="273" w:lineRule="auto"/>
        <w:rPr>
          <w:sz w:val="20"/>
          <w:szCs w:val="20"/>
          <w:color w:val="auto"/>
        </w:rPr>
      </w:pPr>
      <w:r>
        <w:rPr>
          <w:rFonts w:ascii="Arial" w:cs="Arial" w:eastAsia="Arial" w:hAnsi="Arial"/>
          <w:sz w:val="19"/>
          <w:szCs w:val="19"/>
          <w:color w:val="auto"/>
        </w:rPr>
        <w:t>public announcement by the Company or any of its Affiliates of the intent to effect such Pro Rata Repurchase, minus (ii) the aggregate purchase price of the Pro Rata Repurchase, and of which the denominator shall be the product of (i) the number of shares of Common Stock outstanding immediately prior to such Pro Rata Repurchase minus the number of shares of Common Stock so repurchased and (ii) the Average Market Price per share of Common Stock determined as of the date of the first public announcement by the Company or any of its Affiliates of the intent to effect such Pro Rata Repurchase. In such event, the number of shares of Common Stock issuable upon the exercise of this Warrant shall be increased to the number obtained by dividing (x) the product of (1) the number of Warrant Shares issuable upon the exercise of this Warrant before such adjustment, and (2) the Exercise Price in effect immediately prior to the Pro Rata Repurchase giving rise to this adjustment by (y) the new Exercise Price determined in accordance with the immediately preceding sentence. For the avoidance of doubt, no increase to the Exercise Price or decrease in the number of Warrant Shares issuable upon exercise of this Warrant shall be made pursuant to this Section 13(D).</w:t>
      </w:r>
    </w:p>
    <w:p>
      <w:pPr>
        <w:spacing w:after="0" w:line="161" w:lineRule="exact"/>
        <w:rPr>
          <w:sz w:val="20"/>
          <w:szCs w:val="20"/>
          <w:color w:val="auto"/>
        </w:rPr>
      </w:pPr>
    </w:p>
    <w:p>
      <w:pPr>
        <w:ind w:right="20" w:firstLine="656"/>
        <w:spacing w:after="0" w:line="271" w:lineRule="auto"/>
        <w:tabs>
          <w:tab w:leader="none" w:pos="1288"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Business Combinations</w:t>
      </w:r>
      <w:r>
        <w:rPr>
          <w:rFonts w:ascii="Arial" w:cs="Arial" w:eastAsia="Arial" w:hAnsi="Arial"/>
          <w:sz w:val="19"/>
          <w:szCs w:val="19"/>
          <w:color w:val="auto"/>
        </w:rPr>
        <w:t>. In case of any Business Combination or reclassification of Common Stock (other than a reclassification of Common Stock referred to in Section 13(A)), the Warrantholder’s right to receive Warrant Shares upon exercise of this Warrant shall be converted into the right to exercise this Warrant to acquire the number of shares of stock or other securities or property (including cash) which the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and in any such case, if necessary, the provisions set forth herein with respect to the rights and interests thereafter of the Warrantholder shall be appropriately adjusted so as to be applicable, as nearly as may reasonably be, to the Warrantholder’s right to exercise this Warrant in exchange for any shares of stock or other securities or property pursuant to this paragraph. In determining the kind and amount of stock, securities or the property receivable upon exercise of this Warrant following the consummation of such Business Combination, if the holders of Common Stock have the right to elect the kind or amount of consideration receivable upon consummation of such Business Combination, then the consideration that the Warrantholder shall be entitled to receive upon exercise shall be deemed to be the types and amounts of consideration received by the majority of all holders of the shares of common stock that affirmatively make an election (or of all such holders if none make an election).</w:t>
      </w:r>
    </w:p>
    <w:p>
      <w:pPr>
        <w:spacing w:after="0" w:line="164" w:lineRule="exact"/>
        <w:rPr>
          <w:rFonts w:ascii="Arial" w:cs="Arial" w:eastAsia="Arial" w:hAnsi="Arial"/>
          <w:sz w:val="19"/>
          <w:szCs w:val="19"/>
          <w:color w:val="auto"/>
        </w:rPr>
      </w:pPr>
    </w:p>
    <w:p>
      <w:pPr>
        <w:ind w:right="80" w:firstLine="656"/>
        <w:spacing w:after="0" w:line="246" w:lineRule="auto"/>
        <w:tabs>
          <w:tab w:leader="none" w:pos="1290"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Rounding of Calculations; Minimum Adjustments</w:t>
      </w:r>
      <w:r>
        <w:rPr>
          <w:rFonts w:ascii="Arial" w:cs="Arial" w:eastAsia="Arial" w:hAnsi="Arial"/>
          <w:sz w:val="21"/>
          <w:szCs w:val="21"/>
          <w:color w:val="auto"/>
        </w:rPr>
        <w:t>. All calculations under this Section 13 shall be made to the nearest one-tenth (1/10th) of a cent or to the nearest one- hundredth (1/100th) of a share, as the case may be. Any provision of this Section 13 to the contrary notwithstanding, no adjustment in the Exercise Price or the number of Warrant Shares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1/10th of a share of Common Stock, or more.</w:t>
      </w:r>
    </w:p>
    <w:p>
      <w:pPr>
        <w:spacing w:after="0" w:line="184" w:lineRule="exact"/>
        <w:rPr>
          <w:rFonts w:ascii="Arial" w:cs="Arial" w:eastAsia="Arial" w:hAnsi="Arial"/>
          <w:sz w:val="21"/>
          <w:szCs w:val="21"/>
          <w:color w:val="auto"/>
        </w:rPr>
      </w:pPr>
    </w:p>
    <w:p>
      <w:pPr>
        <w:ind w:right="120" w:firstLine="656"/>
        <w:spacing w:after="0" w:line="250" w:lineRule="auto"/>
        <w:tabs>
          <w:tab w:leader="none" w:pos="1285"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Timing of Issuance of Additional Common Stock Upon Certain Adjustments</w:t>
      </w:r>
      <w:r>
        <w:rPr>
          <w:rFonts w:ascii="Arial" w:cs="Arial" w:eastAsia="Arial" w:hAnsi="Arial"/>
          <w:sz w:val="22"/>
          <w:szCs w:val="22"/>
          <w:color w:val="auto"/>
        </w:rPr>
        <w:t>. In any case in which the provisions of this Section 13 shall require that an adjustment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14" w:right="359" w:bottom="1440" w:gutter="0" w:footer="0" w:header="0"/>
        </w:sectPr>
      </w:pPr>
    </w:p>
    <w:bookmarkStart w:id="153" w:name="page154"/>
    <w:bookmarkEnd w:id="153"/>
    <w:p>
      <w:pPr>
        <w:ind w:right="20"/>
        <w:spacing w:after="0" w:line="277" w:lineRule="auto"/>
        <w:rPr>
          <w:sz w:val="20"/>
          <w:szCs w:val="20"/>
          <w:color w:val="auto"/>
        </w:rPr>
      </w:pPr>
      <w:r>
        <w:rPr>
          <w:rFonts w:ascii="Arial" w:cs="Arial" w:eastAsia="Arial" w:hAnsi="Arial"/>
          <w:sz w:val="19"/>
          <w:szCs w:val="19"/>
          <w:color w:val="auto"/>
        </w:rPr>
        <w:t xml:space="preserve">effective immediately after a record date for an event, the Company may defer until the occurrence of such event (i) issuing to the Warrantholder of this Warrant exercised after such record date and before the occurrence of such event the additional shares of Common Stock issuable upon such exercise by reason of the adjustment required by such event over and above the shares of Common Stock issuable upon such exercise before giving effect to such adjustment and (ii) paying to such Warrantholder any amount of cash in lieu of a fractional share of Common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upon request shall deliver to such Warrantholder a due bill or other appropriate instrument evidencing such Warrantholder’s right to receive such additional shares, and such cash, upon the occurrence of the event requiring such adjustment.</w:t>
      </w:r>
    </w:p>
    <w:p>
      <w:pPr>
        <w:spacing w:after="0" w:line="152" w:lineRule="exact"/>
        <w:rPr>
          <w:sz w:val="20"/>
          <w:szCs w:val="20"/>
          <w:color w:val="auto"/>
        </w:rPr>
      </w:pPr>
    </w:p>
    <w:p>
      <w:pPr>
        <w:ind w:firstLine="656"/>
        <w:spacing w:after="0" w:line="246" w:lineRule="auto"/>
        <w:tabs>
          <w:tab w:leader="none" w:pos="1285"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Other Events</w:t>
      </w:r>
      <w:r>
        <w:rPr>
          <w:rFonts w:ascii="Arial" w:cs="Arial" w:eastAsia="Arial" w:hAnsi="Arial"/>
          <w:sz w:val="21"/>
          <w:szCs w:val="21"/>
          <w:color w:val="auto"/>
        </w:rPr>
        <w:t>. For so long as the Original Warrantholder holds this Warrant or any portion thereof, if any event occurs as to which the provisions of this Section 13 are not strictly applicable or, if strictly applicable, would not, in the good faith judgment of the Board of Directors of the Company, fairly and adequately protect the purchase rights of the Warrants in accordance with the essential intent and principles of such provisions, then the Board of Directors shall make such adjustments in the application of such provisions, in accordance with such essential intent and principles, as shall be reasonably necessary, in the good faith opinion of the Board of Directors, to protect such purchase rights as aforesaid. The Exercise Price or the number of Warrant Shares shall not be adjusted in the event of a change in the par value of the Common Stock or a change in the jurisdiction of incorporation of the Company.</w:t>
      </w:r>
    </w:p>
    <w:p>
      <w:pPr>
        <w:spacing w:after="0" w:line="179" w:lineRule="exact"/>
        <w:rPr>
          <w:rFonts w:ascii="Arial" w:cs="Arial" w:eastAsia="Arial" w:hAnsi="Arial"/>
          <w:sz w:val="21"/>
          <w:szCs w:val="21"/>
          <w:color w:val="auto"/>
        </w:rPr>
      </w:pPr>
    </w:p>
    <w:p>
      <w:pPr>
        <w:ind w:right="160" w:firstLine="656"/>
        <w:spacing w:after="0" w:line="282" w:lineRule="auto"/>
        <w:tabs>
          <w:tab w:leader="none" w:pos="1296"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Statement Regarding Adjustments</w:t>
      </w:r>
      <w:r>
        <w:rPr>
          <w:rFonts w:ascii="Arial" w:cs="Arial" w:eastAsia="Arial" w:hAnsi="Arial"/>
          <w:sz w:val="19"/>
          <w:szCs w:val="19"/>
          <w:color w:val="auto"/>
        </w:rPr>
        <w:t>. Whenever the Exercise Price or the number of Warrant Shares shall be adjusted as provided in Section 13, the Company shall forthwith file at the principal office of the Company a statement showing in reasonable detail the facts requiring such adjustment and the Exercise Price that shall be in effect and the number of Warrant Shares after such adjustment, and the Company shall also cause a copy of such statement to be sent by mail, first class postage prepaid, to each Warrantholder at the address appearing in the Company’s records.</w:t>
      </w:r>
    </w:p>
    <w:p>
      <w:pPr>
        <w:spacing w:after="0" w:line="147" w:lineRule="exact"/>
        <w:rPr>
          <w:rFonts w:ascii="Arial" w:cs="Arial" w:eastAsia="Arial" w:hAnsi="Arial"/>
          <w:sz w:val="19"/>
          <w:szCs w:val="19"/>
          <w:color w:val="auto"/>
        </w:rPr>
      </w:pPr>
    </w:p>
    <w:p>
      <w:pPr>
        <w:ind w:firstLine="656"/>
        <w:spacing w:after="0" w:line="273" w:lineRule="auto"/>
        <w:tabs>
          <w:tab w:leader="none" w:pos="129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Notice of Adjustment Event</w:t>
      </w:r>
      <w:r>
        <w:rPr>
          <w:rFonts w:ascii="Arial" w:cs="Arial" w:eastAsia="Arial" w:hAnsi="Arial"/>
          <w:sz w:val="19"/>
          <w:szCs w:val="19"/>
          <w:color w:val="auto"/>
        </w:rPr>
        <w:t>. In the event that the Company shall propose to take any action of the type described in this Section 13 (but only if the action of the type described in this Section 13 would result in an adjustment in the Exercise Price or the number of Warrant Shares or a change in the type of securities or property to be delivered upon exercise of this Warrant), the Company shall give notice to the Warrantholder, in the manner set forth in Section 13(J),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10 days prior to the date so fixed, and in case of all other action, such notice shall be given at least 15 days prior to the taking of such proposed action. Failure to give such notice, or any defect therein, shall not affect the legality or validity of any such action.</w:t>
      </w:r>
    </w:p>
    <w:p>
      <w:pPr>
        <w:spacing w:after="0" w:line="160" w:lineRule="exact"/>
        <w:rPr>
          <w:rFonts w:ascii="Arial" w:cs="Arial" w:eastAsia="Arial" w:hAnsi="Arial"/>
          <w:sz w:val="19"/>
          <w:szCs w:val="19"/>
          <w:color w:val="auto"/>
        </w:rPr>
      </w:pPr>
    </w:p>
    <w:p>
      <w:pPr>
        <w:ind w:right="560" w:firstLine="656"/>
        <w:spacing w:after="0" w:line="250" w:lineRule="auto"/>
        <w:tabs>
          <w:tab w:leader="none" w:pos="1285"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Proceedings Prior to Any Action Requiring Adjustment</w:t>
      </w:r>
      <w:r>
        <w:rPr>
          <w:rFonts w:ascii="Arial" w:cs="Arial" w:eastAsia="Arial" w:hAnsi="Arial"/>
          <w:sz w:val="22"/>
          <w:szCs w:val="22"/>
          <w:color w:val="auto"/>
        </w:rPr>
        <w:t>. As a condition precedent to the taking of any action which would require an adjustment pursuant to this Section 13,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4" w:right="339" w:bottom="1440" w:gutter="0" w:footer="0" w:header="0"/>
        </w:sectPr>
      </w:pPr>
    </w:p>
    <w:bookmarkStart w:id="154" w:name="page155"/>
    <w:bookmarkEnd w:id="154"/>
    <w:p>
      <w:pPr>
        <w:spacing w:after="0" w:line="252" w:lineRule="auto"/>
        <w:rPr>
          <w:sz w:val="20"/>
          <w:szCs w:val="20"/>
          <w:color w:val="auto"/>
        </w:rPr>
      </w:pPr>
      <w:r>
        <w:rPr>
          <w:rFonts w:ascii="Arial" w:cs="Arial" w:eastAsia="Arial" w:hAnsi="Arial"/>
          <w:sz w:val="21"/>
          <w:szCs w:val="21"/>
          <w:color w:val="auto"/>
        </w:rPr>
        <w:t>Company shall take any action which may be necessary, including obtaining regulatory, New York Stock Exchange, NASDAQ Stock Market or other applicable national securities exchange or stockholder approvals or exemptions, as applicable, in order that the Company may thereafter validly and legally issue as fully paid and nonassessable all shares of Common Stock that the Warrantholder is entitled to receive upon exercise of this Warrant pursuant to this Section 13.</w:t>
      </w:r>
    </w:p>
    <w:p>
      <w:pPr>
        <w:spacing w:after="0" w:line="174" w:lineRule="exact"/>
        <w:rPr>
          <w:sz w:val="20"/>
          <w:szCs w:val="20"/>
          <w:color w:val="auto"/>
        </w:rPr>
      </w:pPr>
    </w:p>
    <w:p>
      <w:pPr>
        <w:ind w:right="40" w:firstLine="656"/>
        <w:spacing w:after="0" w:line="238" w:lineRule="auto"/>
        <w:tabs>
          <w:tab w:leader="none" w:pos="1288"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Adjustment Rules</w:t>
      </w:r>
      <w:r>
        <w:rPr>
          <w:rFonts w:ascii="Arial" w:cs="Arial" w:eastAsia="Arial" w:hAnsi="Arial"/>
          <w:sz w:val="22"/>
          <w:szCs w:val="22"/>
          <w:color w:val="auto"/>
        </w:rPr>
        <w:t>. Any adjustments pursuant to this Section 13 shall be made successively whenever an event referred to herein shall occur. If an adjustment in Exercise Price made hereunder would reduce the Exercise Price to an amount below par value of the Common Stock, then such adjustment in Exercise Price made hereunder shall reduce the Exercise Price to the par value of the Common Stock.</w:t>
      </w:r>
    </w:p>
    <w:p>
      <w:pPr>
        <w:spacing w:after="0" w:line="198" w:lineRule="exact"/>
        <w:rPr>
          <w:sz w:val="20"/>
          <w:szCs w:val="20"/>
          <w:color w:val="auto"/>
        </w:rPr>
      </w:pPr>
    </w:p>
    <w:p>
      <w:pPr>
        <w:ind w:right="260" w:firstLine="656"/>
        <w:spacing w:after="0" w:line="263" w:lineRule="auto"/>
        <w:tabs>
          <w:tab w:leader="none" w:pos="1296"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No Impairment</w:t>
      </w:r>
      <w:r>
        <w:rPr>
          <w:rFonts w:ascii="Arial" w:cs="Arial" w:eastAsia="Arial" w:hAnsi="Arial"/>
          <w:sz w:val="21"/>
          <w:szCs w:val="21"/>
          <w:color w:val="auto"/>
        </w:rPr>
        <w:t>. The Company will not, by amendment of its Charter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taking of all such action as may be necessary or appropriate in order to protect the rights of the Warrantholder.</w:t>
      </w:r>
    </w:p>
    <w:p>
      <w:pPr>
        <w:spacing w:after="0" w:line="169" w:lineRule="exact"/>
        <w:rPr>
          <w:rFonts w:ascii="Arial" w:cs="Arial" w:eastAsia="Arial" w:hAnsi="Arial"/>
          <w:sz w:val="21"/>
          <w:szCs w:val="21"/>
          <w:color w:val="auto"/>
        </w:rPr>
      </w:pPr>
    </w:p>
    <w:p>
      <w:pPr>
        <w:ind w:left="1300" w:hanging="644"/>
        <w:spacing w:after="0"/>
        <w:tabs>
          <w:tab w:leader="none" w:pos="130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w:t>
      </w:r>
      <w:r>
        <w:rPr>
          <w:rFonts w:ascii="Arial" w:cs="Arial" w:eastAsia="Arial" w:hAnsi="Arial"/>
          <w:sz w:val="19"/>
          <w:szCs w:val="19"/>
          <w:b w:val="1"/>
          <w:bCs w:val="1"/>
          <w:color w:val="auto"/>
        </w:rPr>
        <w:t>This Warrant will be governed by and construed in accordance with the federal law of the</w:t>
      </w:r>
    </w:p>
    <w:p>
      <w:pPr>
        <w:spacing w:after="0" w:line="61" w:lineRule="exact"/>
        <w:rPr>
          <w:rFonts w:ascii="Arial" w:cs="Arial" w:eastAsia="Arial" w:hAnsi="Arial"/>
          <w:sz w:val="19"/>
          <w:szCs w:val="19"/>
          <w:color w:val="auto"/>
        </w:rPr>
      </w:pPr>
    </w:p>
    <w:p>
      <w:pPr>
        <w:spacing w:after="0" w:line="256" w:lineRule="auto"/>
        <w:rPr>
          <w:rFonts w:ascii="Arial" w:cs="Arial" w:eastAsia="Arial" w:hAnsi="Arial"/>
          <w:sz w:val="19"/>
          <w:szCs w:val="19"/>
          <w:color w:val="auto"/>
        </w:rPr>
      </w:pPr>
      <w:r>
        <w:rPr>
          <w:rFonts w:ascii="Arial" w:cs="Arial" w:eastAsia="Arial" w:hAnsi="Arial"/>
          <w:sz w:val="21"/>
          <w:szCs w:val="21"/>
          <w:b w:val="1"/>
          <w:bCs w:val="1"/>
          <w:color w:val="auto"/>
        </w:rPr>
        <w:t>United States if and to the extent such law is applicable, and otherwise in accordance with the laws of the State of New York applicable to contracts made and to be performed entirely within such State. Each of the Company and the Warrantholder agrees (a) to submit to the exclusive jurisdiction and venue of the United States District Court for the District of Columbia for any civil action, suit or proceeding arising out of or relating to this Warrant or the transactions contemplated hereby, and (b) that notice may be served upon the Company at the address in Section 19 below and upon the Warrantholder at the address for the Warrantholder set forth in the registry maintained by the Company pursuant to Section 9 hereof. To the extent permitted by applicable law, each of the Company and the Warrantholder hereby unconditionally waives trial by jury in any civil legal action or proceeding relating to the Warrant or the transactions contemplated hereby or thereby.</w:t>
      </w:r>
    </w:p>
    <w:p>
      <w:pPr>
        <w:spacing w:after="0" w:line="188" w:lineRule="exact"/>
        <w:rPr>
          <w:rFonts w:ascii="Arial" w:cs="Arial" w:eastAsia="Arial" w:hAnsi="Arial"/>
          <w:sz w:val="19"/>
          <w:szCs w:val="19"/>
          <w:color w:val="auto"/>
        </w:rPr>
      </w:pPr>
    </w:p>
    <w:p>
      <w:pPr>
        <w:ind w:left="1300" w:hanging="644"/>
        <w:spacing w:after="0"/>
        <w:tabs>
          <w:tab w:leader="none" w:pos="130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Warrant shall be binding upon any successors or assigns of the Company.</w:t>
      </w:r>
    </w:p>
    <w:p>
      <w:pPr>
        <w:spacing w:after="0" w:line="219" w:lineRule="exact"/>
        <w:rPr>
          <w:rFonts w:ascii="Arial" w:cs="Arial" w:eastAsia="Arial" w:hAnsi="Arial"/>
          <w:sz w:val="22"/>
          <w:szCs w:val="22"/>
          <w:color w:val="auto"/>
        </w:rPr>
      </w:pPr>
    </w:p>
    <w:p>
      <w:pPr>
        <w:ind w:right="80" w:firstLine="656"/>
        <w:spacing w:after="0" w:line="263"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Warrant may be amended and the observance of any term of this Warrant may be waived only with the written consent of the Company and the Warrantholder.</w:t>
      </w:r>
    </w:p>
    <w:p>
      <w:pPr>
        <w:spacing w:after="0" w:line="174" w:lineRule="exact"/>
        <w:rPr>
          <w:rFonts w:ascii="Arial" w:cs="Arial" w:eastAsia="Arial" w:hAnsi="Arial"/>
          <w:sz w:val="22"/>
          <w:szCs w:val="22"/>
          <w:color w:val="auto"/>
        </w:rPr>
      </w:pPr>
    </w:p>
    <w:p>
      <w:pPr>
        <w:ind w:right="40" w:firstLine="656"/>
        <w:spacing w:after="0" w:line="248"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Prohibited Actions</w:t>
      </w:r>
      <w:r>
        <w:rPr>
          <w:rFonts w:ascii="Arial" w:cs="Arial" w:eastAsia="Arial" w:hAnsi="Arial"/>
          <w:sz w:val="22"/>
          <w:szCs w:val="22"/>
          <w:color w:val="auto"/>
        </w:rPr>
        <w:t>. The Company agrees that it will not take any action which would entitle the Warrantholder to an adjustment of the Exercise Price if the total number of shares of Common Stock issuable after such action upon exercise of this Warrant, together with all shares of Common Stock then outstanding and all shares of Common Stock then issuable upon the exercise of all outstanding options, warrants, conversion and other rights, would exceed the total number of shares of Common Stock then authorized by its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00"/>
          </w:cols>
          <w:pgMar w:left="320" w:top="1414" w:right="379" w:bottom="1440" w:gutter="0" w:footer="0" w:header="0"/>
        </w:sectPr>
      </w:pPr>
    </w:p>
    <w:bookmarkStart w:id="155" w:name="page156"/>
    <w:bookmarkEnd w:id="155"/>
    <w:p>
      <w:pPr>
        <w:ind w:left="-60" w:firstLine="656"/>
        <w:spacing w:after="0" w:line="263" w:lineRule="auto"/>
        <w:tabs>
          <w:tab w:leader="none" w:pos="1236"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request, instruction or other document to be given hereunder by any party to the other will be in writing and will be deemed to have been duly given (a) on the date of delivery if delivered personally, or by facsimile, upon confirmation of receipt, or (b) on the second Business Day following the date of dispatch if delivered by a recognized next day courier service. All notices hereunder shall be delivered as set forth in Item 7 of Schedule A hereto, or pursuant to such other instructions as may be designated in writing by the party to receive such notice.</w:t>
      </w:r>
    </w:p>
    <w:p>
      <w:pPr>
        <w:spacing w:after="0" w:line="175" w:lineRule="exact"/>
        <w:rPr>
          <w:rFonts w:ascii="Arial" w:cs="Arial" w:eastAsia="Arial" w:hAnsi="Arial"/>
          <w:sz w:val="21"/>
          <w:szCs w:val="21"/>
          <w:color w:val="auto"/>
        </w:rPr>
      </w:pPr>
    </w:p>
    <w:p>
      <w:pPr>
        <w:ind w:left="-60" w:right="120" w:firstLine="656"/>
        <w:spacing w:after="0" w:line="250" w:lineRule="auto"/>
        <w:tabs>
          <w:tab w:leader="none" w:pos="1236"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Warrant, the forms attached hereto and Schedule A hereto (the terms of which are incorporated by reference herein), and the Warrant Agreement (including all documents incorporated therein), contain the entire agreement between the parties with respect to the subject matter hereof and supersede all prior and contemporaneous arrangements or undertakings with respect thereto.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120"/>
          </w:cols>
          <w:pgMar w:left="380" w:top="1428" w:right="399" w:bottom="1440" w:gutter="0" w:footer="0" w:header="0"/>
        </w:sectPr>
      </w:pPr>
    </w:p>
    <w:bookmarkStart w:id="156" w:name="page157"/>
    <w:bookmarkEnd w:id="156"/>
    <w:p>
      <w:pPr>
        <w:ind w:left="4320"/>
        <w:spacing w:after="0"/>
        <w:rPr>
          <w:sz w:val="20"/>
          <w:szCs w:val="20"/>
          <w:color w:val="auto"/>
        </w:rPr>
      </w:pPr>
      <w:r>
        <w:rPr>
          <w:rFonts w:ascii="Arial" w:cs="Arial" w:eastAsia="Arial" w:hAnsi="Arial"/>
          <w:sz w:val="22"/>
          <w:szCs w:val="22"/>
          <w:b w:val="1"/>
          <w:bCs w:val="1"/>
          <w:color w:val="auto"/>
        </w:rPr>
        <w:t>[Form of Notice of Exercise]</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-29210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b w:val="1"/>
          <w:bCs w:val="1"/>
          <w:color w:val="auto"/>
        </w:rPr>
        <w:t>American Airlines Group Inc.</w:t>
      </w: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Exercise of Warrant</w:t>
      </w:r>
    </w:p>
    <w:p>
      <w:pPr>
        <w:spacing w:after="0" w:line="220"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undersigned, pursuant to the provisions set forth in the attached Warrant, hereby notifies the Company of its intention to exercise its option with respect to the number of shares of the Common Stock set forth below covered by such Warrant. Pursuant to Section 4 of the Warrant, the undersigned acknowledges that the Company may settle this exercise in net cash or shares. Cash to be paid pursuant to a Net Cash Settlement or payment of fractional shares in connection with a Net Share Settlement should be deposited to the account of the Warrantholder set forth below. Common Stock to be delivered pursuant to a Net Share Settlement shall be delivered to the Warrantholder as indicated below. A new warrant evidencing the remaining shares of Common Stock covered by such Warrant, but not yet subscribed for and purchased, if any, should be issued in the name set forth below.</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Number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-17780</wp:posOffset>
            </wp:positionV>
            <wp:extent cx="137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Aggregate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-17780</wp:posOffset>
            </wp:positionV>
            <wp:extent cx="137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Address for Delivery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-17780</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Wire Instructions:</w:t>
      </w:r>
    </w:p>
    <w:p>
      <w:pPr>
        <w:sectPr>
          <w:pgSz w:w="11900" w:h="16838" w:orient="portrait"/>
          <w:cols w:equalWidth="0" w:num="1">
            <w:col w:w="11200"/>
          </w:cols>
          <w:pgMar w:left="320" w:top="1422" w:right="379" w:bottom="1440" w:gutter="0" w:footer="0" w:header="0"/>
        </w:sect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Proceeds to be delivered:</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Bank: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City/ State of Bank: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Number of Bank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SWIFT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Account: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Account Number at Bank:</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820" w:lineRule="exact"/>
        <w:rPr>
          <w:sz w:val="20"/>
          <w:szCs w:val="20"/>
          <w:color w:val="auto"/>
        </w:rPr>
      </w:pPr>
    </w:p>
    <w:p>
      <w:pPr>
        <w:sectPr>
          <w:pgSz w:w="11900" w:h="16838" w:orient="portrait"/>
          <w:cols w:equalWidth="0" w:num="2">
            <w:col w:w="2840" w:space="640"/>
            <w:col w:w="7720"/>
          </w:cols>
          <w:pgMar w:left="320" w:top="1422" w:right="37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Securities to be issued to:</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color w:val="auto"/>
        </w:rPr>
        <w:t>If in book-entry form through the Depositary:</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22"/>
          <w:szCs w:val="22"/>
          <w:color w:val="auto"/>
        </w:rPr>
        <w:t>Depositary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15875</wp:posOffset>
            </wp:positionV>
            <wp:extent cx="32143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8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Name of Agent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15875</wp:posOffset>
            </wp:positionV>
            <wp:extent cx="32143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If in certificated form:</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Social Security Number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37465</wp:posOffset>
            </wp:positionV>
            <wp:extent cx="32143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ectPr>
          <w:pgSz w:w="11900" w:h="16838" w:orient="portrait"/>
          <w:cols w:equalWidth="0" w:num="1">
            <w:col w:w="11200"/>
          </w:cols>
          <w:pgMar w:left="320" w:top="1422" w:right="379" w:bottom="1440" w:gutter="0" w:footer="0" w:header="0"/>
          <w:type w:val="continuous"/>
        </w:sectPr>
      </w:pPr>
    </w:p>
    <w:bookmarkStart w:id="157" w:name="page158"/>
    <w:bookmarkEnd w:id="157"/>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4125595</wp:posOffset>
            </wp:positionH>
            <wp:positionV relativeFrom="page">
              <wp:posOffset>929005</wp:posOffset>
            </wp:positionV>
            <wp:extent cx="32143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15875</wp:posOffset>
            </wp:positionV>
            <wp:extent cx="32143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15875</wp:posOffset>
            </wp:positionV>
            <wp:extent cx="32143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15875</wp:posOffset>
            </wp:positionV>
            <wp:extent cx="32143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Any unexercised Warrants evidenced by the exercising Warrantholder’s interest in the Warrant:</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Social Security Number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15875</wp:posOffset>
            </wp:positionV>
            <wp:extent cx="32143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15875</wp:posOffset>
            </wp:positionV>
            <wp:extent cx="32143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15875</wp:posOffset>
            </wp:positionV>
            <wp:extent cx="32143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15875</wp:posOffset>
            </wp:positionV>
            <wp:extent cx="32143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-17780</wp:posOffset>
            </wp:positionV>
            <wp:extent cx="274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 w:lineRule="exact"/>
        <w:rPr>
          <w:sz w:val="20"/>
          <w:szCs w:val="20"/>
          <w:color w:val="auto"/>
        </w:rPr>
      </w:pPr>
    </w:p>
    <w:p>
      <w:pPr>
        <w:ind w:left="3880"/>
        <w:spacing w:after="0"/>
        <w:tabs>
          <w:tab w:leader="none" w:pos="4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6"/>
          <w:szCs w:val="16"/>
          <w:color w:val="auto"/>
        </w:rPr>
        <w:t>____________________________</w:t>
      </w:r>
    </w:p>
    <w:p>
      <w:pPr>
        <w:spacing w:after="0" w:line="4" w:lineRule="exact"/>
        <w:rPr>
          <w:sz w:val="20"/>
          <w:szCs w:val="20"/>
          <w:color w:val="auto"/>
        </w:rPr>
      </w:pPr>
    </w:p>
    <w:p>
      <w:pPr>
        <w:ind w:left="388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6"/>
          <w:szCs w:val="16"/>
          <w:color w:val="auto"/>
        </w:rPr>
        <w:t>___________________________</w:t>
      </w:r>
    </w:p>
    <w:p>
      <w:pPr>
        <w:spacing w:after="0" w:line="4" w:lineRule="exact"/>
        <w:rPr>
          <w:sz w:val="20"/>
          <w:szCs w:val="20"/>
          <w:color w:val="auto"/>
        </w:rPr>
      </w:pPr>
    </w:p>
    <w:p>
      <w:pPr>
        <w:ind w:left="388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6"/>
          <w:szCs w:val="16"/>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119"/>
          </w:cols>
          <w:pgMar w:left="340" w:top="1440" w:right="1440" w:bottom="1440" w:gutter="0" w:footer="0" w:header="0"/>
        </w:sectPr>
      </w:pPr>
    </w:p>
    <w:bookmarkStart w:id="158" w:name="page159"/>
    <w:bookmarkEnd w:id="158"/>
    <w:p>
      <w:pPr>
        <w:ind w:firstLine="648"/>
        <w:spacing w:after="0" w:line="445" w:lineRule="auto"/>
        <w:rPr>
          <w:sz w:val="20"/>
          <w:szCs w:val="20"/>
          <w:color w:val="auto"/>
        </w:rPr>
      </w:pPr>
      <w:r>
        <w:rPr>
          <w:rFonts w:ascii="Arial" w:cs="Arial" w:eastAsia="Arial" w:hAnsi="Arial"/>
          <w:sz w:val="22"/>
          <w:szCs w:val="22"/>
          <w:color w:val="auto"/>
        </w:rPr>
        <w:t>IN WITNESS WHEREOF, the Company has caused this Warrant to be duly executed by a duly authorized officer. Dated: [</w:t>
      </w:r>
      <w:r>
        <w:rPr>
          <w:rFonts w:ascii="Arial" w:cs="Arial" w:eastAsia="Arial" w:hAnsi="Arial"/>
          <w:sz w:val="22"/>
          <w:szCs w:val="22"/>
          <w:b w:val="1"/>
          <w:bCs w:val="1"/>
          <w:color w:val="auto"/>
        </w:rPr>
        <w:t>•</w:t>
      </w:r>
      <w:r>
        <w:rPr>
          <w:rFonts w:ascii="Arial" w:cs="Arial" w:eastAsia="Arial" w:hAnsi="Arial"/>
          <w:sz w:val="22"/>
          <w:szCs w:val="22"/>
          <w:color w:val="auto"/>
        </w:rPr>
        <w:t>], 2021</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17"/>
          <w:szCs w:val="17"/>
          <w:b w:val="1"/>
          <w:bCs w:val="1"/>
          <w:color w:val="auto"/>
        </w:rPr>
        <w:t>AMERICAN AIRLINES GROUP INC.</w:t>
      </w:r>
    </w:p>
    <w:p>
      <w:pPr>
        <w:spacing w:after="0" w:line="200" w:lineRule="exact"/>
        <w:rPr>
          <w:sz w:val="20"/>
          <w:szCs w:val="20"/>
          <w:color w:val="auto"/>
        </w:rPr>
      </w:pPr>
    </w:p>
    <w:p>
      <w:pPr>
        <w:spacing w:after="0" w:line="24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6"/>
          <w:szCs w:val="16"/>
          <w:color w:val="auto"/>
        </w:rPr>
        <w:t>______________________________</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Meghan B. Montana</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Attest:</w:t>
      </w:r>
    </w:p>
    <w:p>
      <w:pPr>
        <w:spacing w:after="0" w:line="200" w:lineRule="exact"/>
        <w:rPr>
          <w:sz w:val="20"/>
          <w:szCs w:val="20"/>
          <w:color w:val="auto"/>
        </w:rPr>
      </w:pPr>
    </w:p>
    <w:p>
      <w:pPr>
        <w:spacing w:after="0" w:line="24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6"/>
          <w:szCs w:val="16"/>
          <w:color w:val="auto"/>
        </w:rPr>
        <w:t>______________________________</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Derek J. Kerr</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 Executive Vice President and Chief Financial Officer</w:t>
      </w:r>
    </w:p>
    <w:p>
      <w:pPr>
        <w:spacing w:after="0" w:line="200" w:lineRule="exact"/>
        <w:rPr>
          <w:sz w:val="20"/>
          <w:szCs w:val="20"/>
          <w:color w:val="auto"/>
        </w:rPr>
      </w:pPr>
    </w:p>
    <w:p>
      <w:pPr>
        <w:spacing w:after="0" w:line="212"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[Signature Page to Warrant]</w:t>
      </w:r>
    </w:p>
    <w:p>
      <w:pPr>
        <w:sectPr>
          <w:pgSz w:w="11900" w:h="16838" w:orient="portrait"/>
          <w:cols w:equalWidth="0" w:num="1">
            <w:col w:w="10540"/>
          </w:cols>
          <w:pgMar w:left="320" w:top="1428" w:right="10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u w:val="single" w:color="auto"/>
          <w:color w:val="auto"/>
        </w:rPr>
        <w:t>Item 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American Airlines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Corporate or other organizational form: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Jurisdiction of organization: Delaware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2</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Exercise Price: $21.75</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Issue Date: [</w:t>
      </w:r>
      <w:r>
        <w:rPr>
          <w:rFonts w:ascii="Arial" w:cs="Arial" w:eastAsia="Arial" w:hAnsi="Arial"/>
          <w:sz w:val="22"/>
          <w:szCs w:val="22"/>
          <w:b w:val="1"/>
          <w:bCs w:val="1"/>
          <w:color w:val="auto"/>
        </w:rPr>
        <w:t>•</w:t>
      </w:r>
      <w:r>
        <w:rPr>
          <w:rFonts w:ascii="Arial" w:cs="Arial" w:eastAsia="Arial" w:hAnsi="Arial"/>
          <w:sz w:val="22"/>
          <w:szCs w:val="22"/>
          <w:color w:val="auto"/>
        </w:rPr>
        <w:t>], 2021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4</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Date of Warrant Agreement between the Company and the United States Department of the Treasury: April 23, 2021</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5</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of Common Stock: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6</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Company’s address:</w:t>
      </w:r>
    </w:p>
    <w:p>
      <w:pPr>
        <w:spacing w:after="0" w:line="202"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1 Skyview Drive</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Fort Worth, Texas, 76155</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7</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Notice information:</w:t>
      </w:r>
    </w:p>
    <w:p>
      <w:pPr>
        <w:spacing w:after="0" w:line="202"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1 Skyview Drive</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Fort Worth, Texas 76155</w:t>
      </w:r>
    </w:p>
    <w:p>
      <w:pPr>
        <w:spacing w:after="0" w:line="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Facsimile: ###</w:t>
      </w:r>
    </w:p>
    <w:p>
      <w:pPr>
        <w:spacing w:after="0" w:line="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Attention: Meghan B. Montana, Treasurer</w:t>
      </w:r>
    </w:p>
    <w:p>
      <w:pPr>
        <w:spacing w:after="0" w:line="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Telephone: ###</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22"/>
          <w:szCs w:val="22"/>
          <w:i w:val="1"/>
          <w:iCs w:val="1"/>
          <w:color w:val="auto"/>
        </w:rPr>
        <w:t>With copies to (which shall not constitute notice):</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Latham &amp; Watkins LLP</w:t>
      </w:r>
    </w:p>
    <w:p>
      <w:pPr>
        <w:spacing w:after="0" w:line="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140 Scott Drive</w:t>
      </w:r>
    </w:p>
    <w:p>
      <w:pPr>
        <w:spacing w:after="0" w:line="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Menlo Park, CA 94025</w:t>
      </w:r>
    </w:p>
    <w:p>
      <w:pPr>
        <w:spacing w:after="0" w:line="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Attention: Tony Richmond</w:t>
      </w:r>
    </w:p>
    <w:p>
      <w:pPr>
        <w:spacing w:after="0" w:line="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Facsimile: ###</w:t>
      </w:r>
    </w:p>
    <w:p>
      <w:pPr>
        <w:spacing w:after="0" w:line="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Email: ###</w:t>
      </w:r>
    </w:p>
    <w:p>
      <w:pPr>
        <w:sectPr>
          <w:pgSz w:w="11900" w:h="16838" w:orient="portrait"/>
          <w:cols w:equalWidth="0" w:num="1">
            <w:col w:w="10139"/>
          </w:cols>
          <w:pgMar w:left="320" w:top="1428"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b w:val="1"/>
          <w:bCs w:val="1"/>
          <w:color w:val="auto"/>
        </w:rPr>
        <w:t>SCHEDULE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WARRANT SHARES FORMULA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The number of Warrant Shares for which Warrants issued on each Warrant Closing Date shall be exercisable shall equal:</w:t>
      </w:r>
    </w:p>
    <w:p>
      <w:pPr>
        <w:spacing w:after="0" w:line="281" w:lineRule="exact"/>
        <w:rPr>
          <w:sz w:val="20"/>
          <w:szCs w:val="20"/>
          <w:color w:val="auto"/>
        </w:rPr>
      </w:pPr>
    </w:p>
    <w:p>
      <w:pPr>
        <w:ind w:left="980" w:right="140" w:hanging="648"/>
        <w:spacing w:after="0" w:line="263" w:lineRule="auto"/>
        <w:tabs>
          <w:tab w:leader="none" w:pos="96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On the Closing Date, the quotient of (x) the product of the principal amount of the Promissory Note multiplied </w:t>
      </w:r>
      <w:r>
        <w:rPr>
          <w:rFonts w:ascii="Arial" w:cs="Arial" w:eastAsia="Arial" w:hAnsi="Arial"/>
          <w:sz w:val="22"/>
          <w:szCs w:val="22"/>
          <w:i w:val="1"/>
          <w:iCs w:val="1"/>
          <w:color w:val="auto"/>
        </w:rPr>
        <w:t>by</w:t>
      </w:r>
      <w:r>
        <w:rPr>
          <w:rFonts w:ascii="Arial" w:cs="Arial" w:eastAsia="Arial" w:hAnsi="Arial"/>
          <w:sz w:val="22"/>
          <w:szCs w:val="22"/>
          <w:color w:val="auto"/>
        </w:rPr>
        <w:t xml:space="preserve"> 0.1 </w:t>
      </w:r>
      <w:r>
        <w:rPr>
          <w:rFonts w:ascii="Arial" w:cs="Arial" w:eastAsia="Arial" w:hAnsi="Arial"/>
          <w:sz w:val="22"/>
          <w:szCs w:val="22"/>
          <w:i w:val="1"/>
          <w:iCs w:val="1"/>
          <w:color w:val="auto"/>
        </w:rPr>
        <w:t xml:space="preserve">divided by </w:t>
      </w:r>
      <w:r>
        <w:rPr>
          <w:rFonts w:ascii="Arial" w:cs="Arial" w:eastAsia="Arial" w:hAnsi="Arial"/>
          <w:sz w:val="22"/>
          <w:szCs w:val="22"/>
          <w:color w:val="auto"/>
        </w:rPr>
        <w:t>(y) the Exercise Price (as defined in Annex B); and</w:t>
      </w:r>
    </w:p>
    <w:p>
      <w:pPr>
        <w:spacing w:after="0" w:line="201" w:lineRule="exact"/>
        <w:rPr>
          <w:rFonts w:ascii="Arial" w:cs="Arial" w:eastAsia="Arial" w:hAnsi="Arial"/>
          <w:sz w:val="22"/>
          <w:szCs w:val="22"/>
          <w:color w:val="auto"/>
        </w:rPr>
      </w:pPr>
    </w:p>
    <w:p>
      <w:pPr>
        <w:ind w:left="980" w:right="660" w:hanging="648"/>
        <w:spacing w:after="0" w:line="253" w:lineRule="auto"/>
        <w:tabs>
          <w:tab w:leader="none" w:pos="97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On each subsequent Warrant Closing Date, the quotient of (x) the product of the amount by which the principal amount of the Promissory Note is increased on such Warrant Closing Date multiplied </w:t>
      </w:r>
      <w:r>
        <w:rPr>
          <w:rFonts w:ascii="Arial" w:cs="Arial" w:eastAsia="Arial" w:hAnsi="Arial"/>
          <w:sz w:val="22"/>
          <w:szCs w:val="22"/>
          <w:i w:val="1"/>
          <w:iCs w:val="1"/>
          <w:color w:val="auto"/>
        </w:rPr>
        <w:t>by</w:t>
      </w:r>
      <w:r>
        <w:rPr>
          <w:rFonts w:ascii="Arial" w:cs="Arial" w:eastAsia="Arial" w:hAnsi="Arial"/>
          <w:sz w:val="22"/>
          <w:szCs w:val="22"/>
          <w:color w:val="auto"/>
        </w:rPr>
        <w:t xml:space="preserve"> 0.1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(y) the Exercise Price.</w:t>
      </w:r>
    </w:p>
    <w:p>
      <w:pPr>
        <w:sectPr>
          <w:pgSz w:w="11900" w:h="16838" w:orient="portrait"/>
          <w:cols w:equalWidth="0" w:num="1">
            <w:col w:w="11240"/>
          </w:cols>
          <w:pgMar w:left="320" w:top="1422"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80"/>
        </w:trPr>
        <w:tc>
          <w:tcPr>
            <w:tcW w:w="4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180" w:type="dxa"/>
            <w:vAlign w:val="bottom"/>
            <w:gridSpan w:val="2"/>
          </w:tcPr>
          <w:p>
            <w:pPr>
              <w:ind w:left="820"/>
              <w:spacing w:after="0"/>
              <w:rPr>
                <w:sz w:val="20"/>
                <w:szCs w:val="20"/>
                <w:color w:val="auto"/>
              </w:rPr>
            </w:pPr>
            <w:r>
              <w:rPr>
                <w:rFonts w:ascii="Arial" w:cs="Arial" w:eastAsia="Arial" w:hAnsi="Arial"/>
                <w:sz w:val="22"/>
                <w:szCs w:val="22"/>
                <w:b w:val="1"/>
                <w:bCs w:val="1"/>
                <w:color w:val="auto"/>
                <w:w w:val="96"/>
              </w:rPr>
              <w:t>SCHEDULE 2</w:t>
            </w:r>
          </w:p>
        </w:tc>
        <w:tc>
          <w:tcPr>
            <w:tcW w:w="0" w:type="dxa"/>
            <w:vAlign w:val="bottom"/>
          </w:tcPr>
          <w:p>
            <w:pPr>
              <w:spacing w:after="0"/>
              <w:rPr>
                <w:sz w:val="1"/>
                <w:szCs w:val="1"/>
                <w:color w:val="auto"/>
              </w:rPr>
            </w:pPr>
          </w:p>
        </w:tc>
      </w:tr>
      <w:tr>
        <w:trPr>
          <w:trHeight w:val="638"/>
        </w:trPr>
        <w:tc>
          <w:tcPr>
            <w:tcW w:w="4600" w:type="dxa"/>
            <w:vAlign w:val="bottom"/>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CAPITALIZATION</w:t>
            </w:r>
          </w:p>
        </w:tc>
        <w:tc>
          <w:tcPr>
            <w:tcW w:w="2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6480" w:type="dxa"/>
            <w:vAlign w:val="bottom"/>
            <w:gridSpan w:val="2"/>
          </w:tcPr>
          <w:p>
            <w:pPr>
              <w:spacing w:after="0"/>
              <w:rPr>
                <w:sz w:val="20"/>
                <w:szCs w:val="20"/>
                <w:color w:val="auto"/>
              </w:rPr>
            </w:pPr>
            <w:r>
              <w:rPr>
                <w:rFonts w:ascii="Arial" w:cs="Arial" w:eastAsia="Arial" w:hAnsi="Arial"/>
                <w:sz w:val="22"/>
                <w:szCs w:val="22"/>
                <w:b w:val="1"/>
                <w:bCs w:val="1"/>
                <w:color w:val="auto"/>
              </w:rPr>
              <w:t>Common Shares Authorized ($0.01 par value)</w:t>
            </w:r>
          </w:p>
        </w:tc>
        <w:tc>
          <w:tcPr>
            <w:tcW w:w="4440" w:type="dxa"/>
            <w:vAlign w:val="bottom"/>
            <w:gridSpan w:val="2"/>
          </w:tcPr>
          <w:p>
            <w:pPr>
              <w:jc w:val="right"/>
              <w:spacing w:after="0"/>
              <w:rPr>
                <w:sz w:val="20"/>
                <w:szCs w:val="20"/>
                <w:color w:val="auto"/>
              </w:rPr>
            </w:pPr>
            <w:r>
              <w:rPr>
                <w:rFonts w:ascii="Arial" w:cs="Arial" w:eastAsia="Arial" w:hAnsi="Arial"/>
                <w:sz w:val="22"/>
                <w:szCs w:val="22"/>
                <w:b w:val="1"/>
                <w:bCs w:val="1"/>
                <w:color w:val="auto"/>
              </w:rPr>
              <w:t>1,750,000,000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6480" w:type="dxa"/>
            <w:vAlign w:val="bottom"/>
            <w:gridSpan w:val="2"/>
          </w:tcPr>
          <w:p>
            <w:pPr>
              <w:spacing w:after="0"/>
              <w:rPr>
                <w:sz w:val="20"/>
                <w:szCs w:val="20"/>
                <w:color w:val="auto"/>
              </w:rPr>
            </w:pPr>
            <w:r>
              <w:rPr>
                <w:rFonts w:ascii="Arial" w:cs="Arial" w:eastAsia="Arial" w:hAnsi="Arial"/>
                <w:sz w:val="22"/>
                <w:szCs w:val="22"/>
                <w:color w:val="auto"/>
              </w:rPr>
              <w:t>Common Shares Outstanding</w:t>
            </w:r>
          </w:p>
        </w:tc>
        <w:tc>
          <w:tcPr>
            <w:tcW w:w="4440" w:type="dxa"/>
            <w:vAlign w:val="bottom"/>
            <w:gridSpan w:val="2"/>
          </w:tcPr>
          <w:p>
            <w:pPr>
              <w:jc w:val="right"/>
              <w:spacing w:after="0"/>
              <w:rPr>
                <w:sz w:val="20"/>
                <w:szCs w:val="20"/>
                <w:color w:val="auto"/>
              </w:rPr>
            </w:pPr>
            <w:r>
              <w:rPr>
                <w:rFonts w:ascii="Arial" w:cs="Arial" w:eastAsia="Arial" w:hAnsi="Arial"/>
                <w:sz w:val="22"/>
                <w:szCs w:val="22"/>
                <w:color w:val="auto"/>
              </w:rPr>
              <w:t>641,374,475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80" w:type="dxa"/>
            <w:vAlign w:val="bottom"/>
            <w:gridSpan w:val="2"/>
          </w:tcPr>
          <w:p>
            <w:pPr>
              <w:spacing w:after="0"/>
              <w:rPr>
                <w:sz w:val="20"/>
                <w:szCs w:val="20"/>
                <w:color w:val="auto"/>
              </w:rPr>
            </w:pPr>
            <w:r>
              <w:rPr>
                <w:rFonts w:ascii="Arial" w:cs="Arial" w:eastAsia="Arial" w:hAnsi="Arial"/>
                <w:sz w:val="22"/>
                <w:szCs w:val="22"/>
                <w:color w:val="auto"/>
              </w:rPr>
              <w:t>Restricted Stock Unit Awards Outstanding at Target</w:t>
            </w:r>
          </w:p>
        </w:tc>
        <w:tc>
          <w:tcPr>
            <w:tcW w:w="4440" w:type="dxa"/>
            <w:vAlign w:val="bottom"/>
            <w:gridSpan w:val="2"/>
          </w:tcPr>
          <w:p>
            <w:pPr>
              <w:jc w:val="right"/>
              <w:spacing w:after="0"/>
              <w:rPr>
                <w:sz w:val="20"/>
                <w:szCs w:val="20"/>
                <w:color w:val="auto"/>
              </w:rPr>
            </w:pPr>
            <w:r>
              <w:rPr>
                <w:rFonts w:ascii="Arial" w:cs="Arial" w:eastAsia="Arial" w:hAnsi="Arial"/>
                <w:sz w:val="22"/>
                <w:szCs w:val="22"/>
                <w:color w:val="auto"/>
              </w:rPr>
              <w:t>8,478,173</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80" w:type="dxa"/>
            <w:vAlign w:val="bottom"/>
            <w:gridSpan w:val="2"/>
          </w:tcPr>
          <w:p>
            <w:pPr>
              <w:spacing w:after="0"/>
              <w:rPr>
                <w:sz w:val="20"/>
                <w:szCs w:val="20"/>
                <w:color w:val="auto"/>
              </w:rPr>
            </w:pPr>
            <w:r>
              <w:rPr>
                <w:rFonts w:ascii="Arial" w:cs="Arial" w:eastAsia="Arial" w:hAnsi="Arial"/>
                <w:sz w:val="22"/>
                <w:szCs w:val="22"/>
                <w:color w:val="auto"/>
                <w:w w:val="96"/>
              </w:rPr>
              <w:t>Additional Restricted Stock Unit Awards Assuming Max Performance</w:t>
            </w:r>
          </w:p>
        </w:tc>
        <w:tc>
          <w:tcPr>
            <w:tcW w:w="4440" w:type="dxa"/>
            <w:vAlign w:val="bottom"/>
            <w:gridSpan w:val="2"/>
          </w:tcPr>
          <w:p>
            <w:pPr>
              <w:jc w:val="right"/>
              <w:spacing w:after="0"/>
              <w:rPr>
                <w:sz w:val="20"/>
                <w:szCs w:val="20"/>
                <w:color w:val="auto"/>
              </w:rPr>
            </w:pPr>
            <w:r>
              <w:rPr>
                <w:rFonts w:ascii="Arial" w:cs="Arial" w:eastAsia="Arial" w:hAnsi="Arial"/>
                <w:sz w:val="22"/>
                <w:szCs w:val="22"/>
                <w:color w:val="auto"/>
              </w:rPr>
              <w:t>887,412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80" w:type="dxa"/>
            <w:vAlign w:val="bottom"/>
            <w:gridSpan w:val="2"/>
          </w:tcPr>
          <w:p>
            <w:pPr>
              <w:spacing w:after="0"/>
              <w:rPr>
                <w:sz w:val="20"/>
                <w:szCs w:val="20"/>
                <w:color w:val="auto"/>
              </w:rPr>
            </w:pPr>
            <w:r>
              <w:rPr>
                <w:rFonts w:ascii="Arial" w:cs="Arial" w:eastAsia="Arial" w:hAnsi="Arial"/>
                <w:sz w:val="22"/>
                <w:szCs w:val="22"/>
                <w:color w:val="auto"/>
              </w:rPr>
              <w:t>PSP Warrants Issued</w:t>
            </w:r>
          </w:p>
        </w:tc>
        <w:tc>
          <w:tcPr>
            <w:tcW w:w="4440" w:type="dxa"/>
            <w:vAlign w:val="bottom"/>
            <w:gridSpan w:val="2"/>
          </w:tcPr>
          <w:p>
            <w:pPr>
              <w:jc w:val="right"/>
              <w:spacing w:after="0"/>
              <w:rPr>
                <w:sz w:val="20"/>
                <w:szCs w:val="20"/>
                <w:color w:val="auto"/>
              </w:rPr>
            </w:pPr>
            <w:r>
              <w:rPr>
                <w:rFonts w:ascii="Arial" w:cs="Arial" w:eastAsia="Arial" w:hAnsi="Arial"/>
                <w:sz w:val="22"/>
                <w:szCs w:val="22"/>
                <w:color w:val="auto"/>
              </w:rPr>
              <w:t>14,107,509</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80" w:type="dxa"/>
            <w:vAlign w:val="bottom"/>
            <w:gridSpan w:val="2"/>
          </w:tcPr>
          <w:p>
            <w:pPr>
              <w:spacing w:after="0"/>
              <w:rPr>
                <w:sz w:val="20"/>
                <w:szCs w:val="20"/>
                <w:color w:val="auto"/>
              </w:rPr>
            </w:pPr>
            <w:r>
              <w:rPr>
                <w:rFonts w:ascii="Arial" w:cs="Arial" w:eastAsia="Arial" w:hAnsi="Arial"/>
                <w:sz w:val="22"/>
                <w:szCs w:val="22"/>
                <w:color w:val="auto"/>
              </w:rPr>
              <w:t>PSP2 Warrants Issued</w:t>
            </w:r>
          </w:p>
        </w:tc>
        <w:tc>
          <w:tcPr>
            <w:tcW w:w="4440" w:type="dxa"/>
            <w:vAlign w:val="bottom"/>
            <w:gridSpan w:val="2"/>
          </w:tcPr>
          <w:p>
            <w:pPr>
              <w:jc w:val="right"/>
              <w:spacing w:after="0"/>
              <w:rPr>
                <w:sz w:val="20"/>
                <w:szCs w:val="20"/>
                <w:color w:val="auto"/>
              </w:rPr>
            </w:pPr>
            <w:r>
              <w:rPr>
                <w:rFonts w:ascii="Arial" w:cs="Arial" w:eastAsia="Arial" w:hAnsi="Arial"/>
                <w:sz w:val="22"/>
                <w:szCs w:val="22"/>
                <w:color w:val="auto"/>
              </w:rPr>
              <w:t>5,721,751</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80" w:type="dxa"/>
            <w:vAlign w:val="bottom"/>
            <w:gridSpan w:val="2"/>
          </w:tcPr>
          <w:p>
            <w:pPr>
              <w:spacing w:after="0"/>
              <w:rPr>
                <w:sz w:val="20"/>
                <w:szCs w:val="20"/>
                <w:color w:val="auto"/>
              </w:rPr>
            </w:pPr>
            <w:r>
              <w:rPr>
                <w:rFonts w:ascii="Arial" w:cs="Arial" w:eastAsia="Arial" w:hAnsi="Arial"/>
                <w:sz w:val="22"/>
                <w:szCs w:val="22"/>
                <w:color w:val="auto"/>
              </w:rPr>
              <w:t>Treasury Loan Warrants Issued</w:t>
            </w:r>
          </w:p>
        </w:tc>
        <w:tc>
          <w:tcPr>
            <w:tcW w:w="4440" w:type="dxa"/>
            <w:vAlign w:val="bottom"/>
            <w:gridSpan w:val="2"/>
          </w:tcPr>
          <w:p>
            <w:pPr>
              <w:jc w:val="right"/>
              <w:spacing w:after="0"/>
              <w:rPr>
                <w:sz w:val="20"/>
                <w:szCs w:val="20"/>
                <w:color w:val="auto"/>
              </w:rPr>
            </w:pPr>
            <w:r>
              <w:rPr>
                <w:rFonts w:ascii="Arial" w:cs="Arial" w:eastAsia="Arial" w:hAnsi="Arial"/>
                <w:sz w:val="22"/>
                <w:szCs w:val="22"/>
                <w:color w:val="auto"/>
              </w:rPr>
              <w:t>4,396,483</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480" w:type="dxa"/>
            <w:vAlign w:val="bottom"/>
            <w:gridSpan w:val="2"/>
          </w:tcPr>
          <w:p>
            <w:pPr>
              <w:spacing w:after="0"/>
              <w:rPr>
                <w:sz w:val="20"/>
                <w:szCs w:val="20"/>
                <w:color w:val="auto"/>
              </w:rPr>
            </w:pPr>
            <w:r>
              <w:rPr>
                <w:rFonts w:ascii="Arial" w:cs="Arial" w:eastAsia="Arial" w:hAnsi="Arial"/>
                <w:sz w:val="22"/>
                <w:szCs w:val="22"/>
                <w:color w:val="auto"/>
              </w:rPr>
              <w:t>Convertible Debt (assuming maximum conversion)</w:t>
            </w:r>
          </w:p>
        </w:tc>
        <w:tc>
          <w:tcPr>
            <w:tcW w:w="2500" w:type="dxa"/>
            <w:vAlign w:val="bottom"/>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74,074,000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22"/>
                <w:szCs w:val="22"/>
                <w:color w:val="auto"/>
              </w:rPr>
              <w:t>Total</w:t>
            </w:r>
          </w:p>
        </w:tc>
        <w:tc>
          <w:tcPr>
            <w:tcW w:w="4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6480" w:type="dxa"/>
            <w:vAlign w:val="bottom"/>
            <w:gridSpan w:val="2"/>
            <w:vMerge w:val="continue"/>
          </w:tcPr>
          <w:p>
            <w:pPr>
              <w:spacing w:after="0"/>
              <w:rPr>
                <w:sz w:val="23"/>
                <w:szCs w:val="23"/>
                <w:color w:val="auto"/>
              </w:rPr>
            </w:pPr>
          </w:p>
        </w:tc>
        <w:tc>
          <w:tcPr>
            <w:tcW w:w="2500" w:type="dxa"/>
            <w:vAlign w:val="bottom"/>
          </w:tcPr>
          <w:p>
            <w:pPr>
              <w:spacing w:after="0"/>
              <w:rPr>
                <w:sz w:val="23"/>
                <w:szCs w:val="23"/>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749,039,803</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2"/>
        </w:trPr>
        <w:tc>
          <w:tcPr>
            <w:tcW w:w="6480" w:type="dxa"/>
            <w:vAlign w:val="bottom"/>
            <w:gridSpan w:val="2"/>
          </w:tcPr>
          <w:p>
            <w:pPr>
              <w:spacing w:after="0"/>
              <w:rPr>
                <w:sz w:val="20"/>
                <w:szCs w:val="20"/>
                <w:color w:val="auto"/>
              </w:rPr>
            </w:pPr>
            <w:r>
              <w:rPr>
                <w:rFonts w:ascii="Arial" w:cs="Arial" w:eastAsia="Arial" w:hAnsi="Arial"/>
                <w:sz w:val="22"/>
                <w:szCs w:val="22"/>
                <w:color w:val="auto"/>
                <w:w w:val="95"/>
              </w:rPr>
              <w:t>Total Shares Available for Issuance Under 2013 Equity Incentive Plan</w:t>
            </w:r>
          </w:p>
        </w:tc>
        <w:tc>
          <w:tcPr>
            <w:tcW w:w="4440" w:type="dxa"/>
            <w:vAlign w:val="bottom"/>
            <w:gridSpan w:val="2"/>
          </w:tcPr>
          <w:p>
            <w:pPr>
              <w:jc w:val="right"/>
              <w:spacing w:after="0"/>
              <w:rPr>
                <w:sz w:val="20"/>
                <w:szCs w:val="20"/>
                <w:color w:val="auto"/>
              </w:rPr>
            </w:pPr>
            <w:r>
              <w:rPr>
                <w:rFonts w:ascii="Arial" w:cs="Arial" w:eastAsia="Arial" w:hAnsi="Arial"/>
                <w:sz w:val="22"/>
                <w:szCs w:val="22"/>
                <w:color w:val="auto"/>
              </w:rPr>
              <w:t>22,965,590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020" w:type="dxa"/>
            <w:vAlign w:val="bottom"/>
          </w:tcPr>
          <w:p>
            <w:pPr>
              <w:spacing w:after="0"/>
              <w:rPr>
                <w:sz w:val="20"/>
                <w:szCs w:val="20"/>
                <w:color w:val="auto"/>
              </w:rPr>
            </w:pPr>
            <w:r>
              <w:rPr>
                <w:rFonts w:ascii="Arial" w:cs="Arial" w:eastAsia="Arial" w:hAnsi="Arial"/>
                <w:sz w:val="22"/>
                <w:szCs w:val="22"/>
                <w:b w:val="1"/>
                <w:bCs w:val="1"/>
                <w:color w:val="auto"/>
              </w:rPr>
              <w:t>Preferred Shares Authorized ($0.01 par value)</w:t>
            </w:r>
          </w:p>
        </w:tc>
        <w:tc>
          <w:tcPr>
            <w:tcW w:w="3820" w:type="dxa"/>
            <w:vAlign w:val="bottom"/>
          </w:tcPr>
          <w:p>
            <w:pPr>
              <w:jc w:val="right"/>
              <w:spacing w:after="0"/>
              <w:rPr>
                <w:sz w:val="20"/>
                <w:szCs w:val="20"/>
                <w:color w:val="auto"/>
              </w:rPr>
            </w:pPr>
            <w:r>
              <w:rPr>
                <w:rFonts w:ascii="Arial" w:cs="Arial" w:eastAsia="Arial" w:hAnsi="Arial"/>
                <w:sz w:val="22"/>
                <w:szCs w:val="22"/>
                <w:b w:val="1"/>
                <w:bCs w:val="1"/>
                <w:color w:val="auto"/>
              </w:rPr>
              <w:t>200,000,000</w:t>
            </w:r>
          </w:p>
        </w:tc>
      </w:tr>
      <w:tr>
        <w:trPr>
          <w:trHeight w:val="810"/>
        </w:trPr>
        <w:tc>
          <w:tcPr>
            <w:tcW w:w="7020" w:type="dxa"/>
            <w:vAlign w:val="bottom"/>
          </w:tcPr>
          <w:p>
            <w:pPr>
              <w:spacing w:after="0"/>
              <w:rPr>
                <w:sz w:val="20"/>
                <w:szCs w:val="20"/>
                <w:color w:val="auto"/>
              </w:rPr>
            </w:pPr>
            <w:r>
              <w:rPr>
                <w:rFonts w:ascii="Arial" w:cs="Arial" w:eastAsia="Arial" w:hAnsi="Arial"/>
                <w:sz w:val="22"/>
                <w:szCs w:val="22"/>
                <w:color w:val="auto"/>
              </w:rPr>
              <w:t>Preferred Shares Outstanding</w:t>
            </w:r>
          </w:p>
        </w:tc>
        <w:tc>
          <w:tcPr>
            <w:tcW w:w="3820" w:type="dxa"/>
            <w:vAlign w:val="bottom"/>
          </w:tcPr>
          <w:p>
            <w:pPr>
              <w:jc w:val="right"/>
              <w:spacing w:after="0"/>
              <w:rPr>
                <w:sz w:val="20"/>
                <w:szCs w:val="20"/>
                <w:color w:val="auto"/>
              </w:rPr>
            </w:pPr>
            <w:r>
              <w:rPr>
                <w:rFonts w:ascii="Arial" w:cs="Arial" w:eastAsia="Arial" w:hAnsi="Arial"/>
                <w:sz w:val="22"/>
                <w:szCs w:val="22"/>
                <w:color w:val="auto"/>
              </w:rPr>
              <w:t>0</w:t>
            </w:r>
          </w:p>
        </w:tc>
      </w:tr>
    </w:tbl>
    <w:p>
      <w:pPr>
        <w:sectPr>
          <w:pgSz w:w="11900" w:h="16838" w:orient="portrait"/>
          <w:cols w:equalWidth="0" w:num="1">
            <w:col w:w="11160"/>
          </w:cols>
          <w:pgMar w:left="400" w:top="1422"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t>SCHEDULE 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REQUIRED STOCKHOLDER APPROVALS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1240"/>
          </w:cols>
          <w:pgMar w:left="320" w:top="1422" w:right="339" w:bottom="1440" w:gutter="0" w:footer="0" w:header="0"/>
        </w:sectPr>
      </w:pPr>
    </w:p>
    <w:bookmarkStart w:id="163" w:name="page164"/>
    <w:bookmarkEnd w:id="163"/>
    <w:p>
      <w:pPr>
        <w:jc w:val="right"/>
        <w:ind w:right="20"/>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260" w:type="dxa"/>
            <w:vAlign w:val="bottom"/>
            <w:gridSpan w:val="2"/>
          </w:tcPr>
          <w:p>
            <w:pPr>
              <w:ind w:left="3180"/>
              <w:spacing w:after="0"/>
              <w:rPr>
                <w:sz w:val="20"/>
                <w:szCs w:val="20"/>
                <w:color w:val="auto"/>
              </w:rPr>
            </w:pPr>
            <w:r>
              <w:rPr>
                <w:rFonts w:ascii="Arial" w:cs="Arial" w:eastAsia="Arial" w:hAnsi="Arial"/>
                <w:sz w:val="22"/>
                <w:szCs w:val="22"/>
                <w:b w:val="1"/>
                <w:bCs w:val="1"/>
                <w:color w:val="auto"/>
              </w:rPr>
              <w:t>PAYROLL SUPPORT PROGRAM 3 AGREEMENT</w:t>
            </w:r>
          </w:p>
        </w:tc>
      </w:tr>
      <w:tr>
        <w:trPr>
          <w:trHeight w:val="368"/>
        </w:trPr>
        <w:tc>
          <w:tcPr>
            <w:tcW w:w="480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r>
        <w:trPr>
          <w:trHeight w:val="274"/>
        </w:trPr>
        <w:tc>
          <w:tcPr>
            <w:tcW w:w="48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 xml:space="preserve">Recipient: </w:t>
            </w:r>
            <w:r>
              <w:rPr>
                <w:rFonts w:ascii="Arial" w:cs="Arial" w:eastAsia="Arial" w:hAnsi="Arial"/>
                <w:sz w:val="22"/>
                <w:szCs w:val="22"/>
                <w:color w:val="auto"/>
              </w:rPr>
              <w:t>American Airlines, Inc.</w:t>
            </w:r>
          </w:p>
        </w:tc>
        <w:tc>
          <w:tcPr>
            <w:tcW w:w="6460" w:type="dxa"/>
            <w:vAlign w:val="bottom"/>
          </w:tcPr>
          <w:p>
            <w:pPr>
              <w:ind w:left="60"/>
              <w:spacing w:after="0"/>
              <w:rPr>
                <w:sz w:val="20"/>
                <w:szCs w:val="20"/>
                <w:color w:val="auto"/>
              </w:rPr>
            </w:pPr>
            <w:r>
              <w:rPr>
                <w:rFonts w:ascii="Arial" w:cs="Arial" w:eastAsia="Arial" w:hAnsi="Arial"/>
                <w:sz w:val="22"/>
                <w:szCs w:val="22"/>
                <w:b w:val="1"/>
                <w:bCs w:val="1"/>
                <w:color w:val="auto"/>
              </w:rPr>
              <w:t xml:space="preserve">PSP Participant Number: </w:t>
            </w:r>
            <w:r>
              <w:rPr>
                <w:rFonts w:ascii="Arial" w:cs="Arial" w:eastAsia="Arial" w:hAnsi="Arial"/>
                <w:sz w:val="22"/>
                <w:szCs w:val="22"/>
                <w:color w:val="auto"/>
              </w:rPr>
              <w:t>PSA-2004031029</w:t>
            </w:r>
          </w:p>
        </w:tc>
      </w:tr>
      <w:tr>
        <w:trPr>
          <w:trHeight w:val="297"/>
        </w:trPr>
        <w:tc>
          <w:tcPr>
            <w:tcW w:w="4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 Skyview Drive</w:t>
            </w:r>
          </w:p>
        </w:tc>
        <w:tc>
          <w:tcPr>
            <w:tcW w:w="6460" w:type="dxa"/>
            <w:vAlign w:val="bottom"/>
          </w:tcPr>
          <w:p>
            <w:pPr>
              <w:ind w:left="60"/>
              <w:spacing w:after="0"/>
              <w:rPr>
                <w:sz w:val="20"/>
                <w:szCs w:val="20"/>
                <w:color w:val="auto"/>
              </w:rPr>
            </w:pPr>
            <w:r>
              <w:rPr>
                <w:rFonts w:ascii="Arial" w:cs="Arial" w:eastAsia="Arial" w:hAnsi="Arial"/>
                <w:sz w:val="22"/>
                <w:szCs w:val="22"/>
                <w:b w:val="1"/>
                <w:bCs w:val="1"/>
                <w:color w:val="auto"/>
              </w:rPr>
              <w:t xml:space="preserve">Employer Identification Number: </w:t>
            </w:r>
            <w:r>
              <w:rPr>
                <w:rFonts w:ascii="Arial" w:cs="Arial" w:eastAsia="Arial" w:hAnsi="Arial"/>
                <w:sz w:val="22"/>
                <w:szCs w:val="22"/>
                <w:color w:val="auto"/>
              </w:rPr>
              <w:t>13-1502798</w:t>
            </w:r>
          </w:p>
        </w:tc>
      </w:tr>
      <w:tr>
        <w:trPr>
          <w:trHeight w:val="297"/>
        </w:trPr>
        <w:tc>
          <w:tcPr>
            <w:tcW w:w="4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Fort Worth, TX 76155</w:t>
            </w:r>
          </w:p>
        </w:tc>
        <w:tc>
          <w:tcPr>
            <w:tcW w:w="6460" w:type="dxa"/>
            <w:vAlign w:val="bottom"/>
          </w:tcPr>
          <w:p>
            <w:pPr>
              <w:ind w:left="60"/>
              <w:spacing w:after="0"/>
              <w:rPr>
                <w:sz w:val="20"/>
                <w:szCs w:val="20"/>
                <w:color w:val="auto"/>
              </w:rPr>
            </w:pPr>
            <w:r>
              <w:rPr>
                <w:rFonts w:ascii="Arial" w:cs="Arial" w:eastAsia="Arial" w:hAnsi="Arial"/>
                <w:sz w:val="22"/>
                <w:szCs w:val="22"/>
                <w:b w:val="1"/>
                <w:bCs w:val="1"/>
                <w:color w:val="auto"/>
              </w:rPr>
              <w:t xml:space="preserve">DUNS Number: </w:t>
            </w:r>
            <w:r>
              <w:rPr>
                <w:rFonts w:ascii="Arial" w:cs="Arial" w:eastAsia="Arial" w:hAnsi="Arial"/>
                <w:sz w:val="22"/>
                <w:szCs w:val="22"/>
                <w:color w:val="auto"/>
              </w:rPr>
              <w:t>006979801</w:t>
            </w:r>
          </w:p>
        </w:tc>
      </w:tr>
      <w:tr>
        <w:trPr>
          <w:trHeight w:val="71"/>
        </w:trPr>
        <w:tc>
          <w:tcPr>
            <w:tcW w:w="4800" w:type="dxa"/>
            <w:vAlign w:val="bottom"/>
            <w:tcBorders>
              <w:bottom w:val="single" w:sz="8" w:color="auto"/>
              <w:right w:val="single" w:sz="8" w:color="auto"/>
            </w:tcBorders>
          </w:tcPr>
          <w:p>
            <w:pPr>
              <w:spacing w:after="0"/>
              <w:rPr>
                <w:sz w:val="6"/>
                <w:szCs w:val="6"/>
                <w:color w:val="auto"/>
              </w:rPr>
            </w:pPr>
          </w:p>
        </w:tc>
        <w:tc>
          <w:tcPr>
            <w:tcW w:w="6460" w:type="dxa"/>
            <w:vAlign w:val="bottom"/>
            <w:tcBorders>
              <w:bottom w:val="single" w:sz="8" w:color="auto"/>
            </w:tcBorders>
          </w:tcPr>
          <w:p>
            <w:pPr>
              <w:spacing w:after="0"/>
              <w:rPr>
                <w:sz w:val="6"/>
                <w:szCs w:val="6"/>
                <w:color w:val="auto"/>
              </w:rPr>
            </w:pPr>
          </w:p>
        </w:tc>
      </w:tr>
      <w:tr>
        <w:trPr>
          <w:trHeight w:val="274"/>
        </w:trPr>
        <w:tc>
          <w:tcPr>
            <w:tcW w:w="4800" w:type="dxa"/>
            <w:vAlign w:val="bottom"/>
          </w:tcPr>
          <w:p>
            <w:pPr>
              <w:ind w:left="80"/>
              <w:spacing w:after="0"/>
              <w:rPr>
                <w:sz w:val="20"/>
                <w:szCs w:val="20"/>
                <w:color w:val="auto"/>
              </w:rPr>
            </w:pPr>
            <w:r>
              <w:rPr>
                <w:rFonts w:ascii="Arial" w:cs="Arial" w:eastAsia="Arial" w:hAnsi="Arial"/>
                <w:sz w:val="22"/>
                <w:szCs w:val="22"/>
                <w:b w:val="1"/>
                <w:bCs w:val="1"/>
                <w:color w:val="auto"/>
              </w:rPr>
              <w:t xml:space="preserve">Additional Recipients: </w:t>
            </w:r>
            <w:r>
              <w:rPr>
                <w:rFonts w:ascii="Arial" w:cs="Arial" w:eastAsia="Arial" w:hAnsi="Arial"/>
                <w:sz w:val="22"/>
                <w:szCs w:val="22"/>
                <w:color w:val="auto"/>
              </w:rPr>
              <w:t>Envoy Air Inc.</w:t>
            </w:r>
          </w:p>
        </w:tc>
        <w:tc>
          <w:tcPr>
            <w:tcW w:w="6460" w:type="dxa"/>
            <w:vAlign w:val="bottom"/>
          </w:tcPr>
          <w:p>
            <w:pPr>
              <w:spacing w:after="0"/>
              <w:rPr>
                <w:sz w:val="23"/>
                <w:szCs w:val="23"/>
                <w:color w:val="auto"/>
              </w:rPr>
            </w:pPr>
          </w:p>
        </w:tc>
      </w:tr>
      <w:tr>
        <w:trPr>
          <w:trHeight w:val="297"/>
        </w:trPr>
        <w:tc>
          <w:tcPr>
            <w:tcW w:w="4800" w:type="dxa"/>
            <w:vAlign w:val="bottom"/>
          </w:tcPr>
          <w:p>
            <w:pPr>
              <w:ind w:left="2200"/>
              <w:spacing w:after="0"/>
              <w:rPr>
                <w:sz w:val="20"/>
                <w:szCs w:val="20"/>
                <w:color w:val="auto"/>
              </w:rPr>
            </w:pPr>
            <w:r>
              <w:rPr>
                <w:rFonts w:ascii="Arial" w:cs="Arial" w:eastAsia="Arial" w:hAnsi="Arial"/>
                <w:sz w:val="22"/>
                <w:szCs w:val="22"/>
                <w:color w:val="auto"/>
              </w:rPr>
              <w:t>Piedmont Airlines, Inc.</w:t>
            </w:r>
          </w:p>
        </w:tc>
        <w:tc>
          <w:tcPr>
            <w:tcW w:w="6460" w:type="dxa"/>
            <w:vAlign w:val="bottom"/>
          </w:tcPr>
          <w:p>
            <w:pPr>
              <w:spacing w:after="0"/>
              <w:rPr>
                <w:sz w:val="24"/>
                <w:szCs w:val="24"/>
                <w:color w:val="auto"/>
              </w:rPr>
            </w:pPr>
          </w:p>
        </w:tc>
      </w:tr>
      <w:tr>
        <w:trPr>
          <w:trHeight w:val="297"/>
        </w:trPr>
        <w:tc>
          <w:tcPr>
            <w:tcW w:w="4800" w:type="dxa"/>
            <w:vAlign w:val="bottom"/>
          </w:tcPr>
          <w:p>
            <w:pPr>
              <w:ind w:left="2200"/>
              <w:spacing w:after="0"/>
              <w:rPr>
                <w:sz w:val="20"/>
                <w:szCs w:val="20"/>
                <w:color w:val="auto"/>
              </w:rPr>
            </w:pPr>
            <w:r>
              <w:rPr>
                <w:rFonts w:ascii="Arial" w:cs="Arial" w:eastAsia="Arial" w:hAnsi="Arial"/>
                <w:sz w:val="22"/>
                <w:szCs w:val="22"/>
                <w:color w:val="auto"/>
              </w:rPr>
              <w:t>PSA Airlines, Inc.</w:t>
            </w:r>
          </w:p>
        </w:tc>
        <w:tc>
          <w:tcPr>
            <w:tcW w:w="6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-1171575</wp:posOffset>
            </wp:positionV>
            <wp:extent cx="7140575" cy="511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0575" cy="5117465"/>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 xml:space="preserve">Amount of Initial Payroll Support Payment: </w:t>
      </w:r>
      <w:r>
        <w:rPr>
          <w:rFonts w:ascii="Arial" w:cs="Arial" w:eastAsia="Arial" w:hAnsi="Arial"/>
          <w:sz w:val="22"/>
          <w:szCs w:val="22"/>
          <w:color w:val="auto"/>
        </w:rPr>
        <w:t>$1,655,433,733.27</w:t>
      </w:r>
    </w:p>
    <w:p>
      <w:pPr>
        <w:spacing w:after="0" w:line="91" w:lineRule="exact"/>
        <w:rPr>
          <w:sz w:val="20"/>
          <w:szCs w:val="20"/>
          <w:color w:val="auto"/>
        </w:rPr>
      </w:pPr>
    </w:p>
    <w:p>
      <w:pPr>
        <w:ind w:left="80" w:right="140"/>
        <w:spacing w:after="0" w:line="214" w:lineRule="auto"/>
        <w:rPr>
          <w:sz w:val="20"/>
          <w:szCs w:val="20"/>
          <w:color w:val="auto"/>
        </w:rPr>
      </w:pPr>
      <w:r>
        <w:rPr>
          <w:rFonts w:ascii="Arial" w:cs="Arial" w:eastAsia="Arial" w:hAnsi="Arial"/>
          <w:sz w:val="22"/>
          <w:szCs w:val="22"/>
          <w:color w:val="auto"/>
        </w:rPr>
        <w:t>The Department of the Treasury (Treasury) hereby provides Payroll Support (as defined herein) under section 7301 of the American Rescue Plan Act of 2021. The Signatory Entity named above, on behalf of itself and its Affiliates (as defined herein), agrees to comply with this Agreement and applicable Federal law as a condition of receiving Payroll Support. The Signatory Entity and its undersigned authorized representatives acknowledge that a materially false, fictitious, or fraudulent statement (or concealment or omission of a material fact) in connection with this Agreement may result in administrative remedies as well as civil and/or criminal penalties.</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The undersigned hereby agree to the attached Payroll Support Program 3 Agreement.</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73"/>
        </w:trPr>
        <w:tc>
          <w:tcPr>
            <w:tcW w:w="3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A. Lebryk</w:t>
            </w:r>
          </w:p>
        </w:tc>
        <w:tc>
          <w:tcPr>
            <w:tcW w:w="1720" w:type="dxa"/>
            <w:vAlign w:val="bottom"/>
            <w:vMerge w:val="restart"/>
          </w:tcPr>
          <w:p>
            <w:pPr>
              <w:spacing w:after="0"/>
              <w:rPr>
                <w:sz w:val="23"/>
                <w:szCs w:val="23"/>
                <w:color w:val="auto"/>
              </w:rPr>
            </w:pPr>
          </w:p>
        </w:tc>
        <w:tc>
          <w:tcPr>
            <w:tcW w:w="3440" w:type="dxa"/>
            <w:vAlign w:val="bottom"/>
            <w:vMerge w:val="restart"/>
          </w:tcPr>
          <w:p>
            <w:pPr>
              <w:spacing w:after="0"/>
              <w:rPr>
                <w:sz w:val="20"/>
                <w:szCs w:val="20"/>
                <w:color w:val="auto"/>
              </w:rPr>
            </w:pPr>
            <w:r>
              <w:rPr>
                <w:rFonts w:ascii="Arial" w:cs="Arial" w:eastAsia="Arial" w:hAnsi="Arial"/>
                <w:sz w:val="22"/>
                <w:szCs w:val="22"/>
                <w:color w:val="auto"/>
              </w:rPr>
              <w:t>/s/ Meghan B. Montana</w:t>
            </w:r>
          </w:p>
        </w:tc>
        <w:tc>
          <w:tcPr>
            <w:tcW w:w="1680" w:type="dxa"/>
            <w:vAlign w:val="bottom"/>
            <w:gridSpan w:val="2"/>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3040" w:type="dxa"/>
            <w:vAlign w:val="bottom"/>
            <w:vMerge w:val="restart"/>
          </w:tcPr>
          <w:p>
            <w:pPr>
              <w:spacing w:after="0"/>
              <w:rPr>
                <w:sz w:val="20"/>
                <w:szCs w:val="20"/>
                <w:color w:val="auto"/>
              </w:rPr>
            </w:pPr>
            <w:r>
              <w:rPr>
                <w:rFonts w:ascii="Arial" w:cs="Arial" w:eastAsia="Arial" w:hAnsi="Arial"/>
                <w:sz w:val="22"/>
                <w:szCs w:val="22"/>
                <w:color w:val="auto"/>
              </w:rPr>
              <w:t>Department of the Treasury</w:t>
            </w:r>
          </w:p>
        </w:tc>
        <w:tc>
          <w:tcPr>
            <w:tcW w:w="1720" w:type="dxa"/>
            <w:vAlign w:val="bottom"/>
            <w:vMerge w:val="continue"/>
          </w:tcPr>
          <w:p>
            <w:pPr>
              <w:spacing w:after="0"/>
              <w:rPr>
                <w:sz w:val="4"/>
                <w:szCs w:val="4"/>
                <w:color w:val="auto"/>
              </w:rPr>
            </w:pPr>
          </w:p>
        </w:tc>
        <w:tc>
          <w:tcPr>
            <w:tcW w:w="3440" w:type="dxa"/>
            <w:vAlign w:val="bottom"/>
            <w:tcBorders>
              <w:bottom w:val="single" w:sz="8" w:color="auto"/>
            </w:tcBorders>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30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22"/>
                <w:szCs w:val="22"/>
                <w:color w:val="auto"/>
              </w:rPr>
              <w:t>American Airlines, Inc.</w:t>
            </w:r>
          </w:p>
        </w:tc>
        <w:tc>
          <w:tcPr>
            <w:tcW w:w="0" w:type="dxa"/>
            <w:vAlign w:val="bottom"/>
          </w:tcPr>
          <w:p>
            <w:pPr>
              <w:spacing w:after="0"/>
              <w:rPr>
                <w:sz w:val="1"/>
                <w:szCs w:val="1"/>
                <w:color w:val="auto"/>
              </w:rPr>
            </w:pPr>
          </w:p>
        </w:tc>
      </w:tr>
      <w:tr>
        <w:trPr>
          <w:trHeight w:val="365"/>
        </w:trPr>
        <w:tc>
          <w:tcPr>
            <w:tcW w:w="3040" w:type="dxa"/>
            <w:vAlign w:val="bottom"/>
          </w:tcPr>
          <w:p>
            <w:pPr>
              <w:spacing w:after="0"/>
              <w:rPr>
                <w:sz w:val="20"/>
                <w:szCs w:val="20"/>
                <w:color w:val="auto"/>
              </w:rPr>
            </w:pPr>
            <w:r>
              <w:rPr>
                <w:rFonts w:ascii="Arial" w:cs="Arial" w:eastAsia="Arial" w:hAnsi="Arial"/>
                <w:sz w:val="22"/>
                <w:szCs w:val="22"/>
                <w:color w:val="auto"/>
              </w:rPr>
              <w:t>Name: David A. Lebryk</w:t>
            </w: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22"/>
                <w:szCs w:val="22"/>
                <w:color w:val="auto"/>
                <w:w w:val="98"/>
              </w:rPr>
              <w:t>First Authorized Representative: Meghan B. Montana</w:t>
            </w:r>
          </w:p>
        </w:tc>
        <w:tc>
          <w:tcPr>
            <w:tcW w:w="0" w:type="dxa"/>
            <w:vAlign w:val="bottom"/>
          </w:tcPr>
          <w:p>
            <w:pPr>
              <w:spacing w:after="0"/>
              <w:rPr>
                <w:sz w:val="1"/>
                <w:szCs w:val="1"/>
                <w:color w:val="auto"/>
              </w:rPr>
            </w:pPr>
          </w:p>
        </w:tc>
      </w:tr>
      <w:tr>
        <w:trPr>
          <w:trHeight w:val="364"/>
        </w:trPr>
        <w:tc>
          <w:tcPr>
            <w:tcW w:w="3040" w:type="dxa"/>
            <w:vAlign w:val="bottom"/>
          </w:tcPr>
          <w:p>
            <w:pPr>
              <w:spacing w:after="0"/>
              <w:rPr>
                <w:sz w:val="20"/>
                <w:szCs w:val="20"/>
                <w:color w:val="auto"/>
              </w:rPr>
            </w:pPr>
            <w:r>
              <w:rPr>
                <w:rFonts w:ascii="Arial" w:cs="Arial" w:eastAsia="Arial" w:hAnsi="Arial"/>
                <w:sz w:val="22"/>
                <w:szCs w:val="22"/>
                <w:color w:val="auto"/>
                <w:w w:val="98"/>
              </w:rPr>
              <w:t>Title: Fiscal Assistant Secretary</w:t>
            </w: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22"/>
                <w:szCs w:val="22"/>
                <w:color w:val="auto"/>
              </w:rPr>
              <w:t>Title: Vice President and Treasurer</w:t>
            </w:r>
          </w:p>
        </w:tc>
        <w:tc>
          <w:tcPr>
            <w:tcW w:w="0" w:type="dxa"/>
            <w:vAlign w:val="bottom"/>
          </w:tcPr>
          <w:p>
            <w:pPr>
              <w:spacing w:after="0"/>
              <w:rPr>
                <w:sz w:val="1"/>
                <w:szCs w:val="1"/>
                <w:color w:val="auto"/>
              </w:rPr>
            </w:pPr>
          </w:p>
        </w:tc>
      </w:tr>
      <w:tr>
        <w:trPr>
          <w:trHeight w:val="365"/>
        </w:trPr>
        <w:tc>
          <w:tcPr>
            <w:tcW w:w="3040" w:type="dxa"/>
            <w:vAlign w:val="bottom"/>
          </w:tcPr>
          <w:p>
            <w:pPr>
              <w:spacing w:after="0"/>
              <w:rPr>
                <w:sz w:val="20"/>
                <w:szCs w:val="20"/>
                <w:color w:val="auto"/>
              </w:rPr>
            </w:pPr>
            <w:r>
              <w:rPr>
                <w:rFonts w:ascii="Arial" w:cs="Arial" w:eastAsia="Arial" w:hAnsi="Arial"/>
                <w:sz w:val="22"/>
                <w:szCs w:val="22"/>
                <w:color w:val="auto"/>
              </w:rPr>
              <w:t>Date: April 23, 2021</w:t>
            </w: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22"/>
                <w:szCs w:val="22"/>
                <w:color w:val="auto"/>
              </w:rPr>
              <w:t>Date: April 23, 2021</w:t>
            </w:r>
          </w:p>
        </w:tc>
        <w:tc>
          <w:tcPr>
            <w:tcW w:w="0" w:type="dxa"/>
            <w:vAlign w:val="bottom"/>
          </w:tcPr>
          <w:p>
            <w:pPr>
              <w:spacing w:after="0"/>
              <w:rPr>
                <w:sz w:val="1"/>
                <w:szCs w:val="1"/>
                <w:color w:val="auto"/>
              </w:rPr>
            </w:pPr>
          </w:p>
        </w:tc>
      </w:tr>
      <w:tr>
        <w:trPr>
          <w:trHeight w:val="557"/>
        </w:trPr>
        <w:tc>
          <w:tcPr>
            <w:tcW w:w="3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Derek J. Kerr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22"/>
                <w:szCs w:val="22"/>
                <w:color w:val="auto"/>
              </w:rPr>
              <w:t>American Airlines, Inc.</w:t>
            </w:r>
          </w:p>
        </w:tc>
        <w:tc>
          <w:tcPr>
            <w:tcW w:w="0" w:type="dxa"/>
            <w:vAlign w:val="bottom"/>
          </w:tcPr>
          <w:p>
            <w:pPr>
              <w:spacing w:after="0"/>
              <w:rPr>
                <w:sz w:val="1"/>
                <w:szCs w:val="1"/>
                <w:color w:val="auto"/>
              </w:rPr>
            </w:pPr>
          </w:p>
        </w:tc>
      </w:tr>
      <w:tr>
        <w:trPr>
          <w:trHeight w:val="365"/>
        </w:trPr>
        <w:tc>
          <w:tcPr>
            <w:tcW w:w="3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22"/>
                <w:szCs w:val="22"/>
                <w:color w:val="auto"/>
              </w:rPr>
              <w:t>Second Authorized Representative: Derek J. Kerr</w:t>
            </w:r>
          </w:p>
        </w:tc>
        <w:tc>
          <w:tcPr>
            <w:tcW w:w="0" w:type="dxa"/>
            <w:vAlign w:val="bottom"/>
          </w:tcPr>
          <w:p>
            <w:pPr>
              <w:spacing w:after="0"/>
              <w:rPr>
                <w:sz w:val="1"/>
                <w:szCs w:val="1"/>
                <w:color w:val="auto"/>
              </w:rPr>
            </w:pPr>
          </w:p>
        </w:tc>
      </w:tr>
      <w:tr>
        <w:trPr>
          <w:trHeight w:val="365"/>
        </w:trPr>
        <w:tc>
          <w:tcPr>
            <w:tcW w:w="3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22"/>
                <w:szCs w:val="22"/>
                <w:color w:val="auto"/>
                <w:w w:val="90"/>
              </w:rPr>
              <w:t>Title: Executive Vice President and Chief Financial Officer</w:t>
            </w:r>
          </w:p>
        </w:tc>
        <w:tc>
          <w:tcPr>
            <w:tcW w:w="0" w:type="dxa"/>
            <w:vAlign w:val="bottom"/>
          </w:tcPr>
          <w:p>
            <w:pPr>
              <w:spacing w:after="0"/>
              <w:rPr>
                <w:sz w:val="1"/>
                <w:szCs w:val="1"/>
                <w:color w:val="auto"/>
              </w:rPr>
            </w:pPr>
          </w:p>
        </w:tc>
      </w:tr>
      <w:tr>
        <w:trPr>
          <w:trHeight w:val="364"/>
        </w:trPr>
        <w:tc>
          <w:tcPr>
            <w:tcW w:w="3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22"/>
                <w:szCs w:val="22"/>
                <w:color w:val="auto"/>
              </w:rPr>
              <w:t>Date: April 23, 2021</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OMB Approval No. 1505-0263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PAPERWORK REDUCTION ACT NOTICE</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information collected will be used for the U.S. Government to process requests for support. The estimated burden associated with this collection of information is 2 hours per response. Comments concerning the accuracy of this burden estimate and suggestions for reducing this burden should be directed to the Office of Privacy, Transparency and Records, Department of the Treasury, 1500 Pennsylvania Ave., N.W., Washington, D.C. 20220. DO NOT send the form to this address. An agency may not conduct or sponsor, and a person is not required to respond to, a collection of information unless it displays a valid control number assigned by OMB.</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320" w:top="118" w:right="319" w:bottom="1440" w:gutter="0" w:footer="0" w:header="0"/>
        </w:sectPr>
      </w:pPr>
    </w:p>
    <w:bookmarkStart w:id="164" w:name="page165"/>
    <w:bookmarkEnd w:id="164"/>
    <w:p>
      <w:pPr>
        <w:jc w:val="center"/>
        <w:ind w:right="-39"/>
        <w:spacing w:after="0"/>
        <w:rPr>
          <w:sz w:val="20"/>
          <w:szCs w:val="20"/>
          <w:color w:val="auto"/>
        </w:rPr>
      </w:pPr>
      <w:r>
        <w:rPr>
          <w:rFonts w:ascii="Arial" w:cs="Arial" w:eastAsia="Arial" w:hAnsi="Arial"/>
          <w:sz w:val="22"/>
          <w:szCs w:val="22"/>
          <w:b w:val="1"/>
          <w:bCs w:val="1"/>
          <w:u w:val="single" w:color="auto"/>
          <w:color w:val="auto"/>
        </w:rPr>
        <w:t>PAYROLL SUPPORT PROGRAM 3 AGREEMENT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Section 7301 of the American Rescue Plan Act of 2021 (ARP) directs the Department of the Treasury (Treasury) to provide Payroll Support (as defined herein) to passenger air carriers and certain contractors that must be exclusively used for the continuation of payment of Employee Salaries, Wages, and Benefits (as defined herein). The ARP requires certain assurances from the Recipient (as defined herein).</w:t>
      </w:r>
    </w:p>
    <w:p>
      <w:pPr>
        <w:spacing w:after="0" w:line="188" w:lineRule="exact"/>
        <w:rPr>
          <w:sz w:val="20"/>
          <w:szCs w:val="20"/>
          <w:color w:val="auto"/>
        </w:rPr>
      </w:pPr>
    </w:p>
    <w:p>
      <w:pPr>
        <w:jc w:val="both"/>
        <w:ind w:right="520"/>
        <w:spacing w:after="0" w:line="253" w:lineRule="auto"/>
        <w:rPr>
          <w:sz w:val="20"/>
          <w:szCs w:val="20"/>
          <w:color w:val="auto"/>
        </w:rPr>
      </w:pPr>
      <w:r>
        <w:rPr>
          <w:rFonts w:ascii="Arial" w:cs="Arial" w:eastAsia="Arial" w:hAnsi="Arial"/>
          <w:sz w:val="22"/>
          <w:szCs w:val="22"/>
          <w:color w:val="auto"/>
        </w:rPr>
        <w:t>This Payroll Support Program 3 Agreement, including all supporting documents submitted by the Recipient and the Payroll Support Program 3 Certification attached hereto (collectively, Agreement), memorializes the binding terms and conditions applicable to the Recipient.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As used in this Agreement, the following terms shall have the following respective meanings, unless the context clearly requires otherwise. In addition, this Agreement shall be construed in a manner consistent with any public guidance Treasury may from time to time issue regarding the implementation of section 7301 of the ARP.</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i w:val="1"/>
          <w:iCs w:val="1"/>
          <w:color w:val="auto"/>
        </w:rPr>
        <w:t xml:space="preserve">Additional Payroll Support Payment </w:t>
      </w:r>
      <w:r>
        <w:rPr>
          <w:rFonts w:ascii="Arial" w:cs="Arial" w:eastAsia="Arial" w:hAnsi="Arial"/>
          <w:sz w:val="22"/>
          <w:szCs w:val="22"/>
          <w:color w:val="auto"/>
        </w:rPr>
        <w:t>means any disbursement of Payroll Support occurring after the first disbursement of Payroll</w:t>
      </w:r>
      <w:r>
        <w:rPr>
          <w:rFonts w:ascii="Arial" w:cs="Arial" w:eastAsia="Arial" w:hAnsi="Arial"/>
          <w:sz w:val="22"/>
          <w:szCs w:val="22"/>
          <w:i w:val="1"/>
          <w:iCs w:val="1"/>
          <w:color w:val="auto"/>
        </w:rPr>
        <w:t xml:space="preserve"> </w:t>
      </w:r>
      <w:r>
        <w:rPr>
          <w:rFonts w:ascii="Arial" w:cs="Arial" w:eastAsia="Arial" w:hAnsi="Arial"/>
          <w:sz w:val="22"/>
          <w:szCs w:val="22"/>
          <w:color w:val="auto"/>
        </w:rPr>
        <w:t>Support under this Agreement.</w:t>
      </w:r>
    </w:p>
    <w:p>
      <w:pPr>
        <w:spacing w:after="0" w:line="175" w:lineRule="exact"/>
        <w:rPr>
          <w:sz w:val="20"/>
          <w:szCs w:val="20"/>
          <w:color w:val="auto"/>
        </w:rPr>
      </w:pPr>
    </w:p>
    <w:p>
      <w:pPr>
        <w:jc w:val="both"/>
        <w:ind w:right="240"/>
        <w:spacing w:after="0" w:line="312" w:lineRule="auto"/>
        <w:rPr>
          <w:sz w:val="20"/>
          <w:szCs w:val="20"/>
          <w:color w:val="auto"/>
        </w:rPr>
      </w:pPr>
      <w:r>
        <w:rPr>
          <w:rFonts w:ascii="Arial" w:cs="Arial" w:eastAsia="Arial" w:hAnsi="Arial"/>
          <w:sz w:val="19"/>
          <w:szCs w:val="19"/>
          <w:i w:val="1"/>
          <w:iCs w:val="1"/>
          <w:color w:val="auto"/>
        </w:rPr>
        <w:t xml:space="preserve">Affiliate </w:t>
      </w:r>
      <w:r>
        <w:rPr>
          <w:rFonts w:ascii="Arial" w:cs="Arial" w:eastAsia="Arial" w:hAnsi="Arial"/>
          <w:sz w:val="19"/>
          <w:szCs w:val="19"/>
          <w:color w:val="auto"/>
        </w:rPr>
        <w:t>means any Person that directly or indirectly controls, is controlled by, or is under common control with, the Recipient.</w:t>
      </w:r>
      <w:r>
        <w:rPr>
          <w:rFonts w:ascii="Arial" w:cs="Arial" w:eastAsia="Arial" w:hAnsi="Arial"/>
          <w:sz w:val="19"/>
          <w:szCs w:val="19"/>
          <w:i w:val="1"/>
          <w:iCs w:val="1"/>
          <w:color w:val="auto"/>
        </w:rPr>
        <w:t xml:space="preserve"> </w:t>
      </w:r>
      <w:r>
        <w:rPr>
          <w:rFonts w:ascii="Arial" w:cs="Arial" w:eastAsia="Arial" w:hAnsi="Arial"/>
          <w:sz w:val="19"/>
          <w:szCs w:val="19"/>
          <w:color w:val="auto"/>
        </w:rPr>
        <w:t>For purposes of this definition, “control” of a Person shall mean having the power, directly or indirectly, to direct or cause the direction of the management and policies of such Person, whether by ownership of voting equity, by contract, or otherwise.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ARP </w:t>
      </w:r>
      <w:r>
        <w:rPr>
          <w:rFonts w:ascii="Arial" w:cs="Arial" w:eastAsia="Arial" w:hAnsi="Arial"/>
          <w:sz w:val="22"/>
          <w:szCs w:val="22"/>
          <w:color w:val="auto"/>
        </w:rPr>
        <w:t>means the American Rescue Plan Act of 2021.</w:t>
      </w:r>
    </w:p>
    <w:p>
      <w:pPr>
        <w:spacing w:after="0" w:line="220" w:lineRule="exact"/>
        <w:rPr>
          <w:sz w:val="20"/>
          <w:szCs w:val="20"/>
          <w:color w:val="auto"/>
        </w:rPr>
      </w:pPr>
    </w:p>
    <w:p>
      <w:pPr>
        <w:spacing w:after="0" w:line="294" w:lineRule="auto"/>
        <w:rPr>
          <w:sz w:val="20"/>
          <w:szCs w:val="20"/>
          <w:color w:val="auto"/>
        </w:rPr>
      </w:pPr>
      <w:r>
        <w:rPr>
          <w:rFonts w:ascii="Arial" w:cs="Arial" w:eastAsia="Arial" w:hAnsi="Arial"/>
          <w:sz w:val="19"/>
          <w:szCs w:val="19"/>
          <w:i w:val="1"/>
          <w:iCs w:val="1"/>
          <w:color w:val="auto"/>
        </w:rPr>
        <w:t xml:space="preserve">Benefits </w:t>
      </w:r>
      <w:r>
        <w:rPr>
          <w:rFonts w:ascii="Arial" w:cs="Arial" w:eastAsia="Arial" w:hAnsi="Arial"/>
          <w:sz w:val="19"/>
          <w:szCs w:val="19"/>
          <w:color w:val="auto"/>
        </w:rPr>
        <w:t>means, without duplication of any amounts counted as Salary or Wages, pension expenses in respect of Employees, all</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for accident, sickness, hospital, and death benefits to Employees, and the cost of insurance to provide such benefits; any Severance Pay or Other Benefits payable to Employees pursuant to a bona fide voluntary early retirement program or voluntary furlough; and any other similar expenses paid by the Recipient for the benefit of Employees, including any other fringe benefit expense described in lines 10 and 11 of Financial Reporting Schedule P-6, Form 41, as published by the Department of Transportation, but excluding any Federal, state, or local payroll taxes paid by the Recipient.</w:t>
      </w:r>
    </w:p>
    <w:p>
      <w:pPr>
        <w:spacing w:after="0" w:line="149" w:lineRule="exact"/>
        <w:rPr>
          <w:sz w:val="20"/>
          <w:szCs w:val="20"/>
          <w:color w:val="auto"/>
        </w:rPr>
      </w:pPr>
    </w:p>
    <w:p>
      <w:pPr>
        <w:ind w:right="100"/>
        <w:spacing w:after="0" w:line="302" w:lineRule="auto"/>
        <w:rPr>
          <w:sz w:val="20"/>
          <w:szCs w:val="20"/>
          <w:color w:val="auto"/>
        </w:rPr>
      </w:pPr>
      <w:r>
        <w:rPr>
          <w:rFonts w:ascii="Arial" w:cs="Arial" w:eastAsia="Arial" w:hAnsi="Arial"/>
          <w:sz w:val="19"/>
          <w:szCs w:val="19"/>
          <w:i w:val="1"/>
          <w:iCs w:val="1"/>
          <w:color w:val="auto"/>
        </w:rPr>
        <w:t xml:space="preserve">Corporate Officer </w:t>
      </w:r>
      <w:r>
        <w:rPr>
          <w:rFonts w:ascii="Arial" w:cs="Arial" w:eastAsia="Arial" w:hAnsi="Arial"/>
          <w:sz w:val="19"/>
          <w:szCs w:val="19"/>
          <w:color w:val="auto"/>
        </w:rPr>
        <w:t>means, with respect to the Recipient, its president; any vice president in charge of a principal business unit,</w:t>
      </w:r>
      <w:r>
        <w:rPr>
          <w:rFonts w:ascii="Arial" w:cs="Arial" w:eastAsia="Arial" w:hAnsi="Arial"/>
          <w:sz w:val="19"/>
          <w:szCs w:val="19"/>
          <w:i w:val="1"/>
          <w:iCs w:val="1"/>
          <w:color w:val="auto"/>
        </w:rPr>
        <w:t xml:space="preserve"> </w:t>
      </w:r>
      <w:r>
        <w:rPr>
          <w:rFonts w:ascii="Arial" w:cs="Arial" w:eastAsia="Arial" w:hAnsi="Arial"/>
          <w:sz w:val="19"/>
          <w:szCs w:val="19"/>
          <w:color w:val="auto"/>
        </w:rPr>
        <w:t>division, or function (such as sales, administration or finance); any other officer who performs a policy-making function; or any other person who performs similar policy making functions for the Recipient. Executive officers of subsidiaries or parents of the Recipient may be deemed Corporate Officers of the Recipient if they perform such policy-making functions for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422" w:right="379" w:bottom="1440" w:gutter="0" w:footer="0" w:header="0"/>
        </w:sectPr>
      </w:pPr>
    </w:p>
    <w:bookmarkStart w:id="165" w:name="page166"/>
    <w:bookmarkEnd w:id="165"/>
    <w:p>
      <w:pPr>
        <w:spacing w:after="0" w:line="257" w:lineRule="auto"/>
        <w:rPr>
          <w:sz w:val="20"/>
          <w:szCs w:val="20"/>
          <w:color w:val="auto"/>
        </w:rPr>
      </w:pPr>
      <w:r>
        <w:rPr>
          <w:rFonts w:ascii="Arial" w:cs="Arial" w:eastAsia="Arial" w:hAnsi="Arial"/>
          <w:sz w:val="21"/>
          <w:szCs w:val="21"/>
          <w:i w:val="1"/>
          <w:iCs w:val="1"/>
          <w:color w:val="auto"/>
        </w:rPr>
        <w:t xml:space="preserve">Employee </w:t>
      </w:r>
      <w:r>
        <w:rPr>
          <w:rFonts w:ascii="Arial" w:cs="Arial" w:eastAsia="Arial" w:hAnsi="Arial"/>
          <w:sz w:val="21"/>
          <w:szCs w:val="21"/>
          <w:color w:val="auto"/>
        </w:rPr>
        <w:t>means an individual who is employed by the Recipient and whose principal place of employment is in the United</w:t>
      </w:r>
      <w:r>
        <w:rPr>
          <w:rFonts w:ascii="Arial" w:cs="Arial" w:eastAsia="Arial" w:hAnsi="Arial"/>
          <w:sz w:val="21"/>
          <w:szCs w:val="21"/>
          <w:i w:val="1"/>
          <w:iCs w:val="1"/>
          <w:color w:val="auto"/>
        </w:rPr>
        <w:t xml:space="preserve"> </w:t>
      </w:r>
      <w:r>
        <w:rPr>
          <w:rFonts w:ascii="Arial" w:cs="Arial" w:eastAsia="Arial" w:hAnsi="Arial"/>
          <w:sz w:val="21"/>
          <w:szCs w:val="21"/>
          <w:color w:val="auto"/>
        </w:rPr>
        <w:t>States (including its territories and possessions), including salaried, hourly, full-time, part-time, temporary, and leased employees, but excluding any individual who is a Corporate Officer or independent contractor.</w:t>
      </w:r>
    </w:p>
    <w:p>
      <w:pPr>
        <w:spacing w:after="0" w:line="169"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i w:val="1"/>
          <w:iCs w:val="1"/>
          <w:color w:val="auto"/>
        </w:rPr>
        <w:t xml:space="preserve">Involuntary Termination or Furlough </w:t>
      </w:r>
      <w:r>
        <w:rPr>
          <w:rFonts w:ascii="Arial" w:cs="Arial" w:eastAsia="Arial" w:hAnsi="Arial"/>
          <w:sz w:val="19"/>
          <w:szCs w:val="19"/>
          <w:color w:val="auto"/>
        </w:rPr>
        <w:t>means the Recipient terminating the employment of one or more Employees or requiring</w:t>
      </w:r>
      <w:r>
        <w:rPr>
          <w:rFonts w:ascii="Arial" w:cs="Arial" w:eastAsia="Arial" w:hAnsi="Arial"/>
          <w:sz w:val="19"/>
          <w:szCs w:val="19"/>
          <w:i w:val="1"/>
          <w:iCs w:val="1"/>
          <w:color w:val="auto"/>
        </w:rPr>
        <w:t xml:space="preserve"> </w:t>
      </w:r>
      <w:r>
        <w:rPr>
          <w:rFonts w:ascii="Arial" w:cs="Arial" w:eastAsia="Arial" w:hAnsi="Arial"/>
          <w:sz w:val="19"/>
          <w:szCs w:val="19"/>
          <w:color w:val="auto"/>
        </w:rPr>
        <w:t>one or more Employees to take a temporary suspension or unpaid leave for any reason, including a shut-down or slow-down of business; provided, however, that an Involuntary Termination or Furlough does not include a Permitted Termination or Furlough.</w:t>
      </w:r>
    </w:p>
    <w:p>
      <w:pPr>
        <w:spacing w:after="0" w:line="134"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i w:val="1"/>
          <w:iCs w:val="1"/>
          <w:color w:val="auto"/>
        </w:rPr>
        <w:t xml:space="preserve">Maximum Awardable Amount </w:t>
      </w:r>
      <w:r>
        <w:rPr>
          <w:rFonts w:ascii="Arial" w:cs="Arial" w:eastAsia="Arial" w:hAnsi="Arial"/>
          <w:sz w:val="22"/>
          <w:szCs w:val="22"/>
          <w:color w:val="auto"/>
        </w:rPr>
        <w:t>means the amount determined by the Secretary with respect to the Recipient pursuant to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7301(b)(2) of the ARP.</w:t>
      </w:r>
    </w:p>
    <w:p>
      <w:pPr>
        <w:spacing w:after="0" w:line="17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i w:val="1"/>
          <w:iCs w:val="1"/>
          <w:color w:val="auto"/>
        </w:rPr>
        <w:t xml:space="preserve">Payroll Support </w:t>
      </w:r>
      <w:r>
        <w:rPr>
          <w:rFonts w:ascii="Arial" w:cs="Arial" w:eastAsia="Arial" w:hAnsi="Arial"/>
          <w:sz w:val="22"/>
          <w:szCs w:val="22"/>
          <w:color w:val="auto"/>
        </w:rPr>
        <w:t>means funds disbursed by the Secretary to the Recipient under this Agreement, including the first disbursement</w:t>
      </w:r>
      <w:r>
        <w:rPr>
          <w:rFonts w:ascii="Arial" w:cs="Arial" w:eastAsia="Arial" w:hAnsi="Arial"/>
          <w:sz w:val="22"/>
          <w:szCs w:val="22"/>
          <w:i w:val="1"/>
          <w:iCs w:val="1"/>
          <w:color w:val="auto"/>
        </w:rPr>
        <w:t xml:space="preserve"> </w:t>
      </w:r>
      <w:r>
        <w:rPr>
          <w:rFonts w:ascii="Arial" w:cs="Arial" w:eastAsia="Arial" w:hAnsi="Arial"/>
          <w:sz w:val="22"/>
          <w:szCs w:val="22"/>
          <w:color w:val="auto"/>
        </w:rPr>
        <w:t>of Payroll Support and any Additional Payroll Support Payment.</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22"/>
          <w:szCs w:val="22"/>
          <w:i w:val="1"/>
          <w:iCs w:val="1"/>
          <w:color w:val="auto"/>
        </w:rPr>
        <w:t xml:space="preserve">Permitted Termination or Furlough </w:t>
      </w:r>
      <w:r>
        <w:rPr>
          <w:rFonts w:ascii="Arial" w:cs="Arial" w:eastAsia="Arial" w:hAnsi="Arial"/>
          <w:sz w:val="22"/>
          <w:szCs w:val="22"/>
          <w:color w:val="auto"/>
        </w:rPr>
        <w:t>means, with respect to an Employee, (1) a voluntary furlough, voluntary leave of absence,</w:t>
      </w:r>
      <w:r>
        <w:rPr>
          <w:rFonts w:ascii="Arial" w:cs="Arial" w:eastAsia="Arial" w:hAnsi="Arial"/>
          <w:sz w:val="22"/>
          <w:szCs w:val="22"/>
          <w:i w:val="1"/>
          <w:iCs w:val="1"/>
          <w:color w:val="auto"/>
        </w:rPr>
        <w:t xml:space="preserve"> </w:t>
      </w:r>
      <w:r>
        <w:rPr>
          <w:rFonts w:ascii="Arial" w:cs="Arial" w:eastAsia="Arial" w:hAnsi="Arial"/>
          <w:sz w:val="22"/>
          <w:szCs w:val="22"/>
          <w:color w:val="auto"/>
        </w:rPr>
        <w:t>voluntary resignation, or voluntary retirement, (2) termination of employment resulting from such Employee’s death or disability, or (3) the Recipient terminating the employment of such Employee for cause or placing such Employee on a temporary suspension or unpaid leave of absence for disciplinary reasons, in either case, as reasonably determined by the Recipient acting in good faith.</w:t>
      </w:r>
    </w:p>
    <w:p>
      <w:pPr>
        <w:spacing w:after="0" w:line="187"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any natural person, corporation, limited liability company, partnership, joint venture, trust, business association,</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governmental entity, or other entity.</w:t>
      </w:r>
    </w:p>
    <w:p>
      <w:pPr>
        <w:spacing w:after="0" w:line="175"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i w:val="1"/>
          <w:iCs w:val="1"/>
          <w:color w:val="auto"/>
        </w:rPr>
        <w:t xml:space="preserve">PSP1 </w:t>
      </w:r>
      <w:r>
        <w:rPr>
          <w:rFonts w:ascii="Arial" w:cs="Arial" w:eastAsia="Arial" w:hAnsi="Arial"/>
          <w:sz w:val="22"/>
          <w:szCs w:val="22"/>
          <w:color w:val="auto"/>
        </w:rPr>
        <w:t>means the Payroll Support Program established under Division A, Title IV, Subtitle B of the Coronavirus Aid, Relief, and</w:t>
      </w:r>
      <w:r>
        <w:rPr>
          <w:rFonts w:ascii="Arial" w:cs="Arial" w:eastAsia="Arial" w:hAnsi="Arial"/>
          <w:sz w:val="22"/>
          <w:szCs w:val="22"/>
          <w:i w:val="1"/>
          <w:iCs w:val="1"/>
          <w:color w:val="auto"/>
        </w:rPr>
        <w:t xml:space="preserve"> </w:t>
      </w:r>
      <w:r>
        <w:rPr>
          <w:rFonts w:ascii="Arial" w:cs="Arial" w:eastAsia="Arial" w:hAnsi="Arial"/>
          <w:sz w:val="22"/>
          <w:szCs w:val="22"/>
          <w:color w:val="auto"/>
        </w:rPr>
        <w:t>Economic Security Act (Pub. L. No. 116-136).</w:t>
      </w:r>
    </w:p>
    <w:p>
      <w:pPr>
        <w:spacing w:after="0" w:line="175"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i w:val="1"/>
          <w:iCs w:val="1"/>
          <w:color w:val="auto"/>
        </w:rPr>
        <w:t xml:space="preserve">PSP2 </w:t>
      </w:r>
      <w:r>
        <w:rPr>
          <w:rFonts w:ascii="Arial" w:cs="Arial" w:eastAsia="Arial" w:hAnsi="Arial"/>
          <w:sz w:val="22"/>
          <w:szCs w:val="22"/>
          <w:color w:val="auto"/>
        </w:rPr>
        <w:t>means the Payroll Support Program Extension established under Subtitle A of Title IV of Division N of the Consolidated</w:t>
      </w:r>
      <w:r>
        <w:rPr>
          <w:rFonts w:ascii="Arial" w:cs="Arial" w:eastAsia="Arial" w:hAnsi="Arial"/>
          <w:sz w:val="22"/>
          <w:szCs w:val="22"/>
          <w:i w:val="1"/>
          <w:iCs w:val="1"/>
          <w:color w:val="auto"/>
        </w:rPr>
        <w:t xml:space="preserve"> </w:t>
      </w:r>
      <w:r>
        <w:rPr>
          <w:rFonts w:ascii="Arial" w:cs="Arial" w:eastAsia="Arial" w:hAnsi="Arial"/>
          <w:sz w:val="22"/>
          <w:szCs w:val="22"/>
          <w:color w:val="auto"/>
        </w:rPr>
        <w:t>Appropriations Act, 2021.</w:t>
      </w:r>
    </w:p>
    <w:p>
      <w:pPr>
        <w:spacing w:after="0" w:line="175" w:lineRule="exact"/>
        <w:rPr>
          <w:sz w:val="20"/>
          <w:szCs w:val="20"/>
          <w:color w:val="auto"/>
        </w:rPr>
      </w:pPr>
    </w:p>
    <w:p>
      <w:pPr>
        <w:ind w:right="740"/>
        <w:spacing w:after="0" w:line="250" w:lineRule="auto"/>
        <w:rPr>
          <w:sz w:val="20"/>
          <w:szCs w:val="20"/>
          <w:color w:val="auto"/>
        </w:rPr>
      </w:pPr>
      <w:r>
        <w:rPr>
          <w:rFonts w:ascii="Arial" w:cs="Arial" w:eastAsia="Arial" w:hAnsi="Arial"/>
          <w:sz w:val="22"/>
          <w:szCs w:val="22"/>
          <w:i w:val="1"/>
          <w:iCs w:val="1"/>
          <w:color w:val="auto"/>
        </w:rPr>
        <w:t xml:space="preserve">Recipient </w:t>
      </w:r>
      <w:r>
        <w:rPr>
          <w:rFonts w:ascii="Arial" w:cs="Arial" w:eastAsia="Arial" w:hAnsi="Arial"/>
          <w:sz w:val="22"/>
          <w:szCs w:val="22"/>
          <w:color w:val="auto"/>
        </w:rPr>
        <w:t>means, collectively, the Signatory Entity; its Affiliates that are listed on the signature page hereto as Additional</w:t>
      </w:r>
      <w:r>
        <w:rPr>
          <w:rFonts w:ascii="Arial" w:cs="Arial" w:eastAsia="Arial" w:hAnsi="Arial"/>
          <w:sz w:val="22"/>
          <w:szCs w:val="22"/>
          <w:i w:val="1"/>
          <w:iCs w:val="1"/>
          <w:color w:val="auto"/>
        </w:rPr>
        <w:t xml:space="preserve"> </w:t>
      </w:r>
      <w:r>
        <w:rPr>
          <w:rFonts w:ascii="Arial" w:cs="Arial" w:eastAsia="Arial" w:hAnsi="Arial"/>
          <w:sz w:val="22"/>
          <w:szCs w:val="22"/>
          <w:color w:val="auto"/>
        </w:rPr>
        <w:t>Recipients; and their respective heirs, executors, administrators, successors, and assigns.</w:t>
      </w:r>
    </w:p>
    <w:p>
      <w:pPr>
        <w:spacing w:after="0" w:line="17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i w:val="1"/>
          <w:iCs w:val="1"/>
          <w:color w:val="auto"/>
        </w:rPr>
        <w:t xml:space="preserve">Salary </w:t>
      </w:r>
      <w:r>
        <w:rPr>
          <w:rFonts w:ascii="Arial" w:cs="Arial" w:eastAsia="Arial" w:hAnsi="Arial"/>
          <w:sz w:val="22"/>
          <w:szCs w:val="22"/>
          <w:color w:val="auto"/>
        </w:rPr>
        <w:t>means, without duplication of any amounts counted as Benefits, a predetermined regular payment, typically paid on a</w:t>
      </w:r>
      <w:r>
        <w:rPr>
          <w:rFonts w:ascii="Arial" w:cs="Arial" w:eastAsia="Arial" w:hAnsi="Arial"/>
          <w:sz w:val="22"/>
          <w:szCs w:val="22"/>
          <w:i w:val="1"/>
          <w:iCs w:val="1"/>
          <w:color w:val="auto"/>
        </w:rPr>
        <w:t xml:space="preserve"> </w:t>
      </w:r>
      <w:r>
        <w:rPr>
          <w:rFonts w:ascii="Arial" w:cs="Arial" w:eastAsia="Arial" w:hAnsi="Arial"/>
          <w:sz w:val="22"/>
          <w:szCs w:val="22"/>
          <w:color w:val="auto"/>
        </w:rPr>
        <w:t>weekly or less frequent basis but which may be expressed as an hourly, weekly, annual or other rate, as well as cost-of-living differentials, vacation time, paid time off, sick leave, and overtime pay, paid by the Recipient to its Employees, but excluding any Federal, state, or local payroll taxes paid by the Recipient.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Secretary </w:t>
      </w:r>
      <w:r>
        <w:rPr>
          <w:rFonts w:ascii="Arial" w:cs="Arial" w:eastAsia="Arial" w:hAnsi="Arial"/>
          <w:sz w:val="22"/>
          <w:szCs w:val="22"/>
          <w:color w:val="auto"/>
        </w:rPr>
        <w:t>means the Secretary of the Treasury.</w:t>
      </w:r>
    </w:p>
    <w:p>
      <w:pPr>
        <w:spacing w:after="0" w:line="206" w:lineRule="exact"/>
        <w:rPr>
          <w:sz w:val="20"/>
          <w:szCs w:val="20"/>
          <w:color w:val="auto"/>
        </w:rPr>
      </w:pPr>
    </w:p>
    <w:p>
      <w:pPr>
        <w:jc w:val="both"/>
        <w:ind w:right="260"/>
        <w:spacing w:after="0" w:line="297" w:lineRule="auto"/>
        <w:rPr>
          <w:sz w:val="20"/>
          <w:szCs w:val="20"/>
          <w:color w:val="auto"/>
        </w:rPr>
      </w:pPr>
      <w:r>
        <w:rPr>
          <w:rFonts w:ascii="Arial" w:cs="Arial" w:eastAsia="Arial" w:hAnsi="Arial"/>
          <w:sz w:val="19"/>
          <w:szCs w:val="19"/>
          <w:i w:val="1"/>
          <w:iCs w:val="1"/>
          <w:color w:val="auto"/>
        </w:rPr>
        <w:t xml:space="preserve">Severance Pay or Other Benefits </w:t>
      </w:r>
      <w:r>
        <w:rPr>
          <w:rFonts w:ascii="Arial" w:cs="Arial" w:eastAsia="Arial" w:hAnsi="Arial"/>
          <w:sz w:val="19"/>
          <w:szCs w:val="19"/>
          <w:color w:val="auto"/>
        </w:rPr>
        <w:t>means any severance payment or other similar benefits, including cash payments, health care</w:t>
      </w:r>
      <w:r>
        <w:rPr>
          <w:rFonts w:ascii="Arial" w:cs="Arial" w:eastAsia="Arial" w:hAnsi="Arial"/>
          <w:sz w:val="19"/>
          <w:szCs w:val="19"/>
          <w:i w:val="1"/>
          <w:iCs w:val="1"/>
          <w:color w:val="auto"/>
        </w:rPr>
        <w:t xml:space="preserve"> </w:t>
      </w:r>
      <w:r>
        <w:rPr>
          <w:rFonts w:ascii="Arial" w:cs="Arial" w:eastAsia="Arial" w:hAnsi="Arial"/>
          <w:sz w:val="19"/>
          <w:szCs w:val="19"/>
          <w:color w:val="auto"/>
        </w:rPr>
        <w:t>benefits, perquisites, the enhancement or acceleration of the payment or vesting of any payment or benefit or any other in-kind benefit payable (whether in lump sum or over time, including after October 1, 2022) by the Recipient to a Corporate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14" w:right="359" w:bottom="1440" w:gutter="0" w:footer="0" w:header="0"/>
        </w:sectPr>
      </w:pPr>
    </w:p>
    <w:bookmarkStart w:id="166" w:name="page167"/>
    <w:bookmarkEnd w:id="166"/>
    <w:p>
      <w:pPr>
        <w:ind w:right="20"/>
        <w:spacing w:after="0" w:line="282" w:lineRule="auto"/>
        <w:rPr>
          <w:sz w:val="20"/>
          <w:szCs w:val="20"/>
          <w:color w:val="auto"/>
        </w:rPr>
      </w:pPr>
      <w:r>
        <w:rPr>
          <w:rFonts w:ascii="Arial" w:cs="Arial" w:eastAsia="Arial" w:hAnsi="Arial"/>
          <w:sz w:val="19"/>
          <w:szCs w:val="19"/>
          <w:color w:val="auto"/>
        </w:rPr>
        <w:t>or Employee in connection with any termination of such Corporate Officer’s or Employee’s employment (including, without limitation, resignation, severance, retirement, or constructive termination), which shall be determined and calculated in respect of any Employee or Corporate Officer of the Recipient in the manner prescribed in 17 CFR 229.402(j) (without regard to its limitation to the five most highly compensated executives and using the actual date of termination of employment rather than the last business day of the Recipient’s last completed fiscal year as the trigger event).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Signatory Entity </w:t>
      </w:r>
      <w:r>
        <w:rPr>
          <w:rFonts w:ascii="Arial" w:cs="Arial" w:eastAsia="Arial" w:hAnsi="Arial"/>
          <w:sz w:val="22"/>
          <w:szCs w:val="22"/>
          <w:color w:val="auto"/>
        </w:rPr>
        <w:t>means the passenger air carrier or contractor that has entered into this Agreement.</w:t>
      </w:r>
    </w:p>
    <w:p>
      <w:pPr>
        <w:spacing w:after="0" w:line="220" w:lineRule="exact"/>
        <w:rPr>
          <w:sz w:val="20"/>
          <w:szCs w:val="20"/>
          <w:color w:val="auto"/>
        </w:rPr>
      </w:pPr>
    </w:p>
    <w:p>
      <w:pPr>
        <w:jc w:val="both"/>
        <w:ind w:right="180"/>
        <w:spacing w:after="0" w:line="343" w:lineRule="auto"/>
        <w:rPr>
          <w:sz w:val="20"/>
          <w:szCs w:val="20"/>
          <w:color w:val="auto"/>
        </w:rPr>
      </w:pPr>
      <w:r>
        <w:rPr>
          <w:rFonts w:ascii="Arial" w:cs="Arial" w:eastAsia="Arial" w:hAnsi="Arial"/>
          <w:sz w:val="19"/>
          <w:szCs w:val="19"/>
          <w:i w:val="1"/>
          <w:iCs w:val="1"/>
          <w:color w:val="auto"/>
        </w:rPr>
        <w:t xml:space="preserve">Taxpayer Protection Instruments </w:t>
      </w:r>
      <w:r>
        <w:rPr>
          <w:rFonts w:ascii="Arial" w:cs="Arial" w:eastAsia="Arial" w:hAnsi="Arial"/>
          <w:sz w:val="19"/>
          <w:szCs w:val="19"/>
          <w:color w:val="auto"/>
        </w:rPr>
        <w:t>means warrants, options, preferred stock, debt securities, notes, or other financial instruments</w:t>
      </w:r>
      <w:r>
        <w:rPr>
          <w:rFonts w:ascii="Arial" w:cs="Arial" w:eastAsia="Arial" w:hAnsi="Arial"/>
          <w:sz w:val="19"/>
          <w:szCs w:val="19"/>
          <w:i w:val="1"/>
          <w:iCs w:val="1"/>
          <w:color w:val="auto"/>
        </w:rPr>
        <w:t xml:space="preserve"> </w:t>
      </w:r>
      <w:r>
        <w:rPr>
          <w:rFonts w:ascii="Arial" w:cs="Arial" w:eastAsia="Arial" w:hAnsi="Arial"/>
          <w:sz w:val="19"/>
          <w:szCs w:val="19"/>
          <w:color w:val="auto"/>
        </w:rPr>
        <w:t>issued by the Recipient or an Affiliate to Treasury as compensation for the Payroll Support under this Agreement, if applicable.</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i w:val="1"/>
          <w:iCs w:val="1"/>
          <w:color w:val="auto"/>
        </w:rPr>
        <w:t xml:space="preserve">Total Compensation </w:t>
      </w:r>
      <w:r>
        <w:rPr>
          <w:rFonts w:ascii="Arial" w:cs="Arial" w:eastAsia="Arial" w:hAnsi="Arial"/>
          <w:sz w:val="22"/>
          <w:szCs w:val="22"/>
          <w:color w:val="auto"/>
        </w:rPr>
        <w:t>means compensation including salary, wages, bonuses, awards of stock, and any other financial benefits</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by the Recipient or an Affiliate, as applicable, which shall be determined and calculated for the 2019 calendar year or any applicable 12-month period in respect of any Employee or Corporate Officer of the Recipient in the manner prescribed under paragraph e.6 of the award term in 2 CFR part 170, App. A, but excluding any Severance Pay or Other Benefits in connection with a termination of employment.</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21"/>
          <w:szCs w:val="21"/>
          <w:i w:val="1"/>
          <w:iCs w:val="1"/>
          <w:color w:val="auto"/>
        </w:rPr>
        <w:t xml:space="preserve">Wage </w:t>
      </w:r>
      <w:r>
        <w:rPr>
          <w:rFonts w:ascii="Arial" w:cs="Arial" w:eastAsia="Arial" w:hAnsi="Arial"/>
          <w:sz w:val="21"/>
          <w:szCs w:val="21"/>
          <w:color w:val="auto"/>
        </w:rPr>
        <w:t>means, without duplication of any amounts counted as Benefits, a payment, typically paid on an hourly, daily, or piecework</w:t>
      </w:r>
      <w:r>
        <w:rPr>
          <w:rFonts w:ascii="Arial" w:cs="Arial" w:eastAsia="Arial" w:hAnsi="Arial"/>
          <w:sz w:val="21"/>
          <w:szCs w:val="21"/>
          <w:i w:val="1"/>
          <w:iCs w:val="1"/>
          <w:color w:val="auto"/>
        </w:rPr>
        <w:t xml:space="preserve"> </w:t>
      </w:r>
      <w:r>
        <w:rPr>
          <w:rFonts w:ascii="Arial" w:cs="Arial" w:eastAsia="Arial" w:hAnsi="Arial"/>
          <w:sz w:val="21"/>
          <w:szCs w:val="21"/>
          <w:color w:val="auto"/>
        </w:rPr>
        <w:t>basis, including cost-of-living differentials, vacation, paid time off, sick leave, and overtime pay, paid by the Recipient to its Employees, but excluding any Federal, state, or local payroll taxes paid by the Recipient.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PAYROLL SUPPORT PAYMENTS</w:t>
      </w:r>
    </w:p>
    <w:p>
      <w:pPr>
        <w:spacing w:after="0" w:line="226" w:lineRule="exact"/>
        <w:rPr>
          <w:sz w:val="20"/>
          <w:szCs w:val="20"/>
          <w:color w:val="auto"/>
        </w:rPr>
      </w:pPr>
    </w:p>
    <w:p>
      <w:pPr>
        <w:ind w:left="340" w:right="360" w:hanging="332"/>
        <w:spacing w:after="0" w:line="263" w:lineRule="auto"/>
        <w:tabs>
          <w:tab w:leader="none" w:pos="34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Upon the execution of this Agreement by Treasury and the Recipient, the Secretary shall approve the Recipient to receive Payroll Support.</w:t>
      </w:r>
    </w:p>
    <w:p>
      <w:pPr>
        <w:spacing w:after="0" w:line="174" w:lineRule="exact"/>
        <w:rPr>
          <w:rFonts w:ascii="Arial" w:cs="Arial" w:eastAsia="Arial" w:hAnsi="Arial"/>
          <w:sz w:val="22"/>
          <w:szCs w:val="22"/>
          <w:color w:val="auto"/>
        </w:rPr>
      </w:pPr>
    </w:p>
    <w:p>
      <w:pPr>
        <w:ind w:left="340" w:right="140" w:hanging="332"/>
        <w:spacing w:after="0" w:line="250" w:lineRule="auto"/>
        <w:tabs>
          <w:tab w:leader="none" w:pos="34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Recipient may receive Payroll Support in multiple payments up to the Maximum Awardable Amount, and the amounts (individually and in the aggregate) and timing of such payments will be determined by the Secretary in her sole discretion. The Secretary may, in her sole discretion, increase or reduce the Maximum Awardable Amount consistent with section 7301 of the ARP.</w:t>
      </w:r>
    </w:p>
    <w:p>
      <w:pPr>
        <w:spacing w:after="0" w:line="187" w:lineRule="exact"/>
        <w:rPr>
          <w:rFonts w:ascii="Arial" w:cs="Arial" w:eastAsia="Arial" w:hAnsi="Arial"/>
          <w:sz w:val="22"/>
          <w:szCs w:val="22"/>
          <w:color w:val="auto"/>
        </w:rPr>
      </w:pPr>
    </w:p>
    <w:p>
      <w:pPr>
        <w:ind w:left="340" w:right="40" w:hanging="332"/>
        <w:spacing w:after="0" w:line="265" w:lineRule="auto"/>
        <w:tabs>
          <w:tab w:leader="none" w:pos="34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Secretary may determine in her sole discretion that any Payroll Support shall be conditioned on, and subject to, compliance by the Recipient with all applicable requirements under (a) PSP2 and (b) PSP1 if the Recipient received financial assistance in PSP1, and such additional terms and conditions (including the receipt of, and any terms regarding, Taxpayer Protection Instruments) to which the parties may agree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20" w:top="1414" w:right="37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22"/>
          <w:szCs w:val="22"/>
          <w:b w:val="1"/>
          <w:bCs w:val="1"/>
          <w:color w:val="auto"/>
        </w:rPr>
        <w:t>TERMS AND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Retaining and Paying Employees</w:t>
      </w:r>
    </w:p>
    <w:p>
      <w:pPr>
        <w:spacing w:after="0" w:line="220" w:lineRule="exact"/>
        <w:rPr>
          <w:sz w:val="20"/>
          <w:szCs w:val="20"/>
          <w:color w:val="auto"/>
        </w:rPr>
      </w:pPr>
    </w:p>
    <w:p>
      <w:pPr>
        <w:ind w:left="340" w:right="220" w:hanging="332"/>
        <w:spacing w:after="0" w:line="263" w:lineRule="auto"/>
        <w:tabs>
          <w:tab w:leader="none" w:pos="3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Recipient shall use the Payroll Support exclusively for the continuation of payment of Wages, Salaries, and Benefits to the Employees of the Recipient.</w:t>
      </w:r>
    </w:p>
    <w:p>
      <w:pPr>
        <w:spacing w:after="0" w:line="161" w:lineRule="exact"/>
        <w:rPr>
          <w:rFonts w:ascii="Arial" w:cs="Arial" w:eastAsia="Arial" w:hAnsi="Arial"/>
          <w:sz w:val="22"/>
          <w:szCs w:val="22"/>
          <w:color w:val="auto"/>
        </w:rPr>
      </w:pPr>
    </w:p>
    <w:p>
      <w:pPr>
        <w:ind w:left="980" w:right="260" w:hanging="324"/>
        <w:spacing w:after="0"/>
        <w:tabs>
          <w:tab w:leader="none" w:pos="968" w:val="left"/>
        </w:tabs>
        <w:numPr>
          <w:ilvl w:val="1"/>
          <w:numId w:val="108"/>
        </w:numPr>
        <w:rPr>
          <w:rFonts w:ascii="Arial" w:cs="Arial" w:eastAsia="Arial" w:hAnsi="Arial"/>
          <w:sz w:val="22"/>
          <w:szCs w:val="22"/>
          <w:color w:val="auto"/>
        </w:rPr>
      </w:pPr>
      <w:r>
        <w:rPr>
          <w:rFonts w:ascii="Arial" w:cs="Arial" w:eastAsia="Arial" w:hAnsi="Arial"/>
          <w:sz w:val="22"/>
          <w:szCs w:val="22"/>
          <w:i w:val="1"/>
          <w:iCs w:val="1"/>
          <w:color w:val="auto"/>
        </w:rPr>
        <w:t>Furloughs and Layoffs</w:t>
      </w:r>
      <w:r>
        <w:rPr>
          <w:rFonts w:ascii="Arial" w:cs="Arial" w:eastAsia="Arial" w:hAnsi="Arial"/>
          <w:sz w:val="22"/>
          <w:szCs w:val="22"/>
          <w:color w:val="auto"/>
        </w:rPr>
        <w:t>. The Recipient shall not conduct an Involuntary Termination or Furlough of any 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between the date of this Agreement and September 30, 2021 or the date on which the Recipient has expended all of the Payroll Support, whichever is later.</w:t>
      </w:r>
    </w:p>
    <w:p>
      <w:pPr>
        <w:spacing w:after="0" w:line="186" w:lineRule="exact"/>
        <w:rPr>
          <w:rFonts w:ascii="Arial" w:cs="Arial" w:eastAsia="Arial" w:hAnsi="Arial"/>
          <w:sz w:val="22"/>
          <w:szCs w:val="22"/>
          <w:color w:val="auto"/>
        </w:rPr>
      </w:pPr>
    </w:p>
    <w:p>
      <w:pPr>
        <w:ind w:left="980" w:hanging="324"/>
        <w:spacing w:after="0"/>
        <w:tabs>
          <w:tab w:leader="none" w:pos="980" w:val="left"/>
        </w:tabs>
        <w:numPr>
          <w:ilvl w:val="1"/>
          <w:numId w:val="108"/>
        </w:numPr>
        <w:rPr>
          <w:rFonts w:ascii="Arial" w:cs="Arial" w:eastAsia="Arial" w:hAnsi="Arial"/>
          <w:sz w:val="22"/>
          <w:szCs w:val="22"/>
          <w:color w:val="auto"/>
        </w:rPr>
      </w:pPr>
      <w:r>
        <w:rPr>
          <w:rFonts w:ascii="Arial" w:cs="Arial" w:eastAsia="Arial" w:hAnsi="Arial"/>
          <w:sz w:val="22"/>
          <w:szCs w:val="22"/>
          <w:i w:val="1"/>
          <w:iCs w:val="1"/>
          <w:color w:val="auto"/>
        </w:rPr>
        <w:t>Employee Salary, Wages, and Benefits</w:t>
      </w:r>
    </w:p>
    <w:p>
      <w:pPr>
        <w:spacing w:after="0" w:line="206" w:lineRule="exact"/>
        <w:rPr>
          <w:rFonts w:ascii="Arial" w:cs="Arial" w:eastAsia="Arial" w:hAnsi="Arial"/>
          <w:sz w:val="22"/>
          <w:szCs w:val="22"/>
          <w:color w:val="auto"/>
        </w:rPr>
      </w:pPr>
    </w:p>
    <w:p>
      <w:pPr>
        <w:jc w:val="both"/>
        <w:ind w:left="1620" w:hanging="268"/>
        <w:spacing w:after="0" w:line="252" w:lineRule="auto"/>
        <w:tabs>
          <w:tab w:leader="none" w:pos="1620" w:val="left"/>
        </w:tabs>
        <w:numPr>
          <w:ilvl w:val="2"/>
          <w:numId w:val="108"/>
        </w:numPr>
        <w:rPr>
          <w:rFonts w:ascii="Arial" w:cs="Arial" w:eastAsia="Arial" w:hAnsi="Arial"/>
          <w:sz w:val="21"/>
          <w:szCs w:val="21"/>
          <w:color w:val="auto"/>
        </w:rPr>
      </w:pPr>
      <w:r>
        <w:rPr>
          <w:rFonts w:ascii="Arial" w:cs="Arial" w:eastAsia="Arial" w:hAnsi="Arial"/>
          <w:sz w:val="21"/>
          <w:szCs w:val="21"/>
          <w:i w:val="1"/>
          <w:iCs w:val="1"/>
          <w:color w:val="auto"/>
        </w:rPr>
        <w:t>Salary and Wages</w:t>
      </w:r>
      <w:r>
        <w:rPr>
          <w:rFonts w:ascii="Arial" w:cs="Arial" w:eastAsia="Arial" w:hAnsi="Arial"/>
          <w:sz w:val="21"/>
          <w:szCs w:val="21"/>
          <w:color w:val="auto"/>
        </w:rPr>
        <w:t>. Except in the case of a Permitted Termination or Furlough, the Recipient shall not, between</w:t>
      </w:r>
      <w:r>
        <w:rPr>
          <w:rFonts w:ascii="Arial" w:cs="Arial" w:eastAsia="Arial" w:hAnsi="Arial"/>
          <w:sz w:val="21"/>
          <w:szCs w:val="21"/>
          <w:i w:val="1"/>
          <w:iCs w:val="1"/>
          <w:color w:val="auto"/>
        </w:rPr>
        <w:t xml:space="preserve"> </w:t>
      </w:r>
      <w:r>
        <w:rPr>
          <w:rFonts w:ascii="Arial" w:cs="Arial" w:eastAsia="Arial" w:hAnsi="Arial"/>
          <w:sz w:val="21"/>
          <w:szCs w:val="21"/>
          <w:color w:val="auto"/>
        </w:rPr>
        <w:t>the date of this Agreement and September 30, 2021 or the date on which the Recipient has expended all of the Payroll Support, whichever is later, reduce, without the Employee’s consent, (A) the pay rate of any Employee earning a Salary, or (B) the pay rate of any Employee earning Wages.</w:t>
      </w:r>
    </w:p>
    <w:p>
      <w:pPr>
        <w:spacing w:after="0" w:line="173" w:lineRule="exact"/>
        <w:rPr>
          <w:rFonts w:ascii="Arial" w:cs="Arial" w:eastAsia="Arial" w:hAnsi="Arial"/>
          <w:sz w:val="21"/>
          <w:szCs w:val="21"/>
          <w:color w:val="auto"/>
        </w:rPr>
      </w:pPr>
    </w:p>
    <w:p>
      <w:pPr>
        <w:ind w:left="1620" w:right="40" w:hanging="328"/>
        <w:spacing w:after="0" w:line="279" w:lineRule="auto"/>
        <w:tabs>
          <w:tab w:leader="none" w:pos="1620" w:val="left"/>
        </w:tabs>
        <w:numPr>
          <w:ilvl w:val="2"/>
          <w:numId w:val="108"/>
        </w:numPr>
        <w:rPr>
          <w:rFonts w:ascii="Arial" w:cs="Arial" w:eastAsia="Arial" w:hAnsi="Arial"/>
          <w:sz w:val="19"/>
          <w:szCs w:val="19"/>
          <w:color w:val="auto"/>
        </w:rPr>
      </w:pPr>
      <w:r>
        <w:rPr>
          <w:rFonts w:ascii="Arial" w:cs="Arial" w:eastAsia="Arial" w:hAnsi="Arial"/>
          <w:sz w:val="19"/>
          <w:szCs w:val="19"/>
          <w:i w:val="1"/>
          <w:iCs w:val="1"/>
          <w:color w:val="auto"/>
        </w:rPr>
        <w:t>Benefits</w:t>
      </w:r>
      <w:r>
        <w:rPr>
          <w:rFonts w:ascii="Arial" w:cs="Arial" w:eastAsia="Arial" w:hAnsi="Arial"/>
          <w:sz w:val="19"/>
          <w:szCs w:val="19"/>
          <w:color w:val="auto"/>
        </w:rPr>
        <w:t>. Except in the case of a Permitted Termination or Furlough, the Recipient shall not, between the date</w:t>
      </w:r>
      <w:r>
        <w:rPr>
          <w:rFonts w:ascii="Arial" w:cs="Arial" w:eastAsia="Arial" w:hAnsi="Arial"/>
          <w:sz w:val="19"/>
          <w:szCs w:val="19"/>
          <w:i w:val="1"/>
          <w:iCs w:val="1"/>
          <w:color w:val="auto"/>
        </w:rPr>
        <w:t xml:space="preserve"> </w:t>
      </w:r>
      <w:r>
        <w:rPr>
          <w:rFonts w:ascii="Arial" w:cs="Arial" w:eastAsia="Arial" w:hAnsi="Arial"/>
          <w:sz w:val="19"/>
          <w:szCs w:val="19"/>
          <w:color w:val="auto"/>
        </w:rPr>
        <w:t>of this Agreement and September 30, 2021 or the date on which the Recipient has expended all of the Payroll Support, whichever is later, reduce, without the Employee’s consent, the Benefits of any Employee; provided, however, that for purposes of this paragraph, personnel expenses associated with the performance of work duties, including those described in line 10 of Financial Reporting Schedule P-6, Form 41, as published by the Department of Transportation, may be reduced to the extent the associated work duties are not performed.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Dividends and Buybacks</w:t>
      </w:r>
    </w:p>
    <w:p>
      <w:pPr>
        <w:spacing w:after="0" w:line="206" w:lineRule="exact"/>
        <w:rPr>
          <w:sz w:val="20"/>
          <w:szCs w:val="20"/>
          <w:color w:val="auto"/>
        </w:rPr>
      </w:pPr>
    </w:p>
    <w:p>
      <w:pPr>
        <w:jc w:val="both"/>
        <w:ind w:left="340" w:right="80" w:hanging="332"/>
        <w:spacing w:after="0"/>
        <w:tabs>
          <w:tab w:leader="none" w:pos="3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Through September 30, 2022, neither the Recipient nor any Affiliate shall, in any transaction, purchase an equity security of the Recipient or of any direct or indirect parent company of the Recipient that, in either case, is listed on a national securities exchange.</w:t>
      </w:r>
    </w:p>
    <w:p>
      <w:pPr>
        <w:spacing w:after="0" w:line="213" w:lineRule="exact"/>
        <w:rPr>
          <w:rFonts w:ascii="Arial" w:cs="Arial" w:eastAsia="Arial" w:hAnsi="Arial"/>
          <w:sz w:val="22"/>
          <w:szCs w:val="22"/>
          <w:color w:val="auto"/>
        </w:rPr>
      </w:pPr>
    </w:p>
    <w:p>
      <w:pPr>
        <w:ind w:left="340" w:right="220" w:hanging="332"/>
        <w:spacing w:after="0" w:line="250" w:lineRule="auto"/>
        <w:tabs>
          <w:tab w:leader="none" w:pos="3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Through September 30, 2022, the Recipient shall not pay dividends, or make any other capital distributions, with respect to the common stock (or equivalent equity interest) of the Recipient.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Limitations on Certain Compensation</w:t>
      </w:r>
    </w:p>
    <w:p>
      <w:pPr>
        <w:spacing w:after="0" w:line="206" w:lineRule="exact"/>
        <w:rPr>
          <w:sz w:val="20"/>
          <w:szCs w:val="20"/>
          <w:color w:val="auto"/>
        </w:rPr>
      </w:pPr>
    </w:p>
    <w:p>
      <w:pPr>
        <w:ind w:left="340" w:right="60" w:hanging="332"/>
        <w:spacing w:after="0" w:line="238" w:lineRule="auto"/>
        <w:tabs>
          <w:tab w:leader="none" w:pos="3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Beginning April 1, 2021, and ending April 1, 2023, the Recipient and its Affiliates shall not pay any of the Recipient’s Corporate Officers or Employees whose Total Compensation exceeded $425,000 in calendar year 2019 (other than an Employee whose compensation is determined through an existing collective bargaining agreement entered into before March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00"/>
          </w:cols>
          <w:pgMar w:left="320" w:top="1422" w:right="379" w:bottom="1440" w:gutter="0" w:footer="0" w:header="0"/>
        </w:sectPr>
      </w:pPr>
    </w:p>
    <w:bookmarkStart w:id="168" w:name="page169"/>
    <w:bookmarkEnd w:id="168"/>
    <w:p>
      <w:pPr>
        <w:ind w:left="980" w:right="1120" w:hanging="324"/>
        <w:spacing w:after="0" w:line="287" w:lineRule="auto"/>
        <w:tabs>
          <w:tab w:leader="none" w:pos="968" w:val="left"/>
        </w:tabs>
        <w:numPr>
          <w:ilvl w:val="1"/>
          <w:numId w:val="111"/>
        </w:numPr>
        <w:rPr>
          <w:rFonts w:ascii="Arial" w:cs="Arial" w:eastAsia="Arial" w:hAnsi="Arial"/>
          <w:sz w:val="21"/>
          <w:szCs w:val="21"/>
          <w:color w:val="auto"/>
        </w:rPr>
      </w:pPr>
      <w:r>
        <w:rPr>
          <w:rFonts w:ascii="Arial" w:cs="Arial" w:eastAsia="Arial" w:hAnsi="Arial"/>
          <w:sz w:val="21"/>
          <w:szCs w:val="21"/>
          <w:color w:val="auto"/>
        </w:rPr>
        <w:t>Total Compensation which exceeds, during any 12 consecutive months of such two-year period, the Total Compensation the Corporate Officer or Employee received in calendar year 2019; or</w:t>
      </w:r>
    </w:p>
    <w:p>
      <w:pPr>
        <w:spacing w:after="0" w:line="151" w:lineRule="exact"/>
        <w:rPr>
          <w:rFonts w:ascii="Arial" w:cs="Arial" w:eastAsia="Arial" w:hAnsi="Arial"/>
          <w:sz w:val="21"/>
          <w:szCs w:val="21"/>
          <w:color w:val="auto"/>
        </w:rPr>
      </w:pPr>
    </w:p>
    <w:p>
      <w:pPr>
        <w:ind w:left="980" w:right="300" w:hanging="324"/>
        <w:spacing w:after="0" w:line="343" w:lineRule="auto"/>
        <w:tabs>
          <w:tab w:leader="none" w:pos="98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Severance Pay or Other Benefits in connection with a termination of employment with the Recipient which exceed twice the maximum Total Compensation received by such Corporate Officer or Employee in calendar year 2019.</w:t>
      </w:r>
    </w:p>
    <w:p>
      <w:pPr>
        <w:spacing w:after="0" w:line="104" w:lineRule="exact"/>
        <w:rPr>
          <w:rFonts w:ascii="Arial" w:cs="Arial" w:eastAsia="Arial" w:hAnsi="Arial"/>
          <w:sz w:val="19"/>
          <w:szCs w:val="19"/>
          <w:color w:val="auto"/>
        </w:rPr>
      </w:pPr>
    </w:p>
    <w:p>
      <w:pPr>
        <w:ind w:left="340" w:right="220" w:hanging="332"/>
        <w:spacing w:after="0" w:line="271" w:lineRule="auto"/>
        <w:tabs>
          <w:tab w:leader="none" w:pos="3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Beginning April 1, 2021, and ending April 1, 2023, the Recipient and its Affiliates shall not pay, during any 12 consecutive months of such two-year period, any of the Recipient’s Corporate Officers or Employees whose Total Compensation exceeded $3,000,000 in calendar year 2019 Total Compensation in excess of the sum of:</w:t>
      </w:r>
    </w:p>
    <w:p>
      <w:pPr>
        <w:spacing w:after="0" w:line="167" w:lineRule="exact"/>
        <w:rPr>
          <w:rFonts w:ascii="Arial" w:cs="Arial" w:eastAsia="Arial" w:hAnsi="Arial"/>
          <w:sz w:val="21"/>
          <w:szCs w:val="21"/>
          <w:color w:val="auto"/>
        </w:rPr>
      </w:pPr>
    </w:p>
    <w:p>
      <w:pPr>
        <w:ind w:left="960" w:hanging="304"/>
        <w:spacing w:after="0"/>
        <w:tabs>
          <w:tab w:leader="none" w:pos="96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$3,000,000; and</w:t>
      </w:r>
    </w:p>
    <w:p>
      <w:pPr>
        <w:spacing w:after="0" w:line="219" w:lineRule="exact"/>
        <w:rPr>
          <w:rFonts w:ascii="Arial" w:cs="Arial" w:eastAsia="Arial" w:hAnsi="Arial"/>
          <w:sz w:val="22"/>
          <w:szCs w:val="22"/>
          <w:color w:val="auto"/>
        </w:rPr>
      </w:pPr>
    </w:p>
    <w:p>
      <w:pPr>
        <w:ind w:left="980" w:right="80" w:hanging="324"/>
        <w:spacing w:after="0" w:line="263" w:lineRule="auto"/>
        <w:tabs>
          <w:tab w:leader="none" w:pos="98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50 percent of the excess over $3,000,000 of the Total Compensation received by such Corporate Officer or Employee in calendar year 2019.</w:t>
      </w:r>
    </w:p>
    <w:p>
      <w:pPr>
        <w:spacing w:after="0" w:line="174" w:lineRule="exact"/>
        <w:rPr>
          <w:rFonts w:ascii="Arial" w:cs="Arial" w:eastAsia="Arial" w:hAnsi="Arial"/>
          <w:sz w:val="22"/>
          <w:szCs w:val="22"/>
          <w:color w:val="auto"/>
        </w:rPr>
      </w:pPr>
    </w:p>
    <w:p>
      <w:pPr>
        <w:jc w:val="both"/>
        <w:ind w:left="340" w:hanging="332"/>
        <w:spacing w:after="0" w:line="312" w:lineRule="auto"/>
        <w:tabs>
          <w:tab w:leader="none" w:pos="34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For purposes of determining applicable amounts under paragraphs 7 and 8 with respect to any Corporate Officer or Employee who was employed by the Recipient or an Affiliate for less than all of calendar year 2019, the amount of Total Compensation in calendar year 2019 shall mean such Corporate Officer’s or Employee’s Total Compensation on an annualized basis.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Service and Eligibility</w:t>
      </w:r>
    </w:p>
    <w:p>
      <w:pPr>
        <w:spacing w:after="0" w:line="220" w:lineRule="exact"/>
        <w:rPr>
          <w:sz w:val="20"/>
          <w:szCs w:val="20"/>
          <w:color w:val="auto"/>
        </w:rPr>
      </w:pPr>
    </w:p>
    <w:p>
      <w:pPr>
        <w:ind w:left="440" w:right="20" w:hanging="431"/>
        <w:spacing w:after="0" w:line="253" w:lineRule="auto"/>
        <w:rPr>
          <w:sz w:val="20"/>
          <w:szCs w:val="20"/>
          <w:color w:val="auto"/>
        </w:rPr>
      </w:pPr>
      <w:r>
        <w:rPr>
          <w:rFonts w:ascii="Arial" w:cs="Arial" w:eastAsia="Arial" w:hAnsi="Arial"/>
          <w:sz w:val="22"/>
          <w:szCs w:val="22"/>
          <w:color w:val="auto"/>
        </w:rPr>
        <w:t>10.1.If the Recipient is an air carrier, until March 1, 2022, the Recipient shall comply with any applicable requirement issued by the Secretary of Transportation under section 407 of the PSP Extension Law to maintain scheduled air transportation service to any point served by the Recipient before March 1, 2020.</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10.2. The Recipient represents, warrants, and certifies that as of March 31, 2021, the Recipient:</w:t>
      </w:r>
    </w:p>
    <w:p>
      <w:pPr>
        <w:spacing w:after="0" w:line="220" w:lineRule="exact"/>
        <w:rPr>
          <w:sz w:val="20"/>
          <w:szCs w:val="20"/>
          <w:color w:val="auto"/>
        </w:rPr>
      </w:pPr>
    </w:p>
    <w:p>
      <w:pPr>
        <w:ind w:left="960" w:hanging="304"/>
        <w:spacing w:after="0"/>
        <w:tabs>
          <w:tab w:leader="none" w:pos="9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provided air transportation as an air carrier, as defined under 49 U.S.C. § 40102; or</w:t>
      </w:r>
    </w:p>
    <w:p>
      <w:pPr>
        <w:spacing w:after="0" w:line="219" w:lineRule="exact"/>
        <w:rPr>
          <w:rFonts w:ascii="Arial" w:cs="Arial" w:eastAsia="Arial" w:hAnsi="Arial"/>
          <w:sz w:val="22"/>
          <w:szCs w:val="22"/>
          <w:color w:val="auto"/>
        </w:rPr>
      </w:pPr>
    </w:p>
    <w:p>
      <w:pPr>
        <w:ind w:left="980" w:right="120" w:hanging="324"/>
        <w:spacing w:after="0" w:line="297" w:lineRule="auto"/>
        <w:tabs>
          <w:tab w:leader="none" w:pos="9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 performed, under contract with a passenger air carrier conducting operations under 14 CFR part 121, (A) catering functions; or (B) functions on the property of an airport that were directly related to the air transportation of persons, property, or mail, including the loading and unloading of property on aircraft, assistance to passengers under 14 CFR part 382, security, airport ticketing and check-in functions, groundhandling of aircraft, or aircraft cleaning and sanitization functions and waste removal; or (ii) was a subcontractor that performed such functions.</w:t>
      </w:r>
    </w:p>
    <w:p>
      <w:pPr>
        <w:spacing w:after="0" w:line="147" w:lineRule="exact"/>
        <w:rPr>
          <w:sz w:val="20"/>
          <w:szCs w:val="20"/>
          <w:color w:val="auto"/>
        </w:rPr>
      </w:pPr>
    </w:p>
    <w:p>
      <w:pPr>
        <w:ind w:left="440" w:right="160" w:hanging="431"/>
        <w:spacing w:after="0" w:line="263" w:lineRule="auto"/>
        <w:rPr>
          <w:sz w:val="20"/>
          <w:szCs w:val="20"/>
          <w:color w:val="auto"/>
        </w:rPr>
      </w:pPr>
      <w:r>
        <w:rPr>
          <w:rFonts w:ascii="Arial" w:cs="Arial" w:eastAsia="Arial" w:hAnsi="Arial"/>
          <w:sz w:val="22"/>
          <w:szCs w:val="22"/>
          <w:color w:val="auto"/>
        </w:rPr>
        <w:t>10.3. The Recipient represents, warrants, and certifies that between March 31, 2021, and the effective date of this Agreement, it has not: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conducted an Involuntary Termination or Furlough;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20" w:top="1428" w:right="379" w:bottom="1440" w:gutter="0" w:footer="0" w:header="0"/>
        </w:sectPr>
      </w:pPr>
    </w:p>
    <w:bookmarkStart w:id="169" w:name="page170"/>
    <w:bookmarkEnd w:id="169"/>
    <w:p>
      <w:pPr>
        <w:ind w:left="980" w:right="80" w:hanging="324"/>
        <w:spacing w:after="0" w:line="250" w:lineRule="auto"/>
        <w:tabs>
          <w:tab w:leader="none" w:pos="9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reduced, without the Employee’s consent, (i) the pay rate of any Employee earning a Salary, or (ii) the pay rate of any Employee earning Wages; or</w:t>
      </w:r>
    </w:p>
    <w:p>
      <w:pPr>
        <w:spacing w:after="0" w:line="174" w:lineRule="exact"/>
        <w:rPr>
          <w:rFonts w:ascii="Arial" w:cs="Arial" w:eastAsia="Arial" w:hAnsi="Arial"/>
          <w:sz w:val="22"/>
          <w:szCs w:val="22"/>
          <w:color w:val="auto"/>
        </w:rPr>
      </w:pPr>
    </w:p>
    <w:p>
      <w:pPr>
        <w:ind w:left="980" w:right="240" w:hanging="324"/>
        <w:spacing w:after="0" w:line="236" w:lineRule="auto"/>
        <w:tabs>
          <w:tab w:leader="none" w:pos="96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except in the case of a Permitted Termination or Furlough, reduced, without the Employee’s consent, the Benefits of any Employee (provided, however, that for purposes of this subparagraph, personnel expenses associated with the performance of work duties, including those described in line 10 of Financial Reporting Schedule P-6, Form 41, as published by the Department of Transportation, may be reduced to the extent the associated work duties are not performed).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Effective Date</w:t>
      </w:r>
    </w:p>
    <w:p>
      <w:pPr>
        <w:spacing w:after="0" w:line="206" w:lineRule="exact"/>
        <w:rPr>
          <w:sz w:val="20"/>
          <w:szCs w:val="20"/>
          <w:color w:val="auto"/>
        </w:rPr>
      </w:pPr>
    </w:p>
    <w:p>
      <w:pPr>
        <w:ind w:right="4020" w:firstLine="8"/>
        <w:spacing w:after="0" w:line="435" w:lineRule="auto"/>
        <w:tabs>
          <w:tab w:leader="none" w:pos="31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This Agreement shall be effective as of the date of its execution by both parties. </w:t>
      </w:r>
      <w:r>
        <w:rPr>
          <w:rFonts w:ascii="Arial" w:cs="Arial" w:eastAsia="Arial" w:hAnsi="Arial"/>
          <w:sz w:val="22"/>
          <w:szCs w:val="22"/>
          <w:u w:val="single" w:color="auto"/>
          <w:color w:val="auto"/>
        </w:rPr>
        <w:t>Reporting and Auditing</w:t>
      </w:r>
    </w:p>
    <w:p>
      <w:pPr>
        <w:ind w:left="340" w:right="60" w:hanging="332"/>
        <w:spacing w:after="0" w:line="236" w:lineRule="auto"/>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Until the calendar quarter that begins after the later of January 1, 2023, and the date on which no Taxpayer Protection Instrument is outstanding, not later than 45 days after the end of each of the first three calendar quarters of each calendar year and 90 days after the end of each calendar year, the Signatory Entity, on behalf of itself and each other Recipient, shall certify to Treasury that it is in compliance with the terms and conditions of this Agreement and provide a report containing the following:</w:t>
      </w:r>
    </w:p>
    <w:p>
      <w:pPr>
        <w:spacing w:after="0" w:line="214" w:lineRule="exact"/>
        <w:rPr>
          <w:rFonts w:ascii="Arial" w:cs="Arial" w:eastAsia="Arial" w:hAnsi="Arial"/>
          <w:sz w:val="22"/>
          <w:szCs w:val="22"/>
          <w:color w:val="auto"/>
        </w:rPr>
      </w:pPr>
    </w:p>
    <w:p>
      <w:pPr>
        <w:ind w:left="1300" w:hanging="320"/>
        <w:spacing w:after="0"/>
        <w:tabs>
          <w:tab w:leader="none" w:pos="130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the amount of Payroll Support funds expended during such quarter;</w:t>
      </w:r>
    </w:p>
    <w:p>
      <w:pPr>
        <w:spacing w:after="0" w:line="233" w:lineRule="exact"/>
        <w:rPr>
          <w:rFonts w:ascii="Arial" w:cs="Arial" w:eastAsia="Arial" w:hAnsi="Arial"/>
          <w:sz w:val="22"/>
          <w:szCs w:val="22"/>
          <w:color w:val="auto"/>
        </w:rPr>
      </w:pPr>
    </w:p>
    <w:p>
      <w:pPr>
        <w:ind w:left="1300" w:right="240" w:hanging="320"/>
        <w:spacing w:after="0" w:line="250" w:lineRule="auto"/>
        <w:tabs>
          <w:tab w:leader="none" w:pos="130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the Recipient’s financial statements (audited by an independent certified public accountant, in the case of annual financial statements);</w:t>
      </w:r>
    </w:p>
    <w:p>
      <w:pPr>
        <w:spacing w:after="0" w:line="201" w:lineRule="exact"/>
        <w:rPr>
          <w:rFonts w:ascii="Arial" w:cs="Arial" w:eastAsia="Arial" w:hAnsi="Arial"/>
          <w:sz w:val="22"/>
          <w:szCs w:val="22"/>
          <w:color w:val="auto"/>
        </w:rPr>
      </w:pPr>
    </w:p>
    <w:p>
      <w:pPr>
        <w:ind w:left="1300" w:hanging="320"/>
        <w:spacing w:after="0"/>
        <w:tabs>
          <w:tab w:leader="none" w:pos="130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a copy of the Recipient’s IRS Form 941 filed with respect to such quarter; and</w:t>
      </w:r>
    </w:p>
    <w:p>
      <w:pPr>
        <w:spacing w:after="0" w:line="233" w:lineRule="exact"/>
        <w:rPr>
          <w:rFonts w:ascii="Arial" w:cs="Arial" w:eastAsia="Arial" w:hAnsi="Arial"/>
          <w:sz w:val="22"/>
          <w:szCs w:val="22"/>
          <w:color w:val="auto"/>
        </w:rPr>
      </w:pPr>
    </w:p>
    <w:p>
      <w:pPr>
        <w:ind w:left="1300" w:hanging="320"/>
        <w:spacing w:after="0" w:line="235" w:lineRule="auto"/>
        <w:tabs>
          <w:tab w:leader="none" w:pos="130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a detailed summary describing, with respect to the Recipient, (a) any changes in Employee headcount during such quarter and the reasons therefor, including any Involuntary Termination or Furlough, (b) any changes in the amounts spent by the Recipient on Employee Wages, Salary, and Benefits during such quarter, and (c) any changes in Total Compensation for, and any Severance Pay or Other Benefits in connection with the termination of, Corporate Officers and Employees subject to limitation under this Agreement during such quarter; and the reasons for any such changes.</w:t>
      </w:r>
    </w:p>
    <w:p>
      <w:pPr>
        <w:spacing w:after="0" w:line="214" w:lineRule="exact"/>
        <w:rPr>
          <w:rFonts w:ascii="Arial" w:cs="Arial" w:eastAsia="Arial" w:hAnsi="Arial"/>
          <w:sz w:val="22"/>
          <w:szCs w:val="22"/>
          <w:color w:val="auto"/>
        </w:rPr>
      </w:pPr>
    </w:p>
    <w:p>
      <w:pPr>
        <w:ind w:left="340" w:right="40" w:hanging="332"/>
        <w:spacing w:after="0" w:line="238" w:lineRule="auto"/>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the Recipient or any Affiliate, or any Corporate Officer of the Recipient or any Affiliate, becomes aware of facts, events, or circumstances that may materially affect the Recipient’s compliance with the terms and conditions of this Agreement, the Recipient or Affiliate shall promptly provide Treasury with a written description of the events or circumstances and any action taken, or contemplated, to address the issue.</w:t>
      </w:r>
    </w:p>
    <w:p>
      <w:pPr>
        <w:spacing w:after="0" w:line="211" w:lineRule="exact"/>
        <w:rPr>
          <w:rFonts w:ascii="Arial" w:cs="Arial" w:eastAsia="Arial" w:hAnsi="Arial"/>
          <w:sz w:val="22"/>
          <w:szCs w:val="22"/>
          <w:color w:val="auto"/>
        </w:rPr>
      </w:pPr>
    </w:p>
    <w:p>
      <w:pPr>
        <w:ind w:left="340" w:right="240" w:hanging="332"/>
        <w:spacing w:after="0" w:line="250" w:lineRule="auto"/>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 the event the Recipient contemplates any action to commence a bankruptcy or insolvency proceeding in any jurisdiction, the Recipient shall promptly notify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4" w:right="339" w:bottom="1440" w:gutter="0" w:footer="0" w:header="0"/>
        </w:sectPr>
      </w:pPr>
    </w:p>
    <w:bookmarkStart w:id="170" w:name="page171"/>
    <w:bookmarkEnd w:id="170"/>
    <w:p>
      <w:pPr>
        <w:ind w:left="34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Recipient shall:</w:t>
      </w:r>
    </w:p>
    <w:p>
      <w:pPr>
        <w:spacing w:after="0" w:line="246" w:lineRule="exact"/>
        <w:rPr>
          <w:rFonts w:ascii="Arial" w:cs="Arial" w:eastAsia="Arial" w:hAnsi="Arial"/>
          <w:sz w:val="22"/>
          <w:szCs w:val="22"/>
          <w:color w:val="auto"/>
        </w:rPr>
      </w:pPr>
    </w:p>
    <w:p>
      <w:pPr>
        <w:ind w:left="1300" w:right="440" w:hanging="320"/>
        <w:spacing w:after="0" w:line="253" w:lineRule="auto"/>
        <w:tabs>
          <w:tab w:leader="none" w:pos="1288" w:val="left"/>
        </w:tabs>
        <w:numPr>
          <w:ilvl w:val="1"/>
          <w:numId w:val="116"/>
        </w:numPr>
        <w:rPr>
          <w:rFonts w:ascii="Arial" w:cs="Arial" w:eastAsia="Arial" w:hAnsi="Arial"/>
          <w:sz w:val="22"/>
          <w:szCs w:val="22"/>
          <w:color w:val="auto"/>
        </w:rPr>
      </w:pPr>
      <w:r>
        <w:rPr>
          <w:rFonts w:ascii="Arial" w:cs="Arial" w:eastAsia="Arial" w:hAnsi="Arial"/>
          <w:sz w:val="22"/>
          <w:szCs w:val="22"/>
          <w:color w:val="auto"/>
        </w:rPr>
        <w:t>Promptly provide to Treasury and the Treasury Inspector General a copy of any Department of Transportation Inspector General report, audit report, or report of any other oversight body, that is received by the Recipient relating to this Agreement.</w:t>
      </w:r>
    </w:p>
    <w:p>
      <w:pPr>
        <w:spacing w:after="0" w:line="212" w:lineRule="exact"/>
        <w:rPr>
          <w:rFonts w:ascii="Arial" w:cs="Arial" w:eastAsia="Arial" w:hAnsi="Arial"/>
          <w:sz w:val="22"/>
          <w:szCs w:val="22"/>
          <w:color w:val="auto"/>
        </w:rPr>
      </w:pPr>
    </w:p>
    <w:p>
      <w:pPr>
        <w:ind w:left="1300" w:right="600" w:hanging="320"/>
        <w:spacing w:after="0" w:line="263" w:lineRule="auto"/>
        <w:tabs>
          <w:tab w:leader="none" w:pos="13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Immediately notify Treasury and the Treasury Inspector General of any indication of fraud, waste, abuse, or potentially criminal activity pertaining to the Payroll Support.</w:t>
      </w:r>
    </w:p>
    <w:p>
      <w:pPr>
        <w:spacing w:after="0" w:line="201" w:lineRule="exact"/>
        <w:rPr>
          <w:rFonts w:ascii="Arial" w:cs="Arial" w:eastAsia="Arial" w:hAnsi="Arial"/>
          <w:sz w:val="22"/>
          <w:szCs w:val="22"/>
          <w:color w:val="auto"/>
        </w:rPr>
      </w:pPr>
    </w:p>
    <w:p>
      <w:pPr>
        <w:ind w:left="1300" w:right="340" w:hanging="320"/>
        <w:spacing w:after="0" w:line="263" w:lineRule="auto"/>
        <w:tabs>
          <w:tab w:leader="none" w:pos="1288" w:val="left"/>
        </w:tabs>
        <w:numPr>
          <w:ilvl w:val="1"/>
          <w:numId w:val="116"/>
        </w:numPr>
        <w:rPr>
          <w:rFonts w:ascii="Arial" w:cs="Arial" w:eastAsia="Arial" w:hAnsi="Arial"/>
          <w:sz w:val="22"/>
          <w:szCs w:val="22"/>
          <w:color w:val="auto"/>
        </w:rPr>
      </w:pPr>
      <w:r>
        <w:rPr>
          <w:rFonts w:ascii="Arial" w:cs="Arial" w:eastAsia="Arial" w:hAnsi="Arial"/>
          <w:sz w:val="22"/>
          <w:szCs w:val="22"/>
          <w:color w:val="auto"/>
        </w:rPr>
        <w:t>Promptly provide Treasury with any information Treasury may request relating to compliance by the Recipient and its Affiliates with this Agreement.</w:t>
      </w:r>
    </w:p>
    <w:p>
      <w:pPr>
        <w:spacing w:after="0" w:line="201" w:lineRule="exact"/>
        <w:rPr>
          <w:rFonts w:ascii="Arial" w:cs="Arial" w:eastAsia="Arial" w:hAnsi="Arial"/>
          <w:sz w:val="22"/>
          <w:szCs w:val="22"/>
          <w:color w:val="auto"/>
        </w:rPr>
      </w:pPr>
    </w:p>
    <w:p>
      <w:pPr>
        <w:ind w:left="340" w:right="40" w:hanging="332"/>
        <w:spacing w:after="0" w:line="290" w:lineRule="auto"/>
        <w:tabs>
          <w:tab w:leader="none" w:pos="3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Recipient and Affiliates will provide Treasury, the Treasury Inspector General, and such other entities as authorized by Treasury timely and unrestricted access to all documents, papers, or other records, including electronic records, of the Recipient related to the Payroll Support, to enable Treasury and the Treasury Inspector General to make audits, examinations, and otherwise evaluate the Recipient’s compliance with the terms of this Agreement. This right also includes timely and reasonable access to the Recipient’s and its Affiliates’ personnel for the purpose of interview and discussion related to such documents. This right of access shall continue as long as records are required to be retained. In addition, the Recipient will provide timely reports as reasonably required by Treasury, the Treasury Inspector General, and such other entities as authorized by Treasury to comply with applicable law and to assess program effectiveness.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Recordkeeping and Internal Controls</w:t>
      </w:r>
    </w:p>
    <w:p>
      <w:pPr>
        <w:spacing w:after="0" w:line="220" w:lineRule="exact"/>
        <w:rPr>
          <w:sz w:val="20"/>
          <w:szCs w:val="20"/>
          <w:color w:val="auto"/>
        </w:rPr>
      </w:pPr>
    </w:p>
    <w:p>
      <w:pPr>
        <w:ind w:left="340" w:hanging="332"/>
        <w:spacing w:after="0" w:line="253" w:lineRule="auto"/>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If the Recipient is a debtor as defined under 11 U.S.C. § 101(13), the Payroll Support funds, any claim or account receivable arising under this Agreement, and any segregated account holding funds received under this Agreement shall not constitute or become property of the estate under 11 U.S.C. § 541.</w:t>
      </w:r>
    </w:p>
    <w:p>
      <w:pPr>
        <w:spacing w:after="0" w:line="212" w:lineRule="exact"/>
        <w:rPr>
          <w:rFonts w:ascii="Arial" w:cs="Arial" w:eastAsia="Arial" w:hAnsi="Arial"/>
          <w:sz w:val="22"/>
          <w:szCs w:val="22"/>
          <w:color w:val="auto"/>
        </w:rPr>
      </w:pPr>
    </w:p>
    <w:p>
      <w:pPr>
        <w:ind w:left="34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Recipient shall expend and account for Payroll Support funds in a manner sufficient to:</w:t>
      </w:r>
    </w:p>
    <w:p>
      <w:pPr>
        <w:spacing w:after="0" w:line="246" w:lineRule="exact"/>
        <w:rPr>
          <w:rFonts w:ascii="Arial" w:cs="Arial" w:eastAsia="Arial" w:hAnsi="Arial"/>
          <w:sz w:val="22"/>
          <w:szCs w:val="22"/>
          <w:color w:val="auto"/>
        </w:rPr>
      </w:pPr>
    </w:p>
    <w:p>
      <w:pPr>
        <w:ind w:left="1300" w:hanging="320"/>
        <w:spacing w:after="0"/>
        <w:tabs>
          <w:tab w:leader="none" w:pos="130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Permit the preparation of accurate, current, and complete quarterly reports as required under this Agreement.</w:t>
      </w:r>
    </w:p>
    <w:p>
      <w:pPr>
        <w:spacing w:after="0" w:line="281" w:lineRule="exact"/>
        <w:rPr>
          <w:rFonts w:ascii="Arial" w:cs="Arial" w:eastAsia="Arial" w:hAnsi="Arial"/>
          <w:sz w:val="19"/>
          <w:szCs w:val="19"/>
          <w:color w:val="auto"/>
        </w:rPr>
      </w:pPr>
    </w:p>
    <w:p>
      <w:pPr>
        <w:ind w:left="1300" w:right="540" w:hanging="320"/>
        <w:spacing w:after="0" w:line="263" w:lineRule="auto"/>
        <w:tabs>
          <w:tab w:leader="none" w:pos="130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Permit the tracing of funds to a level of expenditures adequate to establish that such funds have been used as required under this Agreement.</w:t>
      </w:r>
    </w:p>
    <w:p>
      <w:pPr>
        <w:spacing w:after="0" w:line="201" w:lineRule="exact"/>
        <w:rPr>
          <w:rFonts w:ascii="Arial" w:cs="Arial" w:eastAsia="Arial" w:hAnsi="Arial"/>
          <w:sz w:val="22"/>
          <w:szCs w:val="22"/>
          <w:color w:val="auto"/>
        </w:rPr>
      </w:pPr>
    </w:p>
    <w:p>
      <w:pPr>
        <w:jc w:val="both"/>
        <w:ind w:left="340" w:right="80" w:hanging="332"/>
        <w:spacing w:after="0" w:line="312" w:lineRule="auto"/>
        <w:tabs>
          <w:tab w:leader="none" w:pos="3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Recipient shall establish and maintain effective internal controls over the Payroll Support; comply with all requirements related to the Payroll Support established under applicable Federal statutes and regulations; monitor compliance with Federal statutes, regulations, and the terms and conditions of this Agreement; and take prompt corrective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428" w:right="359" w:bottom="1440" w:gutter="0" w:footer="0" w:header="0"/>
        </w:sectPr>
      </w:pPr>
    </w:p>
    <w:bookmarkStart w:id="171" w:name="page172"/>
    <w:bookmarkEnd w:id="171"/>
    <w:p>
      <w:pPr>
        <w:ind w:left="340" w:right="840"/>
        <w:spacing w:after="0" w:line="263" w:lineRule="auto"/>
        <w:rPr>
          <w:sz w:val="20"/>
          <w:szCs w:val="20"/>
          <w:color w:val="auto"/>
        </w:rPr>
      </w:pPr>
      <w:r>
        <w:rPr>
          <w:rFonts w:ascii="Arial" w:cs="Arial" w:eastAsia="Arial" w:hAnsi="Arial"/>
          <w:sz w:val="22"/>
          <w:szCs w:val="22"/>
          <w:color w:val="auto"/>
        </w:rPr>
        <w:t>actions in accordance with audit recommendations. The Recipient shall promptly remedy any identified instances of noncompliance with this Agreement.</w:t>
      </w:r>
    </w:p>
    <w:p>
      <w:pPr>
        <w:spacing w:after="0" w:line="188" w:lineRule="exact"/>
        <w:rPr>
          <w:sz w:val="20"/>
          <w:szCs w:val="20"/>
          <w:color w:val="auto"/>
        </w:rPr>
      </w:pPr>
    </w:p>
    <w:p>
      <w:pPr>
        <w:ind w:left="340" w:right="40" w:hanging="332"/>
        <w:spacing w:after="0" w:line="275" w:lineRule="auto"/>
        <w:tabs>
          <w:tab w:leader="none" w:pos="3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Recipient and Affiliates shall retain all records pertinent to the receipt of Payroll Support and compliance with the terms and conditions of this Agreement (including by suspending any automatic deletion functions for electronic records, including e-mails) for a period of three years following the period of performance. Such records shall include all information necessary to substantiate factual representations made in the supporting documents submitted by the Recipient related to the Payroll Support, including ledgers and sub-ledgers, and the Recipient’s and Affiliates’ compliance with this Agreement. While electronic storage of records (backed up as appropriate) is preferable, the Recipient and Affiliates may store records in hardcopy (paper) format. The term “records” includes all relevant financial and accounting records and all supporting documentation for the information reported on the Recipient’s quarterly reports.</w:t>
      </w:r>
    </w:p>
    <w:p>
      <w:pPr>
        <w:spacing w:after="0" w:line="184" w:lineRule="exact"/>
        <w:rPr>
          <w:rFonts w:ascii="Arial" w:cs="Arial" w:eastAsia="Arial" w:hAnsi="Arial"/>
          <w:sz w:val="19"/>
          <w:szCs w:val="19"/>
          <w:color w:val="auto"/>
        </w:rPr>
      </w:pPr>
    </w:p>
    <w:p>
      <w:pPr>
        <w:ind w:left="340" w:right="100" w:hanging="332"/>
        <w:spacing w:after="0" w:line="297" w:lineRule="auto"/>
        <w:tabs>
          <w:tab w:leader="none" w:pos="3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If any litigation, claim, investigation, or audit relating to the Payroll Support is started before the expiration of the three-year period, the Recipient and Affiliates shall retain all records described in paragraph 20 until all such litigation, claims, investigations, or audit findings have been completely resolved and final judgment entered or final action taken.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Remedies</w:t>
      </w:r>
    </w:p>
    <w:p>
      <w:pPr>
        <w:spacing w:after="0" w:line="206" w:lineRule="exact"/>
        <w:rPr>
          <w:sz w:val="20"/>
          <w:szCs w:val="20"/>
          <w:color w:val="auto"/>
        </w:rPr>
      </w:pPr>
    </w:p>
    <w:p>
      <w:pPr>
        <w:ind w:left="340" w:hanging="332"/>
        <w:spacing w:after="0" w:line="277" w:lineRule="auto"/>
        <w:tabs>
          <w:tab w:leader="none" w:pos="34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Treasury believes that an instance of noncompliance by the Recipient or an Affiliate with (a) this Agreement, (b) section 7301 of the ARP, or (c) the Internal Revenue Code of 1986 as it applies to the receipt of Payroll Support has occurred, Treasury may notify the Recipient in writing of its proposed determination of noncompliance, provide an explanation of the nature of the noncompliance, and specify a proposed remedy. Upon receipt of such notice, the Recipient shall, within seven days, accept Treasury’s proposed remedy, propose an alternative remedy, or provide information and documentation contesting Treasury’s proposed determination. Treasury shall consider any such submission by the Recipient and make a final written determination, which will state Treasury’s findings regarding noncompliance and the remedy to be imposed.</w:t>
      </w:r>
    </w:p>
    <w:p>
      <w:pPr>
        <w:spacing w:after="0" w:line="178" w:lineRule="exact"/>
        <w:rPr>
          <w:rFonts w:ascii="Arial" w:cs="Arial" w:eastAsia="Arial" w:hAnsi="Arial"/>
          <w:sz w:val="19"/>
          <w:szCs w:val="19"/>
          <w:color w:val="auto"/>
        </w:rPr>
      </w:pPr>
    </w:p>
    <w:p>
      <w:pPr>
        <w:ind w:left="340" w:hanging="332"/>
        <w:spacing w:after="0" w:line="236" w:lineRule="auto"/>
        <w:tabs>
          <w:tab w:leader="none" w:pos="3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Treasury makes a final determination under paragraph 22 that an instance of noncompliance has occurred, Treasury may, in its sole discretion, withhold any Additional Payroll Support Payments; require the repayment of the amount of any previously disbursed Payroll Support, with appropriate interest; require additional reporting or monitoring; initiate suspension or debarment proceedings as authorized under 2 CFR Part 180; terminate this Agreement; or take any such other action as Treasury, in its sole discretion, deems appropriate.</w:t>
      </w:r>
    </w:p>
    <w:p>
      <w:pPr>
        <w:spacing w:after="0" w:line="214" w:lineRule="exact"/>
        <w:rPr>
          <w:rFonts w:ascii="Arial" w:cs="Arial" w:eastAsia="Arial" w:hAnsi="Arial"/>
          <w:sz w:val="22"/>
          <w:szCs w:val="22"/>
          <w:color w:val="auto"/>
        </w:rPr>
      </w:pPr>
    </w:p>
    <w:p>
      <w:pPr>
        <w:ind w:left="340" w:right="40" w:hanging="332"/>
        <w:spacing w:after="0" w:line="238" w:lineRule="auto"/>
        <w:tabs>
          <w:tab w:leader="none" w:pos="3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Treasury may make a final determination regarding noncompliance without regard to paragraph 22 if Treasury determines, in its sole discretion, that such determination is necessary to protect a material interest of the Federal Government. In such event, Treasury shall notify the Recipient of the remedy that Treasury, in its sole discretion, shall impose, after which the Recipient may contest Treasury’s final determination or propose an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00"/>
          </w:cols>
          <w:pgMar w:left="320" w:top="1428" w:right="379" w:bottom="1440" w:gutter="0" w:footer="0" w:header="0"/>
        </w:sectPr>
      </w:pPr>
    </w:p>
    <w:bookmarkStart w:id="172" w:name="page173"/>
    <w:bookmarkEnd w:id="172"/>
    <w:p>
      <w:pPr>
        <w:ind w:left="340" w:right="280"/>
        <w:spacing w:after="0" w:line="250" w:lineRule="auto"/>
        <w:rPr>
          <w:sz w:val="20"/>
          <w:szCs w:val="20"/>
          <w:color w:val="auto"/>
        </w:rPr>
      </w:pPr>
      <w:r>
        <w:rPr>
          <w:rFonts w:ascii="Arial" w:cs="Arial" w:eastAsia="Arial" w:hAnsi="Arial"/>
          <w:sz w:val="22"/>
          <w:szCs w:val="22"/>
          <w:color w:val="auto"/>
        </w:rPr>
        <w:t>alternative remedy in writing to Treasury. Following the receipt of such a submission by the Recipient, Treasury may, in its sole discretion, maintain or alter its final determination.</w:t>
      </w:r>
    </w:p>
    <w:p>
      <w:pPr>
        <w:spacing w:after="0" w:line="215" w:lineRule="exact"/>
        <w:rPr>
          <w:sz w:val="20"/>
          <w:szCs w:val="20"/>
          <w:color w:val="auto"/>
        </w:rPr>
      </w:pPr>
    </w:p>
    <w:p>
      <w:pPr>
        <w:ind w:left="340" w:right="120" w:hanging="332"/>
        <w:spacing w:after="0" w:line="250" w:lineRule="auto"/>
        <w:tabs>
          <w:tab w:leader="none" w:pos="3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Any final determination of noncompliance and any final determination to take any remedial action described herein shall not be subject to further review. To the extent permitted by law, the Recipient waives any right to judicial review of any such determinations and further agrees not to assert in any court any claim arising from or relating to any such determination or remedial action.</w:t>
      </w:r>
    </w:p>
    <w:p>
      <w:pPr>
        <w:spacing w:after="0" w:line="214" w:lineRule="exact"/>
        <w:rPr>
          <w:rFonts w:ascii="Arial" w:cs="Arial" w:eastAsia="Arial" w:hAnsi="Arial"/>
          <w:sz w:val="22"/>
          <w:szCs w:val="22"/>
          <w:color w:val="auto"/>
        </w:rPr>
      </w:pPr>
    </w:p>
    <w:p>
      <w:pPr>
        <w:ind w:left="340" w:right="380" w:hanging="332"/>
        <w:spacing w:after="0" w:line="263" w:lineRule="auto"/>
        <w:tabs>
          <w:tab w:leader="none" w:pos="3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Instead of, or in addition to, the remedies listed above, Treasury may refer any noncompliance or any allegations of fraud, waste, or abuse to the Treasury Inspector General.</w:t>
      </w:r>
    </w:p>
    <w:p>
      <w:pPr>
        <w:spacing w:after="0" w:line="201" w:lineRule="exact"/>
        <w:rPr>
          <w:rFonts w:ascii="Arial" w:cs="Arial" w:eastAsia="Arial" w:hAnsi="Arial"/>
          <w:sz w:val="22"/>
          <w:szCs w:val="22"/>
          <w:color w:val="auto"/>
        </w:rPr>
      </w:pPr>
    </w:p>
    <w:p>
      <w:pPr>
        <w:ind w:left="340" w:right="100" w:hanging="332"/>
        <w:spacing w:after="0" w:line="302" w:lineRule="auto"/>
        <w:tabs>
          <w:tab w:leader="none" w:pos="34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Treasury, in its sole discretion, may grant any request by the Recipient for termination of this Agreement, which such request shall be in writing and shall include the reasons for such termination, the proposed effective date of the termination, and the amount of any unused Payroll Support funds the Recipient requests to return to Treasury. Treasury may, in its sole discretion, determine the extent to which the requirements under this Agreement may cease to apply following any such termination.</w:t>
      </w:r>
    </w:p>
    <w:p>
      <w:pPr>
        <w:spacing w:after="0" w:line="142" w:lineRule="exact"/>
        <w:rPr>
          <w:rFonts w:ascii="Arial" w:cs="Arial" w:eastAsia="Arial" w:hAnsi="Arial"/>
          <w:sz w:val="19"/>
          <w:szCs w:val="19"/>
          <w:color w:val="auto"/>
        </w:rPr>
      </w:pPr>
    </w:p>
    <w:p>
      <w:pPr>
        <w:ind w:left="340" w:right="140" w:hanging="332"/>
        <w:spacing w:after="0" w:line="263" w:lineRule="auto"/>
        <w:tabs>
          <w:tab w:leader="none" w:pos="3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If Treasury determines that any remaining portion of the Payroll Support will not accomplish the purpose of this Agreement, Treasury may terminate this Agreement in its entirety to the extent permitted by law.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Debts</w:t>
      </w:r>
    </w:p>
    <w:p>
      <w:pPr>
        <w:spacing w:after="0" w:line="220" w:lineRule="exact"/>
        <w:rPr>
          <w:sz w:val="20"/>
          <w:szCs w:val="20"/>
          <w:color w:val="auto"/>
        </w:rPr>
      </w:pPr>
    </w:p>
    <w:p>
      <w:pPr>
        <w:ind w:left="340" w:hanging="332"/>
        <w:spacing w:after="0" w:line="263" w:lineRule="auto"/>
        <w:tabs>
          <w:tab w:leader="none" w:pos="3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Payroll Support in excess of the amount which Treasury determines, at any time, the Recipient is authorized to receive or retain under the terms of this Agreement constitutes a debt to the Federal Government.</w:t>
      </w:r>
    </w:p>
    <w:p>
      <w:pPr>
        <w:spacing w:after="0" w:line="201" w:lineRule="exact"/>
        <w:rPr>
          <w:rFonts w:ascii="Arial" w:cs="Arial" w:eastAsia="Arial" w:hAnsi="Arial"/>
          <w:sz w:val="22"/>
          <w:szCs w:val="22"/>
          <w:color w:val="auto"/>
        </w:rPr>
      </w:pPr>
    </w:p>
    <w:p>
      <w:pPr>
        <w:ind w:left="340" w:hanging="332"/>
        <w:spacing w:after="0" w:line="297" w:lineRule="auto"/>
        <w:tabs>
          <w:tab w:leader="none" w:pos="3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Any debts determined to be owed by the Recipient to the Federal Government shall be paid promptly by the Recipient. A debt is delinquent if it has not been paid by the date specified in Treasury’s initial written demand for payment, unless other satisfactory arrangements have been made. Interest, penalties, and administrative charges shall be charged on delinquent debts in accordance with 31 U.S.C. § 3717, 31 CFR 901.9, and paragraphs 31 and 32. Treasury will refer any debt that is more than 180 days delinquent to Treasury’s Bureau of the Fiscal Service for debt collection services.</w:t>
      </w:r>
    </w:p>
    <w:p>
      <w:pPr>
        <w:spacing w:after="0" w:line="173" w:lineRule="exact"/>
        <w:rPr>
          <w:rFonts w:ascii="Arial" w:cs="Arial" w:eastAsia="Arial" w:hAnsi="Arial"/>
          <w:sz w:val="19"/>
          <w:szCs w:val="19"/>
          <w:color w:val="auto"/>
        </w:rPr>
      </w:pPr>
    </w:p>
    <w:p>
      <w:pPr>
        <w:ind w:left="340" w:hanging="332"/>
        <w:spacing w:after="0"/>
        <w:tabs>
          <w:tab w:leader="none" w:pos="3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Penalties on any debts shall accrue at a rate of not more than 6 percent per year or such other higher rate as authorized by law.</w:t>
      </w:r>
    </w:p>
    <w:p>
      <w:pPr>
        <w:spacing w:after="0" w:line="281" w:lineRule="exact"/>
        <w:rPr>
          <w:rFonts w:ascii="Arial" w:cs="Arial" w:eastAsia="Arial" w:hAnsi="Arial"/>
          <w:sz w:val="19"/>
          <w:szCs w:val="19"/>
          <w:color w:val="auto"/>
        </w:rPr>
      </w:pPr>
    </w:p>
    <w:p>
      <w:pPr>
        <w:ind w:left="340" w:hanging="332"/>
        <w:spacing w:after="0"/>
        <w:tabs>
          <w:tab w:leader="none" w:pos="3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Administrative charges relating to the costs of processing and handling a delinquent debt shall be determined by Treasury.</w:t>
      </w:r>
    </w:p>
    <w:p>
      <w:pPr>
        <w:spacing w:after="0" w:line="281" w:lineRule="exact"/>
        <w:rPr>
          <w:rFonts w:ascii="Arial" w:cs="Arial" w:eastAsia="Arial" w:hAnsi="Arial"/>
          <w:sz w:val="19"/>
          <w:szCs w:val="19"/>
          <w:color w:val="auto"/>
        </w:rPr>
      </w:pPr>
    </w:p>
    <w:p>
      <w:pPr>
        <w:ind w:left="340" w:right="80" w:hanging="332"/>
        <w:spacing w:after="0" w:line="263" w:lineRule="auto"/>
        <w:tabs>
          <w:tab w:leader="none" w:pos="3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Recipient shall not use funds from other federally sponsored programs to pay a debt to the government arising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4" w:right="3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u w:val="single" w:color="auto"/>
          <w:color w:val="auto"/>
        </w:rPr>
        <w:t>Protections for Whistleblowers</w:t>
      </w:r>
    </w:p>
    <w:p>
      <w:pPr>
        <w:spacing w:after="0" w:line="206" w:lineRule="exact"/>
        <w:rPr>
          <w:sz w:val="20"/>
          <w:szCs w:val="20"/>
          <w:color w:val="auto"/>
        </w:rPr>
      </w:pPr>
    </w:p>
    <w:p>
      <w:pPr>
        <w:ind w:left="340" w:hanging="332"/>
        <w:spacing w:after="0" w:line="248" w:lineRule="auto"/>
        <w:tabs>
          <w:tab w:leader="none" w:pos="34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In addition to other applicable whistleblower protections, in accordance with 41 U.S.C. § 4712, the Recipient shall not discharge, demote, or otherwise discriminate against an Employee as a reprisal for disclosing information to a Person listed below that the Employee reasonably believes is evidence of gross mismanagement of a Federal contract or grant, a gross waste of Federal funds, an abuse of authority relating to a Federal contract or grant, a substantial and specific danger to public health or safety, or a violation of law, rule, or regulation related to a Federal contract (including the competition for or negotiation of a contract) or grant:</w:t>
      </w:r>
    </w:p>
    <w:p>
      <w:pPr>
        <w:spacing w:after="0" w:line="203" w:lineRule="exact"/>
        <w:rPr>
          <w:rFonts w:ascii="Arial" w:cs="Arial" w:eastAsia="Arial" w:hAnsi="Arial"/>
          <w:sz w:val="21"/>
          <w:szCs w:val="21"/>
          <w:color w:val="auto"/>
        </w:rPr>
      </w:pPr>
    </w:p>
    <w:p>
      <w:pPr>
        <w:ind w:left="1300" w:hanging="320"/>
        <w:spacing w:after="0"/>
        <w:tabs>
          <w:tab w:leader="none" w:pos="13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 Member of Congress or a representative of a committee of Congress;</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An Inspector General;</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The Government Accountability Office;</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 Treasury employee responsible for contract or grant oversight or management;</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An authorized official of the Department of Justice or other law enforcement agency;</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 court or grand jury; or</w:t>
      </w:r>
    </w:p>
    <w:p>
      <w:pPr>
        <w:spacing w:after="0" w:line="233" w:lineRule="exact"/>
        <w:rPr>
          <w:rFonts w:ascii="Arial" w:cs="Arial" w:eastAsia="Arial" w:hAnsi="Arial"/>
          <w:sz w:val="22"/>
          <w:szCs w:val="22"/>
          <w:color w:val="auto"/>
        </w:rPr>
      </w:pPr>
    </w:p>
    <w:p>
      <w:pPr>
        <w:ind w:left="1300" w:right="180" w:hanging="320"/>
        <w:spacing w:after="0" w:line="250" w:lineRule="auto"/>
        <w:tabs>
          <w:tab w:leader="none" w:pos="13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 management official or other Employee of the Recipient who has the responsibility to investigate, discover, or address misconduct.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Lobbying</w:t>
      </w:r>
    </w:p>
    <w:p>
      <w:pPr>
        <w:spacing w:after="0" w:line="206" w:lineRule="exact"/>
        <w:rPr>
          <w:sz w:val="20"/>
          <w:szCs w:val="20"/>
          <w:color w:val="auto"/>
        </w:rPr>
      </w:pPr>
    </w:p>
    <w:p>
      <w:pPr>
        <w:ind w:right="20" w:firstLine="8"/>
        <w:spacing w:after="0" w:line="435" w:lineRule="auto"/>
        <w:tabs>
          <w:tab w:leader="none" w:pos="32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The Recipient shall comply with the provisions of 31 U.S.C. § 1352, as amended, and with the regulations at 31 CFR Part 21. </w:t>
      </w:r>
      <w:r>
        <w:rPr>
          <w:rFonts w:ascii="Arial" w:cs="Arial" w:eastAsia="Arial" w:hAnsi="Arial"/>
          <w:sz w:val="22"/>
          <w:szCs w:val="22"/>
          <w:u w:val="single" w:color="auto"/>
          <w:color w:val="auto"/>
        </w:rPr>
        <w:t>Non-Discrimination</w:t>
      </w:r>
    </w:p>
    <w:p>
      <w:pPr>
        <w:ind w:left="340" w:right="200" w:hanging="332"/>
        <w:spacing w:after="0" w:line="250" w:lineRule="auto"/>
        <w:tabs>
          <w:tab w:leader="none" w:pos="34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Recipient shall comply with, and hereby assures that it will comply with, all applicable Federal statutes and regulations relating to nondiscrimination including:</w:t>
      </w:r>
    </w:p>
    <w:p>
      <w:pPr>
        <w:spacing w:after="0" w:line="201" w:lineRule="exact"/>
        <w:rPr>
          <w:rFonts w:ascii="Arial" w:cs="Arial" w:eastAsia="Arial" w:hAnsi="Arial"/>
          <w:sz w:val="22"/>
          <w:szCs w:val="22"/>
          <w:color w:val="auto"/>
        </w:rPr>
      </w:pPr>
    </w:p>
    <w:p>
      <w:pPr>
        <w:ind w:left="1300" w:right="960" w:hanging="320"/>
        <w:spacing w:after="0" w:line="250" w:lineRule="auto"/>
        <w:tabs>
          <w:tab w:leader="none" w:pos="1288" w:val="left"/>
        </w:tabs>
        <w:numPr>
          <w:ilvl w:val="1"/>
          <w:numId w:val="123"/>
        </w:numPr>
        <w:rPr>
          <w:rFonts w:ascii="Arial" w:cs="Arial" w:eastAsia="Arial" w:hAnsi="Arial"/>
          <w:sz w:val="22"/>
          <w:szCs w:val="22"/>
          <w:color w:val="auto"/>
        </w:rPr>
      </w:pPr>
      <w:r>
        <w:rPr>
          <w:rFonts w:ascii="Arial" w:cs="Arial" w:eastAsia="Arial" w:hAnsi="Arial"/>
          <w:sz w:val="22"/>
          <w:szCs w:val="22"/>
          <w:color w:val="auto"/>
        </w:rPr>
        <w:t xml:space="preserve">Title VI of the Civil Rights Act of 1964 (42 U.S.C. § 2000d </w:t>
      </w:r>
      <w:r>
        <w:rPr>
          <w:rFonts w:ascii="Arial" w:cs="Arial" w:eastAsia="Arial" w:hAnsi="Arial"/>
          <w:sz w:val="22"/>
          <w:szCs w:val="22"/>
          <w:i w:val="1"/>
          <w:iCs w:val="1"/>
          <w:color w:val="auto"/>
        </w:rPr>
        <w:t>et seq.</w:t>
      </w:r>
      <w:r>
        <w:rPr>
          <w:rFonts w:ascii="Arial" w:cs="Arial" w:eastAsia="Arial" w:hAnsi="Arial"/>
          <w:sz w:val="22"/>
          <w:szCs w:val="22"/>
          <w:color w:val="auto"/>
        </w:rPr>
        <w:t>), including Treasury’s implementing regulations at 31 CFR Part 22;</w:t>
      </w:r>
    </w:p>
    <w:p>
      <w:pPr>
        <w:spacing w:after="0" w:line="201" w:lineRule="exact"/>
        <w:rPr>
          <w:rFonts w:ascii="Arial" w:cs="Arial" w:eastAsia="Arial" w:hAnsi="Arial"/>
          <w:sz w:val="22"/>
          <w:szCs w:val="22"/>
          <w:color w:val="auto"/>
        </w:rPr>
      </w:pPr>
    </w:p>
    <w:p>
      <w:pPr>
        <w:ind w:left="1300" w:hanging="320"/>
        <w:spacing w:after="0"/>
        <w:tabs>
          <w:tab w:leader="none" w:pos="130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Section 504 of the Rehabilitation Act of 1973, as amended (29 U.S.C. § 794);</w:t>
      </w:r>
    </w:p>
    <w:p>
      <w:pPr>
        <w:spacing w:after="0" w:line="233" w:lineRule="exact"/>
        <w:rPr>
          <w:rFonts w:ascii="Arial" w:cs="Arial" w:eastAsia="Arial" w:hAnsi="Arial"/>
          <w:sz w:val="22"/>
          <w:szCs w:val="22"/>
          <w:color w:val="auto"/>
        </w:rPr>
      </w:pPr>
    </w:p>
    <w:p>
      <w:pPr>
        <w:ind w:left="1300" w:right="140" w:hanging="320"/>
        <w:spacing w:after="0" w:line="328" w:lineRule="auto"/>
        <w:tabs>
          <w:tab w:leader="none" w:pos="1288"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Age Discrimination Act of 1975, as amended (42 U.S.C. §§ 6101–6107), including Treasury’s implementing regulations at 31 CFR Part 23 and the general age discrimination regulations at 45 CFR Part 90; and</w:t>
      </w:r>
    </w:p>
    <w:p>
      <w:pPr>
        <w:spacing w:after="0" w:line="131" w:lineRule="exact"/>
        <w:rPr>
          <w:rFonts w:ascii="Arial" w:cs="Arial" w:eastAsia="Arial" w:hAnsi="Arial"/>
          <w:sz w:val="19"/>
          <w:szCs w:val="19"/>
          <w:color w:val="auto"/>
        </w:rPr>
      </w:pPr>
    </w:p>
    <w:p>
      <w:pPr>
        <w:ind w:left="1300" w:hanging="320"/>
        <w:spacing w:after="0"/>
        <w:tabs>
          <w:tab w:leader="none" w:pos="130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Air Carrier Access Act of 1986 (49 U.S.C. § 41705).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20"/>
          </w:cols>
          <w:pgMar w:left="320" w:top="1428" w:right="35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u w:val="single" w:color="auto"/>
          <w:color w:val="auto"/>
        </w:rPr>
        <w:t>Additional Reporting</w:t>
      </w:r>
    </w:p>
    <w:p>
      <w:pPr>
        <w:spacing w:after="0" w:line="220" w:lineRule="exact"/>
        <w:rPr>
          <w:sz w:val="20"/>
          <w:szCs w:val="20"/>
          <w:color w:val="auto"/>
        </w:rPr>
      </w:pPr>
    </w:p>
    <w:p>
      <w:pPr>
        <w:ind w:left="340" w:right="240" w:hanging="332"/>
        <w:spacing w:after="0" w:line="261" w:lineRule="auto"/>
        <w:tabs>
          <w:tab w:leader="none" w:pos="34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Within seven days after the date of this Agreement, the Recipient shall register in SAM.gov, and thereafter maintain the currency of the information in SAM.gov until at least January 1, 2023. The Recipient shall review and update such information at least annually after the initial registration, and more frequently if required by changes in the Recipient’s information. The Recipient agrees that this Agreement and information related thereto, including the Maximum Awardable Amount and any executive total compensation reported pursuant to paragraph 38, may be made available to the public through a U.S. Government website, including SAM.gov.</w:t>
      </w:r>
    </w:p>
    <w:p>
      <w:pPr>
        <w:spacing w:after="0" w:line="192" w:lineRule="exact"/>
        <w:rPr>
          <w:rFonts w:ascii="Arial" w:cs="Arial" w:eastAsia="Arial" w:hAnsi="Arial"/>
          <w:sz w:val="21"/>
          <w:szCs w:val="21"/>
          <w:color w:val="auto"/>
        </w:rPr>
      </w:pPr>
    </w:p>
    <w:p>
      <w:pPr>
        <w:jc w:val="both"/>
        <w:ind w:left="340" w:hanging="332"/>
        <w:spacing w:after="0"/>
        <w:tabs>
          <w:tab w:leader="none" w:pos="3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For purposes of paragraph 37, the Recipient shall report total compensation as defined in paragraph e.6 of the award term in 2 CFR part 170, App. A for each of the Recipient’s five most highly compensated executives for the preceding completed fiscal year, if:</w:t>
      </w:r>
    </w:p>
    <w:p>
      <w:pPr>
        <w:spacing w:after="0" w:line="213" w:lineRule="exact"/>
        <w:rPr>
          <w:rFonts w:ascii="Arial" w:cs="Arial" w:eastAsia="Arial" w:hAnsi="Arial"/>
          <w:sz w:val="22"/>
          <w:szCs w:val="22"/>
          <w:color w:val="auto"/>
        </w:rPr>
      </w:pPr>
    </w:p>
    <w:p>
      <w:pPr>
        <w:ind w:left="1300" w:hanging="320"/>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total Payroll Support is $25,000 or more;</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in the preceding fiscal year, the Recipient received:</w:t>
      </w:r>
    </w:p>
    <w:p>
      <w:pPr>
        <w:spacing w:after="0" w:line="233" w:lineRule="exact"/>
        <w:rPr>
          <w:rFonts w:ascii="Arial" w:cs="Arial" w:eastAsia="Arial" w:hAnsi="Arial"/>
          <w:sz w:val="22"/>
          <w:szCs w:val="22"/>
          <w:color w:val="auto"/>
        </w:rPr>
      </w:pPr>
    </w:p>
    <w:p>
      <w:pPr>
        <w:ind w:left="1960" w:hanging="284"/>
        <w:spacing w:after="0" w:line="274" w:lineRule="auto"/>
        <w:tabs>
          <w:tab w:leader="none" w:pos="1960" w:val="left"/>
        </w:tabs>
        <w:numPr>
          <w:ilvl w:val="2"/>
          <w:numId w:val="124"/>
        </w:numPr>
        <w:rPr>
          <w:rFonts w:ascii="Arial" w:cs="Arial" w:eastAsia="Arial" w:hAnsi="Arial"/>
          <w:sz w:val="21"/>
          <w:szCs w:val="21"/>
          <w:color w:val="auto"/>
        </w:rPr>
      </w:pPr>
      <w:r>
        <w:rPr>
          <w:rFonts w:ascii="Arial" w:cs="Arial" w:eastAsia="Arial" w:hAnsi="Arial"/>
          <w:sz w:val="21"/>
          <w:szCs w:val="21"/>
          <w:color w:val="auto"/>
        </w:rPr>
        <w:t>80 percent or more of its annual gross revenues from Federal procurement contracts (and subcontracts) and Federal financial assistance, as defined at 2 CFR 170.320 (and subawards); and</w:t>
      </w:r>
    </w:p>
    <w:p>
      <w:pPr>
        <w:spacing w:after="0" w:line="177" w:lineRule="exact"/>
        <w:rPr>
          <w:rFonts w:ascii="Arial" w:cs="Arial" w:eastAsia="Arial" w:hAnsi="Arial"/>
          <w:sz w:val="21"/>
          <w:szCs w:val="21"/>
          <w:color w:val="auto"/>
        </w:rPr>
      </w:pPr>
    </w:p>
    <w:p>
      <w:pPr>
        <w:ind w:left="1960" w:right="80" w:hanging="344"/>
        <w:spacing w:after="0" w:line="328" w:lineRule="auto"/>
        <w:tabs>
          <w:tab w:leader="none" w:pos="1960" w:val="left"/>
        </w:tabs>
        <w:numPr>
          <w:ilvl w:val="2"/>
          <w:numId w:val="124"/>
        </w:numPr>
        <w:rPr>
          <w:rFonts w:ascii="Arial" w:cs="Arial" w:eastAsia="Arial" w:hAnsi="Arial"/>
          <w:sz w:val="19"/>
          <w:szCs w:val="19"/>
          <w:color w:val="auto"/>
        </w:rPr>
      </w:pPr>
      <w:r>
        <w:rPr>
          <w:rFonts w:ascii="Arial" w:cs="Arial" w:eastAsia="Arial" w:hAnsi="Arial"/>
          <w:sz w:val="19"/>
          <w:szCs w:val="19"/>
          <w:color w:val="auto"/>
        </w:rPr>
        <w:t>$25,000,000 or more in annual gross revenues from Federal procurement contracts (and subcontracts) and Federal financial assistance, as defined at 2 CFR 170.320 (and subawards); and</w:t>
      </w:r>
    </w:p>
    <w:p>
      <w:pPr>
        <w:spacing w:after="0" w:line="131" w:lineRule="exact"/>
        <w:rPr>
          <w:rFonts w:ascii="Arial" w:cs="Arial" w:eastAsia="Arial" w:hAnsi="Arial"/>
          <w:sz w:val="19"/>
          <w:szCs w:val="19"/>
          <w:color w:val="auto"/>
        </w:rPr>
      </w:pPr>
    </w:p>
    <w:p>
      <w:pPr>
        <w:ind w:left="1300" w:right="140" w:hanging="320"/>
        <w:spacing w:after="0" w:line="236" w:lineRule="auto"/>
        <w:tabs>
          <w:tab w:leader="none" w:pos="1288"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public does not have access to information about the compensation of the executives through periodic reports filed under section 13(a) or 15(d) of the Securities Exchange Act of 1934 (15 U.S.C. 78m(a), 78o(d)) or section 6104 of the Internal Revenue Code of 1986. To determine if the public has access to the compensation information, the Recipient shall refer to U.S. Securities and Exchange Commission total compensation filings at http://www.sec.gov/answers/execomp.htm.</w:t>
      </w:r>
    </w:p>
    <w:p>
      <w:pPr>
        <w:spacing w:after="0" w:line="214" w:lineRule="exact"/>
        <w:rPr>
          <w:rFonts w:ascii="Arial" w:cs="Arial" w:eastAsia="Arial" w:hAnsi="Arial"/>
          <w:sz w:val="22"/>
          <w:szCs w:val="22"/>
          <w:color w:val="auto"/>
        </w:rPr>
      </w:pPr>
    </w:p>
    <w:p>
      <w:pPr>
        <w:ind w:left="340" w:hanging="332"/>
        <w:spacing w:after="0"/>
        <w:tabs>
          <w:tab w:leader="none" w:pos="3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Recipient shall report executive total compensation described in paragraph 38:</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as part of its registration profile at https://www.sam.gov; and</w:t>
      </w:r>
    </w:p>
    <w:p>
      <w:pPr>
        <w:spacing w:after="0" w:line="233" w:lineRule="exact"/>
        <w:rPr>
          <w:rFonts w:ascii="Arial" w:cs="Arial" w:eastAsia="Arial" w:hAnsi="Arial"/>
          <w:sz w:val="22"/>
          <w:szCs w:val="22"/>
          <w:color w:val="auto"/>
        </w:rPr>
      </w:pPr>
    </w:p>
    <w:p>
      <w:pPr>
        <w:ind w:left="1300" w:right="480" w:hanging="320"/>
        <w:spacing w:after="0" w:line="250" w:lineRule="auto"/>
        <w:tabs>
          <w:tab w:leader="none" w:pos="13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within five business days after the end of each month following the month in which this Agreement becomes effective, and annually thereafter.</w:t>
      </w:r>
    </w:p>
    <w:p>
      <w:pPr>
        <w:spacing w:after="0" w:line="201" w:lineRule="exact"/>
        <w:rPr>
          <w:rFonts w:ascii="Arial" w:cs="Arial" w:eastAsia="Arial" w:hAnsi="Arial"/>
          <w:sz w:val="22"/>
          <w:szCs w:val="22"/>
          <w:color w:val="auto"/>
        </w:rPr>
      </w:pPr>
    </w:p>
    <w:p>
      <w:pPr>
        <w:ind w:left="340" w:right="100" w:hanging="332"/>
        <w:spacing w:after="0" w:line="252" w:lineRule="auto"/>
        <w:tabs>
          <w:tab w:leader="none" w:pos="34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Recipient agrees that, from time to time, it will, at its own expense, promptly upon reasonable request by Treasury, execute and deliver, or cause to be executed and delivered, or use its commercially reasonable efforts to procure, all instruments, documents and information, all in form and substance reasonably satisfactory to Treasury, to enable Treasury to ensure compliance with, or effect the purposes of, this Agreement, which may include,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00"/>
          </w:cols>
          <w:pgMar w:left="320" w:top="1428" w:right="379" w:bottom="1440" w:gutter="0" w:footer="0" w:header="0"/>
        </w:sectPr>
      </w:pPr>
    </w:p>
    <w:bookmarkStart w:id="175" w:name="page176"/>
    <w:bookmarkEnd w:id="175"/>
    <w:p>
      <w:pPr>
        <w:ind w:left="340" w:right="60"/>
        <w:spacing w:after="0" w:line="287" w:lineRule="auto"/>
        <w:rPr>
          <w:sz w:val="20"/>
          <w:szCs w:val="20"/>
          <w:color w:val="auto"/>
        </w:rPr>
      </w:pPr>
      <w:r>
        <w:rPr>
          <w:rFonts w:ascii="Arial" w:cs="Arial" w:eastAsia="Arial" w:hAnsi="Arial"/>
          <w:sz w:val="19"/>
          <w:szCs w:val="19"/>
          <w:color w:val="auto"/>
        </w:rPr>
        <w:t>among other documents or information, (a) certain audited financial statements of the Recipient, (b) documentation regarding the Recipient’s revenues derived from its business as a passenger air carrier or regarding the passenger air carriers for which the Recipient provides services as a contractor (as the case may be), and (c) the Recipient’s most recent quarterly Federal tax returns. The Recipient agrees to provide Treasury with such documents or information promptly.</w:t>
      </w:r>
    </w:p>
    <w:p>
      <w:pPr>
        <w:spacing w:after="0" w:line="170" w:lineRule="exact"/>
        <w:rPr>
          <w:sz w:val="20"/>
          <w:szCs w:val="20"/>
          <w:color w:val="auto"/>
        </w:rPr>
      </w:pPr>
    </w:p>
    <w:p>
      <w:pPr>
        <w:ind w:left="340" w:right="40" w:hanging="332"/>
        <w:spacing w:after="0"/>
        <w:tabs>
          <w:tab w:leader="none" w:pos="34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If the total value of the Recipient’s currently active grants, cooperative agreements, and procurement contracts from all Federal awarding agencies exceeds $10,000,000 for any period before termination of this Agreement, then the Recipient shall make such reports as required by 2 CFR part 200, Appendix XII.</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w:t>
      </w:r>
    </w:p>
    <w:p>
      <w:pPr>
        <w:spacing w:after="0" w:line="206"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340" w:right="460" w:hanging="332"/>
        <w:spacing w:after="0" w:line="287" w:lineRule="auto"/>
        <w:tabs>
          <w:tab w:leader="none" w:pos="3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Recipient has no right to, and shall not, transfer, pledge, mortgage, encumber, or otherwise assign this Agreement or any Payroll Support provided under this Agreement, or any interest therein, or any claim, account receivable, or funds arising thereunder or accounts holding Payroll Support, to any party, bank, trust company, or other Person without the express written approval of Treasury.</w:t>
      </w:r>
    </w:p>
    <w:p>
      <w:pPr>
        <w:spacing w:after="0" w:line="169" w:lineRule="exact"/>
        <w:rPr>
          <w:rFonts w:ascii="Arial" w:cs="Arial" w:eastAsia="Arial" w:hAnsi="Arial"/>
          <w:sz w:val="19"/>
          <w:szCs w:val="19"/>
          <w:color w:val="auto"/>
        </w:rPr>
      </w:pPr>
    </w:p>
    <w:p>
      <w:pPr>
        <w:ind w:left="340" w:hanging="332"/>
        <w:spacing w:after="0"/>
        <w:tabs>
          <w:tab w:leader="none" w:pos="34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Signatory Entity will cause its Affiliates to comply with all of their obligations under or relating to this Agreement.</w:t>
      </w:r>
    </w:p>
    <w:p>
      <w:pPr>
        <w:spacing w:after="0" w:line="244" w:lineRule="exact"/>
        <w:rPr>
          <w:rFonts w:ascii="Arial" w:cs="Arial" w:eastAsia="Arial" w:hAnsi="Arial"/>
          <w:sz w:val="21"/>
          <w:szCs w:val="21"/>
          <w:color w:val="auto"/>
        </w:rPr>
      </w:pPr>
    </w:p>
    <w:p>
      <w:pPr>
        <w:ind w:left="340" w:right="260" w:hanging="332"/>
        <w:spacing w:after="0" w:line="238" w:lineRule="auto"/>
        <w:tabs>
          <w:tab w:leader="none" w:pos="3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Unless otherwise provided in guidance issued by Treasury or the Internal Revenue Service, the form of any Taxpayer Protection Instrument held by Treasury and any subsequent holder will be treated as such form for purposes of the Internal Revenue Code of 1986 (for example, a Taxpayer Protection Instrument in the form of a note will be treated as indebtedness for purposes of the Internal Revenue Code of 1986).</w:t>
      </w:r>
    </w:p>
    <w:p>
      <w:pPr>
        <w:spacing w:after="0" w:line="211" w:lineRule="exact"/>
        <w:rPr>
          <w:rFonts w:ascii="Arial" w:cs="Arial" w:eastAsia="Arial" w:hAnsi="Arial"/>
          <w:sz w:val="22"/>
          <w:szCs w:val="22"/>
          <w:color w:val="auto"/>
        </w:rPr>
      </w:pPr>
    </w:p>
    <w:p>
      <w:pPr>
        <w:ind w:left="340" w:right="300" w:hanging="332"/>
        <w:spacing w:after="0"/>
        <w:tabs>
          <w:tab w:leader="none" w:pos="3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This Agreement may not be amended or modified except pursuant to an agreement in writing entered into by the Recipient and Treasury, except that Treasury may unilaterally amend this Agreement if required in order to comply with applicable Federal law or regulation.</w:t>
      </w:r>
    </w:p>
    <w:p>
      <w:pPr>
        <w:spacing w:after="0" w:line="213" w:lineRule="exact"/>
        <w:rPr>
          <w:rFonts w:ascii="Arial" w:cs="Arial" w:eastAsia="Arial" w:hAnsi="Arial"/>
          <w:sz w:val="22"/>
          <w:szCs w:val="22"/>
          <w:color w:val="auto"/>
        </w:rPr>
      </w:pPr>
    </w:p>
    <w:p>
      <w:pPr>
        <w:ind w:left="340" w:right="140" w:hanging="332"/>
        <w:spacing w:after="0" w:line="250" w:lineRule="auto"/>
        <w:tabs>
          <w:tab w:leader="none" w:pos="3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Subject to applicable law, Treasury may, in its sole discretion, waive any term or condition under this Agreement imposing a requirement on the Recipient or any Affiliate.</w:t>
      </w:r>
    </w:p>
    <w:p>
      <w:pPr>
        <w:spacing w:after="0" w:line="201" w:lineRule="exact"/>
        <w:rPr>
          <w:rFonts w:ascii="Arial" w:cs="Arial" w:eastAsia="Arial" w:hAnsi="Arial"/>
          <w:sz w:val="22"/>
          <w:szCs w:val="22"/>
          <w:color w:val="auto"/>
        </w:rPr>
      </w:pPr>
    </w:p>
    <w:p>
      <w:pPr>
        <w:ind w:left="340" w:right="820" w:hanging="332"/>
        <w:spacing w:after="0" w:line="239" w:lineRule="auto"/>
        <w:tabs>
          <w:tab w:leader="none" w:pos="3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This Agreement shall bind and inure to the benefit of the parties and their respective heirs, executors, administrators, successors, and assigns.</w:t>
      </w:r>
    </w:p>
    <w:p>
      <w:pPr>
        <w:ind w:left="340" w:hanging="332"/>
        <w:spacing w:after="0" w:line="245" w:lineRule="auto"/>
        <w:tabs>
          <w:tab w:leader="none" w:pos="34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Recipient represents and warrants to Treasury that this Agreement, and the issuance and delivery to Treasury of the Taxpayer Protection Instruments, if applicable, have been duly authorized by all requisite corporate and, if required, stockholder action, and will not result in the violation by the Recipient of any provision of law, statute, or regulation, or of the articles of incorporation or other constitutive documents or bylaws of the Recipient, or breach or constitute an event of default under any material contract to which the Recipient is a party.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4" w:right="339" w:bottom="1440" w:gutter="0" w:footer="0" w:header="0"/>
        </w:sectPr>
      </w:pPr>
    </w:p>
    <w:bookmarkStart w:id="176" w:name="page177"/>
    <w:bookmarkEnd w:id="176"/>
    <w:p>
      <w:pPr>
        <w:spacing w:after="0" w:line="231" w:lineRule="exact"/>
        <w:rPr>
          <w:sz w:val="20"/>
          <w:szCs w:val="20"/>
          <w:color w:val="auto"/>
        </w:rPr>
      </w:pPr>
    </w:p>
    <w:p>
      <w:pPr>
        <w:jc w:val="both"/>
        <w:ind w:left="332" w:right="40" w:hanging="332"/>
        <w:spacing w:after="0" w:line="253" w:lineRule="auto"/>
        <w:tabs>
          <w:tab w:leader="none" w:pos="33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Recipient represents and warrants to Treasury that this Agreement has been duly executed and delivered by the Recipient and constitutes a legal, valid, and binding obligation of the Recipient enforceable against the Recipient in accordance with its terms.</w:t>
      </w:r>
    </w:p>
    <w:p>
      <w:pPr>
        <w:spacing w:after="0" w:line="212" w:lineRule="exact"/>
        <w:rPr>
          <w:rFonts w:ascii="Arial" w:cs="Arial" w:eastAsia="Arial" w:hAnsi="Arial"/>
          <w:sz w:val="22"/>
          <w:szCs w:val="22"/>
          <w:color w:val="auto"/>
        </w:rPr>
      </w:pPr>
    </w:p>
    <w:p>
      <w:pPr>
        <w:ind w:left="332" w:right="300" w:hanging="332"/>
        <w:spacing w:after="0" w:line="263" w:lineRule="auto"/>
        <w:tabs>
          <w:tab w:leader="none" w:pos="33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This Agreement may be executed in counterparts, each of which shall constitute an original, but all of which together shall constitute a single contract.</w:t>
      </w:r>
    </w:p>
    <w:p>
      <w:pPr>
        <w:spacing w:after="0" w:line="188" w:lineRule="exact"/>
        <w:rPr>
          <w:rFonts w:ascii="Arial" w:cs="Arial" w:eastAsia="Arial" w:hAnsi="Arial"/>
          <w:sz w:val="22"/>
          <w:szCs w:val="22"/>
          <w:color w:val="auto"/>
        </w:rPr>
      </w:pPr>
    </w:p>
    <w:p>
      <w:pPr>
        <w:ind w:left="332" w:hanging="332"/>
        <w:spacing w:after="0" w:line="245" w:lineRule="auto"/>
        <w:tabs>
          <w:tab w:leader="none" w:pos="332"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words “execution,” “signed,” “signature,” and words of like import in any assignment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anything herein to the contrary, delivery of an executed counterpart of a signature page of this Agreement by electronic means, or confirmation of the execution of this Agreement on behalf of a party by an email from an authorized signatory of such party, shall be effective as delivery of a manually executed counterpart of this Agreement.</w:t>
      </w:r>
    </w:p>
    <w:p>
      <w:pPr>
        <w:spacing w:after="0" w:line="211" w:lineRule="exact"/>
        <w:rPr>
          <w:rFonts w:ascii="Arial" w:cs="Arial" w:eastAsia="Arial" w:hAnsi="Arial"/>
          <w:sz w:val="21"/>
          <w:szCs w:val="21"/>
          <w:color w:val="auto"/>
        </w:rPr>
      </w:pPr>
    </w:p>
    <w:p>
      <w:pPr>
        <w:ind w:left="332" w:right="160" w:hanging="332"/>
        <w:spacing w:after="0" w:line="250" w:lineRule="auto"/>
        <w:tabs>
          <w:tab w:leader="none" w:pos="33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captions and paragraph headings appearing herein are included solely for convenience of reference and are not intended to affect the interpretation of any provision of this Agreement.</w:t>
      </w:r>
    </w:p>
    <w:p>
      <w:pPr>
        <w:spacing w:after="0" w:line="201" w:lineRule="exact"/>
        <w:rPr>
          <w:rFonts w:ascii="Arial" w:cs="Arial" w:eastAsia="Arial" w:hAnsi="Arial"/>
          <w:sz w:val="22"/>
          <w:szCs w:val="22"/>
          <w:color w:val="auto"/>
        </w:rPr>
      </w:pPr>
    </w:p>
    <w:p>
      <w:pPr>
        <w:ind w:left="332" w:right="140" w:hanging="332"/>
        <w:spacing w:after="0" w:line="252" w:lineRule="auto"/>
        <w:tabs>
          <w:tab w:leader="none" w:pos="332"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This Agreement is governed by and shall be construed in accordance with Federal law. Insofar as there may be no applicable Federal law, this Agreement shall be construed in accordance with the laws of the State of New York, without regard to any rule of conflicts of law (other than section 5-1401 of the New York General Obligations Law) that would result in the application of the substantive law of any jurisdiction other than the State of New York.</w:t>
      </w:r>
    </w:p>
    <w:p>
      <w:pPr>
        <w:spacing w:after="0" w:line="200" w:lineRule="exact"/>
        <w:rPr>
          <w:rFonts w:ascii="Arial" w:cs="Arial" w:eastAsia="Arial" w:hAnsi="Arial"/>
          <w:sz w:val="21"/>
          <w:szCs w:val="21"/>
          <w:color w:val="auto"/>
        </w:rPr>
      </w:pPr>
    </w:p>
    <w:p>
      <w:pPr>
        <w:ind w:left="332" w:hanging="332"/>
        <w:spacing w:after="0"/>
        <w:tabs>
          <w:tab w:leader="none" w:pos="33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Nothing in this Agreement shall require any unlawful action or inaction by either party.</w:t>
      </w:r>
    </w:p>
    <w:p>
      <w:pPr>
        <w:spacing w:after="0" w:line="233" w:lineRule="exact"/>
        <w:rPr>
          <w:rFonts w:ascii="Arial" w:cs="Arial" w:eastAsia="Arial" w:hAnsi="Arial"/>
          <w:sz w:val="22"/>
          <w:szCs w:val="22"/>
          <w:color w:val="auto"/>
        </w:rPr>
      </w:pPr>
    </w:p>
    <w:p>
      <w:pPr>
        <w:ind w:left="332" w:right="380" w:hanging="332"/>
        <w:spacing w:after="0" w:line="250" w:lineRule="auto"/>
        <w:tabs>
          <w:tab w:leader="none" w:pos="33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requirement pertaining to trafficking in persons at 2 CFR 175.15(b) is incorporated herein and made applicable to the Recipient.</w:t>
      </w:r>
    </w:p>
    <w:p>
      <w:pPr>
        <w:spacing w:after="0" w:line="201" w:lineRule="exact"/>
        <w:rPr>
          <w:rFonts w:ascii="Arial" w:cs="Arial" w:eastAsia="Arial" w:hAnsi="Arial"/>
          <w:sz w:val="22"/>
          <w:szCs w:val="22"/>
          <w:color w:val="auto"/>
        </w:rPr>
      </w:pPr>
    </w:p>
    <w:p>
      <w:pPr>
        <w:ind w:left="332" w:right="40" w:hanging="332"/>
        <w:spacing w:after="0" w:line="236" w:lineRule="auto"/>
        <w:tabs>
          <w:tab w:leader="none" w:pos="33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This Agreement, together with the attachments hereto, including the Payroll Support Program 3 Certification and any attached terms regarding Taxpayer Protection Instruments, constitute the entire agreement of the parties relating to the subject matter hereof and supersede any previous agreements and understandings, oral or written, relating to the subject matter hereof. There may exist other agreements between the parties as to other matters, which are not affected by this Agreement and are not included within this integration clause.</w:t>
      </w:r>
    </w:p>
    <w:p>
      <w:pPr>
        <w:spacing w:after="0" w:line="214" w:lineRule="exact"/>
        <w:rPr>
          <w:rFonts w:ascii="Arial" w:cs="Arial" w:eastAsia="Arial" w:hAnsi="Arial"/>
          <w:sz w:val="22"/>
          <w:szCs w:val="22"/>
          <w:color w:val="auto"/>
        </w:rPr>
      </w:pPr>
    </w:p>
    <w:p>
      <w:pPr>
        <w:ind w:left="332" w:right="180" w:hanging="332"/>
        <w:spacing w:after="0" w:line="297" w:lineRule="auto"/>
        <w:tabs>
          <w:tab w:leader="none" w:pos="33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No failure by either party to insist upon the strict performance of any provision of this Agreement or to exercise any right or remedy hereunder, and no acceptance of full or partial Payroll Support (if applicable) or other performance by either party during the continuance of any such breach, shall constitute a waiver of any such breach of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32"/>
          </w:cols>
          <w:pgMar w:left="328" w:top="1440" w:right="339" w:bottom="1440" w:gutter="0" w:footer="0" w:header="0"/>
        </w:sectPr>
      </w:pPr>
    </w:p>
    <w:bookmarkStart w:id="177" w:name="page178"/>
    <w:bookmarkEnd w:id="177"/>
    <w:p>
      <w:pPr>
        <w:jc w:val="right"/>
        <w:ind w:right="3739"/>
        <w:spacing w:after="0"/>
        <w:rPr>
          <w:sz w:val="20"/>
          <w:szCs w:val="20"/>
          <w:color w:val="auto"/>
        </w:rPr>
      </w:pPr>
      <w:r>
        <w:rPr>
          <w:rFonts w:ascii="Arial" w:cs="Arial" w:eastAsia="Arial" w:hAnsi="Arial"/>
          <w:sz w:val="22"/>
          <w:szCs w:val="22"/>
          <w:b w:val="1"/>
          <w:bCs w:val="1"/>
          <w:color w:val="auto"/>
        </w:rPr>
        <w:t>ATTACHMENT</w:t>
      </w:r>
    </w:p>
    <w:p>
      <w:pPr>
        <w:spacing w:after="0" w:line="158" w:lineRule="exact"/>
        <w:rPr>
          <w:sz w:val="20"/>
          <w:szCs w:val="20"/>
          <w:color w:val="auto"/>
        </w:rPr>
      </w:pPr>
    </w:p>
    <w:p>
      <w:pPr>
        <w:jc w:val="right"/>
        <w:ind w:right="3719"/>
        <w:spacing w:after="0"/>
        <w:rPr>
          <w:sz w:val="20"/>
          <w:szCs w:val="20"/>
          <w:color w:val="auto"/>
        </w:rPr>
      </w:pPr>
      <w:r>
        <w:rPr>
          <w:rFonts w:ascii="Arial" w:cs="Arial" w:eastAsia="Arial" w:hAnsi="Arial"/>
          <w:sz w:val="19"/>
          <w:szCs w:val="19"/>
          <w:color w:val="auto"/>
        </w:rPr>
        <w:t>Payroll Support Program 3 Certification of Corporate Officer of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139"/>
          </w:cols>
          <w:pgMar w:left="320" w:top="1422" w:right="1440"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22"/>
          <w:szCs w:val="22"/>
          <w:b w:val="1"/>
          <w:bCs w:val="1"/>
          <w:color w:val="auto"/>
        </w:rPr>
        <w:t>PAYROLL SUPPORT PROGRAM 3</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CERTIFICATION OF CORPORATE OFFICER OF RECIPIENT</w:t>
      </w:r>
    </w:p>
    <w:p>
      <w:pPr>
        <w:spacing w:after="0" w:line="200" w:lineRule="exact"/>
        <w:rPr>
          <w:sz w:val="20"/>
          <w:szCs w:val="20"/>
          <w:color w:val="auto"/>
        </w:rPr>
      </w:pPr>
    </w:p>
    <w:p>
      <w:pPr>
        <w:spacing w:after="0" w:line="269"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In connection with the Payroll Support Program 3 Agreement (Agreement) between American Airlines, Inc. and the Department of the Treasury (Treasury) relating to Payroll Support being provided by Treasury to the Recipient under section 7301 of the American Rescue Plan Act of 2021, I hereby certify under penalty of perjury to the Treasury that all of the following are true and correct. Capitalized terms used but not defined herein have the meanings set forth in the Agreement.</w:t>
      </w:r>
    </w:p>
    <w:p>
      <w:pPr>
        <w:spacing w:after="0" w:line="142" w:lineRule="exact"/>
        <w:rPr>
          <w:sz w:val="20"/>
          <w:szCs w:val="20"/>
          <w:color w:val="auto"/>
        </w:rPr>
      </w:pPr>
    </w:p>
    <w:p>
      <w:pPr>
        <w:jc w:val="both"/>
        <w:ind w:left="340" w:right="200" w:firstLine="316"/>
        <w:spacing w:after="0" w:line="343" w:lineRule="auto"/>
        <w:tabs>
          <w:tab w:leader="none" w:pos="113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 have the authority to make the following representations on behalf of myself and the Recipient. I understand that these representations will be relied upon as material in the decision by Treasury to provide Payroll Support to the Recipient.</w:t>
      </w:r>
    </w:p>
    <w:p>
      <w:pPr>
        <w:spacing w:after="0" w:line="104" w:lineRule="exact"/>
        <w:rPr>
          <w:rFonts w:ascii="Arial" w:cs="Arial" w:eastAsia="Arial" w:hAnsi="Arial"/>
          <w:sz w:val="19"/>
          <w:szCs w:val="19"/>
          <w:color w:val="auto"/>
        </w:rPr>
      </w:pPr>
    </w:p>
    <w:p>
      <w:pPr>
        <w:jc w:val="both"/>
        <w:ind w:left="340" w:right="320" w:firstLine="316"/>
        <w:spacing w:after="0" w:line="253" w:lineRule="auto"/>
        <w:tabs>
          <w:tab w:leader="none" w:pos="97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information, certifications, attachments, and other information provided by the Recipient to Treasury related to the Payroll Support are true and correct and do not contain any materially false, fictitious, or fraudulent statement, nor any concealment or omission of any material fact.</w:t>
      </w:r>
    </w:p>
    <w:p>
      <w:pPr>
        <w:spacing w:after="0" w:line="185" w:lineRule="exact"/>
        <w:rPr>
          <w:rFonts w:ascii="Arial" w:cs="Arial" w:eastAsia="Arial" w:hAnsi="Arial"/>
          <w:sz w:val="22"/>
          <w:szCs w:val="22"/>
          <w:color w:val="auto"/>
        </w:rPr>
      </w:pPr>
    </w:p>
    <w:p>
      <w:pPr>
        <w:ind w:left="340" w:right="460" w:firstLine="316"/>
        <w:spacing w:after="0" w:line="253" w:lineRule="auto"/>
        <w:tabs>
          <w:tab w:leader="none" w:pos="97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Recipient has the legal authority to apply for the Payroll Support, and it has the institutional, managerial, and financial capability to comply with all obligations, terms, and conditions set forth in the Agreement and any attachment thereto.</w:t>
      </w:r>
    </w:p>
    <w:p>
      <w:pPr>
        <w:spacing w:after="0" w:line="185" w:lineRule="exact"/>
        <w:rPr>
          <w:rFonts w:ascii="Arial" w:cs="Arial" w:eastAsia="Arial" w:hAnsi="Arial"/>
          <w:sz w:val="22"/>
          <w:szCs w:val="22"/>
          <w:color w:val="auto"/>
        </w:rPr>
      </w:pPr>
    </w:p>
    <w:p>
      <w:pPr>
        <w:ind w:left="340" w:firstLine="316"/>
        <w:spacing w:after="0" w:line="250" w:lineRule="auto"/>
        <w:tabs>
          <w:tab w:leader="none" w:pos="97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Recipient and any Affiliate will give Treasury, Treasury’s designee or the Treasury Office of Inspector General (as applicable) access to, and opportunity to examine, all documents, papers, or other records of the Recipient or Affiliate pertinent to the provision of Payroll Support made by Treasury to the Recipient, in order to make audits, examinations, excerpts, and transcripts.</w:t>
      </w:r>
    </w:p>
    <w:p>
      <w:pPr>
        <w:spacing w:after="0" w:line="187" w:lineRule="exact"/>
        <w:rPr>
          <w:rFonts w:ascii="Arial" w:cs="Arial" w:eastAsia="Arial" w:hAnsi="Arial"/>
          <w:sz w:val="22"/>
          <w:szCs w:val="22"/>
          <w:color w:val="auto"/>
        </w:rPr>
      </w:pPr>
    </w:p>
    <w:p>
      <w:pPr>
        <w:ind w:left="340" w:right="180" w:firstLine="316"/>
        <w:spacing w:after="0" w:line="247" w:lineRule="auto"/>
        <w:tabs>
          <w:tab w:leader="none" w:pos="97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 Federal appropriated funds, including Payroll Support, have been paid or will be paid, by or on behalf of the Recipient,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pPr>
        <w:spacing w:after="0" w:line="192" w:lineRule="exact"/>
        <w:rPr>
          <w:rFonts w:ascii="Arial" w:cs="Arial" w:eastAsia="Arial" w:hAnsi="Arial"/>
          <w:sz w:val="22"/>
          <w:szCs w:val="22"/>
          <w:color w:val="auto"/>
        </w:rPr>
      </w:pPr>
    </w:p>
    <w:p>
      <w:pPr>
        <w:jc w:val="both"/>
        <w:ind w:left="340" w:right="120" w:firstLine="316"/>
        <w:spacing w:after="0" w:line="250" w:lineRule="auto"/>
        <w:tabs>
          <w:tab w:leader="none" w:pos="97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the Payroll Support exceeds $100,000, the Recipient shall comply with the disclosure requirements in 31 CFR Part 21 regarding any amounts paid for influencing or attempting to influence an officer or employee of any agency, a Member of Congress, an officer or employee of Congress, or an employee of a Member of Congress in connection with the Payroll Support.</w:t>
      </w:r>
    </w:p>
    <w:p>
      <w:pPr>
        <w:sectPr>
          <w:pgSz w:w="11900" w:h="16838" w:orient="portrait"/>
          <w:cols w:equalWidth="0" w:num="1">
            <w:col w:w="11240"/>
          </w:cols>
          <w:pgMar w:left="320" w:top="1422" w:right="339" w:bottom="1440" w:gutter="0" w:footer="0" w:header="0"/>
        </w:sectPr>
      </w:pPr>
    </w:p>
    <w:bookmarkStart w:id="179" w:name="page180"/>
    <w:bookmarkEnd w:id="179"/>
    <w:p>
      <w:pPr>
        <w:spacing w:after="0" w:line="256" w:lineRule="auto"/>
        <w:rPr>
          <w:sz w:val="20"/>
          <w:szCs w:val="20"/>
          <w:color w:val="auto"/>
        </w:rPr>
      </w:pPr>
      <w:r>
        <w:rPr>
          <w:rFonts w:ascii="Arial" w:cs="Arial" w:eastAsia="Arial" w:hAnsi="Arial"/>
          <w:sz w:val="22"/>
          <w:szCs w:val="22"/>
          <w:b w:val="1"/>
          <w:bCs w:val="1"/>
          <w:color w:val="auto"/>
        </w:rPr>
        <w:t>I acknowledge that a materially false, fictitious, or fraudulent statement (or concealment or omission of a material fact) in this certification may be the subject of criminal prosecution and also may subject me and the Recipient to civil penalties and/or administrative remedies for false claims or otherwise.</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20"/>
                <w:szCs w:val="20"/>
                <w:color w:val="auto"/>
              </w:rPr>
              <w:t>/s/ Meghan B. Montana___________________</w:t>
            </w:r>
          </w:p>
        </w:tc>
        <w:tc>
          <w:tcPr>
            <w:tcW w:w="6040" w:type="dxa"/>
            <w:vAlign w:val="bottom"/>
            <w:gridSpan w:val="3"/>
          </w:tcPr>
          <w:p>
            <w:pPr>
              <w:ind w:left="940"/>
              <w:spacing w:after="0"/>
              <w:rPr>
                <w:sz w:val="20"/>
                <w:szCs w:val="20"/>
                <w:color w:val="auto"/>
              </w:rPr>
            </w:pPr>
            <w:r>
              <w:rPr>
                <w:rFonts w:ascii="Arial" w:cs="Arial" w:eastAsia="Arial" w:hAnsi="Arial"/>
                <w:sz w:val="20"/>
                <w:szCs w:val="20"/>
                <w:color w:val="auto"/>
              </w:rPr>
              <w:t>/s/ Derek J. Kerr___________________________</w:t>
            </w:r>
          </w:p>
        </w:tc>
      </w:tr>
      <w:tr>
        <w:trPr>
          <w:trHeight w:val="20"/>
        </w:trPr>
        <w:tc>
          <w:tcPr>
            <w:tcW w:w="18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584"/>
        </w:trPr>
        <w:tc>
          <w:tcPr>
            <w:tcW w:w="4680" w:type="dxa"/>
            <w:vAlign w:val="bottom"/>
            <w:gridSpan w:val="2"/>
          </w:tcPr>
          <w:p>
            <w:pPr>
              <w:spacing w:after="0"/>
              <w:rPr>
                <w:sz w:val="20"/>
                <w:szCs w:val="20"/>
                <w:color w:val="auto"/>
              </w:rPr>
            </w:pPr>
            <w:r>
              <w:rPr>
                <w:rFonts w:ascii="Arial" w:cs="Arial" w:eastAsia="Arial" w:hAnsi="Arial"/>
                <w:sz w:val="22"/>
                <w:szCs w:val="22"/>
                <w:color w:val="auto"/>
              </w:rPr>
              <w:t>Corporate Officer of Signatory Entity</w:t>
            </w:r>
          </w:p>
        </w:tc>
        <w:tc>
          <w:tcPr>
            <w:tcW w:w="6040" w:type="dxa"/>
            <w:vAlign w:val="bottom"/>
            <w:gridSpan w:val="3"/>
          </w:tcPr>
          <w:p>
            <w:pPr>
              <w:ind w:left="940"/>
              <w:spacing w:after="0"/>
              <w:rPr>
                <w:sz w:val="20"/>
                <w:szCs w:val="20"/>
                <w:color w:val="auto"/>
              </w:rPr>
            </w:pPr>
            <w:r>
              <w:rPr>
                <w:rFonts w:ascii="Arial" w:cs="Arial" w:eastAsia="Arial" w:hAnsi="Arial"/>
                <w:sz w:val="22"/>
                <w:szCs w:val="22"/>
                <w:color w:val="auto"/>
              </w:rPr>
              <w:t>Second Authorized Representative</w:t>
            </w:r>
          </w:p>
        </w:tc>
      </w:tr>
      <w:tr>
        <w:trPr>
          <w:trHeight w:val="499"/>
        </w:trPr>
        <w:tc>
          <w:tcPr>
            <w:tcW w:w="4680" w:type="dxa"/>
            <w:vAlign w:val="bottom"/>
            <w:gridSpan w:val="2"/>
          </w:tcPr>
          <w:p>
            <w:pPr>
              <w:spacing w:after="0"/>
              <w:rPr>
                <w:sz w:val="20"/>
                <w:szCs w:val="20"/>
                <w:color w:val="auto"/>
              </w:rPr>
            </w:pPr>
            <w:r>
              <w:rPr>
                <w:rFonts w:ascii="Arial" w:cs="Arial" w:eastAsia="Arial" w:hAnsi="Arial"/>
                <w:sz w:val="22"/>
                <w:szCs w:val="22"/>
                <w:color w:val="auto"/>
              </w:rPr>
              <w:t>Name: Meghan B. Montana</w:t>
            </w:r>
          </w:p>
        </w:tc>
        <w:tc>
          <w:tcPr>
            <w:tcW w:w="6040" w:type="dxa"/>
            <w:vAlign w:val="bottom"/>
            <w:gridSpan w:val="3"/>
          </w:tcPr>
          <w:p>
            <w:pPr>
              <w:ind w:left="940"/>
              <w:spacing w:after="0"/>
              <w:rPr>
                <w:sz w:val="20"/>
                <w:szCs w:val="20"/>
                <w:color w:val="auto"/>
              </w:rPr>
            </w:pPr>
            <w:r>
              <w:rPr>
                <w:rFonts w:ascii="Arial" w:cs="Arial" w:eastAsia="Arial" w:hAnsi="Arial"/>
                <w:sz w:val="22"/>
                <w:szCs w:val="22"/>
                <w:color w:val="auto"/>
              </w:rPr>
              <w:t>Name: Derek J. Kerr</w:t>
            </w:r>
          </w:p>
        </w:tc>
      </w:tr>
      <w:tr>
        <w:trPr>
          <w:trHeight w:val="441"/>
        </w:trPr>
        <w:tc>
          <w:tcPr>
            <w:tcW w:w="4680" w:type="dxa"/>
            <w:vAlign w:val="bottom"/>
            <w:gridSpan w:val="2"/>
          </w:tcPr>
          <w:p>
            <w:pPr>
              <w:spacing w:after="0"/>
              <w:rPr>
                <w:sz w:val="20"/>
                <w:szCs w:val="20"/>
                <w:color w:val="auto"/>
              </w:rPr>
            </w:pPr>
            <w:r>
              <w:rPr>
                <w:rFonts w:ascii="Arial" w:cs="Arial" w:eastAsia="Arial" w:hAnsi="Arial"/>
                <w:sz w:val="22"/>
                <w:szCs w:val="22"/>
                <w:color w:val="auto"/>
              </w:rPr>
              <w:t>Title: Vice President and Treasurer</w:t>
            </w:r>
          </w:p>
        </w:tc>
        <w:tc>
          <w:tcPr>
            <w:tcW w:w="9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22"/>
                <w:szCs w:val="22"/>
                <w:color w:val="auto"/>
                <w:w w:val="90"/>
              </w:rPr>
              <w:t>Title: Executive Vice President and Chief Financial Officer</w:t>
            </w:r>
          </w:p>
        </w:tc>
      </w:tr>
      <w:tr>
        <w:trPr>
          <w:trHeight w:val="274"/>
        </w:trPr>
        <w:tc>
          <w:tcPr>
            <w:tcW w:w="4680" w:type="dxa"/>
            <w:vAlign w:val="bottom"/>
            <w:gridSpan w:val="2"/>
          </w:tcPr>
          <w:p>
            <w:pPr>
              <w:spacing w:after="0"/>
              <w:rPr>
                <w:sz w:val="20"/>
                <w:szCs w:val="20"/>
                <w:color w:val="auto"/>
              </w:rPr>
            </w:pPr>
            <w:r>
              <w:rPr>
                <w:rFonts w:ascii="Arial" w:cs="Arial" w:eastAsia="Arial" w:hAnsi="Arial"/>
                <w:sz w:val="22"/>
                <w:szCs w:val="22"/>
                <w:color w:val="auto"/>
              </w:rPr>
              <w:t>Date: April 23, 2021</w:t>
            </w:r>
          </w:p>
        </w:tc>
        <w:tc>
          <w:tcPr>
            <w:tcW w:w="940" w:type="dxa"/>
            <w:vAlign w:val="bottom"/>
          </w:tcPr>
          <w:p>
            <w:pPr>
              <w:spacing w:after="0"/>
              <w:rPr>
                <w:sz w:val="23"/>
                <w:szCs w:val="23"/>
                <w:color w:val="auto"/>
              </w:rPr>
            </w:pPr>
          </w:p>
        </w:tc>
        <w:tc>
          <w:tcPr>
            <w:tcW w:w="5100" w:type="dxa"/>
            <w:vAlign w:val="bottom"/>
            <w:gridSpan w:val="2"/>
          </w:tcPr>
          <w:p>
            <w:pPr>
              <w:spacing w:after="0"/>
              <w:rPr>
                <w:sz w:val="20"/>
                <w:szCs w:val="20"/>
                <w:color w:val="auto"/>
              </w:rPr>
            </w:pPr>
            <w:r>
              <w:rPr>
                <w:rFonts w:ascii="Arial" w:cs="Arial" w:eastAsia="Arial" w:hAnsi="Arial"/>
                <w:sz w:val="22"/>
                <w:szCs w:val="22"/>
                <w:color w:val="auto"/>
              </w:rPr>
              <w:t>Date: April 23,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 Payroll Support Program 3 Certification]</w:t>
      </w:r>
    </w:p>
    <w:p>
      <w:pPr>
        <w:sectPr>
          <w:pgSz w:w="11900" w:h="16838" w:orient="portrait"/>
          <w:cols w:equalWidth="0" w:num="1">
            <w:col w:w="11200"/>
          </w:cols>
          <w:pgMar w:left="320" w:top="1422" w:right="37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10.2</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162"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OR SUCH LAWS.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Reference is made to that certain Payroll Support Program 3 Agreement (“</w:t>
      </w:r>
      <w:r>
        <w:rPr>
          <w:rFonts w:ascii="Arial" w:cs="Arial" w:eastAsia="Arial" w:hAnsi="Arial"/>
          <w:sz w:val="18"/>
          <w:szCs w:val="18"/>
          <w:u w:val="single" w:color="auto"/>
          <w:color w:val="auto"/>
        </w:rPr>
        <w:t>PSP3 Agreement</w:t>
      </w:r>
      <w:r>
        <w:rPr>
          <w:rFonts w:ascii="Arial" w:cs="Arial" w:eastAsia="Arial" w:hAnsi="Arial"/>
          <w:sz w:val="18"/>
          <w:szCs w:val="18"/>
          <w:color w:val="auto"/>
        </w:rPr>
        <w:t>”) dated as of the date hereof by and among American Airlines, Inc., a Delaware corporation (“</w:t>
      </w:r>
      <w:r>
        <w:rPr>
          <w:rFonts w:ascii="Arial" w:cs="Arial" w:eastAsia="Arial" w:hAnsi="Arial"/>
          <w:sz w:val="18"/>
          <w:szCs w:val="18"/>
          <w:u w:val="single" w:color="auto"/>
          <w:color w:val="auto"/>
        </w:rPr>
        <w:t>AA</w:t>
      </w:r>
      <w:r>
        <w:rPr>
          <w:rFonts w:ascii="Arial" w:cs="Arial" w:eastAsia="Arial" w:hAnsi="Arial"/>
          <w:sz w:val="18"/>
          <w:szCs w:val="18"/>
          <w:color w:val="auto"/>
        </w:rPr>
        <w:t>”), having an office at 1 Skyview Drive, Fort Worth, TX 76155, and the United States Department of the Treasury (“</w:t>
      </w:r>
      <w:r>
        <w:rPr>
          <w:rFonts w:ascii="Arial" w:cs="Arial" w:eastAsia="Arial" w:hAnsi="Arial"/>
          <w:sz w:val="18"/>
          <w:szCs w:val="18"/>
          <w:u w:val="single" w:color="auto"/>
          <w:color w:val="auto"/>
        </w:rPr>
        <w:t>Treasury</w:t>
      </w:r>
      <w:r>
        <w:rPr>
          <w:rFonts w:ascii="Arial" w:cs="Arial" w:eastAsia="Arial" w:hAnsi="Arial"/>
          <w:sz w:val="18"/>
          <w:szCs w:val="18"/>
          <w:color w:val="auto"/>
        </w:rPr>
        <w:t>”), having an office at 1500 Pennsylvania Avenue, NW, Washington, D.C. 20220, entered into by AA and Treasury pursuant to the American Rescue Plan Act of 2021 (March 11, 2021) (“</w:t>
      </w:r>
      <w:r>
        <w:rPr>
          <w:rFonts w:ascii="Arial" w:cs="Arial" w:eastAsia="Arial" w:hAnsi="Arial"/>
          <w:sz w:val="18"/>
          <w:szCs w:val="18"/>
          <w:u w:val="single" w:color="auto"/>
          <w:color w:val="auto"/>
        </w:rPr>
        <w:t>PSP3 Extension Law</w:t>
      </w:r>
      <w:r>
        <w:rPr>
          <w:rFonts w:ascii="Arial" w:cs="Arial" w:eastAsia="Arial" w:hAnsi="Arial"/>
          <w:sz w:val="18"/>
          <w:szCs w:val="18"/>
          <w:color w:val="auto"/>
        </w:rPr>
        <w:t>”).</w:t>
      </w:r>
    </w:p>
    <w:p>
      <w:pPr>
        <w:spacing w:after="0" w:line="11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WHEREAS, American Airlines Group Inc., a Delaware corporation (“</w:t>
      </w:r>
      <w:r>
        <w:rPr>
          <w:rFonts w:ascii="Arial" w:cs="Arial" w:eastAsia="Arial" w:hAnsi="Arial"/>
          <w:sz w:val="17"/>
          <w:szCs w:val="17"/>
          <w:u w:val="single" w:color="auto"/>
          <w:color w:val="auto"/>
        </w:rPr>
        <w:t>Issuer</w:t>
      </w:r>
      <w:r>
        <w:rPr>
          <w:rFonts w:ascii="Arial" w:cs="Arial" w:eastAsia="Arial" w:hAnsi="Arial"/>
          <w:sz w:val="17"/>
          <w:szCs w:val="17"/>
          <w:color w:val="auto"/>
        </w:rPr>
        <w:t>”), has requested that Treasury provide financial assistance to the Issuer and certain of its Affiliates (as defined below) that are Recipients (as defined in the PSP3 Agreement) that shall be used for the continuation of payment of employee wages, salaries, and benefits as is permissible under Section 7301(b)(1) of the PSP3 Extension Law.</w:t>
      </w:r>
    </w:p>
    <w:p>
      <w:pPr>
        <w:spacing w:after="0" w:line="9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WHEREAS, as appropriate compensation to the Federal Government of the United States of America for the provision of financial assistance under the PSP3 Agreement, Issuer has agreed to issue this Promissory Note (“</w:t>
      </w:r>
      <w:r>
        <w:rPr>
          <w:rFonts w:ascii="Arial" w:cs="Arial" w:eastAsia="Arial" w:hAnsi="Arial"/>
          <w:sz w:val="17"/>
          <w:szCs w:val="17"/>
          <w:u w:val="single" w:color="auto"/>
          <w:color w:val="auto"/>
        </w:rPr>
        <w:t>Note</w:t>
      </w:r>
      <w:r>
        <w:rPr>
          <w:rFonts w:ascii="Arial" w:cs="Arial" w:eastAsia="Arial" w:hAnsi="Arial"/>
          <w:sz w:val="17"/>
          <w:szCs w:val="17"/>
          <w:color w:val="auto"/>
        </w:rPr>
        <w:t>”) to Treasury on the terms and conditions set forth herein.</w:t>
      </w:r>
    </w:p>
    <w:p>
      <w:pPr>
        <w:spacing w:after="0" w:line="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VALUE RECEIVED, Issuer unconditionally promises to pay to the Holder (as defined below) the principal sum of FOUR HUNDRED SIXTY-SIX MILLION, SIX HUNDRED THIRTY THOUSAND, ONE HUNDRED NINETEEN AND NINETY-EIGHT CENTS ($466,630,119.98), subject to increases and/or decreases made pursuant to Section 2.1, as permissible under the PSP3 Agreement, or Section 2.3, in each case as noted by the Holder in Schedule I (the “</w:t>
      </w:r>
      <w:r>
        <w:rPr>
          <w:rFonts w:ascii="Arial" w:cs="Arial" w:eastAsia="Arial" w:hAnsi="Arial"/>
          <w:sz w:val="17"/>
          <w:szCs w:val="17"/>
          <w:u w:val="single" w:color="auto"/>
          <w:color w:val="auto"/>
        </w:rPr>
        <w:t>Principal Amount</w:t>
      </w:r>
      <w:r>
        <w:rPr>
          <w:rFonts w:ascii="Arial" w:cs="Arial" w:eastAsia="Arial" w:hAnsi="Arial"/>
          <w:sz w:val="17"/>
          <w:szCs w:val="17"/>
          <w:color w:val="auto"/>
        </w:rPr>
        <w:t xml:space="preserve">”), outstanding hereunder, together with all accrued interest thereon on the Maturity Date (as defined below) as provided in this Note. Notations made by the Holder in Schedule I shall be final and conclusive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failure by the Holder to make such notations or any error by omission by the Holder in this regard shall not affect the obligation of the Issuer to pay the full amount of the principal of and interest on the Note or any other amount owing hereunder.</w:t>
      </w:r>
    </w:p>
    <w:p>
      <w:pPr>
        <w:spacing w:after="0" w:line="119" w:lineRule="exact"/>
        <w:rPr>
          <w:sz w:val="20"/>
          <w:szCs w:val="20"/>
          <w:color w:val="auto"/>
        </w:rPr>
      </w:pPr>
    </w:p>
    <w:p>
      <w:pPr>
        <w:ind w:left="640" w:hanging="632"/>
        <w:spacing w:after="0"/>
        <w:tabs>
          <w:tab w:leader="none" w:pos="640" w:val="left"/>
        </w:tabs>
        <w:numPr>
          <w:ilvl w:val="0"/>
          <w:numId w:val="129"/>
        </w:numPr>
        <w:rPr>
          <w:rFonts w:ascii="Arial" w:cs="Arial" w:eastAsia="Arial" w:hAnsi="Arial"/>
          <w:sz w:val="20"/>
          <w:szCs w:val="20"/>
          <w:color w:val="auto"/>
        </w:rPr>
      </w:pPr>
      <w:r>
        <w:rPr>
          <w:rFonts w:ascii="Arial" w:cs="Arial" w:eastAsia="Arial" w:hAnsi="Arial"/>
          <w:sz w:val="18"/>
          <w:szCs w:val="18"/>
          <w:b w:val="1"/>
          <w:bCs w:val="1"/>
          <w:u w:val="single" w:color="auto"/>
          <w:color w:val="auto"/>
        </w:rPr>
        <w:t>DEFINITIONS</w:t>
      </w:r>
    </w:p>
    <w:p>
      <w:pPr>
        <w:spacing w:after="0" w:line="1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Note, capitalized terms have the meanings specified in Annex A.</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is not exclusive. The word “year” shall refer (i) in the case of a leap year, to a year of three hundred sixty-six (366) days, and (ii) otherwise, to a year of three hundred sixty-five (365) days.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Note in its entirety and not to any particular provision hereof, (d) all references herein to Sections, Annexes and Schedules shall be construed to refer to Sections of, and Annexes and Schedules to, this Note,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 All accounting terms not otherwise defined herein shall be construed in conformity with GAAP,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1240"/>
          </w:cols>
          <w:pgMar w:left="320" w:top="121" w:right="339" w:bottom="1440" w:gutter="0" w:footer="0" w:header="0"/>
        </w:sectPr>
      </w:pPr>
    </w:p>
    <w:bookmarkStart w:id="181" w:name="page182"/>
    <w:bookmarkEnd w:id="181"/>
    <w:p>
      <w:pPr>
        <w:ind w:left="640" w:hanging="632"/>
        <w:spacing w:after="0"/>
        <w:tabs>
          <w:tab w:leader="none" w:pos="640" w:val="left"/>
        </w:tabs>
        <w:numPr>
          <w:ilvl w:val="0"/>
          <w:numId w:val="130"/>
        </w:numPr>
        <w:rPr>
          <w:rFonts w:ascii="Arial" w:cs="Arial" w:eastAsia="Arial" w:hAnsi="Arial"/>
          <w:sz w:val="20"/>
          <w:szCs w:val="20"/>
          <w:color w:val="auto"/>
        </w:rPr>
      </w:pPr>
      <w:r>
        <w:rPr>
          <w:rFonts w:ascii="Arial" w:cs="Arial" w:eastAsia="Arial" w:hAnsi="Arial"/>
          <w:sz w:val="18"/>
          <w:szCs w:val="18"/>
          <w:b w:val="1"/>
          <w:bCs w:val="1"/>
          <w:u w:val="single" w:color="auto"/>
          <w:color w:val="auto"/>
        </w:rPr>
        <w:t>NOTE</w:t>
      </w:r>
    </w:p>
    <w:p>
      <w:pPr>
        <w:spacing w:after="0" w:line="1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Principal Amount</w:t>
      </w:r>
      <w:r>
        <w:rPr>
          <w:rFonts w:ascii="Arial" w:cs="Arial" w:eastAsia="Arial" w:hAnsi="Arial"/>
          <w:sz w:val="16"/>
          <w:szCs w:val="16"/>
          <w:color w:val="auto"/>
        </w:rPr>
        <w:t xml:space="preserve">. Upon any disbursement to the Issuer under the PSP3 Agreement after the Closing Date, the Principal Amount of this Note shall be increased in an amount equal to 30 % of any such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increases in the Principal Amount of this Note shall occur pursuant to this Section until the aggregate principal amount of any disbursements to the Issuer under the PSP3 Agreement is greater than $100,000,000.</w:t>
      </w:r>
    </w:p>
    <w:p>
      <w:pPr>
        <w:spacing w:after="0" w:line="1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Maturity Date</w:t>
      </w:r>
      <w:r>
        <w:rPr>
          <w:rFonts w:ascii="Arial" w:cs="Arial" w:eastAsia="Arial" w:hAnsi="Arial"/>
          <w:sz w:val="18"/>
          <w:szCs w:val="18"/>
          <w:color w:val="auto"/>
        </w:rPr>
        <w:t>. The aggregate unpaid principal amount of the Note, all accrued and unpaid interest, and all other amounts payable under this Note shall be due and payable on the Maturity Date, unless otherwise provided in Section 5.1.</w:t>
      </w:r>
    </w:p>
    <w:p>
      <w:pPr>
        <w:spacing w:after="0" w:line="1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131" w:lineRule="exact"/>
        <w:rPr>
          <w:sz w:val="20"/>
          <w:szCs w:val="20"/>
          <w:color w:val="auto"/>
        </w:rPr>
      </w:pPr>
    </w:p>
    <w:p>
      <w:pPr>
        <w:ind w:right="220" w:firstLine="8"/>
        <w:spacing w:after="0" w:line="324" w:lineRule="auto"/>
        <w:tabs>
          <w:tab w:leader="none" w:pos="64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The Issuer may, upon written notice to the Holder, at any time and from time to time prepay the Note in whole or in part without premium or penalty in a minimum aggregate principal amount equal to the lesser of $5,000,000 and the Principal Amount outstanding.</w:t>
      </w:r>
    </w:p>
    <w:p>
      <w:pPr>
        <w:spacing w:after="0" w:line="56" w:lineRule="exact"/>
        <w:rPr>
          <w:rFonts w:ascii="Arial" w:cs="Arial" w:eastAsia="Arial" w:hAnsi="Arial"/>
          <w:sz w:val="16"/>
          <w:szCs w:val="16"/>
          <w:color w:val="auto"/>
        </w:rPr>
      </w:pPr>
    </w:p>
    <w:p>
      <w:pPr>
        <w:jc w:val="both"/>
        <w:ind w:right="80" w:firstLine="8"/>
        <w:spacing w:after="0" w:line="243" w:lineRule="auto"/>
        <w:tabs>
          <w:tab w:leader="none" w:pos="64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a Change of Control occurs, within thirty (30) days following the occurrence of such Change of Control, the Issuer shall prepay the aggregate principal amount outstanding under the Note and any accrued interest or other amounts owing under the Note. The Issuer will not, and will not permit any Subsidiary to, enter into any Contractual Obligation (other than this Note) that, directly or indirectly, restricts the ability of the Issuer or any Subsidiary to make such prepayment hereunder.</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31" w:lineRule="exact"/>
        <w:rPr>
          <w:sz w:val="20"/>
          <w:szCs w:val="20"/>
          <w:color w:val="auto"/>
        </w:rPr>
      </w:pPr>
    </w:p>
    <w:p>
      <w:pPr>
        <w:ind w:firstLine="8"/>
        <w:spacing w:after="0" w:line="255" w:lineRule="auto"/>
        <w:tabs>
          <w:tab w:leader="none" w:pos="645"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 Subject to paragraph (b) of this Section, the Note shall bear interest on the Principal Amount outstanding from time to time at a rate per annum equal to 1.00% until the fifth anniversary of the Closing Date, and the Applicable SOFR Rate plus 2.00% thereafter until the Maturity Date. All interest hereunder shall be computed on the basis of the actual number of days in each interest period and a year of 365 or 366 days, as applicable, until the fifth anniversary of the Closing Date and computed in a manner determined by the Holder thereafter, based on prevailing customary market conventions for the use of the Applicable SOFR Rate in floating-rate debt instruments at the time of the announcement of the Applicable SOFR Rate. Each interest period will be from, and including, the Closing Date, or from and including the most recent interest payment date to which interest has been paid or provided for, to, but excluding the next interest payment date.</w:t>
      </w:r>
    </w:p>
    <w:p>
      <w:pPr>
        <w:spacing w:after="0" w:line="112" w:lineRule="exact"/>
        <w:rPr>
          <w:rFonts w:ascii="Arial" w:cs="Arial" w:eastAsia="Arial" w:hAnsi="Arial"/>
          <w:sz w:val="17"/>
          <w:szCs w:val="17"/>
          <w:color w:val="auto"/>
        </w:rPr>
      </w:pPr>
    </w:p>
    <w:p>
      <w:pPr>
        <w:ind w:right="160" w:firstLine="8"/>
        <w:spacing w:after="0" w:line="243" w:lineRule="auto"/>
        <w:tabs>
          <w:tab w:leader="none" w:pos="64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If any amount payable by the Issuer or any Guarantor under this Note (including principal of the Note, interest, fees or other amount) is not paid when due, whether at stated maturity, upon acceleration or otherwise, such amount shall thereafter bear interest at a rate per annum equal to the applicable Default Rate. While any Event of Default exists, the Issuer or any Guarantor shall pay interest on the principal amount of the Note outstanding hereunder at a rate per annum equal to the applicable Default Rate.</w:t>
      </w:r>
    </w:p>
    <w:p>
      <w:pPr>
        <w:spacing w:after="0" w:line="120" w:lineRule="exact"/>
        <w:rPr>
          <w:rFonts w:ascii="Arial" w:cs="Arial" w:eastAsia="Arial" w:hAnsi="Arial"/>
          <w:sz w:val="18"/>
          <w:szCs w:val="18"/>
          <w:color w:val="auto"/>
        </w:rPr>
      </w:pPr>
    </w:p>
    <w:p>
      <w:pPr>
        <w:ind w:right="20" w:firstLine="8"/>
        <w:spacing w:after="0" w:line="243" w:lineRule="auto"/>
        <w:tabs>
          <w:tab w:leader="none" w:pos="64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Accrued interest on the Note shall be payable in arrears on the last Business Day of March and September of each year, beginning with September 30, 2021 , and on the Maturity Date and at such other times as may be specified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(b) of this Section shall be payable on demand and (ii) in the event of any repayment or prepayment of the Note, accrued interest on the principal amount repaid or prepaid shall be payable on the date of such repayment or prepayment.</w:t>
      </w:r>
    </w:p>
    <w:p>
      <w:pPr>
        <w:spacing w:after="0" w:line="106" w:lineRule="exact"/>
        <w:rPr>
          <w:rFonts w:ascii="Arial" w:cs="Arial" w:eastAsia="Arial" w:hAnsi="Arial"/>
          <w:sz w:val="18"/>
          <w:szCs w:val="18"/>
          <w:color w:val="auto"/>
        </w:rPr>
      </w:pPr>
    </w:p>
    <w:p>
      <w:pPr>
        <w:ind w:right="80" w:firstLine="8"/>
        <w:spacing w:after="0" w:line="238" w:lineRule="auto"/>
        <w:tabs>
          <w:tab w:leader="none" w:pos="64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SOFR Fallback</w:t>
      </w:r>
      <w:r>
        <w:rPr>
          <w:rFonts w:ascii="Arial" w:cs="Arial" w:eastAsia="Arial" w:hAnsi="Arial"/>
          <w:sz w:val="18"/>
          <w:szCs w:val="18"/>
          <w:color w:val="auto"/>
        </w:rPr>
        <w:t>. If, at any time, the Holder or its designee determines that a Benchmark Transition Event has occurred with respect to the Applicable SOFR Rate or SOFR, or any successor rate, the Holder or its designee will designate a Benchmark Replacement and, as applicable, make Benchmark Conforming Changes in a manner consistent with the methodology set forth in the ARRC Fallback Provisions. Any determination, decision or election that may be made by the Holder or its designee pursuant to this Section 2.4(d), and any decision to take or refrain from taking any action or making any determination, decision or election arising out of or relating to this Section 2.4(d), shall be conclusive and binding absent manifest error, may be made by the Holder or its designee in its sole discretion, and, notwithstanding anything to the contrary in this Note, shall become effective without the consent of the Issuer, any Guarantor or any other party. Any terms used in this Section 2.4(d) but not defined in this Note shall be construed in a manner consistent with the ARRC Fallback Provisions.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color w:val="auto"/>
        </w:rPr>
        <w:t>.</w:t>
      </w:r>
    </w:p>
    <w:p>
      <w:pPr>
        <w:spacing w:after="0" w:line="131" w:lineRule="exact"/>
        <w:rPr>
          <w:sz w:val="20"/>
          <w:szCs w:val="20"/>
          <w:color w:val="auto"/>
        </w:rPr>
      </w:pPr>
    </w:p>
    <w:p>
      <w:pPr>
        <w:ind w:right="20" w:firstLine="8"/>
        <w:spacing w:after="0" w:line="248" w:lineRule="auto"/>
        <w:tabs>
          <w:tab w:leader="none" w:pos="645"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Payments by Issuer</w:t>
      </w:r>
      <w:r>
        <w:rPr>
          <w:rFonts w:ascii="Arial" w:cs="Arial" w:eastAsia="Arial" w:hAnsi="Arial"/>
          <w:sz w:val="18"/>
          <w:szCs w:val="18"/>
          <w:color w:val="auto"/>
        </w:rPr>
        <w:t>. All payments to be made by the Issuer hereunder shall be made without condition or deduction for any counterclaim, defense, recoupment or setoff. Except as otherwise expressly provided herein, (i) for so long as Treasury is the Holder of this Note, each payment under this Note shall be paid in immediately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39" w:right="359" w:bottom="1440" w:gutter="0" w:footer="0" w:header="0"/>
        </w:sectPr>
      </w:pPr>
    </w:p>
    <w:bookmarkStart w:id="182" w:name="page183"/>
    <w:bookmarkEnd w:id="182"/>
    <w:p>
      <w:pPr>
        <w:ind w:right="100"/>
        <w:spacing w:after="0" w:line="271" w:lineRule="auto"/>
        <w:rPr>
          <w:sz w:val="20"/>
          <w:szCs w:val="20"/>
          <w:color w:val="auto"/>
        </w:rPr>
      </w:pPr>
      <w:r>
        <w:rPr>
          <w:rFonts w:ascii="Arial" w:cs="Arial" w:eastAsia="Arial" w:hAnsi="Arial"/>
          <w:sz w:val="16"/>
          <w:szCs w:val="16"/>
          <w:color w:val="auto"/>
        </w:rPr>
        <w:t xml:space="preserve">funds by electronic funds transfer to the account of the United States Treasury maintained at the Federal Reserve Bank of New York specified by Treasury in a written notice to the Issuer, or to such other account as may be specified from time to time by Treasury in a written notice to the Issuer, or (ii) in the event that Treasury is not the Holder of this Note, then each payment under this Note shall be made in immediately available funds by electronic funds transfer to such account as shall be specified by the Holder in a written notice to the Issuer, in each case not later than 12:00 noon (Washington, D.C. time) on the date specified herein. All amounts received by the Holder after such time on any date shall be deemed to have been received on the next succeeding Business Day and any applicable interest or fees shall continue to accrue. If any payment to be made by the Issuer shall fall due on a day that is not a Business Day, payment shall be made on the next succeeding Business Day and such extension of time shall be reflected in computing interest or fees,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next succeeding Business Day would fall after the Maturity Date, payment shall be made on the immediately preceding Business Day. Except as otherwise expressly provided herein, all payments hereunder shall be made in Dollars.</w:t>
      </w:r>
    </w:p>
    <w:p>
      <w:pPr>
        <w:spacing w:after="0" w:line="101" w:lineRule="exact"/>
        <w:rPr>
          <w:sz w:val="20"/>
          <w:szCs w:val="20"/>
          <w:color w:val="auto"/>
        </w:rPr>
      </w:pPr>
    </w:p>
    <w:p>
      <w:pPr>
        <w:ind w:right="480" w:firstLine="8"/>
        <w:spacing w:after="0" w:line="248" w:lineRule="auto"/>
        <w:tabs>
          <w:tab w:leader="none" w:pos="642"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Application of Insufficient Payments</w:t>
      </w:r>
      <w:r>
        <w:rPr>
          <w:rFonts w:ascii="Arial" w:cs="Arial" w:eastAsia="Arial" w:hAnsi="Arial"/>
          <w:sz w:val="18"/>
          <w:szCs w:val="18"/>
          <w:color w:val="auto"/>
        </w:rPr>
        <w:t xml:space="preserve">. If at any time insufficient funds are received by and available to the Holder to pay fully all amounts of principal, interest, fees and other amounts then due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 interest, fees and other amounts then due hereunder, and (ii) </w:t>
      </w:r>
      <w:r>
        <w:rPr>
          <w:rFonts w:ascii="Arial" w:cs="Arial" w:eastAsia="Arial" w:hAnsi="Arial"/>
          <w:sz w:val="18"/>
          <w:szCs w:val="18"/>
          <w:u w:val="single" w:color="auto"/>
          <w:color w:val="auto"/>
        </w:rPr>
        <w:t>second</w:t>
      </w:r>
      <w:r>
        <w:rPr>
          <w:rFonts w:ascii="Arial" w:cs="Arial" w:eastAsia="Arial" w:hAnsi="Arial"/>
          <w:sz w:val="18"/>
          <w:szCs w:val="18"/>
          <w:color w:val="auto"/>
        </w:rPr>
        <w:t>, to pay principal then due hereunder.</w:t>
      </w:r>
    </w:p>
    <w:p>
      <w:pPr>
        <w:spacing w:after="0" w:line="124" w:lineRule="exact"/>
        <w:rPr>
          <w:sz w:val="20"/>
          <w:szCs w:val="20"/>
          <w:color w:val="auto"/>
        </w:rPr>
      </w:pPr>
    </w:p>
    <w:p>
      <w:pPr>
        <w:ind w:left="640" w:hanging="632"/>
        <w:spacing w:after="0"/>
        <w:tabs>
          <w:tab w:leader="none" w:pos="640" w:val="left"/>
        </w:tabs>
        <w:numPr>
          <w:ilvl w:val="0"/>
          <w:numId w:val="135"/>
        </w:numPr>
        <w:rPr>
          <w:rFonts w:ascii="Arial" w:cs="Arial" w:eastAsia="Arial" w:hAnsi="Arial"/>
          <w:sz w:val="20"/>
          <w:szCs w:val="20"/>
          <w:color w:val="auto"/>
        </w:rPr>
      </w:pPr>
      <w:r>
        <w:rPr>
          <w:rFonts w:ascii="Arial" w:cs="Arial" w:eastAsia="Arial" w:hAnsi="Arial"/>
          <w:sz w:val="18"/>
          <w:szCs w:val="18"/>
          <w:b w:val="1"/>
          <w:bCs w:val="1"/>
          <w:u w:val="single" w:color="auto"/>
          <w:color w:val="auto"/>
        </w:rPr>
        <w:t>REPRESENTATIONS AND WARRANTIES</w:t>
      </w:r>
    </w:p>
    <w:p>
      <w:pPr>
        <w:spacing w:after="0" w:line="112"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 Issuer and each Guarantor represents and warrants to the Holder on the Closing Date and is deemed to represent and warrant to the Holder on any date on which the amount of the Note is increased pursuant to the terms hereof and in accordance with the PSP3 Agreement that:</w:t>
      </w:r>
    </w:p>
    <w:p>
      <w:pPr>
        <w:spacing w:after="0" w:line="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 The Issuer, each Guarantor and each Subsidiary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Note, and (c) is duly qualified and is licensed and, as applicable, in good standing under the Laws of each jurisdiction where its ownership, lease or operation of properties or the conduct of its business requires such qualification or license, except, in each case referred to in clause (a) (other than with respect to the Issuer and each Guarantor), (b)(i) or (c), to the extent that failure to do so could not reasonably be expected to have a Material Adverse Effect.</w:t>
      </w:r>
    </w:p>
    <w:p>
      <w:pPr>
        <w:spacing w:after="0" w:line="110" w:lineRule="exact"/>
        <w:rPr>
          <w:sz w:val="20"/>
          <w:szCs w:val="20"/>
          <w:color w:val="auto"/>
        </w:rPr>
      </w:pPr>
    </w:p>
    <w:p>
      <w:pPr>
        <w:ind w:right="420"/>
        <w:spacing w:after="0" w:line="27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Authorization; No Contravention</w:t>
      </w:r>
      <w:r>
        <w:rPr>
          <w:rFonts w:ascii="Arial" w:cs="Arial" w:eastAsia="Arial" w:hAnsi="Arial"/>
          <w:sz w:val="16"/>
          <w:szCs w:val="16"/>
          <w:color w:val="auto"/>
        </w:rPr>
        <w:t>. The execution, delivery and performance by the Issuer and each Guarantor of the Note have been duly authorized by all necessary corporate or other organizational action, and do not and will not (a) contravene the terms of its Organizational Documents,</w:t>
      </w:r>
    </w:p>
    <w:p>
      <w:pPr>
        <w:spacing w:after="0" w:line="1" w:lineRule="exact"/>
        <w:rPr>
          <w:sz w:val="20"/>
          <w:szCs w:val="20"/>
          <w:color w:val="auto"/>
        </w:rPr>
      </w:pPr>
    </w:p>
    <w:p>
      <w:pPr>
        <w:ind w:right="20" w:firstLine="8"/>
        <w:spacing w:after="0" w:line="237" w:lineRule="auto"/>
        <w:tabs>
          <w:tab w:leader="none" w:pos="2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conflict with or result in any breach or contravention of, or the creation of any Lien under, or require any payment to be made under (i) any material Contractual Obligation to which the Issuer or any Guarantor is a party or affecting the Issuer or any Guarantor or the material properties of the Issuer, any Guarantor or any Subsidiary or (ii) any material order, injunction, writ or decree of any Governmental Authority or any arbitral award to which the Issuer, the Guarantor or any Subsidiary or its property is subject or (c) violate any Law, except to the extent that such violation could not reasonably be expected to have a Material Adverse Effect.</w:t>
      </w:r>
    </w:p>
    <w:p>
      <w:pPr>
        <w:spacing w:after="0" w:line="12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No approval, consent, exemption, authorization, or other action by, or notice to, or filing with, any Governmental Authority or any other Person is necessary or required in connection with the execution, delivery or performance by, or enforcement against, the Issuer or any Guarantor of this Note, except for such approvals, consents, exemptions, authorizations, actions or notices that have been duly obtained, taken or made and in full force and effect.</w:t>
      </w:r>
    </w:p>
    <w:p>
      <w:pPr>
        <w:spacing w:after="0" w:line="12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Execution and Delivery; Binding Effect</w:t>
      </w:r>
      <w:r>
        <w:rPr>
          <w:rFonts w:ascii="Arial" w:cs="Arial" w:eastAsia="Arial" w:hAnsi="Arial"/>
          <w:sz w:val="18"/>
          <w:szCs w:val="18"/>
          <w:color w:val="auto"/>
        </w:rPr>
        <w:t>. This Note has been duly executed and delivered by the Issuer and each Guarantor. This Note constitutes a legal, valid and binding obligation of the Issuer and each Guarantor, enforceable against the Issuer and each Guarantor in accordance with its terms, except as such enforceability may be limited by bankruptcy, insolvency, reorganization, receivership, moratorium or other Laws affecting creditors’ rights generally and by general principles of equity.</w:t>
      </w:r>
    </w:p>
    <w:p>
      <w:pPr>
        <w:spacing w:after="0" w:line="116" w:lineRule="exact"/>
        <w:rPr>
          <w:sz w:val="20"/>
          <w:szCs w:val="20"/>
          <w:color w:val="auto"/>
        </w:rPr>
      </w:pPr>
    </w:p>
    <w:p>
      <w:pPr>
        <w:ind w:left="640" w:hanging="632"/>
        <w:spacing w:after="0"/>
        <w:tabs>
          <w:tab w:leader="none" w:pos="640" w:val="left"/>
        </w:tabs>
        <w:numPr>
          <w:ilvl w:val="0"/>
          <w:numId w:val="137"/>
        </w:numPr>
        <w:rPr>
          <w:rFonts w:ascii="Arial" w:cs="Arial" w:eastAsia="Arial" w:hAnsi="Arial"/>
          <w:sz w:val="20"/>
          <w:szCs w:val="20"/>
          <w:color w:val="auto"/>
        </w:rPr>
      </w:pPr>
      <w:r>
        <w:rPr>
          <w:rFonts w:ascii="Arial" w:cs="Arial" w:eastAsia="Arial" w:hAnsi="Arial"/>
          <w:sz w:val="18"/>
          <w:szCs w:val="18"/>
          <w:b w:val="1"/>
          <w:bCs w:val="1"/>
          <w:u w:val="single" w:color="auto"/>
          <w:color w:val="auto"/>
        </w:rPr>
        <w:t>COVENANTS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Until all Obligations shall have been paid in full or until any later date as provided for in this Note, the Issuer covenants and agrees with the Holder that: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The Issuer will promptly notify the Holder of the occurrence of any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30" w:right="339" w:bottom="1440" w:gutter="0" w:footer="0" w:header="0"/>
        </w:sectPr>
      </w:pPr>
    </w:p>
    <w:bookmarkStart w:id="183" w:name="page184"/>
    <w:bookmarkEnd w:id="183"/>
    <w:p>
      <w:pPr>
        <w:ind w:right="60"/>
        <w:spacing w:after="0" w:line="24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Guarantors</w:t>
      </w:r>
      <w:r>
        <w:rPr>
          <w:rFonts w:ascii="Arial" w:cs="Arial" w:eastAsia="Arial" w:hAnsi="Arial"/>
          <w:sz w:val="18"/>
          <w:szCs w:val="18"/>
          <w:color w:val="auto"/>
        </w:rPr>
        <w:t>. The Guarantors listed on the signature page to this Note hereby Guarantee the Guaranteed Obligations as set forth in Annex B. If any Subsidiary (other than an Excluded Subsidiary) is formed or acquired after the Closing Date or if any Subsidiary ceases to be an Excluded Subsidiary, then the Issuer will cause such Subsidiary to become a Guarantor of this Note within 30 days of such Subsidiary being formed or acquired or of such Subsidiary ceasing to be an Excluded Subsidiary pursuant to customary documentation reasonably acceptable to the Holder and on the terms and conditions set forth in Annex B.</w:t>
      </w:r>
    </w:p>
    <w:p>
      <w:pPr>
        <w:spacing w:after="0" w:line="12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Pari Passu Ranking</w:t>
      </w:r>
      <w:r>
        <w:rPr>
          <w:rFonts w:ascii="Arial" w:cs="Arial" w:eastAsia="Arial" w:hAnsi="Arial"/>
          <w:sz w:val="18"/>
          <w:szCs w:val="18"/>
          <w:color w:val="auto"/>
        </w:rPr>
        <w:t xml:space="preserve">. The Obligations of the Issuer and any Guaranteed Obligations of any Guarantor under this Note shall be unsecured obligations of the Issuer and any Guarantor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unsecured Indebtedness of the Issuer or any Guarantor that is not subordinated in right of payment to the holder or lender of such Indebtedness.</w:t>
      </w:r>
    </w:p>
    <w:p>
      <w:pPr>
        <w:spacing w:after="0" w:line="191" w:lineRule="exact"/>
        <w:rPr>
          <w:sz w:val="20"/>
          <w:szCs w:val="20"/>
          <w:color w:val="auto"/>
        </w:rPr>
      </w:pPr>
    </w:p>
    <w:p>
      <w:pPr>
        <w:ind w:left="640" w:hanging="632"/>
        <w:spacing w:after="0"/>
        <w:tabs>
          <w:tab w:leader="none" w:pos="640" w:val="left"/>
        </w:tabs>
        <w:numPr>
          <w:ilvl w:val="0"/>
          <w:numId w:val="138"/>
        </w:numPr>
        <w:rPr>
          <w:rFonts w:ascii="Arial" w:cs="Arial" w:eastAsia="Arial" w:hAnsi="Arial"/>
          <w:sz w:val="20"/>
          <w:szCs w:val="20"/>
          <w:color w:val="auto"/>
        </w:rPr>
      </w:pPr>
      <w:r>
        <w:rPr>
          <w:rFonts w:ascii="Arial" w:cs="Arial" w:eastAsia="Arial" w:hAnsi="Arial"/>
          <w:sz w:val="18"/>
          <w:szCs w:val="18"/>
          <w:b w:val="1"/>
          <w:bCs w:val="1"/>
          <w:u w:val="single" w:color="auto"/>
          <w:color w:val="auto"/>
        </w:rPr>
        <w:t>EVENTS OF DEFAULT</w:t>
      </w:r>
    </w:p>
    <w:p>
      <w:pPr>
        <w:spacing w:after="0" w:line="1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If any of the following events (each,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occur:</w:t>
      </w:r>
    </w:p>
    <w:p>
      <w:pPr>
        <w:spacing w:after="0" w:line="131" w:lineRule="exact"/>
        <w:rPr>
          <w:sz w:val="20"/>
          <w:szCs w:val="20"/>
          <w:color w:val="auto"/>
        </w:rPr>
      </w:pPr>
    </w:p>
    <w:p>
      <w:pPr>
        <w:ind w:right="260" w:firstLine="8"/>
        <w:spacing w:after="0" w:line="261" w:lineRule="auto"/>
        <w:tabs>
          <w:tab w:leader="none" w:pos="6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Issuer shall fail to pay any principal of the Note when and as the same shall become due and payable, whether at the due date thereof or at a date fixed for prepayment thereof or otherwise;</w:t>
      </w:r>
    </w:p>
    <w:p>
      <w:pPr>
        <w:spacing w:after="0" w:line="103" w:lineRule="exact"/>
        <w:rPr>
          <w:rFonts w:ascii="Arial" w:cs="Arial" w:eastAsia="Arial" w:hAnsi="Arial"/>
          <w:sz w:val="18"/>
          <w:szCs w:val="18"/>
          <w:color w:val="auto"/>
        </w:rPr>
      </w:pPr>
    </w:p>
    <w:p>
      <w:pPr>
        <w:jc w:val="both"/>
        <w:ind w:right="160" w:firstLine="8"/>
        <w:spacing w:after="0" w:line="248" w:lineRule="auto"/>
        <w:tabs>
          <w:tab w:leader="none" w:pos="64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Issuer shall fail to pay any interest on the Note, or any fee or any other amount (other than an amount referred to in clause (a) of this Section) payable under this Note, when and as the same shall become due and payable, and such failure shall continue unremedied for a period of two (2) or more Business Days;</w:t>
      </w:r>
    </w:p>
    <w:p>
      <w:pPr>
        <w:spacing w:after="0" w:line="100" w:lineRule="exact"/>
        <w:rPr>
          <w:rFonts w:ascii="Arial" w:cs="Arial" w:eastAsia="Arial" w:hAnsi="Arial"/>
          <w:sz w:val="18"/>
          <w:szCs w:val="18"/>
          <w:color w:val="auto"/>
        </w:rPr>
      </w:pPr>
    </w:p>
    <w:p>
      <w:pPr>
        <w:ind w:right="160" w:firstLine="8"/>
        <w:spacing w:after="0"/>
        <w:tabs>
          <w:tab w:leader="none" w:pos="6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Issuer or any Guarantor, including those made prior to the Closing Date, in or in connection with this Note or any amendment or modification hereof, or any waiver hereunder, or in the PSP3 Agreement, or in any report, certificate, financial statement or other document furnished pursuant to or in connection with this Note, the PSP3 Agreement or the PSP3 Application or any amendment or modification hereof or thereof, or any waiver hereunder or thereunder, shall prove to have been incorrect in any material respect (or, in the case of any such representation or warranty under this Note already qualified by materiality, such representation or warranty shall prove to have been incorrect) when made or deemed made;</w:t>
      </w:r>
    </w:p>
    <w:p>
      <w:pPr>
        <w:spacing w:after="0" w:line="121" w:lineRule="exact"/>
        <w:rPr>
          <w:rFonts w:ascii="Arial" w:cs="Arial" w:eastAsia="Arial" w:hAnsi="Arial"/>
          <w:sz w:val="18"/>
          <w:szCs w:val="18"/>
          <w:color w:val="auto"/>
        </w:rPr>
      </w:pPr>
    </w:p>
    <w:p>
      <w:pPr>
        <w:ind w:left="640" w:hanging="632"/>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Issuer shall fail to observe or perform any covenant, condition or agreement contained in Section 4.1;</w:t>
      </w:r>
    </w:p>
    <w:p>
      <w:pPr>
        <w:spacing w:after="0" w:line="144" w:lineRule="exact"/>
        <w:rPr>
          <w:rFonts w:ascii="Arial" w:cs="Arial" w:eastAsia="Arial" w:hAnsi="Arial"/>
          <w:sz w:val="18"/>
          <w:szCs w:val="18"/>
          <w:color w:val="auto"/>
        </w:rPr>
      </w:pPr>
    </w:p>
    <w:p>
      <w:pPr>
        <w:ind w:firstLine="8"/>
        <w:spacing w:after="0" w:line="248" w:lineRule="auto"/>
        <w:tabs>
          <w:tab w:leader="none" w:pos="6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Issuer or any Guarantor shall fail to observe or perform any covenant, condition or agreement contained in this Note (other than those specified in clause (a), (b) or (d) of this Section) and such failure shall continue unremedied for a period of 30 or more days after notice thereof by the Holder to the Issuer;</w:t>
      </w:r>
    </w:p>
    <w:p>
      <w:pPr>
        <w:spacing w:after="0" w:line="100" w:lineRule="exact"/>
        <w:rPr>
          <w:rFonts w:ascii="Arial" w:cs="Arial" w:eastAsia="Arial" w:hAnsi="Arial"/>
          <w:sz w:val="18"/>
          <w:szCs w:val="18"/>
          <w:color w:val="auto"/>
        </w:rPr>
      </w:pPr>
    </w:p>
    <w:p>
      <w:pPr>
        <w:ind w:right="20" w:firstLine="8"/>
        <w:spacing w:after="0" w:line="253" w:lineRule="auto"/>
        <w:tabs>
          <w:tab w:leader="none" w:pos="63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 the Issuer or any Guarantor shall default in the performance of any obligation relating to any Indebtedness (other than Indebtedness under the Note) having an aggregate principal amount equal to or greater than $260,000,000.00 (“</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and any applicable grace periods shall have expired and any applicable notice requirements shall have been complied with, and as a result of such default the holder or holders of such Material Indebtedness or any trustee or agent on behalf of such holder or holders shall have caused such Material Indebtedness to become due prior to its scheduled final maturity date or (ii) the Issuer or any Guarantor shall default in the payment of the outstanding principal amount due on the scheduled final maturity date of any Indebtedness outstanding under one or more agreements of the Issuer or any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or the applicable grace period thereunder, in an aggregate principal amount at any single time unpaid exceeding $260,000,000.00;</w:t>
      </w:r>
    </w:p>
    <w:p>
      <w:pPr>
        <w:spacing w:after="0" w:line="116" w:lineRule="exact"/>
        <w:rPr>
          <w:rFonts w:ascii="Arial" w:cs="Arial" w:eastAsia="Arial" w:hAnsi="Arial"/>
          <w:sz w:val="17"/>
          <w:szCs w:val="17"/>
          <w:color w:val="auto"/>
        </w:rPr>
      </w:pPr>
    </w:p>
    <w:p>
      <w:pPr>
        <w:jc w:val="both"/>
        <w:ind w:right="280" w:firstLine="8"/>
        <w:spacing w:after="0" w:line="241" w:lineRule="auto"/>
        <w:tabs>
          <w:tab w:leader="none" w:pos="64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Issuer, any Guarantor or any Subsidiary or its debts, or of a substantial part of its assets, under any Debtor Relief Law now or hereafter in effect or (ii) the appointment of a receiver, trustee, custodian, sequestrator, conservator or similar official for the Issuer or any of its Subsidiaries or for a substantial part of its assets, and, in any such case, such proceeding or petition shall continue undismissed for a period of 60 or more days or an order or decree approving or ordering any of the foregoing shall be entered;</w:t>
      </w:r>
    </w:p>
    <w:p>
      <w:pPr>
        <w:spacing w:after="0" w:line="121" w:lineRule="exact"/>
        <w:rPr>
          <w:rFonts w:ascii="Arial" w:cs="Arial" w:eastAsia="Arial" w:hAnsi="Arial"/>
          <w:sz w:val="18"/>
          <w:szCs w:val="18"/>
          <w:color w:val="auto"/>
        </w:rPr>
      </w:pPr>
    </w:p>
    <w:p>
      <w:pPr>
        <w:ind w:right="20" w:firstLine="8"/>
        <w:spacing w:after="0" w:line="262" w:lineRule="auto"/>
        <w:tabs>
          <w:tab w:leader="none" w:pos="64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Issuer, any Guarantor or any Subsidiary shall (i) voluntarily commence any proceeding or file any petition seeking liquidation, reorganization or other relief under any Debtor Relief Law now or hereafter in effect, (ii) consent to the institution of, or fail to contest in a timely and appropriate manner, any proceeding or petition described in clause (g) of this Section, (iii) apply for or consent to the appointment of a receiver, trustee, custodian, sequestrator, conservator or similar official for the Issuer, any Guarantor or any Subsidiary or for a substantial part of</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0" w:right="339" w:bottom="1440" w:gutter="0" w:footer="0" w:header="0"/>
        </w:sectPr>
      </w:pPr>
    </w:p>
    <w:bookmarkStart w:id="184" w:name="page185"/>
    <w:bookmarkEnd w:id="184"/>
    <w:p>
      <w:pPr>
        <w:ind w:right="80"/>
        <w:spacing w:after="0" w:line="261" w:lineRule="auto"/>
        <w:rPr>
          <w:sz w:val="20"/>
          <w:szCs w:val="20"/>
          <w:color w:val="auto"/>
        </w:rPr>
      </w:pPr>
      <w:r>
        <w:rPr>
          <w:rFonts w:ascii="Arial" w:cs="Arial" w:eastAsia="Arial" w:hAnsi="Arial"/>
          <w:sz w:val="18"/>
          <w:szCs w:val="18"/>
          <w:color w:val="auto"/>
        </w:rPr>
        <w:t>its assets, (iv) file an answer admitting the material allegations of a petition filed against it in any such proceeding or (v) make a general assignment for the benefit of creditors;</w:t>
      </w:r>
    </w:p>
    <w:p>
      <w:pPr>
        <w:spacing w:after="0" w:line="103"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Issuer, any Guarantor or any Subsidiary shall become unable, admit in writing its inability or fail generally to pay its debts as they become due;</w:t>
      </w:r>
    </w:p>
    <w:p>
      <w:pPr>
        <w:spacing w:after="0" w:line="167" w:lineRule="exact"/>
        <w:rPr>
          <w:rFonts w:ascii="Arial" w:cs="Arial" w:eastAsia="Arial" w:hAnsi="Arial"/>
          <w:sz w:val="16"/>
          <w:szCs w:val="16"/>
          <w:color w:val="auto"/>
        </w:rPr>
      </w:pPr>
    </w:p>
    <w:p>
      <w:pPr>
        <w:ind w:right="20" w:firstLine="8"/>
        <w:spacing w:after="0" w:line="276" w:lineRule="auto"/>
        <w:tabs>
          <w:tab w:leader="none" w:pos="64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there is entered against the Issuer, any Guarantor or any Subsidiary (i) a final judgment or order for the payment of money in an aggregate amount (as to all such judgments and orders) exceeding an amount equal to or greater than $260,000,000.00 (to the extent not covered by independent third-party insurance as to which the insurer has been notified of such judgment or order and has not denied or failed to acknowledge coverage), or (ii) a non-monetary final judgment or order that, either individually or in the aggregate, has or could reasonably be expected to have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80" w:lineRule="exact"/>
        <w:rPr>
          <w:rFonts w:ascii="Arial" w:cs="Arial" w:eastAsia="Arial" w:hAnsi="Arial"/>
          <w:sz w:val="16"/>
          <w:szCs w:val="16"/>
          <w:color w:val="auto"/>
        </w:rPr>
      </w:pPr>
    </w:p>
    <w:p>
      <w:pPr>
        <w:ind w:right="40" w:firstLine="8"/>
        <w:spacing w:after="0" w:line="243" w:lineRule="auto"/>
        <w:tabs>
          <w:tab w:leader="none" w:pos="64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material provision of the Note, at any time after its execution and delivery and for any reason other than as expressly permitted hereunder or satisfaction in full of all Obligations, ceases to be in full force and effect; or the Issuer, any Guarantor or any other Person contests in writing the validity or enforceability of any provision of the Note; or the Issuer or any Guarantor denies in writing that it has any or further liability or obligation under the Note, or purports in writing to revoke, terminate or rescind the Note;</w:t>
      </w:r>
    </w:p>
    <w:p>
      <w:pPr>
        <w:spacing w:after="0" w:line="12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then, and in every such event (other than an event with respect to the Issuer or any Guarantor described in clause (g) or (h) of this Section), and at any time thereafter during the continuance of such event, the Holder may, by notice to the Issuer, take any or all of the following actions, at the same or different times:</w:t>
      </w:r>
    </w:p>
    <w:p>
      <w:pPr>
        <w:spacing w:after="0" w:line="101" w:lineRule="exact"/>
        <w:rPr>
          <w:sz w:val="20"/>
          <w:szCs w:val="20"/>
          <w:color w:val="auto"/>
        </w:rPr>
      </w:pPr>
    </w:p>
    <w:p>
      <w:pPr>
        <w:ind w:right="120" w:firstLine="8"/>
        <w:spacing w:after="0" w:line="284" w:lineRule="auto"/>
        <w:tabs>
          <w:tab w:leader="none" w:pos="64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declare any amounts then outstanding under the Note to be due and payable in whole (or in part, in which case any principal not so declared to be due and payable may thereafter be declared to be due and payable), and thereupon the principal of the Note so declared to be due and payable, together with accrued interest thereon and all fees and other Obligations of the Issuer accrued hereunder, shall become due and payable immediately, without presentment, demand, protest or other notice of any kind, all of which are hereby waived by the Issuer and any Guarantor; and</w:t>
      </w:r>
    </w:p>
    <w:p>
      <w:pPr>
        <w:spacing w:after="0" w:line="87" w:lineRule="exact"/>
        <w:rPr>
          <w:rFonts w:ascii="Arial" w:cs="Arial" w:eastAsia="Arial" w:hAnsi="Arial"/>
          <w:sz w:val="16"/>
          <w:szCs w:val="16"/>
          <w:color w:val="auto"/>
        </w:rPr>
      </w:pPr>
    </w:p>
    <w:p>
      <w:pPr>
        <w:ind w:left="640" w:hanging="632"/>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exercise on all rights and remedies available to it under the Note and Applicable Law;</w:t>
      </w:r>
    </w:p>
    <w:p>
      <w:pPr>
        <w:spacing w:after="0" w:line="144"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any event with respect to the Issuer or any Guarantor described in clause (g) or (h) of this Section, the principal of the Note then outstanding, together with accrued interest thereon and all fees and other Obligations accrued hereunder, shall automatically become due and payable, in each case without presentment, demand, protest or other notice of any kind, all of which are hereby waived by the Issuer and any Guarantor.</w:t>
      </w:r>
    </w:p>
    <w:p>
      <w:pPr>
        <w:spacing w:after="0" w:line="76" w:lineRule="exact"/>
        <w:rPr>
          <w:sz w:val="20"/>
          <w:szCs w:val="20"/>
          <w:color w:val="auto"/>
        </w:rPr>
      </w:pPr>
    </w:p>
    <w:p>
      <w:pPr>
        <w:ind w:left="640" w:hanging="632"/>
        <w:spacing w:after="0"/>
        <w:tabs>
          <w:tab w:leader="none" w:pos="640" w:val="left"/>
        </w:tabs>
        <w:numPr>
          <w:ilvl w:val="0"/>
          <w:numId w:val="142"/>
        </w:numPr>
        <w:rPr>
          <w:rFonts w:ascii="Arial" w:cs="Arial" w:eastAsia="Arial" w:hAnsi="Arial"/>
          <w:sz w:val="20"/>
          <w:szCs w:val="20"/>
          <w:color w:val="auto"/>
        </w:rPr>
      </w:pPr>
      <w:r>
        <w:rPr>
          <w:rFonts w:ascii="Arial" w:cs="Arial" w:eastAsia="Arial" w:hAnsi="Arial"/>
          <w:sz w:val="18"/>
          <w:szCs w:val="18"/>
          <w:b w:val="1"/>
          <w:bCs w:val="1"/>
          <w:color w:val="auto"/>
        </w:rPr>
        <w:t>MISCELLANEOUS</w:t>
      </w:r>
    </w:p>
    <w:p>
      <w:pPr>
        <w:spacing w:after="0" w:line="1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44" w:lineRule="exact"/>
        <w:rPr>
          <w:sz w:val="20"/>
          <w:szCs w:val="20"/>
          <w:color w:val="auto"/>
        </w:rPr>
      </w:pPr>
    </w:p>
    <w:p>
      <w:pPr>
        <w:ind w:right="160" w:firstLine="8"/>
        <w:spacing w:after="0" w:line="248" w:lineRule="auto"/>
        <w:tabs>
          <w:tab w:leader="none" w:pos="64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email as follows:</w:t>
      </w:r>
    </w:p>
    <w:p>
      <w:pPr>
        <w:spacing w:after="0" w:line="101"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to the Issuer or any Guarantor, to 1 Skyview Drive, Fort Worth, Texas, 76155, Attention of Meghan B. Montana, Treasurer (Telephone No. ###;</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Email: ###);</w:t>
      </w:r>
    </w:p>
    <w:p>
      <w:pPr>
        <w:spacing w:after="0" w:line="128" w:lineRule="exact"/>
        <w:rPr>
          <w:rFonts w:ascii="Arial" w:cs="Arial" w:eastAsia="Arial" w:hAnsi="Arial"/>
          <w:sz w:val="16"/>
          <w:szCs w:val="16"/>
          <w:color w:val="auto"/>
        </w:rPr>
      </w:pPr>
    </w:p>
    <w:p>
      <w:pPr>
        <w:ind w:right="260" w:firstLine="8"/>
        <w:spacing w:after="0" w:line="261" w:lineRule="auto"/>
        <w:tabs>
          <w:tab w:leader="none" w:pos="63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to the Holder, to the Department of the Treasury at 1500 Pennsylvania Avenue, NW, Washington, D.C. 20220, Attention of Assistant General Counsel (Banking and Finance) (Telephone No. ###; Email: ###); and</w:t>
      </w:r>
    </w:p>
    <w:p>
      <w:pPr>
        <w:spacing w:after="0" w:line="103" w:lineRule="exact"/>
        <w:rPr>
          <w:sz w:val="20"/>
          <w:szCs w:val="20"/>
          <w:color w:val="auto"/>
        </w:rPr>
      </w:pPr>
    </w:p>
    <w:p>
      <w:pPr>
        <w:ind w:right="360"/>
        <w:spacing w:after="0" w:line="324" w:lineRule="auto"/>
        <w:rPr>
          <w:sz w:val="20"/>
          <w:szCs w:val="20"/>
          <w:color w:val="auto"/>
        </w:rPr>
      </w:pPr>
      <w:r>
        <w:rPr>
          <w:rFonts w:ascii="Arial" w:cs="Arial" w:eastAsia="Arial" w:hAnsi="Arial"/>
          <w:sz w:val="16"/>
          <w:szCs w:val="16"/>
          <w:color w:val="auto"/>
        </w:rPr>
        <w:t>Notices sent by hand or overnight courier service, or mailed by certified or registered mail, shall be deemed to have been given when received. Notices delivered through electronic communications, to the extent provided in paragraph (b) below, shall be effective as provided in said paragraph (b).</w:t>
      </w:r>
    </w:p>
    <w:p>
      <w:pPr>
        <w:spacing w:after="0" w:line="43" w:lineRule="exact"/>
        <w:rPr>
          <w:sz w:val="20"/>
          <w:szCs w:val="20"/>
          <w:color w:val="auto"/>
        </w:rPr>
      </w:pPr>
    </w:p>
    <w:p>
      <w:pPr>
        <w:ind w:right="200" w:firstLine="8"/>
        <w:spacing w:after="0" w:line="262" w:lineRule="auto"/>
        <w:tabs>
          <w:tab w:leader="none" w:pos="642"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Holder hereunder may be delivered or furnished by electronic communication (including e-mail, FpML, and Internet or intranet websites) pursuant to procedures approved by the Holder. The Holder, the Issuer or any Guarantor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30" w:right="339" w:bottom="1440" w:gutter="0" w:footer="0" w:header="0"/>
        </w:sectPr>
      </w:pPr>
    </w:p>
    <w:bookmarkStart w:id="185" w:name="page186"/>
    <w:bookmarkEnd w:id="185"/>
    <w:p>
      <w:pPr>
        <w:ind w:right="100"/>
        <w:spacing w:after="0" w:line="273" w:lineRule="auto"/>
        <w:rPr>
          <w:sz w:val="20"/>
          <w:szCs w:val="20"/>
          <w:color w:val="auto"/>
        </w:rPr>
      </w:pPr>
      <w:r>
        <w:rPr>
          <w:rFonts w:ascii="Arial" w:cs="Arial" w:eastAsia="Arial" w:hAnsi="Arial"/>
          <w:sz w:val="17"/>
          <w:szCs w:val="17"/>
          <w:color w:val="auto"/>
        </w:rPr>
        <w:t xml:space="preserve">Unless the Holder otherwise prescribes, (i) notices and other communications sent to an e-mail address shall be deemed received upon the sender’s receipt of an acknowledgement from the intended recipient (such as by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w:t>
      </w:r>
    </w:p>
    <w:p>
      <w:pPr>
        <w:spacing w:after="0" w:line="1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158" w:lineRule="exact"/>
        <w:rPr>
          <w:sz w:val="20"/>
          <w:szCs w:val="20"/>
          <w:color w:val="auto"/>
        </w:rPr>
      </w:pPr>
    </w:p>
    <w:p>
      <w:pPr>
        <w:ind w:right="120" w:firstLine="8"/>
        <w:spacing w:after="0" w:line="275" w:lineRule="auto"/>
        <w:tabs>
          <w:tab w:leader="none" w:pos="645"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No Waiver; Remedies Cumulative; Enforcement</w:t>
      </w:r>
      <w:r>
        <w:rPr>
          <w:rFonts w:ascii="Arial" w:cs="Arial" w:eastAsia="Arial" w:hAnsi="Arial"/>
          <w:sz w:val="17"/>
          <w:szCs w:val="17"/>
          <w:color w:val="auto"/>
        </w:rPr>
        <w:t>. No failure or delay by the Holder in exercising any right, remedy, power or privilege hereunder shall operate as a waiver thereof, nor shall any single or partial exercise of any such right, remedy, power or privilege, or any abandonment or discontinuance of steps to enforce such a right remedy, power or privilege, preclude any other or further exercise thereof or the exercise of any other right remedy, power or privilege. The rights, remedies, powers and privileges of the Holder hereunder and under the Note are cumulative and are not exclusive of any rights, remedies, powers or privileges that any such Person would otherwise have.</w:t>
      </w:r>
    </w:p>
    <w:p>
      <w:pPr>
        <w:spacing w:after="0" w:line="95" w:lineRule="exact"/>
        <w:rPr>
          <w:rFonts w:ascii="Arial" w:cs="Arial" w:eastAsia="Arial" w:hAnsi="Arial"/>
          <w:sz w:val="17"/>
          <w:szCs w:val="17"/>
          <w:color w:val="auto"/>
        </w:rPr>
      </w:pPr>
    </w:p>
    <w:p>
      <w:pPr>
        <w:jc w:val="both"/>
        <w:ind w:right="140" w:firstLine="8"/>
        <w:spacing w:after="0" w:line="263" w:lineRule="auto"/>
        <w:tabs>
          <w:tab w:leader="none" w:pos="64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Except as otherwise expressly set forth in this Note, no amendment or waiver of any provision of this Note, and no consent to any departure by the Issuer therefrom, shall be effective unless in writing executed by the Issuer and the Holder, and each such waiver or consent shall be effective only in the specific instance and for the specific purpose for which given.</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44" w:lineRule="exact"/>
        <w:rPr>
          <w:sz w:val="20"/>
          <w:szCs w:val="20"/>
          <w:color w:val="auto"/>
        </w:rPr>
      </w:pPr>
    </w:p>
    <w:p>
      <w:pPr>
        <w:ind w:right="40" w:firstLine="8"/>
        <w:spacing w:after="0" w:line="289" w:lineRule="auto"/>
        <w:tabs>
          <w:tab w:leader="none" w:pos="64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Issuer shall pay (i) all reasonable out-of-pocket expenses incurred by the Holder (including the reasonable fees, charges and disbursements of any counsel for the Holder) in connection with the preparation, negotiation, execution, delivery and administration of this Note and the PSP3 Agreement, any other agreements or documents executed in connection herewith or therewith, or any amendments, modifications or waivers of the provisions hereof or thereof (whether or not the transactions contemplated hereby or thereby shall be consummated), and (ii) all out-of-pocket expenses incurred by the Holder (including the fees, charges and disbursements of any counsel for the Holder), in connection with the enforcement or protection of its rights in connection with this Note and the PSP3 Agreement, any other agreements or documents executed in connection herewith or therewith, or any amendments, modifications or waivers of the provisions hereof or thereof (whether or not the transactions contemplated hereby or thereby shall be consummated), including all such out-of-pocket expenses incurred during any workout, restructuring, negotiations or enforcement in respect of such Note, PSP3 Agreement and other agreements or documents executed in connection herewith or therewith.</w:t>
      </w:r>
    </w:p>
    <w:p>
      <w:pPr>
        <w:spacing w:after="0" w:line="98" w:lineRule="exact"/>
        <w:rPr>
          <w:rFonts w:ascii="Arial" w:cs="Arial" w:eastAsia="Arial" w:hAnsi="Arial"/>
          <w:sz w:val="16"/>
          <w:szCs w:val="16"/>
          <w:color w:val="auto"/>
        </w:rPr>
      </w:pPr>
    </w:p>
    <w:p>
      <w:pPr>
        <w:ind w:left="640" w:hanging="632"/>
        <w:spacing w:after="0"/>
        <w:tabs>
          <w:tab w:leader="none" w:pos="64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Indemnification by the Issuer</w:t>
      </w:r>
      <w:r>
        <w:rPr>
          <w:rFonts w:ascii="Arial" w:cs="Arial" w:eastAsia="Arial" w:hAnsi="Arial"/>
          <w:sz w:val="17"/>
          <w:szCs w:val="17"/>
          <w:color w:val="auto"/>
        </w:rPr>
        <w:t>. The Issuer shall indemnify the Holder and each of its Related Parties (each such Person being called an</w:t>
      </w:r>
    </w:p>
    <w:p>
      <w:pPr>
        <w:spacing w:after="0" w:line="35"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obligations, penalties, fines, settlements, judgments, disbursements and related costs and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Issuer) arising out of, in connection with, or as a result of</w:t>
      </w:r>
    </w:p>
    <w:p>
      <w:pPr>
        <w:spacing w:after="0" w:line="2" w:lineRule="exact"/>
        <w:rPr>
          <w:sz w:val="20"/>
          <w:szCs w:val="20"/>
          <w:color w:val="auto"/>
        </w:rPr>
      </w:pPr>
    </w:p>
    <w:p>
      <w:pPr>
        <w:ind w:right="140" w:firstLine="8"/>
        <w:spacing w:after="0" w:line="281" w:lineRule="auto"/>
        <w:tabs>
          <w:tab w:leader="none" w:pos="21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execution or delivery of this Note or any agreement or instrument contemplated hereby, the performance by the Issuer or any Guarantor of its obligations hereunder or the consummation of the transactions contemplated hereby, (ii) the Note or the use or proposed use of the proceeds therefrom, or</w:t>
      </w:r>
    </w:p>
    <w:p>
      <w:pPr>
        <w:spacing w:after="0" w:line="1" w:lineRule="exact"/>
        <w:rPr>
          <w:rFonts w:ascii="Arial" w:cs="Arial" w:eastAsia="Arial" w:hAnsi="Arial"/>
          <w:sz w:val="16"/>
          <w:szCs w:val="16"/>
          <w:color w:val="auto"/>
        </w:rPr>
      </w:pPr>
    </w:p>
    <w:p>
      <w:pPr>
        <w:ind w:right="340" w:firstLine="8"/>
        <w:spacing w:after="0" w:line="290" w:lineRule="auto"/>
        <w:tabs>
          <w:tab w:leader="none" w:pos="31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any actual or prospective claim, litigation, investigation or proceeding relating to any of the foregoing, whether based on contract, tort or any other theory, whether brought by a third party or by the Issuer or any Guarantor, and regardless of whether any Indemnitee is a party thereto.</w:t>
      </w:r>
    </w:p>
    <w:p>
      <w:pPr>
        <w:spacing w:after="0" w:line="94" w:lineRule="exact"/>
        <w:rPr>
          <w:sz w:val="20"/>
          <w:szCs w:val="20"/>
          <w:color w:val="auto"/>
        </w:rPr>
      </w:pPr>
    </w:p>
    <w:p>
      <w:pPr>
        <w:ind w:firstLine="8"/>
        <w:spacing w:after="0" w:line="273" w:lineRule="auto"/>
        <w:tabs>
          <w:tab w:leader="none" w:pos="645"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the Issuer and any Guarantor shall not assert, and hereby waives, any claim against any Indemnitee, on any theory of liability, for special, indirect, consequential or punitive damages (as opposed to direct or actual damages) arising out of, in connection with, or as a result of, this Note or any agreement or instrument contemplated hereby, the transactions contemplated hereby,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Note or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30" w:right="359" w:bottom="1440" w:gutter="0" w:footer="0" w:header="0"/>
        </w:sectPr>
      </w:pPr>
    </w:p>
    <w:bookmarkStart w:id="186" w:name="page187"/>
    <w:bookmarkEnd w:id="186"/>
    <w:p>
      <w:pPr>
        <w:ind w:left="640" w:hanging="632"/>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five (5) days after demand therefor.</w:t>
      </w:r>
    </w:p>
    <w:p>
      <w:pPr>
        <w:spacing w:after="0" w:line="157" w:lineRule="exact"/>
        <w:rPr>
          <w:rFonts w:ascii="Arial" w:cs="Arial" w:eastAsia="Arial" w:hAnsi="Arial"/>
          <w:sz w:val="18"/>
          <w:szCs w:val="18"/>
          <w:color w:val="auto"/>
        </w:rPr>
      </w:pPr>
    </w:p>
    <w:p>
      <w:pPr>
        <w:ind w:left="660" w:hanging="652"/>
        <w:spacing w:after="0"/>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Each party’s obligations under this Section shall survive the termination of the Note and payment of the obligations hereunder.</w:t>
      </w:r>
    </w:p>
    <w:p>
      <w:pPr>
        <w:spacing w:after="0" w:line="16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Neither the Issuer nor any Guarantor may assign or transfer this Note or any of its rights or obligations hereunder and any purported assignment or transfer in violation of this Note shall be void. Holder may assign or participate a portion or all of its rights under this Note at any time in compliance with all Applicable Laws. This Note shall inure to the benefit of and be binding upon Issuer, any Guarantor and Holder and their permitted successors and assigns. Any Holder that assigns, or sells participations in, any portion of the Note will take such actions as are necessary for the Note and such portion to be in “registered form” (within the meaning of Treasury Regulations Section 5f.103-1).</w:t>
      </w:r>
    </w:p>
    <w:p>
      <w:pPr>
        <w:spacing w:after="0" w:line="9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This Note and any amendments, waivers, consents or supplements hereto may be executed in counterparts, each of which shall constitute an original, but all taken together shall constitute a single contract. This Note constitutes the entire contract between Issuer, any Guarantor and the Holder with respect to the subject matter hereof and supersede all previous agreements and understandings, oral or written, with respect thereto. Notwithstanding anything herein to the contrary, delivery of an executed counterpart of a signature page of this Note by electronic means shall be effective as delivery of a manually executed counterpart of this Note.</w:t>
      </w:r>
    </w:p>
    <w:p>
      <w:pPr>
        <w:spacing w:after="0" w:line="109"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the Holder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the Holder, to or for the credit or the account of the Issuer against any and all of the due and unpaid Obligations of the Issuer now or hereafter existing under this Note to the Holder, irrespective of whether or not the Holder shall have made any demand under this Note. The rights of the Holder under this Section are in addition to other rights and remedies (including other rights of setoff) that the Holder may have. The Holder agrees to notify the Issuer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 This Note will be governed by and construed in accordance with the federal law of the United States if and to the extent such law is applicable, and otherwise in accordance with the laws of the State of New York applicable to contracts made and to be performed entirely within such State. Each of the Issuer, any Guarantor and the Holder agrees (a) to submit to the exclusive jurisdiction and venue of the United States District Court for the District of Columbia for any civil action, suit or proceeding arising out of or relating to this Note or the transactions contemplated hereby, and (b) that notice may be served upon the Issuer, any Guarantor or the Holder at the applicable address in Section 6.1 hereof (or upon any Holder that is not Treasury at an address provided by such Holder to Issuer in writing). To the extent permitted by Applicable Law, each of the Issuer, any Guarantor and the Holder hereby unconditionally waives trial by jury in any civil legal action or proceeding relating to the Note or the transactions contemplated hereby.</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herein are for convenience of reference only, are not part of this Note and shall not affect the construction of, or be taken into consideration in interpreting, this Note.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30" w:right="359" w:bottom="1440" w:gutter="0" w:footer="0" w:header="0"/>
        </w:sectPr>
      </w:pPr>
    </w:p>
    <w:bookmarkStart w:id="187" w:name="page188"/>
    <w:bookmarkEnd w:id="187"/>
    <w:p>
      <w:pPr>
        <w:spacing w:after="0"/>
        <w:rPr>
          <w:sz w:val="20"/>
          <w:szCs w:val="20"/>
          <w:color w:val="auto"/>
        </w:rPr>
      </w:pPr>
      <w:r>
        <w:rPr>
          <w:rFonts w:ascii="Arial" w:cs="Arial" w:eastAsia="Arial" w:hAnsi="Arial"/>
          <w:sz w:val="16"/>
          <w:szCs w:val="16"/>
          <w:color w:val="auto"/>
        </w:rPr>
        <w:t>IN WITNESS WHEREOF, the Issuer and each Guarantor have executed this Note as of the day and year written below.</w:t>
      </w:r>
    </w:p>
    <w:p>
      <w:pPr>
        <w:sectPr>
          <w:pgSz w:w="11900" w:h="16838" w:orient="portrait"/>
          <w:cols w:equalWidth="0" w:num="1">
            <w:col w:w="10139"/>
          </w:cols>
          <w:pgMar w:left="320" w:top="1030"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 Issuer</w:t>
      </w: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Meghan B. Montana</w:t>
      </w:r>
      <w:r>
        <w:rPr>
          <w:rFonts w:ascii="Arial" w:cs="Arial" w:eastAsia="Arial" w:hAnsi="Arial"/>
          <w:sz w:val="16"/>
          <w:szCs w:val="16"/>
          <w:color w:val="auto"/>
        </w:rPr>
        <w:t>______________</w:t>
      </w:r>
    </w:p>
    <w:p>
      <w:pPr>
        <w:spacing w:after="0" w:line="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Meghan B. Montana</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Vice President and Treasurer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Date: April 23, 2021</w:t>
      </w: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 Guarantor</w:t>
      </w: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Meghan B. Montana</w:t>
      </w:r>
      <w:r>
        <w:rPr>
          <w:rFonts w:ascii="Arial" w:cs="Arial" w:eastAsia="Arial" w:hAnsi="Arial"/>
          <w:sz w:val="16"/>
          <w:szCs w:val="16"/>
          <w:color w:val="auto"/>
        </w:rPr>
        <w:t>______________</w:t>
      </w:r>
    </w:p>
    <w:p>
      <w:pPr>
        <w:spacing w:after="0" w:line="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Meghan B. Montana</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Vice President and Treasurer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Date: April 23, 2021</w:t>
      </w:r>
    </w:p>
    <w:p>
      <w:pPr>
        <w:spacing w:after="0" w:line="200" w:lineRule="exact"/>
        <w:rPr>
          <w:sz w:val="20"/>
          <w:szCs w:val="20"/>
          <w:color w:val="auto"/>
        </w:rPr>
      </w:pP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ENVOY AIR INC.,</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 Guarantor</w:t>
      </w: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Meghan B. Montana</w:t>
      </w:r>
      <w:r>
        <w:rPr>
          <w:rFonts w:ascii="Arial" w:cs="Arial" w:eastAsia="Arial" w:hAnsi="Arial"/>
          <w:sz w:val="16"/>
          <w:szCs w:val="16"/>
          <w:color w:val="auto"/>
        </w:rPr>
        <w:t>______________</w:t>
      </w:r>
    </w:p>
    <w:p>
      <w:pPr>
        <w:spacing w:after="0" w:line="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Meghan B. Montana</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Treasurer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Date: April 23, 2021</w:t>
      </w: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PIEDMONT AIRLINES, INC.,</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 Guarantor</w:t>
      </w:r>
    </w:p>
    <w:p>
      <w:pPr>
        <w:spacing w:after="0" w:line="200" w:lineRule="exact"/>
        <w:rPr>
          <w:sz w:val="20"/>
          <w:szCs w:val="20"/>
          <w:color w:val="auto"/>
        </w:rPr>
      </w:pP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Eric H. Morgan_____</w:t>
      </w:r>
      <w:r>
        <w:rPr>
          <w:rFonts w:ascii="Arial" w:cs="Arial" w:eastAsia="Arial" w:hAnsi="Arial"/>
          <w:sz w:val="16"/>
          <w:szCs w:val="16"/>
          <w:color w:val="auto"/>
        </w:rPr>
        <w:t>_____________</w:t>
      </w:r>
    </w:p>
    <w:p>
      <w:pPr>
        <w:spacing w:after="0" w:line="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Eric H. Morgan</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Chief Executive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Date: April 23, 2021</w:t>
      </w: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PSA AIRLINES, INC.,</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 Guarantor</w:t>
      </w:r>
    </w:p>
    <w:p>
      <w:pPr>
        <w:spacing w:after="0" w:line="200" w:lineRule="exact"/>
        <w:rPr>
          <w:sz w:val="20"/>
          <w:szCs w:val="20"/>
          <w:color w:val="auto"/>
        </w:rPr>
      </w:pPr>
    </w:p>
    <w:p>
      <w:pPr>
        <w:spacing w:after="0" w:line="3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By_</w:t>
      </w:r>
      <w:r>
        <w:rPr>
          <w:rFonts w:ascii="Arial" w:cs="Arial" w:eastAsia="Arial" w:hAnsi="Arial"/>
          <w:sz w:val="16"/>
          <w:szCs w:val="16"/>
          <w:u w:val="single" w:color="auto"/>
          <w:color w:val="auto"/>
        </w:rPr>
        <w:t>/s/ Dion J. Flannery___</w:t>
      </w:r>
      <w:r>
        <w:rPr>
          <w:rFonts w:ascii="Arial" w:cs="Arial" w:eastAsia="Arial" w:hAnsi="Arial"/>
          <w:sz w:val="16"/>
          <w:szCs w:val="16"/>
          <w:color w:val="auto"/>
        </w:rPr>
        <w:t>______________</w:t>
      </w:r>
    </w:p>
    <w:p>
      <w:pPr>
        <w:spacing w:after="0" w:line="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Dion J. Flannery</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President</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Date: April 23, 2021</w:t>
      </w:r>
    </w:p>
    <w:p>
      <w:pPr>
        <w:sectPr>
          <w:pgSz w:w="11900" w:h="16838" w:orient="portrait"/>
          <w:cols w:equalWidth="0" w:num="1">
            <w:col w:w="10139"/>
          </w:cols>
          <w:pgMar w:left="320" w:top="1030" w:right="1440" w:bottom="1440" w:gutter="0" w:footer="0" w:header="0"/>
          <w:type w:val="continuous"/>
        </w:sectPr>
      </w:pPr>
    </w:p>
    <w:bookmarkStart w:id="188" w:name="page189"/>
    <w:bookmarkEnd w:id="188"/>
    <w:p>
      <w:pPr>
        <w:ind w:left="5220"/>
        <w:spacing w:after="0"/>
        <w:rPr>
          <w:sz w:val="20"/>
          <w:szCs w:val="20"/>
          <w:color w:val="auto"/>
        </w:rPr>
      </w:pPr>
      <w:r>
        <w:rPr>
          <w:rFonts w:ascii="Arial" w:cs="Arial" w:eastAsia="Arial" w:hAnsi="Arial"/>
          <w:sz w:val="18"/>
          <w:szCs w:val="18"/>
          <w:b w:val="1"/>
          <w:bCs w:val="1"/>
          <w:color w:val="auto"/>
        </w:rPr>
        <w:t>ANNEX A</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DEFINITIONS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the Issuer.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any Person, all applicable Laws binding upon such Person or to which such a Person is subject.</w:t>
      </w:r>
    </w:p>
    <w:p>
      <w:pPr>
        <w:spacing w:after="0" w:line="14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SOFR Rate</w:t>
      </w:r>
      <w:r>
        <w:rPr>
          <w:rFonts w:ascii="Arial" w:cs="Arial" w:eastAsia="Arial" w:hAnsi="Arial"/>
          <w:sz w:val="18"/>
          <w:szCs w:val="18"/>
          <w:color w:val="auto"/>
        </w:rPr>
        <w:t>” means a rate of interest based on SOFR that shall be determined by the Holder and publicly announced by the Holder on or prior to the fifth anniversary of the Closing Date and shall, to the extent reasonably practicable, be based on customary market conventions as in effect at the time of such announcement. In no event will the Applicable SOFR Rate be less than 0.00% per annum.</w:t>
      </w:r>
    </w:p>
    <w:p>
      <w:pPr>
        <w:spacing w:after="0" w:line="10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ARRC Fallback Provisions</w:t>
      </w:r>
      <w:r>
        <w:rPr>
          <w:rFonts w:ascii="Arial" w:cs="Arial" w:eastAsia="Arial" w:hAnsi="Arial"/>
          <w:sz w:val="18"/>
          <w:szCs w:val="18"/>
          <w:color w:val="auto"/>
        </w:rPr>
        <w:t>” means the Fallback Language for New Issuances of LIBOR Floating Rate Notes set forth in the ARRC Recommendations Regarding More Robust Fallback Language for New Issuances of LIBOR Floating Rate Notes, dated April 25, 2019.</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ASU</w:t>
      </w:r>
      <w:r>
        <w:rPr>
          <w:rFonts w:ascii="Arial" w:cs="Arial" w:eastAsia="Arial" w:hAnsi="Arial"/>
          <w:sz w:val="16"/>
          <w:szCs w:val="16"/>
          <w:color w:val="auto"/>
        </w:rPr>
        <w:t>” means the Accounting Standards Update 2016-02, Leases (Topic 842) by the Financial Accounting Standards Board issued on February 25, 2016.</w:t>
      </w:r>
    </w:p>
    <w:p>
      <w:pPr>
        <w:spacing w:after="0" w:line="23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w:t>
      </w:r>
      <w:r>
        <w:rPr>
          <w:rFonts w:ascii="Arial" w:cs="Arial" w:eastAsia="Arial" w:hAnsi="Arial"/>
          <w:sz w:val="17"/>
          <w:szCs w:val="17"/>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 “</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on which Treasury and the Federal Reserve Bank of New York are both open for business.</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 Obligations</w:t>
      </w:r>
      <w:r>
        <w:rPr>
          <w:rFonts w:ascii="Arial" w:cs="Arial" w:eastAsia="Arial" w:hAnsi="Arial"/>
          <w:sz w:val="16"/>
          <w:szCs w:val="16"/>
          <w:color w:val="auto"/>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leases of such Person that are or would have been treated as operating leases for purposes of GAAP prior to the issuance of the ASU shall continue to be accounted for as operating leases for purposes of all financial definitions and calculations for purposes of this Note (whether or not such operating lease obligations were in effect on such date) notwithstanding the fact that such obligations are required in accordance with the ASU (on a prospective or retroactive basis or otherwise) to be treated as capitalized lease obligations for other purposes.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Leases</w:t>
      </w:r>
      <w:r>
        <w:rPr>
          <w:rFonts w:ascii="Arial" w:cs="Arial" w:eastAsia="Arial" w:hAnsi="Arial"/>
          <w:sz w:val="16"/>
          <w:szCs w:val="16"/>
          <w:color w:val="auto"/>
        </w:rPr>
        <w:t xml:space="preserve">” means all leases that have been or should be, in accordance with GAAP as in effect on the Closing Date, recorded as capitalized leases;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all purposes hereunder the amount of obligations under any Capitalized Lease shall be the amount thereof accounted for as a liability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all leases of such Person that are or would have been treated as operating leases for purposes of GAAP prior to the issuance of the ASU shall continue to be accounted for as operating leases for purposes of all financial definitions and calculations for purposes of this Note (whether or not such operating lease obligations were in effect on such date) notwithstanding the fact that such obligations are required in accordance with the ASU (on a prospective or retroactive basis or otherwise) to be treated as capitalized lease obligations for other purposes.</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(a) the sale, lease, transfer, conveyance or other disposition (other than by way of merger or consolidation), in one or a series of related transactions, of all or substantially all of the properties or assets of the Issuer and its Subsidiaries, or if the Issuer is a Subsidiary of any Guarantor, such Guarantor (the “</w:t>
      </w:r>
      <w:r>
        <w:rPr>
          <w:rFonts w:ascii="Arial" w:cs="Arial" w:eastAsia="Arial" w:hAnsi="Arial"/>
          <w:sz w:val="16"/>
          <w:szCs w:val="16"/>
          <w:u w:val="single" w:color="auto"/>
          <w:color w:val="auto"/>
        </w:rPr>
        <w:t>Parent Guarantor</w:t>
      </w:r>
      <w:r>
        <w:rPr>
          <w:rFonts w:ascii="Arial" w:cs="Arial" w:eastAsia="Arial" w:hAnsi="Arial"/>
          <w:sz w:val="16"/>
          <w:szCs w:val="16"/>
          <w:color w:val="auto"/>
        </w:rPr>
        <w:t>”) and its Subsidiaries, taken as a whole to any Person (including any “person” (as that term is used in Section 13(d)(3) of the Exchange Act)); or (b) the consummation of any transaction (including, without limitation, any merger or consolidation), the result of which is that any Person (including any “person” (as defined above)) becomes the Beneficial Owner, directly or indirectly, of more than 50% of the Voting Stock of the Issuer or Parent Guarantor, as applicable, (measured by voting power rather than number of shares), other than (i) any such transaction where the Voting Stock of the Issuer or Parent Guarantor, as applicable, (measured by voting power rather than number of shares) outstanding immediately prior to such transaction constitutes or is converted into or exchanged for at least a majority of the outstanding shares of the Voting Stock of such Beneficial Owner (measured by voting power rather than number of shares), or (ii) any merger or consolidation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1240"/>
          </w:cols>
          <w:pgMar w:left="320" w:top="1026" w:right="339" w:bottom="1440" w:gutter="0" w:footer="0" w:header="0"/>
        </w:sectPr>
      </w:pPr>
    </w:p>
    <w:bookmarkStart w:id="189" w:name="page190"/>
    <w:bookmarkEnd w:id="189"/>
    <w:p>
      <w:pPr>
        <w:ind w:right="100"/>
        <w:spacing w:after="0" w:line="262" w:lineRule="auto"/>
        <w:rPr>
          <w:sz w:val="20"/>
          <w:szCs w:val="20"/>
          <w:color w:val="auto"/>
        </w:rPr>
      </w:pPr>
      <w:r>
        <w:rPr>
          <w:rFonts w:ascii="Arial" w:cs="Arial" w:eastAsia="Arial" w:hAnsi="Arial"/>
          <w:sz w:val="17"/>
          <w:szCs w:val="17"/>
          <w:color w:val="auto"/>
        </w:rPr>
        <w:t>of the Issuer or Parent Guarantor, as applicable, with or into any Person (including any “person” (as defined above)) which owns or operates (directly or indirectly through a contractual arrangement) a Permitted Business (a “</w:t>
      </w:r>
      <w:r>
        <w:rPr>
          <w:rFonts w:ascii="Arial" w:cs="Arial" w:eastAsia="Arial" w:hAnsi="Arial"/>
          <w:sz w:val="17"/>
          <w:szCs w:val="17"/>
          <w:u w:val="single" w:color="auto"/>
          <w:color w:val="auto"/>
        </w:rPr>
        <w:t>Permitted Person</w:t>
      </w:r>
      <w:r>
        <w:rPr>
          <w:rFonts w:ascii="Arial" w:cs="Arial" w:eastAsia="Arial" w:hAnsi="Arial"/>
          <w:sz w:val="17"/>
          <w:szCs w:val="17"/>
          <w:color w:val="auto"/>
        </w:rPr>
        <w:t>”)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set forth on the Issuer’s and each Guarantor’s signature page to this Note.</w:t>
      </w:r>
    </w:p>
    <w:p>
      <w:pPr>
        <w:spacing w:after="0" w:line="144"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90"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analogous thereto.</w:t>
      </w:r>
    </w:p>
    <w:p>
      <w:pPr>
        <w:spacing w:after="0" w:line="7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0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(before as well as after judgment) equal to the interest rate on the Note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2.00% per annum.</w:t>
      </w:r>
    </w:p>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w:t>
      </w:r>
      <w:r>
        <w:rPr>
          <w:rFonts w:ascii="Arial" w:cs="Arial" w:eastAsia="Arial" w:hAnsi="Arial"/>
          <w:sz w:val="16"/>
          <w:szCs w:val="16"/>
          <w:color w:val="auto"/>
        </w:rPr>
        <w:t xml:space="preserve">” means any equity interest that, by its terms (or the terms of any security or other equity interests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Note and all other Obligations that are accrued and payable), (b) is redeemable at the option of the holder thereof, in whole or in part, (c) provides for scheduled payments of dividends in cash, or (d) is or becomes convertible into or exchangeable for Indebtedness or any other equity interests that would constitute Disqualified Equity Interests, in each case, prior to the date that is ninety-one days after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equity interests are issued pursuant to a plan for the benefit of employees of the Issuer or any Subsidiary or by any such plan to such employees, such equity interests shall not constitute Disqualified Equity Interests solely because they may be required to be repurchased by the Issuer or its Subsidiaries in order to satisfy applicable statutory or regulatory obligations or as a result of such employee’s termination, death or disability.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198"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any Subsidiary of the Issuer that is not an obligor in respect of any Material Indebtedness that is unsecured of the Issuer or any of its Subsidiaries, unless such Subsidiary is required to be an obligor under any agreement, instrument or other document relating to any Material Indebtedness that is unsecured of the Issuer or any of its Subsidiaries.</w:t>
      </w:r>
    </w:p>
    <w:p>
      <w:pPr>
        <w:spacing w:after="0" w:line="11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as in effect as of the date of determination thereof.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Capitalized Lease Obligations shall be determined in accordance with the definition of Capitalized Lease Obligations.</w:t>
      </w:r>
    </w:p>
    <w:p>
      <w:pPr>
        <w:spacing w:after="0" w:line="10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A-2</w:t>
      </w:r>
    </w:p>
    <w:p>
      <w:pPr>
        <w:sectPr>
          <w:pgSz w:w="11900" w:h="16838" w:orient="portrait"/>
          <w:cols w:equalWidth="0" w:num="1">
            <w:col w:w="11240"/>
          </w:cols>
          <w:pgMar w:left="320" w:top="1030"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functions of or pertaining to government (including any supra-national bodies such as the European Union or the European Central Bank).</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provided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has the meaning specified in Annex B.</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each Guarantor listed on the signature page to this Note and any other Person that Guarantees this Note.</w:t>
      </w:r>
    </w:p>
    <w:p>
      <w:pPr>
        <w:spacing w:after="0" w:line="212"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United States Department of the Treasury or its designees or any other Person that shall have rights pursuant to an assignment hereunder.</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as to any Person at a particular time, without duplication, all of the following, whether or not included as indebtedness or liabilities in accordance with GAAP: (a) all obligations of such Person for borrowed money and all obligations of such Person evidenced by bonds, debentures, notes, loan agreements or other similar instruments; (b) all direct or contingent obligations of such Person arising under (i) letters of credit (including standby and commercial), bankers’ acceptances and bank guaranties and (ii) surety bonds, performance bonds and similar instruments issued or created by or for the account of such Person; (c) net obligations of such Person under any swap contract; (d) all obligations of such Person to pay the deferred purchase price of property or services (other than trade accounts payable in the ordinary course of business); (e)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(f) attributable indebtedness in respect of any Capitalized Lease Obligation and any synthetic lease obligation of any Person; (g) all obligations of such Person in respect of Disqualified Equity Interests; and (h) all Guarantees of such Person in respect of any of the foregoing.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Indebtedness of any Person for purposes of clause (e) that is expressly made non-recourse or limited-recourse (limited solely to the assets securing such Indebtedness) to such Person shall be deemed to be equal to the lesser of (i) the aggregate principal amount of such Indebtedness and (ii) the fair market value of the property encumbered thereby as determined by such Person in good faith.</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specified in Section 6.3(b).</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has the meaning specified in the preamble to this Note.</w:t>
      </w:r>
    </w:p>
    <w:p>
      <w:pPr>
        <w:spacing w:after="0" w:line="14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A-3</w:t>
      </w:r>
    </w:p>
    <w:p>
      <w:pPr>
        <w:sectPr>
          <w:pgSz w:w="11900" w:h="16838" w:orient="portrait"/>
          <w:cols w:equalWidth="0" w:num="1">
            <w:col w:w="11240"/>
          </w:cols>
          <w:pgMar w:left="320" w:top="1030" w:right="339" w:bottom="1440" w:gutter="0" w:footer="0" w:header="0"/>
        </w:sectPr>
      </w:pPr>
    </w:p>
    <w:bookmarkStart w:id="191" w:name="page192"/>
    <w:bookmarkEnd w:id="191"/>
    <w:p>
      <w:pPr>
        <w:ind w:right="38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collateral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2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change in, or a material adverse effect on, the operations, business, properties, liabilities (actual or contingent), condition (financial or otherwise) or prospects of the Issuer and its Subsidiaries taken as a whole; or (b) a material adverse effect on (i) the ability of the Issuer or any Guarantor to perform its Obligations, (ii) the legality, validity, binding effect or enforceability against the Issuer or any Guarantors of the Note or (iii) the rights, remedies and benefits available to, or conferred upon, the Holder under the Note.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has the meaning specified in Section 5.1(f).</w:t>
      </w:r>
    </w:p>
    <w:p>
      <w:pPr>
        <w:spacing w:after="0" w:line="1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date that is ten years after the Closing Date (except that, if such date is not a Business Day, the Maturity Date shall be the next preceding Business Day).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has the meaning specified in the preamble to this Note.</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advances to, and debts, liabilities, obligations, covenants and duties of, the Issuer arising under or otherwise with respect to the Note, whether direct or indirect (including those acquired by assumption), absolute or contingent, due or to become due, now existing or hereafter arising and including interest and fees that accrue after the commencement by or against the Issuer or any Affiliate thereof of any proceeding under any Debtor Relief Laws naming such Person as the debtor in such proceeding, regardless of whether such interest and fees are allowed claims in such proceeding. Without limiting the foregoing, the Obligations include (a) the obligation to pay principal, interest, charges, expenses, fees, indemnities and other amounts payable by the Issuer under the Note and (b) the obligation of the Issuer to reimburse any amount in respect of any of the foregoing that the Holder, in each case in its sole discretion, may elect to pay or advance on behalf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Obligee Guarantor</w:t>
      </w:r>
      <w:r>
        <w:rPr>
          <w:rFonts w:ascii="Arial" w:cs="Arial" w:eastAsia="Arial" w:hAnsi="Arial"/>
          <w:sz w:val="18"/>
          <w:szCs w:val="18"/>
          <w:color w:val="auto"/>
        </w:rPr>
        <w:t>” has the meaning specified in Annex B.</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means (a) as to any corporation, the charter or certificate or articles of incorporation and the bylaws (or equivalent or comparable constitutive documents with respect to any non-U.S. jurisdiction), (b) as to any limited liability company, the certificate or articles of formation or organization and operating or limited liability agreement and (c) as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Business</w:t>
      </w:r>
      <w:r>
        <w:rPr>
          <w:rFonts w:ascii="Arial" w:cs="Arial" w:eastAsia="Arial" w:hAnsi="Arial"/>
          <w:sz w:val="18"/>
          <w:szCs w:val="18"/>
          <w:color w:val="auto"/>
        </w:rPr>
        <w:t>” means any business that is the same as, or reasonably related, ancillary, supportive or complementary to, the business in which the Issuer and its Subsidiaries are engaged on the date of this Note.</w:t>
      </w:r>
    </w:p>
    <w:p>
      <w:pPr>
        <w:spacing w:after="0" w:line="15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Amount</w:t>
      </w:r>
      <w:r>
        <w:rPr>
          <w:rFonts w:ascii="Arial" w:cs="Arial" w:eastAsia="Arial" w:hAnsi="Arial"/>
          <w:sz w:val="18"/>
          <w:szCs w:val="18"/>
          <w:color w:val="auto"/>
        </w:rPr>
        <w:t>” has the meaning specified in the preamble to this Note.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PSP3 Extension Law</w:t>
      </w:r>
      <w:r>
        <w:rPr>
          <w:rFonts w:ascii="Arial" w:cs="Arial" w:eastAsia="Arial" w:hAnsi="Arial"/>
          <w:sz w:val="18"/>
          <w:szCs w:val="18"/>
          <w:color w:val="auto"/>
        </w:rPr>
        <w:t>” has the meaning specified in the preamble to this Note.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PSP3 Agreement</w:t>
      </w:r>
      <w:r>
        <w:rPr>
          <w:rFonts w:ascii="Arial" w:cs="Arial" w:eastAsia="Arial" w:hAnsi="Arial"/>
          <w:sz w:val="18"/>
          <w:szCs w:val="18"/>
          <w:color w:val="auto"/>
        </w:rPr>
        <w:t>” has the meaning specified in the preamble to this Note.</w:t>
      </w:r>
    </w:p>
    <w:p>
      <w:pPr>
        <w:spacing w:after="0" w:line="13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PSP3 Application</w:t>
      </w:r>
      <w:r>
        <w:rPr>
          <w:rFonts w:ascii="Arial" w:cs="Arial" w:eastAsia="Arial" w:hAnsi="Arial"/>
          <w:sz w:val="18"/>
          <w:szCs w:val="18"/>
          <w:color w:val="auto"/>
        </w:rPr>
        <w:t>” means the application form and any related materials submitted by the Issuer to Treasury in connection with an application for financial assistance under Section 7301 of the PSP3 Extension Law.</w:t>
      </w:r>
    </w:p>
    <w:p>
      <w:pPr>
        <w:spacing w:after="0" w:line="10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agents, advisors and representatives of such Person and of such Person’s Affiliates.</w:t>
      </w:r>
    </w:p>
    <w:p>
      <w:pPr>
        <w:spacing w:after="0" w:line="10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the secured overnight financing rate published by the Federal Reserve Bank of New York, as administrator of the benchmark (or a successor administrator) on the Federal Reserve Bank of New York’s (or such successor’s) website.</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association or joint venture or other business entity of which a majority of the equity interests having ordinary voting power for the election 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A-4</w:t>
      </w:r>
    </w:p>
    <w:p>
      <w:pPr>
        <w:sectPr>
          <w:pgSz w:w="11900" w:h="16838" w:orient="portrait"/>
          <w:cols w:equalWidth="0" w:num="1">
            <w:col w:w="11200"/>
          </w:cols>
          <w:pgMar w:left="320" w:top="1030" w:right="379" w:bottom="1440" w:gutter="0" w:footer="0" w:header="0"/>
        </w:sectPr>
      </w:pPr>
    </w:p>
    <w:bookmarkStart w:id="192" w:name="page193"/>
    <w:bookmarkEnd w:id="192"/>
    <w:p>
      <w:pPr>
        <w:spacing w:after="0" w:line="263" w:lineRule="auto"/>
        <w:rPr>
          <w:sz w:val="20"/>
          <w:szCs w:val="20"/>
          <w:color w:val="auto"/>
        </w:rPr>
      </w:pPr>
      <w:r>
        <w:rPr>
          <w:rFonts w:ascii="Arial" w:cs="Arial" w:eastAsia="Arial" w:hAnsi="Arial"/>
          <w:sz w:val="18"/>
          <w:szCs w:val="18"/>
          <w:color w:val="auto"/>
        </w:rPr>
        <w:t>directors or other governing body (other than securities or interests having such power only by reason of the happening of a contingency) are at the time owned or the management of which is Controlled, directly, or indirectly through one or more intermediaries, by such Person. Unless otherwise specified, all references herein to a “Subsidiary” or to “Subsidiaries” shall refer to a Subsidiary or Subsidiaries of the Issuer.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w:t>
      </w:r>
      <w:r>
        <w:rPr>
          <w:rFonts w:ascii="Arial" w:cs="Arial" w:eastAsia="Arial" w:hAnsi="Arial"/>
          <w:sz w:val="18"/>
          <w:szCs w:val="18"/>
          <w:color w:val="auto"/>
        </w:rPr>
        <w:t>” has the meaning specified in the preamble to this Note.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specified Person as of any date means the equity interests of such Person that is at the time entitled to vote in the election of the board of directors of such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A-5</w:t>
      </w:r>
    </w:p>
    <w:p>
      <w:pPr>
        <w:sectPr>
          <w:pgSz w:w="11900" w:h="16838" w:orient="portrait"/>
          <w:cols w:equalWidth="0" w:num="1">
            <w:col w:w="11240"/>
          </w:cols>
          <w:pgMar w:left="320" w:top="1030" w:right="339" w:bottom="1440" w:gutter="0" w:footer="0" w:header="0"/>
        </w:sectPr>
      </w:pPr>
    </w:p>
    <w:bookmarkStart w:id="193" w:name="page194"/>
    <w:bookmarkEnd w:id="193"/>
    <w:p>
      <w:pPr>
        <w:jc w:val="center"/>
        <w:ind w:right="-11"/>
        <w:spacing w:after="0"/>
        <w:rPr>
          <w:sz w:val="20"/>
          <w:szCs w:val="20"/>
          <w:color w:val="auto"/>
        </w:rPr>
      </w:pPr>
      <w:r>
        <w:rPr>
          <w:rFonts w:ascii="Arial" w:cs="Arial" w:eastAsia="Arial" w:hAnsi="Arial"/>
          <w:sz w:val="18"/>
          <w:szCs w:val="18"/>
          <w:b w:val="1"/>
          <w:bCs w:val="1"/>
          <w:color w:val="auto"/>
        </w:rPr>
        <w:t>ANNEX B</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GUARANTEE</w:t>
      </w:r>
    </w:p>
    <w:p>
      <w:pPr>
        <w:spacing w:after="0" w:line="158" w:lineRule="exact"/>
        <w:rPr>
          <w:sz w:val="20"/>
          <w:szCs w:val="20"/>
          <w:color w:val="auto"/>
        </w:rPr>
      </w:pPr>
    </w:p>
    <w:p>
      <w:pPr>
        <w:ind w:left="-8" w:right="60" w:firstLine="8"/>
        <w:spacing w:after="0" w:line="284" w:lineRule="auto"/>
        <w:tabs>
          <w:tab w:leader="none" w:pos="307"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Guarantee of the Obligations</w:t>
      </w:r>
      <w:r>
        <w:rPr>
          <w:rFonts w:ascii="Arial" w:cs="Arial" w:eastAsia="Arial" w:hAnsi="Arial"/>
          <w:sz w:val="16"/>
          <w:szCs w:val="16"/>
          <w:color w:val="auto"/>
        </w:rPr>
        <w:t>. Each Guarantor jointly and severally hereby irrevocably and unconditionally guarantees to the Holder, the due and punctual payment in full of all Obligations (or such lesser amount as agreed by the Holder in its sole discretion)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left="-8" w:right="60" w:firstLine="8"/>
        <w:spacing w:after="0" w:line="272" w:lineRule="auto"/>
        <w:tabs>
          <w:tab w:leader="none" w:pos="307"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Payment by a Guarantor</w:t>
      </w:r>
      <w:r>
        <w:rPr>
          <w:rFonts w:ascii="Arial" w:cs="Arial" w:eastAsia="Arial" w:hAnsi="Arial"/>
          <w:sz w:val="16"/>
          <w:szCs w:val="16"/>
          <w:color w:val="auto"/>
        </w:rPr>
        <w:t>. Each Guarantor hereby jointly and severally agrees, in furtherance of the foregoing and not in limitation of any other right which the Holder may have at law or in equity against any Guarantor by virtue hereof, that upon the failure of the Issuer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such Guarantor will upon demand pay, or cause to be paid, in cash, to the Holder an amount equal to the sum of the unpaid principal amount of all Guaranteed Obligations then due as aforesaid, accrued and unpaid interest on such Guaranteed Obligations (including interest which, but for the Issuer’s becoming the subject of a case under the Bankruptcy Code, would have accrued on such Guaranteed Obligations, whether or not a claim is allowed against the Issuer for such interest in the related bankruptcy case) and all other Guaranteed Obligations then owed to the Holder as aforesaid.</w:t>
      </w:r>
    </w:p>
    <w:p>
      <w:pPr>
        <w:spacing w:after="0" w:line="167" w:lineRule="exact"/>
        <w:rPr>
          <w:rFonts w:ascii="Arial" w:cs="Arial" w:eastAsia="Arial" w:hAnsi="Arial"/>
          <w:sz w:val="16"/>
          <w:szCs w:val="16"/>
          <w:color w:val="auto"/>
        </w:rPr>
      </w:pPr>
    </w:p>
    <w:p>
      <w:pPr>
        <w:ind w:left="-8" w:right="280" w:firstLine="8"/>
        <w:spacing w:after="0" w:line="294" w:lineRule="auto"/>
        <w:tabs>
          <w:tab w:leader="none" w:pos="307"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Liability of Guarantors Absolute</w:t>
      </w:r>
      <w:r>
        <w:rPr>
          <w:rFonts w:ascii="Arial" w:cs="Arial" w:eastAsia="Arial" w:hAnsi="Arial"/>
          <w:sz w:val="16"/>
          <w:szCs w:val="16"/>
          <w:color w:val="auto"/>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47" w:lineRule="exact"/>
        <w:rPr>
          <w:sz w:val="20"/>
          <w:szCs w:val="20"/>
          <w:color w:val="auto"/>
        </w:rPr>
      </w:pPr>
    </w:p>
    <w:p>
      <w:pPr>
        <w:ind w:left="652" w:hanging="652"/>
        <w:spacing w:after="0"/>
        <w:tabs>
          <w:tab w:leader="none" w:pos="6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Guarantee is a guarantee of payment when due and not of collectability;</w:t>
      </w:r>
    </w:p>
    <w:p>
      <w:pPr>
        <w:spacing w:after="0" w:line="171" w:lineRule="exact"/>
        <w:rPr>
          <w:rFonts w:ascii="Arial" w:cs="Arial" w:eastAsia="Arial" w:hAnsi="Arial"/>
          <w:sz w:val="18"/>
          <w:szCs w:val="18"/>
          <w:color w:val="auto"/>
        </w:rPr>
      </w:pPr>
    </w:p>
    <w:p>
      <w:pPr>
        <w:ind w:left="-8" w:firstLine="8"/>
        <w:spacing w:after="0" w:line="261" w:lineRule="auto"/>
        <w:tabs>
          <w:tab w:leader="none" w:pos="63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Holder may enforce this Guarantee upon the occurrence of an Event of Default notwithstanding the existence of any dispute between the Issuer and the Holder with respect to the existence of such Event of Default;</w:t>
      </w:r>
    </w:p>
    <w:p>
      <w:pPr>
        <w:spacing w:after="0" w:line="130" w:lineRule="exact"/>
        <w:rPr>
          <w:rFonts w:ascii="Arial" w:cs="Arial" w:eastAsia="Arial" w:hAnsi="Arial"/>
          <w:sz w:val="18"/>
          <w:szCs w:val="18"/>
          <w:color w:val="auto"/>
        </w:rPr>
      </w:pPr>
    </w:p>
    <w:p>
      <w:pPr>
        <w:ind w:left="-8" w:right="180" w:firstLine="8"/>
        <w:spacing w:after="0" w:line="261" w:lineRule="auto"/>
        <w:tabs>
          <w:tab w:leader="none" w:pos="63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separate action or actions may be brought and prosecuted against such Guarantor whether or not any action is brought against the Issuer or any other Guarantors and whether or not Issuer or such Guarantors are joined in any such action or actions;</w:t>
      </w:r>
    </w:p>
    <w:p>
      <w:pPr>
        <w:spacing w:after="0" w:line="130" w:lineRule="exact"/>
        <w:rPr>
          <w:rFonts w:ascii="Arial" w:cs="Arial" w:eastAsia="Arial" w:hAnsi="Arial"/>
          <w:sz w:val="18"/>
          <w:szCs w:val="18"/>
          <w:color w:val="auto"/>
        </w:rPr>
      </w:pPr>
    </w:p>
    <w:p>
      <w:pPr>
        <w:ind w:left="-8" w:right="580" w:firstLine="8"/>
        <w:spacing w:after="0" w:line="261" w:lineRule="auto"/>
        <w:tabs>
          <w:tab w:leader="none" w:pos="63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payment by any Guarantor of a portion, but not all, of the Guaranteed Obligations shall in no way limit, affect, modify or abridge any other Guarantor’s liability for any portion of the Guaranteed Obligations which has not been paid;</w:t>
      </w:r>
    </w:p>
    <w:p>
      <w:pPr>
        <w:spacing w:after="0" w:line="143" w:lineRule="exact"/>
        <w:rPr>
          <w:rFonts w:ascii="Arial" w:cs="Arial" w:eastAsia="Arial" w:hAnsi="Arial"/>
          <w:sz w:val="18"/>
          <w:szCs w:val="18"/>
          <w:color w:val="auto"/>
        </w:rPr>
      </w:pPr>
    </w:p>
    <w:p>
      <w:pPr>
        <w:ind w:left="-8" w:right="40" w:firstLine="8"/>
        <w:spacing w:after="0" w:line="253" w:lineRule="auto"/>
        <w:tabs>
          <w:tab w:leader="none" w:pos="63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Holder,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subordinate the payment of the same to the payment of any other obligations; (iii) release, surrender, exchange, substitute, compromise, settle, rescind, waive, alter, subordinate or modify, with or without consideration, any security for payment of the Guaranteed Obligations, any other guarantees of the Guaranteed Obligations, or any other obligation of any Person (including any other Guarantor) with respect to the Guaranteed Obligations; and (iv) enforce its rights and remedies even though such action may operate to impair or extinguish any right of reimbursement or subrogation or other right or remedy of any Guarantor against the Issuer or any security for the Guaranteed Obligations; and</w:t>
      </w:r>
    </w:p>
    <w:p>
      <w:pPr>
        <w:spacing w:after="0" w:line="143" w:lineRule="exact"/>
        <w:rPr>
          <w:rFonts w:ascii="Arial" w:cs="Arial" w:eastAsia="Arial" w:hAnsi="Arial"/>
          <w:sz w:val="17"/>
          <w:szCs w:val="17"/>
          <w:color w:val="auto"/>
        </w:rPr>
      </w:pPr>
    </w:p>
    <w:p>
      <w:pPr>
        <w:ind w:left="-8" w:right="60" w:firstLine="8"/>
        <w:spacing w:after="0"/>
        <w:tabs>
          <w:tab w:leader="none" w:pos="63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Guarantee and the obligations of each Guarantor hereunder shall be valid and enforceable and shall not be subject to any reduction, limitation, impairment, discharge or termination for any reason (other than payment in full of the Guaranteed Obligations), including the occurrence of any of the following: (i) any failure, delay or omission to assert or enforce or agreement or election not to assert or enforce, or the stay or enjoining, by order of court, by operation of law or otherwise, of the exercise or enforcement of, any claim or demand or any right, power or remedy with respect to the Guaranteed Obligations, or with respect to any security for the payment of the Guaranteed Obligations; (ii) any rescission, waiver, amendment or modification of, or any consent to departure from,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1232"/>
          </w:cols>
          <w:pgMar w:left="328" w:top="1026" w:right="339" w:bottom="1440" w:gutter="0" w:footer="0" w:header="0"/>
        </w:sectPr>
      </w:pPr>
    </w:p>
    <w:bookmarkStart w:id="194" w:name="page195"/>
    <w:bookmarkEnd w:id="194"/>
    <w:p>
      <w:pPr>
        <w:spacing w:after="0" w:line="276" w:lineRule="auto"/>
        <w:rPr>
          <w:sz w:val="20"/>
          <w:szCs w:val="20"/>
          <w:color w:val="auto"/>
        </w:rPr>
      </w:pPr>
      <w:r>
        <w:rPr>
          <w:rFonts w:ascii="Arial" w:cs="Arial" w:eastAsia="Arial" w:hAnsi="Arial"/>
          <w:sz w:val="16"/>
          <w:szCs w:val="16"/>
          <w:color w:val="auto"/>
        </w:rPr>
        <w:t>terms or provisions hereof; (iii) the Guaranteed Obligations, or any agreement relating thereto, at any time being found to be illegal, invalid or unenforceable in any respect; (iv) the Holder’s consent to the change, reorganization or termination of the corporate structure or existence of the Issuer or any of its Subsidiaries and to any corresponding restructuring of the Guaranteed Obligations; (v) any defenses, set-offs or counterclaims which the Issuer or any Guarantor may allege or assert against the Holder in respect of the Guaranteed Obligations, including failure of consideration, lack of authority, validity or enforceability, breach of warranty, payment, statute of frauds, statute of limitations, accord and satisfaction and usury; and (vi) any other event or circumstance that might in any manner vary the risk of any Guarantor as an obligor in respect of the Guaranteed Obligations.</w:t>
      </w:r>
    </w:p>
    <w:p>
      <w:pPr>
        <w:spacing w:after="0" w:line="134" w:lineRule="exact"/>
        <w:rPr>
          <w:sz w:val="20"/>
          <w:szCs w:val="20"/>
          <w:color w:val="auto"/>
        </w:rPr>
      </w:pPr>
    </w:p>
    <w:p>
      <w:pPr>
        <w:ind w:right="20" w:firstLine="8"/>
        <w:spacing w:after="0" w:line="241" w:lineRule="auto"/>
        <w:tabs>
          <w:tab w:leader="none" w:pos="31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Waivers by Guarantors</w:t>
      </w:r>
      <w:r>
        <w:rPr>
          <w:rFonts w:ascii="Arial" w:cs="Arial" w:eastAsia="Arial" w:hAnsi="Arial"/>
          <w:sz w:val="18"/>
          <w:szCs w:val="18"/>
          <w:color w:val="auto"/>
        </w:rPr>
        <w:t>. Each Guarantor hereby waives, for the benefit of the Holder: (a) any right to require the Holder, as a condition of payment or performance by such Guarantor, to (i) proceed against Issuer, any Guarantor or any other Person; (ii) proceed against or exhaust any security in favor of the Holder; or (iii) pursue any other remedy in the power of the Holder whatsoever or (b) presentment to, demand for payment from and protest to the Issuer or any Guarantor or notice of acceptance; and (c) any defenses or benefits that may be derived from or afforded by law which limit the liability of or exonerate guarantors or sureties, or which may conflict with the terms hereof.</w:t>
      </w:r>
    </w:p>
    <w:p>
      <w:pPr>
        <w:spacing w:after="0" w:line="189" w:lineRule="exact"/>
        <w:rPr>
          <w:rFonts w:ascii="Arial" w:cs="Arial" w:eastAsia="Arial" w:hAnsi="Arial"/>
          <w:sz w:val="18"/>
          <w:szCs w:val="18"/>
          <w:color w:val="auto"/>
        </w:rPr>
      </w:pPr>
    </w:p>
    <w:p>
      <w:pPr>
        <w:ind w:firstLine="8"/>
        <w:spacing w:after="0" w:line="252" w:lineRule="auto"/>
        <w:tabs>
          <w:tab w:leader="none" w:pos="315"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Guarantors’ Rights of Subrogation, Contribution, etc</w:t>
      </w:r>
      <w:r>
        <w:rPr>
          <w:rFonts w:ascii="Arial" w:cs="Arial" w:eastAsia="Arial" w:hAnsi="Arial"/>
          <w:sz w:val="17"/>
          <w:szCs w:val="17"/>
          <w:color w:val="auto"/>
        </w:rPr>
        <w:t>. Until the Guaranteed Obligations shall have been paid in full, each Guarantor hereby waives any claim, right or remedy, direct or indirect, that such Guarantor now has or may hereafter have against the Issuer or any other Guarantor or any of its assets in connection with this Guarantee or the performance by such Guarantor of its obligations hereunder, including without limitation (a) any right of subrogation, reimbursement or indemnification that such Guarantor now has or may hereafter have against the Issuer with respect to the Guaranteed Obligations, (b) any right to enforce, or to participate in, any claim, right or remedy that the Holder now has or may hereafter have against the Issuer, and (c) any benefit of, and any right to participate in, any collateral or security now or hereafter held by the Holder. In addition, until the Guaranteed Obligations shall have been paid in full, each Guarantor shall withhold exercise of any right of contribution such Guarantor may have against any other guarantor (including any other Guarantor) of the Guaranteed Obligations. If any amount shall be paid to any Guarantor on account of any such subrogation, reimbursement, indemnification or contribution rights at any time when all Guaranteed Obligations shall not have been finally and paid in full, such amount shall be held in trust for the Holder and shall forthwith be paid over to the Holder to be credited and applied against the Guaranteed Obligations, whether matured or unmatured, in accordance with the terms hereof.</w:t>
      </w:r>
    </w:p>
    <w:p>
      <w:pPr>
        <w:spacing w:after="0" w:line="185" w:lineRule="exact"/>
        <w:rPr>
          <w:rFonts w:ascii="Arial" w:cs="Arial" w:eastAsia="Arial" w:hAnsi="Arial"/>
          <w:sz w:val="17"/>
          <w:szCs w:val="17"/>
          <w:color w:val="auto"/>
        </w:rPr>
      </w:pPr>
    </w:p>
    <w:p>
      <w:pPr>
        <w:ind w:right="160" w:firstLine="8"/>
        <w:spacing w:after="0" w:line="241" w:lineRule="auto"/>
        <w:tabs>
          <w:tab w:leader="none" w:pos="31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Any Indebtedness of the Issuer or any Guarantor now or hereafter held by any Guarantor (the “</w:t>
      </w:r>
      <w:r>
        <w:rPr>
          <w:rFonts w:ascii="Arial" w:cs="Arial" w:eastAsia="Arial" w:hAnsi="Arial"/>
          <w:sz w:val="18"/>
          <w:szCs w:val="18"/>
          <w:u w:val="single" w:color="auto"/>
          <w:color w:val="auto"/>
        </w:rPr>
        <w:t>Obligee Guarantor</w:t>
      </w:r>
      <w:r>
        <w:rPr>
          <w:rFonts w:ascii="Arial" w:cs="Arial" w:eastAsia="Arial" w:hAnsi="Arial"/>
          <w:sz w:val="18"/>
          <w:szCs w:val="18"/>
          <w:color w:val="auto"/>
        </w:rPr>
        <w:t>”) is hereby subordinated in right of payment to the Guaranteed Obligations, and any such indebtedness collected or received by the Obligee Guarantor after an Event of Default has occurred and is continuing shall be held in trust for the Holder and shall forthwith be paid over to the Holder to be credited and applied against the Guaranteed Obligations but without affecting, impairing or limiting in any manner the liability of the Obligee Guarantor under any other provision hereof.</w:t>
      </w:r>
    </w:p>
    <w:p>
      <w:pPr>
        <w:spacing w:after="0" w:line="189" w:lineRule="exact"/>
        <w:rPr>
          <w:rFonts w:ascii="Arial" w:cs="Arial" w:eastAsia="Arial" w:hAnsi="Arial"/>
          <w:sz w:val="18"/>
          <w:szCs w:val="18"/>
          <w:color w:val="auto"/>
        </w:rPr>
      </w:pPr>
    </w:p>
    <w:p>
      <w:pPr>
        <w:ind w:right="60" w:firstLine="8"/>
        <w:spacing w:after="0" w:line="324" w:lineRule="auto"/>
        <w:tabs>
          <w:tab w:leader="none" w:pos="315"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Continuing Guarantee</w:t>
      </w:r>
      <w:r>
        <w:rPr>
          <w:rFonts w:ascii="Arial" w:cs="Arial" w:eastAsia="Arial" w:hAnsi="Arial"/>
          <w:sz w:val="16"/>
          <w:szCs w:val="16"/>
          <w:color w:val="auto"/>
        </w:rPr>
        <w:t>. This Guarantee is a continuing guarantee and shall remain in effect until all of the Guaranteed Obligations shall have been paid in full. Each Guarantor hereby irrevocably waives any right to revoke this Guarantee as to future transactions giving rise to any Guaranteed Obligations.</w:t>
      </w:r>
    </w:p>
    <w:p>
      <w:pPr>
        <w:spacing w:after="0" w:line="124" w:lineRule="exact"/>
        <w:rPr>
          <w:rFonts w:ascii="Arial" w:cs="Arial" w:eastAsia="Arial" w:hAnsi="Arial"/>
          <w:sz w:val="16"/>
          <w:szCs w:val="16"/>
          <w:color w:val="auto"/>
        </w:rPr>
      </w:pPr>
    </w:p>
    <w:p>
      <w:pPr>
        <w:ind w:right="160" w:firstLine="8"/>
        <w:spacing w:after="0" w:line="241" w:lineRule="auto"/>
        <w:tabs>
          <w:tab w:leader="none" w:pos="31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Financial Condition of the Issuer</w:t>
      </w:r>
      <w:r>
        <w:rPr>
          <w:rFonts w:ascii="Arial" w:cs="Arial" w:eastAsia="Arial" w:hAnsi="Arial"/>
          <w:sz w:val="18"/>
          <w:szCs w:val="18"/>
          <w:color w:val="auto"/>
        </w:rPr>
        <w:t>. The Note may be issued to the Issuer without notice to or authorization from any Guarantor regardless of the financial or other condition of the Issuer at the time of such grant. Each Guarantor has adequate means to obtain information from the Issuer on a continuing basis concerning the financial condition of the Issuer and its ability to perform its obligations under the Note, and each Guarantor assumes the responsibility for being and keeping informed of the financial condition of the Issuer and of all circumstances bearing upon the risk of nonpayment of the Guaranteed Obligations.</w:t>
      </w:r>
    </w:p>
    <w:p>
      <w:pPr>
        <w:spacing w:after="0" w:line="189" w:lineRule="exact"/>
        <w:rPr>
          <w:rFonts w:ascii="Arial" w:cs="Arial" w:eastAsia="Arial" w:hAnsi="Arial"/>
          <w:sz w:val="18"/>
          <w:szCs w:val="18"/>
          <w:color w:val="auto"/>
        </w:rPr>
      </w:pPr>
    </w:p>
    <w:p>
      <w:pPr>
        <w:ind w:firstLine="8"/>
        <w:spacing w:after="0" w:line="259" w:lineRule="auto"/>
        <w:tabs>
          <w:tab w:leader="none" w:pos="31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Reinstatement</w:t>
      </w:r>
      <w:r>
        <w:rPr>
          <w:rFonts w:ascii="Arial" w:cs="Arial" w:eastAsia="Arial" w:hAnsi="Arial"/>
          <w:sz w:val="18"/>
          <w:szCs w:val="18"/>
          <w:color w:val="auto"/>
        </w:rPr>
        <w:t>. In the event that all or any portion of the Guaranteed Obligations are paid by the Issuer or any Guarantor, the obligations of any other Guarantor hereunder shall continue and remain in full force and effect or be reinstated, as the case may be, in the event that all or any part of such payment(s) are rescinded or recovered directly or indirectly from the Holder as a preference, fraudulent transfer or otherwise, and any such payments which are so rescinded or recovered shall constitute Guaranteed Obligations for all purposes hereunder.</w:t>
      </w:r>
    </w:p>
    <w:p>
      <w:pPr>
        <w:spacing w:after="0" w:line="186" w:lineRule="exact"/>
        <w:rPr>
          <w:rFonts w:ascii="Arial" w:cs="Arial" w:eastAsia="Arial" w:hAnsi="Arial"/>
          <w:sz w:val="18"/>
          <w:szCs w:val="18"/>
          <w:color w:val="auto"/>
        </w:rPr>
      </w:pPr>
    </w:p>
    <w:p>
      <w:pPr>
        <w:jc w:val="both"/>
        <w:ind w:right="460" w:firstLine="8"/>
        <w:spacing w:after="0" w:line="259" w:lineRule="auto"/>
        <w:tabs>
          <w:tab w:leader="none" w:pos="40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Discharge of Guarantee Upon Sale of the Guarantor</w:t>
      </w:r>
      <w:r>
        <w:rPr>
          <w:rFonts w:ascii="Arial" w:cs="Arial" w:eastAsia="Arial" w:hAnsi="Arial"/>
          <w:sz w:val="18"/>
          <w:szCs w:val="18"/>
          <w:color w:val="auto"/>
        </w:rPr>
        <w:t>. If, in compliance with the terms and provisions of the Note, all of the capital stock of any Guarantor that is a Subsidiary of the Issuer (other than AA, Envoy Air Inc., Piedmont Airlines, Inc. or PSA Airlines, Inc.) or any of its successors in interest hereunder shall be sold or otherwise disposed of (including by merger or consolidation) to any Person (other than to the Issuer or to any other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B-2</w:t>
      </w:r>
    </w:p>
    <w:p>
      <w:pPr>
        <w:sectPr>
          <w:pgSz w:w="11900" w:h="16838" w:orient="portrait"/>
          <w:cols w:equalWidth="0" w:num="1">
            <w:col w:w="11220"/>
          </w:cols>
          <w:pgMar w:left="320" w:top="1030" w:right="359" w:bottom="1440" w:gutter="0" w:footer="0" w:header="0"/>
        </w:sectPr>
      </w:pPr>
    </w:p>
    <w:bookmarkStart w:id="195" w:name="page196"/>
    <w:bookmarkEnd w:id="195"/>
    <w:p>
      <w:pPr>
        <w:spacing w:after="0" w:line="277" w:lineRule="auto"/>
        <w:rPr>
          <w:sz w:val="20"/>
          <w:szCs w:val="20"/>
          <w:color w:val="auto"/>
        </w:rPr>
      </w:pPr>
      <w:r>
        <w:rPr>
          <w:rFonts w:ascii="Arial" w:cs="Arial" w:eastAsia="Arial" w:hAnsi="Arial"/>
          <w:sz w:val="18"/>
          <w:szCs w:val="18"/>
          <w:color w:val="auto"/>
        </w:rPr>
        <w:t>the Guarantee of such Guarantor or such successor in interest, as the case may be, hereunder shall automatically be discharged and released without any further action by any beneficiary or any other Person effective as of the time of such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Annex B-3</w:t>
      </w:r>
    </w:p>
    <w:p>
      <w:pPr>
        <w:sectPr>
          <w:pgSz w:w="11900" w:h="16838" w:orient="portrait"/>
          <w:cols w:equalWidth="0" w:num="1">
            <w:col w:w="10940"/>
          </w:cols>
          <w:pgMar w:left="320" w:top="1030" w:right="639"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18"/>
          <w:szCs w:val="18"/>
          <w:b w:val="1"/>
          <w:bCs w:val="1"/>
          <w:color w:val="auto"/>
        </w:rPr>
        <w:t>SCHEDULE I</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260" w:type="dxa"/>
            <w:vAlign w:val="bottom"/>
            <w:tcBorders>
              <w:top w:val="single" w:sz="8" w:color="auto"/>
              <w:left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Date</w:t>
            </w:r>
          </w:p>
        </w:tc>
        <w:tc>
          <w:tcPr>
            <w:tcW w:w="224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Current Outstanding</w:t>
            </w:r>
          </w:p>
        </w:tc>
        <w:tc>
          <w:tcPr>
            <w:tcW w:w="226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Increase or Decrease in</w:t>
            </w:r>
          </w:p>
        </w:tc>
        <w:tc>
          <w:tcPr>
            <w:tcW w:w="224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Resulting Outstanding</w:t>
            </w:r>
          </w:p>
        </w:tc>
        <w:tc>
          <w:tcPr>
            <w:tcW w:w="226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Notation Made By</w:t>
            </w:r>
          </w:p>
        </w:tc>
      </w:tr>
      <w:tr>
        <w:trPr>
          <w:trHeight w:val="176"/>
        </w:trPr>
        <w:tc>
          <w:tcPr>
            <w:tcW w:w="226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Principal Amount</w:t>
            </w:r>
          </w:p>
        </w:tc>
        <w:tc>
          <w:tcPr>
            <w:tcW w:w="22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Outstanding Principal</w:t>
            </w:r>
          </w:p>
        </w:tc>
        <w:tc>
          <w:tcPr>
            <w:tcW w:w="224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Principal Amount</w:t>
            </w:r>
          </w:p>
        </w:tc>
        <w:tc>
          <w:tcPr>
            <w:tcW w:w="2260" w:type="dxa"/>
            <w:vAlign w:val="bottom"/>
            <w:tcBorders>
              <w:right w:val="single" w:sz="8" w:color="auto"/>
            </w:tcBorders>
          </w:tcPr>
          <w:p>
            <w:pPr>
              <w:spacing w:after="0"/>
              <w:rPr>
                <w:sz w:val="15"/>
                <w:szCs w:val="15"/>
                <w:color w:val="auto"/>
              </w:rPr>
            </w:pPr>
          </w:p>
        </w:tc>
      </w:tr>
      <w:tr>
        <w:trPr>
          <w:trHeight w:val="229"/>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22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I</w:t>
      </w:r>
    </w:p>
    <w:p>
      <w:pPr>
        <w:sectPr>
          <w:pgSz w:w="11900" w:h="16838" w:orient="portrait"/>
          <w:cols w:equalWidth="0" w:num="1">
            <w:col w:w="11260"/>
          </w:cols>
          <w:pgMar w:left="320" w:top="1026" w:right="319" w:bottom="1440" w:gutter="0" w:footer="0" w:header="0"/>
        </w:sectPr>
      </w:pPr>
    </w:p>
    <w:bookmarkStart w:id="197" w:name="page198"/>
    <w:bookmarkEnd w:id="197"/>
    <w:p>
      <w:pPr>
        <w:ind w:left="10240"/>
        <w:spacing w:after="0"/>
        <w:rPr>
          <w:sz w:val="20"/>
          <w:szCs w:val="20"/>
          <w:color w:val="auto"/>
        </w:rPr>
      </w:pPr>
      <w:r>
        <w:rPr>
          <w:rFonts w:ascii="Arial" w:cs="Arial" w:eastAsia="Arial" w:hAnsi="Arial"/>
          <w:sz w:val="17"/>
          <w:szCs w:val="17"/>
          <w:b w:val="1"/>
          <w:bCs w:val="1"/>
          <w:color w:val="auto"/>
        </w:rPr>
        <w:t>Exhibit 10.3</w:t>
      </w:r>
    </w:p>
    <w:p>
      <w:pPr>
        <w:spacing w:after="0" w:line="186" w:lineRule="exact"/>
        <w:rPr>
          <w:sz w:val="20"/>
          <w:szCs w:val="20"/>
          <w:color w:val="auto"/>
        </w:rPr>
      </w:pPr>
    </w:p>
    <w:p>
      <w:pPr>
        <w:ind w:left="40" w:right="100"/>
        <w:spacing w:after="0" w:line="237" w:lineRule="auto"/>
        <w:rPr>
          <w:sz w:val="20"/>
          <w:szCs w:val="20"/>
          <w:color w:val="auto"/>
        </w:rPr>
      </w:pPr>
      <w:r>
        <w:rPr>
          <w:rFonts w:ascii="Arial" w:cs="Arial" w:eastAsia="Arial" w:hAnsi="Arial"/>
          <w:sz w:val="22"/>
          <w:szCs w:val="22"/>
          <w:b w:val="1"/>
          <w:bCs w:val="1"/>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40575" cy="3257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0575"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1560195" cy="3600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Boeing Company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Seattle, WA 98124 2207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AAL-LA-21003287</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75261-9616</w:t>
      </w:r>
    </w:p>
    <w:p>
      <w:pPr>
        <w:spacing w:after="0" w:line="24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r>
      <w:r>
        <w:rPr>
          <w:sz w:val="20"/>
          <w:szCs w:val="20"/>
          <w:color w:val="auto"/>
        </w:rPr>
        <w:tab/>
      </w:r>
      <w:r>
        <w:rPr>
          <w:rFonts w:ascii="Arial" w:cs="Arial" w:eastAsia="Arial" w:hAnsi="Arial"/>
          <w:sz w:val="21"/>
          <w:szCs w:val="21"/>
          <w:color w:val="auto"/>
        </w:rPr>
        <w:t>Amendment 2 to [****] Agreement Number AAL-LA-2100511</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Amendment No. 2 (</w:t>
      </w:r>
      <w:r>
        <w:rPr>
          <w:rFonts w:ascii="Arial" w:cs="Arial" w:eastAsia="Arial" w:hAnsi="Arial"/>
          <w:sz w:val="22"/>
          <w:szCs w:val="22"/>
          <w:b w:val="1"/>
          <w:bCs w:val="1"/>
          <w:color w:val="auto"/>
        </w:rPr>
        <w:t>Amendment No. 2</w:t>
      </w:r>
      <w:r>
        <w:rPr>
          <w:rFonts w:ascii="Arial" w:cs="Arial" w:eastAsia="Arial" w:hAnsi="Arial"/>
          <w:sz w:val="22"/>
          <w:szCs w:val="22"/>
          <w:color w:val="auto"/>
        </w:rPr>
        <w:t>), between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and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supplements and amends in part, the agreement number AAL-LA-2100511 executed by Boeing and Customer on March 9, 2021, relating to [****] for the [****] (as defined therein) ([****]</w:t>
      </w:r>
      <w:r>
        <w:rPr>
          <w:rFonts w:ascii="Arial" w:cs="Arial" w:eastAsia="Arial" w:hAnsi="Arial"/>
          <w:sz w:val="22"/>
          <w:szCs w:val="22"/>
          <w:b w:val="1"/>
          <w:bCs w:val="1"/>
          <w:color w:val="auto"/>
        </w:rPr>
        <w:t>Agreement</w:t>
      </w:r>
      <w:r>
        <w:rPr>
          <w:rFonts w:ascii="Arial" w:cs="Arial" w:eastAsia="Arial" w:hAnsi="Arial"/>
          <w:sz w:val="22"/>
          <w:szCs w:val="22"/>
          <w:color w:val="auto"/>
        </w:rPr>
        <w:t>). All capitalized terms used and not defined herein have the same meaning as in the [****] Agreement.</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In recognition of [****] in the Boeing [****] to Customer, and the [****] on Customer’s [****] ([****]), Boeing and Customer agree that it is [****] to amend certain terms and provisions of the [****] Agreement.</w:t>
      </w:r>
    </w:p>
    <w:p>
      <w:pPr>
        <w:spacing w:after="0" w:line="1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In consideration of the [****] contained herein, Customer and Boeing agree to amend the [****]Agreement via this Amendment No. 2 as follows:</w:t>
      </w:r>
    </w:p>
    <w:p>
      <w:pPr>
        <w:spacing w:after="0" w:line="177" w:lineRule="exact"/>
        <w:rPr>
          <w:sz w:val="20"/>
          <w:szCs w:val="20"/>
          <w:color w:val="auto"/>
        </w:rPr>
      </w:pPr>
    </w:p>
    <w:p>
      <w:pPr>
        <w:ind w:left="1360" w:hanging="704"/>
        <w:spacing w:after="0"/>
        <w:tabs>
          <w:tab w:leader="none" w:pos="13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Boeing [****] to Customer, [****] ([****]) ([****]) [****] Aircraft:</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5520" w:type="dxa"/>
            <w:vAlign w:val="bottom"/>
            <w:tcBorders>
              <w:top w:val="single" w:sz="8" w:color="auto"/>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top w:val="single" w:sz="8" w:color="auto"/>
              <w:bottom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263"/>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264"/>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263"/>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263"/>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264"/>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263"/>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263"/>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264"/>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263"/>
        </w:trPr>
        <w:tc>
          <w:tcPr>
            <w:tcW w:w="5520" w:type="dxa"/>
            <w:vAlign w:val="bottom"/>
            <w:tcBorders>
              <w:left w:val="single" w:sz="8" w:color="auto"/>
              <w:bottom w:val="single" w:sz="8" w:color="auto"/>
              <w:right w:val="single" w:sz="8" w:color="auto"/>
            </w:tcBorders>
          </w:tcPr>
          <w:p>
            <w:pPr>
              <w:jc w:val="right"/>
              <w:ind w:right="2412"/>
              <w:spacing w:after="0"/>
              <w:rPr>
                <w:sz w:val="20"/>
                <w:szCs w:val="20"/>
                <w:color w:val="auto"/>
              </w:rPr>
            </w:pPr>
            <w:r>
              <w:rPr>
                <w:rFonts w:ascii="Arial" w:cs="Arial" w:eastAsia="Arial" w:hAnsi="Arial"/>
                <w:sz w:val="22"/>
                <w:szCs w:val="22"/>
                <w:color w:val="auto"/>
              </w:rPr>
              <w:t>[****]</w:t>
            </w:r>
          </w:p>
        </w:tc>
        <w:tc>
          <w:tcPr>
            <w:tcW w:w="5520" w:type="dxa"/>
            <w:vAlign w:val="bottom"/>
            <w:tcBorders>
              <w:bottom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18" w:right="339" w:bottom="1440" w:gutter="0" w:footer="0" w:header="0"/>
        </w:sectPr>
      </w:pPr>
    </w:p>
    <w:bookmarkStart w:id="198" w:name="page199"/>
    <w:bookmarkEnd w:id="198"/>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560195" cy="3600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240"/>
        <w:spacing w:after="0"/>
        <w:rPr>
          <w:sz w:val="20"/>
          <w:szCs w:val="20"/>
          <w:color w:val="auto"/>
        </w:rPr>
      </w:pPr>
      <w:r>
        <w:rPr>
          <w:rFonts w:ascii="Arial" w:cs="Arial" w:eastAsia="Arial" w:hAnsi="Arial"/>
          <w:sz w:val="22"/>
          <w:szCs w:val="22"/>
          <w:color w:val="auto"/>
        </w:rPr>
        <w:t>At delivery of [****] Aircraft in the above table, the [****] for each such [****] Aircraft will [****].</w:t>
      </w:r>
    </w:p>
    <w:p>
      <w:pPr>
        <w:spacing w:after="0" w:line="1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For the sake of clarity, Boeing’s [****] of [****] to Customer as described in this Amendment No. 2 are [****] an [****] to the [****].</w:t>
      </w:r>
    </w:p>
    <w:p>
      <w:pPr>
        <w:spacing w:after="0" w:line="164" w:lineRule="exact"/>
        <w:rPr>
          <w:sz w:val="20"/>
          <w:szCs w:val="20"/>
          <w:color w:val="auto"/>
        </w:rPr>
      </w:pPr>
    </w:p>
    <w:p>
      <w:pPr>
        <w:ind w:right="1000" w:firstLine="240"/>
        <w:spacing w:after="0" w:line="249" w:lineRule="auto"/>
        <w:rPr>
          <w:sz w:val="20"/>
          <w:szCs w:val="20"/>
          <w:color w:val="auto"/>
        </w:rPr>
      </w:pPr>
      <w:r>
        <w:rPr>
          <w:rFonts w:ascii="Arial" w:cs="Arial" w:eastAsia="Arial" w:hAnsi="Arial"/>
          <w:sz w:val="22"/>
          <w:szCs w:val="22"/>
          <w:color w:val="auto"/>
        </w:rPr>
        <w:t>Except as expressly modified by the terms of this Amendment No. 2, all terms and conditions of the [****] Agreement, as previously amended remain unchanged and in full force and effect.</w:t>
      </w:r>
    </w:p>
    <w:p>
      <w:pPr>
        <w:spacing w:after="0" w:line="16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Amendment No. 2 will be subject to the terms and conditions of Letter Agreement No. 6-1162-TRW-0673R1 entitled “Confidentiality”.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22"/>
          <w:szCs w:val="22"/>
          <w:b w:val="1"/>
          <w:bCs w:val="1"/>
          <w:color w:val="auto"/>
        </w:rPr>
        <w:t>THE BOEING COMPANY</w:t>
      </w:r>
      <w:r>
        <w:rPr>
          <w:sz w:val="20"/>
          <w:szCs w:val="20"/>
          <w:color w:val="auto"/>
        </w:rPr>
        <w:tab/>
      </w: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The Boeing Company</w:t>
            </w:r>
          </w:p>
        </w:tc>
        <w:tc>
          <w:tcPr>
            <w:tcW w:w="1360" w:type="dxa"/>
            <w:vAlign w:val="bottom"/>
          </w:tcPr>
          <w:p>
            <w:pPr>
              <w:ind w:left="420"/>
              <w:spacing w:after="0"/>
              <w:rPr>
                <w:sz w:val="20"/>
                <w:szCs w:val="20"/>
                <w:color w:val="auto"/>
              </w:rPr>
            </w:pPr>
            <w:r>
              <w:rPr>
                <w:rFonts w:ascii="Arial" w:cs="Arial" w:eastAsia="Arial" w:hAnsi="Arial"/>
                <w:sz w:val="22"/>
                <w:szCs w:val="22"/>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American Airlines, Inc.</w:t>
            </w:r>
          </w:p>
        </w:tc>
      </w:tr>
      <w:tr>
        <w:trPr>
          <w:trHeight w:val="520"/>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Attorney-in-Fact</w:t>
            </w:r>
          </w:p>
        </w:tc>
        <w:tc>
          <w:tcPr>
            <w:tcW w:w="1360" w:type="dxa"/>
            <w:vAlign w:val="bottom"/>
          </w:tcPr>
          <w:p>
            <w:pPr>
              <w:ind w:left="420"/>
              <w:spacing w:after="0"/>
              <w:rPr>
                <w:sz w:val="20"/>
                <w:szCs w:val="20"/>
                <w:color w:val="auto"/>
              </w:rPr>
            </w:pPr>
            <w:r>
              <w:rPr>
                <w:rFonts w:ascii="Arial" w:cs="Arial" w:eastAsia="Arial" w:hAnsi="Arial"/>
                <w:sz w:val="22"/>
                <w:szCs w:val="22"/>
                <w:color w:val="auto"/>
              </w:rPr>
              <w:t>Title:</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VP, Treasurer</w:t>
            </w:r>
          </w:p>
        </w:tc>
      </w:tr>
      <w:tr>
        <w:trPr>
          <w:trHeight w:val="520"/>
        </w:trPr>
        <w:tc>
          <w:tcPr>
            <w:tcW w:w="940" w:type="dxa"/>
            <w:vAlign w:val="bottom"/>
          </w:tcPr>
          <w:p>
            <w:pPr>
              <w:spacing w:after="0"/>
              <w:rPr>
                <w:sz w:val="20"/>
                <w:szCs w:val="20"/>
                <w:color w:val="auto"/>
              </w:rPr>
            </w:pPr>
            <w:r>
              <w:rPr>
                <w:rFonts w:ascii="Arial" w:cs="Arial" w:eastAsia="Arial" w:hAnsi="Arial"/>
                <w:sz w:val="22"/>
                <w:szCs w:val="22"/>
                <w:color w:val="auto"/>
              </w:rPr>
              <w:t>Date:</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6/28/2021</w:t>
            </w:r>
          </w:p>
        </w:tc>
        <w:tc>
          <w:tcPr>
            <w:tcW w:w="1360" w:type="dxa"/>
            <w:vAlign w:val="bottom"/>
          </w:tcPr>
          <w:p>
            <w:pPr>
              <w:ind w:left="420"/>
              <w:spacing w:after="0"/>
              <w:rPr>
                <w:sz w:val="20"/>
                <w:szCs w:val="20"/>
                <w:color w:val="auto"/>
              </w:rPr>
            </w:pPr>
            <w:r>
              <w:rPr>
                <w:rFonts w:ascii="Arial" w:cs="Arial" w:eastAsia="Arial" w:hAnsi="Arial"/>
                <w:sz w:val="22"/>
                <w:szCs w:val="22"/>
                <w:color w:val="auto"/>
              </w:rPr>
              <w:t>Date:</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6/28/2021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AAL-LA-21003287</w:t>
      </w:r>
      <w:r>
        <w:rPr>
          <w:sz w:val="20"/>
          <w:szCs w:val="20"/>
          <w:color w:val="auto"/>
        </w:rPr>
        <w:tab/>
      </w:r>
      <w:r>
        <w:rPr>
          <w:rFonts w:ascii="Arial" w:cs="Arial" w:eastAsia="Arial" w:hAnsi="Arial"/>
          <w:sz w:val="21"/>
          <w:szCs w:val="21"/>
          <w:color w:val="auto"/>
        </w:rPr>
        <w:t>Page 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199" w:name="page200"/>
    <w:bookmarkEnd w:id="199"/>
    <w:p>
      <w:pPr>
        <w:ind w:left="10240"/>
        <w:spacing w:after="0"/>
        <w:rPr>
          <w:sz w:val="20"/>
          <w:szCs w:val="20"/>
          <w:color w:val="auto"/>
        </w:rPr>
      </w:pPr>
      <w:r>
        <w:rPr>
          <w:rFonts w:ascii="Arial" w:cs="Arial" w:eastAsia="Arial" w:hAnsi="Arial"/>
          <w:sz w:val="17"/>
          <w:szCs w:val="17"/>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40575" cy="274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0575" cy="274320"/>
                    </a:xfrm>
                    <a:prstGeom prst="rect">
                      <a:avLst/>
                    </a:prstGeom>
                    <a:noFill/>
                  </pic:spPr>
                </pic:pic>
              </a:graphicData>
            </a:graphic>
          </wp:anchor>
        </w:drawing>
      </w:r>
    </w:p>
    <w:p>
      <w:pPr>
        <w:spacing w:after="0" w:line="54" w:lineRule="exact"/>
        <w:rPr>
          <w:sz w:val="20"/>
          <w:szCs w:val="20"/>
          <w:color w:val="auto"/>
        </w:rPr>
      </w:pPr>
    </w:p>
    <w:p>
      <w:pPr>
        <w:ind w:left="40" w:right="600"/>
        <w:spacing w:after="0"/>
        <w:rPr>
          <w:sz w:val="20"/>
          <w:szCs w:val="20"/>
          <w:color w:val="auto"/>
        </w:rPr>
      </w:pPr>
      <w:r>
        <w:rPr>
          <w:rFonts w:ascii="Arial" w:cs="Arial" w:eastAsia="Arial" w:hAnsi="Arial"/>
          <w:sz w:val="18"/>
          <w:szCs w:val="18"/>
          <w:b w:val="1"/>
          <w:bCs w:val="1"/>
          <w:color w:val="auto"/>
        </w:rPr>
        <w:t>Certain confidential information contained in this document, marked by brackets, has been omitted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16</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3219</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THIS SUPPLEMENTAL AGREEMENT No. 16 (</w:t>
      </w:r>
      <w:r>
        <w:rPr>
          <w:rFonts w:ascii="Arial" w:cs="Arial" w:eastAsia="Arial" w:hAnsi="Arial"/>
          <w:sz w:val="22"/>
          <w:szCs w:val="22"/>
          <w:b w:val="1"/>
          <w:bCs w:val="1"/>
          <w:i w:val="1"/>
          <w:iCs w:val="1"/>
          <w:color w:val="auto"/>
        </w:rPr>
        <w:t>SA-16</w:t>
      </w:r>
      <w:r>
        <w:rPr>
          <w:rFonts w:ascii="Arial" w:cs="Arial" w:eastAsia="Arial" w:hAnsi="Arial"/>
          <w:sz w:val="22"/>
          <w:szCs w:val="22"/>
          <w:color w:val="auto"/>
        </w:rPr>
        <w:t>) is made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WHEREAS, Boeing and Customer entered into Purchase Agreement No. 3219 dated October 15, 2008, relating to Boeing Model 787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in such Purchase Agreement;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1"/>
          <w:szCs w:val="21"/>
          <w:color w:val="auto"/>
        </w:rPr>
        <w:t>WHEREAS, Customer and Boeing agree to [****] the [****] for certain undelivered 2018 787-8 [****] Aircraft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WHEREAS, Customer and Boeing agree to [****] ([****]) undelivered 2018 787-8 [****] Aircraft [****] to [****] ([****]) and [****] for the [****];</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WHEREAS, Customer and Boeing agree to [****] to 787 aircraft; and</w:t>
      </w:r>
    </w:p>
    <w:p>
      <w:pPr>
        <w:spacing w:after="0" w:line="220"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color w:val="auto"/>
        </w:rPr>
        <w:t>WHEREAS, Customer and Boeing agree to [****] the [****] of the [****] ([****]) undelivered 2018 787-9[****] Aircraft [****] in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color w:val="auto"/>
        </w:rPr>
        <w:t>PA 3219 SA-16</w:t>
      </w:r>
      <w:r>
        <w:rPr>
          <w:sz w:val="20"/>
          <w:szCs w:val="20"/>
          <w:color w:val="auto"/>
        </w:rPr>
        <w:tab/>
      </w:r>
      <w:r>
        <w:rPr>
          <w:rFonts w:ascii="Arial" w:cs="Arial" w:eastAsia="Arial" w:hAnsi="Arial"/>
          <w:sz w:val="18"/>
          <w:szCs w:val="18"/>
          <w:color w:val="auto"/>
        </w:rPr>
        <w:t>Page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18" w:right="3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18" w:right="339" w:bottom="1440" w:gutter="0" w:footer="0" w:header="0"/>
          <w:type w:val="continuous"/>
        </w:sectPr>
      </w:pPr>
    </w:p>
    <w:bookmarkStart w:id="200" w:name="page201"/>
    <w:bookmarkEnd w:id="200"/>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115"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Table of Contents</w:t>
      </w:r>
      <w:r>
        <w:rPr>
          <w:rFonts w:ascii="Arial" w:cs="Arial" w:eastAsia="Arial" w:hAnsi="Arial"/>
          <w:sz w:val="22"/>
          <w:szCs w:val="22"/>
          <w:b w:val="1"/>
          <w:bCs w:val="1"/>
          <w:color w:val="auto"/>
        </w:rPr>
        <w:t>.</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Table of Contents referencing SA-15 in the footer is deleted in its entirety and is replaced with the new Table of Contents (attached hereto) referencing SA-16 in the footer. Such new Table of Contents is hereby incorporated into the Purchase Agreement in replacement of its predecessor.</w:t>
      </w:r>
    </w:p>
    <w:p>
      <w:pPr>
        <w:spacing w:after="0" w:line="125"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Tables</w:t>
      </w:r>
      <w:r>
        <w:rPr>
          <w:rFonts w:ascii="Arial" w:cs="Arial" w:eastAsia="Arial" w:hAnsi="Arial"/>
          <w:sz w:val="22"/>
          <w:szCs w:val="22"/>
          <w:b w:val="1"/>
          <w:bCs w:val="1"/>
          <w:color w:val="auto"/>
        </w:rPr>
        <w:t>.</w:t>
      </w:r>
    </w:p>
    <w:p>
      <w:pPr>
        <w:spacing w:after="0" w:line="361" w:lineRule="exact"/>
        <w:rPr>
          <w:sz w:val="20"/>
          <w:szCs w:val="20"/>
          <w:color w:val="auto"/>
        </w:rPr>
      </w:pPr>
    </w:p>
    <w:p>
      <w:pPr>
        <w:jc w:val="both"/>
        <w:ind w:firstLine="1053"/>
        <w:spacing w:after="0" w:line="31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Table 5R1</w:t>
      </w:r>
      <w:r>
        <w:rPr>
          <w:rFonts w:ascii="Arial" w:cs="Arial" w:eastAsia="Arial" w:hAnsi="Arial"/>
          <w:sz w:val="19"/>
          <w:szCs w:val="19"/>
          <w:color w:val="auto"/>
        </w:rPr>
        <w:t>. Table 5 entitled “</w:t>
      </w:r>
      <w:r>
        <w:rPr>
          <w:rFonts w:ascii="Arial" w:cs="Arial" w:eastAsia="Arial" w:hAnsi="Arial"/>
          <w:sz w:val="19"/>
          <w:szCs w:val="19"/>
          <w:u w:val="single" w:color="auto"/>
          <w:color w:val="auto"/>
        </w:rPr>
        <w:t>787-9 [****], Aircraft Delivery, Description, Price and Advance Payments</w:t>
      </w:r>
      <w:r>
        <w:rPr>
          <w:rFonts w:ascii="Arial" w:cs="Arial" w:eastAsia="Arial" w:hAnsi="Arial"/>
          <w:sz w:val="19"/>
          <w:szCs w:val="19"/>
          <w:color w:val="auto"/>
        </w:rPr>
        <w:t>” referencing SA-11 in the footer is deleted in its entirety and is replaced with the similarly titled Table 5R1 (attached hereto) referencing SA-16 in the footer. Table 5R1 is hereby incorporated into the Purchase Agreement in replacement of Table 5.</w:t>
      </w:r>
    </w:p>
    <w:p>
      <w:pPr>
        <w:spacing w:after="0" w:line="25"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Table 6R2</w:t>
      </w:r>
      <w:r>
        <w:rPr>
          <w:rFonts w:ascii="Arial" w:cs="Arial" w:eastAsia="Arial" w:hAnsi="Arial"/>
          <w:sz w:val="22"/>
          <w:szCs w:val="22"/>
          <w:color w:val="auto"/>
        </w:rPr>
        <w:t>. Table 6R1 entitled “</w:t>
      </w:r>
      <w:r>
        <w:rPr>
          <w:rFonts w:ascii="Arial" w:cs="Arial" w:eastAsia="Arial" w:hAnsi="Arial"/>
          <w:sz w:val="22"/>
          <w:szCs w:val="22"/>
          <w:u w:val="single" w:color="auto"/>
          <w:color w:val="auto"/>
        </w:rPr>
        <w:t>787-8 [****] Aircraft,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referencing SA-12 in the footer is deleted in its entirety and is replaced with the similarly titled Table 6R2 (attached hereto) referencing SA-16 in the footer. Table 6R2 is hereby incorporated into the Purchase Agreement in replacement of Table 6R1.</w:t>
      </w:r>
    </w:p>
    <w:p>
      <w:pPr>
        <w:spacing w:after="0" w:line="80" w:lineRule="exact"/>
        <w:rPr>
          <w:sz w:val="20"/>
          <w:szCs w:val="20"/>
          <w:color w:val="auto"/>
        </w:rPr>
      </w:pPr>
    </w:p>
    <w:p>
      <w:pPr>
        <w:jc w:val="both"/>
        <w:ind w:firstLine="1053"/>
        <w:spacing w:after="0" w:line="26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Table 7</w:t>
      </w:r>
      <w:r>
        <w:rPr>
          <w:rFonts w:ascii="Arial" w:cs="Arial" w:eastAsia="Arial" w:hAnsi="Arial"/>
          <w:sz w:val="22"/>
          <w:szCs w:val="22"/>
          <w:color w:val="auto"/>
        </w:rPr>
        <w:t>. Table 7 entitled “</w:t>
      </w:r>
      <w:r>
        <w:rPr>
          <w:rFonts w:ascii="Arial" w:cs="Arial" w:eastAsia="Arial" w:hAnsi="Arial"/>
          <w:sz w:val="22"/>
          <w:szCs w:val="22"/>
          <w:u w:val="single" w:color="auto"/>
          <w:color w:val="auto"/>
        </w:rPr>
        <w:t>[****] 787-9 [****] Aircraft,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w:t>
      </w:r>
      <w:r>
        <w:rPr>
          <w:rFonts w:ascii="Arial" w:cs="Arial" w:eastAsia="Arial" w:hAnsi="Arial"/>
          <w:sz w:val="22"/>
          <w:szCs w:val="22"/>
          <w:b w:val="1"/>
          <w:bCs w:val="1"/>
          <w:i w:val="1"/>
          <w:iCs w:val="1"/>
          <w:color w:val="auto"/>
        </w:rPr>
        <w:t>Table 7</w:t>
      </w:r>
      <w:r>
        <w:rPr>
          <w:rFonts w:ascii="Arial" w:cs="Arial" w:eastAsia="Arial" w:hAnsi="Arial"/>
          <w:sz w:val="22"/>
          <w:szCs w:val="22"/>
          <w:color w:val="auto"/>
        </w:rPr>
        <w:t>) is hereby incorporated into the Purchase Agreement.</w:t>
      </w:r>
    </w:p>
    <w:p>
      <w:pPr>
        <w:spacing w:after="0" w:line="115"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Letter Agreements</w:t>
      </w:r>
      <w:r>
        <w:rPr>
          <w:rFonts w:ascii="Arial" w:cs="Arial" w:eastAsia="Arial" w:hAnsi="Arial"/>
          <w:sz w:val="22"/>
          <w:szCs w:val="22"/>
          <w:b w:val="1"/>
          <w:bCs w:val="1"/>
          <w:color w:val="auto"/>
        </w:rPr>
        <w:t>.</w:t>
      </w:r>
    </w:p>
    <w:p>
      <w:pPr>
        <w:spacing w:after="0" w:line="118" w:lineRule="exact"/>
        <w:rPr>
          <w:sz w:val="20"/>
          <w:szCs w:val="20"/>
          <w:color w:val="auto"/>
        </w:rPr>
      </w:pPr>
    </w:p>
    <w:p>
      <w:pPr>
        <w:ind w:left="1060"/>
        <w:spacing w:after="0"/>
        <w:tabs>
          <w:tab w:leader="none" w:pos="19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Letter Agreement AAL-PA-3219-2101557 entitled “[****]” is hereby incorporated into the Purchase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94" w:lineRule="exact"/>
        <w:rPr>
          <w:sz w:val="20"/>
          <w:szCs w:val="20"/>
          <w:color w:val="auto"/>
        </w:rPr>
      </w:pPr>
    </w:p>
    <w:p>
      <w:pPr>
        <w:ind w:firstLine="1053"/>
        <w:spacing w:after="0" w:line="263" w:lineRule="auto"/>
        <w:rPr>
          <w:sz w:val="20"/>
          <w:szCs w:val="20"/>
          <w:color w:val="auto"/>
        </w:rPr>
      </w:pPr>
      <w:r>
        <w:rPr>
          <w:rFonts w:ascii="Arial" w:cs="Arial" w:eastAsia="Arial" w:hAnsi="Arial"/>
          <w:sz w:val="22"/>
          <w:szCs w:val="22"/>
          <w:color w:val="auto"/>
        </w:rPr>
        <w:t>3.2. Letter Agreement AAL-LA-2100530, entitled “[****]”, executed on March 9, 2021, is hereby incorporated into the Purchase Agreement.</w:t>
      </w:r>
    </w:p>
    <w:p>
      <w:pPr>
        <w:spacing w:after="0" w:line="283"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328"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Upon execution of this SA-16, Boeing shall [****] to Customer the [****] (the [****]). Such [****] ([****]).</w:t>
      </w:r>
    </w:p>
    <w:p>
      <w:pPr>
        <w:spacing w:after="0" w:line="322"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Purchase Agreement</w:t>
      </w:r>
      <w:r>
        <w:rPr>
          <w:rFonts w:ascii="Arial" w:cs="Arial" w:eastAsia="Arial" w:hAnsi="Arial"/>
          <w:sz w:val="22"/>
          <w:szCs w:val="22"/>
          <w:b w:val="1"/>
          <w:bCs w:val="1"/>
          <w:color w:val="auto"/>
        </w:rPr>
        <w:t>.</w:t>
      </w:r>
    </w:p>
    <w:p>
      <w:pPr>
        <w:spacing w:after="0" w:line="334" w:lineRule="exact"/>
        <w:rPr>
          <w:sz w:val="20"/>
          <w:szCs w:val="20"/>
          <w:color w:val="auto"/>
        </w:rPr>
      </w:pPr>
    </w:p>
    <w:p>
      <w:pPr>
        <w:ind w:left="1060"/>
        <w:spacing w:after="0"/>
        <w:tabs>
          <w:tab w:leader="none" w:pos="19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Table 5 Reference Clarifications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color w:val="auto"/>
        </w:rPr>
        <w:t>PA 3219 SA-16</w:t>
      </w:r>
      <w:r>
        <w:rPr>
          <w:sz w:val="20"/>
          <w:szCs w:val="20"/>
          <w:color w:val="auto"/>
        </w:rPr>
        <w:tab/>
      </w:r>
      <w:r>
        <w:rPr>
          <w:rFonts w:ascii="Arial" w:cs="Arial" w:eastAsia="Arial" w:hAnsi="Arial"/>
          <w:sz w:val="18"/>
          <w:szCs w:val="18"/>
          <w:color w:val="auto"/>
        </w:rPr>
        <w:t>Page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5" w:lineRule="exact"/>
        <w:rPr>
          <w:sz w:val="20"/>
          <w:szCs w:val="20"/>
          <w:color w:val="auto"/>
        </w:rPr>
      </w:pPr>
    </w:p>
    <w:p>
      <w:pPr>
        <w:jc w:val="both"/>
        <w:ind w:firstLine="2187"/>
        <w:spacing w:after="0" w:line="253" w:lineRule="auto"/>
        <w:rPr>
          <w:sz w:val="20"/>
          <w:szCs w:val="20"/>
          <w:color w:val="auto"/>
        </w:rPr>
      </w:pPr>
      <w:r>
        <w:rPr>
          <w:rFonts w:ascii="Arial" w:cs="Arial" w:eastAsia="Arial" w:hAnsi="Arial"/>
          <w:sz w:val="22"/>
          <w:szCs w:val="22"/>
          <w:color w:val="auto"/>
        </w:rPr>
        <w:t>5.1.1. The following references in the Purchase Agreement and the associated exhibits, supplemental exhibits, and letter agreements to the Purchase Agreement to “Table 5” is now deemed to refer to “Table 5(R1)”. Specifically, the locations of such references are (but may not be limited to)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71120</wp:posOffset>
            </wp:positionV>
            <wp:extent cx="4337685" cy="49288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37685" cy="4928870"/>
                    </a:xfrm>
                    <a:prstGeom prst="rect">
                      <a:avLst/>
                    </a:prstGeom>
                    <a:noFill/>
                  </pic:spPr>
                </pic:pic>
              </a:graphicData>
            </a:graphic>
          </wp:anchor>
        </w:drawing>
      </w:r>
    </w:p>
    <w:p>
      <w:pPr>
        <w:spacing w:after="0" w:line="227" w:lineRule="exact"/>
        <w:rPr>
          <w:sz w:val="20"/>
          <w:szCs w:val="20"/>
          <w:color w:val="auto"/>
        </w:rPr>
      </w:pPr>
    </w:p>
    <w:p>
      <w:pPr>
        <w:jc w:val="center"/>
        <w:ind w:right="1940"/>
        <w:spacing w:after="0"/>
        <w:rPr>
          <w:sz w:val="20"/>
          <w:szCs w:val="20"/>
          <w:color w:val="auto"/>
        </w:rPr>
      </w:pPr>
      <w:r>
        <w:rPr>
          <w:rFonts w:ascii="Arial" w:cs="Arial" w:eastAsia="Arial" w:hAnsi="Arial"/>
          <w:sz w:val="22"/>
          <w:szCs w:val="22"/>
          <w:b w:val="1"/>
          <w:bCs w:val="1"/>
          <w:u w:val="single" w:color="auto"/>
          <w:color w:val="auto"/>
        </w:rPr>
        <w:t>Location of References*</w:t>
      </w:r>
    </w:p>
    <w:p>
      <w:pPr>
        <w:spacing w:after="0" w:line="25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Articles 1, 2, 3 (all sections), 4 (all sections), and Section 5.1 of the Basic</w:t>
      </w:r>
    </w:p>
    <w:p>
      <w:pPr>
        <w:spacing w:after="0" w:line="5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Articles</w:t>
      </w:r>
    </w:p>
    <w:p>
      <w:pPr>
        <w:spacing w:after="0" w:line="202"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Exhibit C(R1), Definitions of “Aircraft” and “Engine”</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 1 of Supplemental Exhibit AE1</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1.4.1 of Letter Agreement 6-1162-CLO-1047R4 entitled “</w:t>
      </w:r>
      <w:r>
        <w:rPr>
          <w:rFonts w:ascii="Arial" w:cs="Arial" w:eastAsia="Arial" w:hAnsi="Arial"/>
          <w:sz w:val="18"/>
          <w:szCs w:val="18"/>
          <w:color w:val="auto"/>
        </w:rPr>
        <w:t>[****]</w:t>
      </w:r>
      <w:r>
        <w:rPr>
          <w:rFonts w:ascii="Arial" w:cs="Arial" w:eastAsia="Arial" w:hAnsi="Arial"/>
          <w:sz w:val="21"/>
          <w:szCs w:val="21"/>
          <w:color w:val="auto"/>
        </w:rPr>
        <w:t>”</w:t>
      </w:r>
    </w:p>
    <w:p>
      <w:pPr>
        <w:spacing w:after="0" w:line="231" w:lineRule="exact"/>
        <w:rPr>
          <w:sz w:val="20"/>
          <w:szCs w:val="20"/>
          <w:color w:val="auto"/>
        </w:rPr>
      </w:pPr>
    </w:p>
    <w:p>
      <w:pPr>
        <w:ind w:left="1320" w:right="3660"/>
        <w:spacing w:after="0" w:line="253" w:lineRule="auto"/>
        <w:rPr>
          <w:sz w:val="20"/>
          <w:szCs w:val="20"/>
          <w:color w:val="auto"/>
        </w:rPr>
      </w:pPr>
      <w:r>
        <w:rPr>
          <w:rFonts w:ascii="Arial" w:cs="Arial" w:eastAsia="Arial" w:hAnsi="Arial"/>
          <w:sz w:val="22"/>
          <w:szCs w:val="22"/>
          <w:color w:val="auto"/>
        </w:rPr>
        <w:t>Section 1 (definition of “</w:t>
      </w:r>
      <w:r>
        <w:rPr>
          <w:rFonts w:ascii="Arial" w:cs="Arial" w:eastAsia="Arial" w:hAnsi="Arial"/>
          <w:sz w:val="19"/>
          <w:szCs w:val="19"/>
          <w:color w:val="auto"/>
        </w:rPr>
        <w:t>[****]</w:t>
      </w:r>
      <w:r>
        <w:rPr>
          <w:rFonts w:ascii="Arial" w:cs="Arial" w:eastAsia="Arial" w:hAnsi="Arial"/>
          <w:sz w:val="22"/>
          <w:szCs w:val="22"/>
          <w:color w:val="auto"/>
        </w:rPr>
        <w:t>”) and Attachment C(R4) of Letter Agreement 6-1162-TRW-0664R2 entitled “</w:t>
      </w:r>
      <w:r>
        <w:rPr>
          <w:rFonts w:ascii="Arial" w:cs="Arial" w:eastAsia="Arial" w:hAnsi="Arial"/>
          <w:sz w:val="22"/>
          <w:szCs w:val="22"/>
          <w:u w:val="single" w:color="auto"/>
          <w:color w:val="auto"/>
        </w:rPr>
        <w:t>Aircraft Purchase Rights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Substitution Rights</w:t>
      </w:r>
      <w:r>
        <w:rPr>
          <w:rFonts w:ascii="Arial" w:cs="Arial" w:eastAsia="Arial" w:hAnsi="Arial"/>
          <w:sz w:val="22"/>
          <w:szCs w:val="22"/>
          <w:color w:val="auto"/>
        </w:rPr>
        <w:t>”</w:t>
      </w:r>
    </w:p>
    <w:p>
      <w:pPr>
        <w:spacing w:after="0" w:line="185" w:lineRule="exact"/>
        <w:rPr>
          <w:sz w:val="20"/>
          <w:szCs w:val="20"/>
          <w:color w:val="auto"/>
        </w:rPr>
      </w:pPr>
    </w:p>
    <w:p>
      <w:pPr>
        <w:ind w:left="1320" w:right="3260"/>
        <w:spacing w:after="0" w:line="263" w:lineRule="auto"/>
        <w:rPr>
          <w:sz w:val="20"/>
          <w:szCs w:val="20"/>
          <w:color w:val="auto"/>
        </w:rPr>
      </w:pPr>
      <w:r>
        <w:rPr>
          <w:rFonts w:ascii="Arial" w:cs="Arial" w:eastAsia="Arial" w:hAnsi="Arial"/>
          <w:sz w:val="22"/>
          <w:szCs w:val="22"/>
          <w:color w:val="auto"/>
        </w:rPr>
        <w:t>Section 1.1 of LA 6-1162-TRW-0672R1 entitled “</w:t>
      </w:r>
      <w:r>
        <w:rPr>
          <w:rFonts w:ascii="Arial" w:cs="Arial" w:eastAsia="Arial" w:hAnsi="Arial"/>
          <w:sz w:val="22"/>
          <w:szCs w:val="22"/>
          <w:u w:val="single" w:color="auto"/>
          <w:color w:val="auto"/>
        </w:rPr>
        <w:t>Promotional Support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75" w:lineRule="exact"/>
        <w:rPr>
          <w:sz w:val="20"/>
          <w:szCs w:val="20"/>
          <w:color w:val="auto"/>
        </w:rPr>
      </w:pPr>
    </w:p>
    <w:p>
      <w:pPr>
        <w:ind w:left="1320" w:right="3260"/>
        <w:spacing w:after="0" w:line="263" w:lineRule="auto"/>
        <w:rPr>
          <w:sz w:val="20"/>
          <w:szCs w:val="20"/>
          <w:color w:val="auto"/>
        </w:rPr>
      </w:pPr>
      <w:r>
        <w:rPr>
          <w:rFonts w:ascii="Arial" w:cs="Arial" w:eastAsia="Arial" w:hAnsi="Arial"/>
          <w:sz w:val="22"/>
          <w:szCs w:val="22"/>
          <w:color w:val="auto"/>
        </w:rPr>
        <w:t>Sections 4a2, 6, and 9.2 of Letter Agreement 6-1162-TRW-0674R4 entitled “</w:t>
      </w:r>
      <w:r>
        <w:rPr>
          <w:rFonts w:ascii="Arial" w:cs="Arial" w:eastAsia="Arial" w:hAnsi="Arial"/>
          <w:sz w:val="22"/>
          <w:szCs w:val="22"/>
          <w:u w:val="single" w:color="auto"/>
          <w:color w:val="auto"/>
        </w:rPr>
        <w:t>Business Considerations</w:t>
      </w:r>
      <w:r>
        <w:rPr>
          <w:rFonts w:ascii="Arial" w:cs="Arial" w:eastAsia="Arial" w:hAnsi="Arial"/>
          <w:sz w:val="22"/>
          <w:szCs w:val="22"/>
          <w:color w:val="auto"/>
        </w:rPr>
        <w:t>”</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 of Letter Agreement AAL-PA-03219-1804779 entitled “</w:t>
      </w:r>
      <w:r>
        <w:rPr>
          <w:rFonts w:ascii="Arial" w:cs="Arial" w:eastAsia="Arial" w:hAnsi="Arial"/>
          <w:sz w:val="18"/>
          <w:szCs w:val="18"/>
          <w:color w:val="auto"/>
        </w:rPr>
        <w:t>[****]</w:t>
      </w:r>
      <w:r>
        <w:rPr>
          <w:rFonts w:ascii="Arial" w:cs="Arial" w:eastAsia="Arial" w:hAnsi="Arial"/>
          <w:sz w:val="21"/>
          <w:szCs w:val="21"/>
          <w:color w:val="auto"/>
        </w:rPr>
        <w:t>”</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Section 1.2 of Letter Agreement AAL-PA-3219-LA1802492 entitled “</w:t>
      </w:r>
      <w:r>
        <w:rPr>
          <w:rFonts w:ascii="Arial" w:cs="Arial" w:eastAsia="Arial" w:hAnsi="Arial"/>
          <w:sz w:val="19"/>
          <w:szCs w:val="19"/>
          <w:u w:val="single" w:color="auto"/>
          <w:color w:val="auto"/>
        </w:rPr>
        <w:t>Open</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22"/>
          <w:szCs w:val="22"/>
          <w:u w:val="single" w:color="auto"/>
          <w:color w:val="auto"/>
        </w:rPr>
        <w:t>Configuration Matters</w:t>
      </w:r>
      <w:r>
        <w:rPr>
          <w:rFonts w:ascii="Arial" w:cs="Arial" w:eastAsia="Arial" w:hAnsi="Arial"/>
          <w:sz w:val="22"/>
          <w:szCs w:val="22"/>
          <w:color w:val="auto"/>
        </w:rPr>
        <w:t>”</w:t>
      </w:r>
    </w:p>
    <w:p>
      <w:pPr>
        <w:spacing w:after="0" w:line="202"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 1.3.1.1 of Letter Agreement AAL-1604503 entitled “</w:t>
      </w:r>
      <w:r>
        <w:rPr>
          <w:rFonts w:ascii="Arial" w:cs="Arial" w:eastAsia="Arial" w:hAnsi="Arial"/>
          <w:sz w:val="19"/>
          <w:szCs w:val="19"/>
          <w:color w:val="auto"/>
        </w:rPr>
        <w:t>[****]</w:t>
      </w:r>
      <w:r>
        <w:rPr>
          <w:rFonts w:ascii="Arial" w:cs="Arial" w:eastAsia="Arial" w:hAnsi="Arial"/>
          <w:sz w:val="22"/>
          <w:szCs w:val="22"/>
          <w:color w:val="auto"/>
        </w:rPr>
        <w:t>”</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Sections 6 and 7 of Supplemental Agreement No. 11</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Supplemental Exhibit EE1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60"/>
        <w:spacing w:after="0"/>
        <w:tabs>
          <w:tab w:leader="none" w:pos="19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Table 6 Reference Clarifications</w:t>
      </w:r>
      <w:r>
        <w:rPr>
          <w:rFonts w:ascii="Arial" w:cs="Arial" w:eastAsia="Arial" w:hAnsi="Arial"/>
          <w:sz w:val="19"/>
          <w:szCs w:val="19"/>
          <w:color w:val="auto"/>
        </w:rPr>
        <w:t>.</w:t>
      </w:r>
    </w:p>
    <w:p>
      <w:pPr>
        <w:spacing w:after="0" w:line="112" w:lineRule="exact"/>
        <w:rPr>
          <w:sz w:val="20"/>
          <w:szCs w:val="20"/>
          <w:color w:val="auto"/>
        </w:rPr>
      </w:pPr>
    </w:p>
    <w:p>
      <w:pPr>
        <w:jc w:val="both"/>
        <w:ind w:firstLine="2187"/>
        <w:spacing w:after="0" w:line="253" w:lineRule="auto"/>
        <w:rPr>
          <w:sz w:val="20"/>
          <w:szCs w:val="20"/>
          <w:color w:val="auto"/>
        </w:rPr>
      </w:pPr>
      <w:r>
        <w:rPr>
          <w:rFonts w:ascii="Arial" w:cs="Arial" w:eastAsia="Arial" w:hAnsi="Arial"/>
          <w:sz w:val="22"/>
          <w:szCs w:val="22"/>
          <w:color w:val="auto"/>
        </w:rPr>
        <w:t>5.2.1 The following references in the Purchase Agreement and the associated exhibits, supplemental exhibits, and letter agreements to the Purchase Agreement to “Table 6(R1)” is now deemed to refer to “Table 6(R2)”. Specifically, the locations of such references are (but may not be limited to)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color w:val="auto"/>
        </w:rPr>
        <w:t>PA 3219 SA-16</w:t>
      </w:r>
      <w:r>
        <w:rPr>
          <w:sz w:val="20"/>
          <w:szCs w:val="20"/>
          <w:color w:val="auto"/>
        </w:rPr>
        <w:tab/>
      </w:r>
      <w:r>
        <w:rPr>
          <w:rFonts w:ascii="Arial" w:cs="Arial" w:eastAsia="Arial" w:hAnsi="Arial"/>
          <w:sz w:val="18"/>
          <w:szCs w:val="18"/>
          <w:color w:val="auto"/>
        </w:rPr>
        <w:t>Page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type w:val="continuous"/>
        </w:sectPr>
      </w:pPr>
    </w:p>
    <w:bookmarkStart w:id="202" w:name="page203"/>
    <w:bookmarkEnd w:id="20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877570</wp:posOffset>
            </wp:positionV>
            <wp:extent cx="4337685" cy="46462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37685" cy="464629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22"/>
          <w:szCs w:val="22"/>
          <w:b w:val="1"/>
          <w:bCs w:val="1"/>
          <w:u w:val="single" w:color="auto"/>
          <w:color w:val="auto"/>
        </w:rPr>
        <w:t>Location of References*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Articles 1, 2, 3 (all sections), 4 (all sections), and Section 5.1 of the Basic</w:t>
      </w:r>
    </w:p>
    <w:p>
      <w:pPr>
        <w:ind w:left="1280"/>
        <w:spacing w:after="0"/>
        <w:rPr>
          <w:sz w:val="20"/>
          <w:szCs w:val="20"/>
          <w:color w:val="auto"/>
        </w:rPr>
      </w:pPr>
      <w:r>
        <w:rPr>
          <w:rFonts w:ascii="Arial" w:cs="Arial" w:eastAsia="Arial" w:hAnsi="Arial"/>
          <w:sz w:val="22"/>
          <w:szCs w:val="22"/>
          <w:color w:val="auto"/>
        </w:rPr>
        <w:t>Articles</w:t>
      </w:r>
    </w:p>
    <w:p>
      <w:pPr>
        <w:spacing w:after="0" w:line="107"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Exhibit C(R1), Definitions of “Aircraft” and “Engine”</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 1 of Supplemental Exhibit AE1</w:t>
      </w:r>
    </w:p>
    <w:p>
      <w:pPr>
        <w:spacing w:after="0" w:line="220" w:lineRule="exact"/>
        <w:rPr>
          <w:sz w:val="20"/>
          <w:szCs w:val="20"/>
          <w:color w:val="auto"/>
        </w:rPr>
      </w:pPr>
    </w:p>
    <w:p>
      <w:pPr>
        <w:jc w:val="both"/>
        <w:ind w:left="1320" w:right="3260"/>
        <w:spacing w:after="0" w:line="253" w:lineRule="auto"/>
        <w:rPr>
          <w:sz w:val="20"/>
          <w:szCs w:val="20"/>
          <w:color w:val="auto"/>
        </w:rPr>
      </w:pPr>
      <w:r>
        <w:rPr>
          <w:rFonts w:ascii="Arial" w:cs="Arial" w:eastAsia="Arial" w:hAnsi="Arial"/>
          <w:sz w:val="22"/>
          <w:szCs w:val="22"/>
          <w:color w:val="auto"/>
        </w:rPr>
        <w:t>Section 1 (definition of “</w:t>
      </w:r>
      <w:r>
        <w:rPr>
          <w:rFonts w:ascii="Arial" w:cs="Arial" w:eastAsia="Arial" w:hAnsi="Arial"/>
          <w:sz w:val="19"/>
          <w:szCs w:val="19"/>
          <w:color w:val="auto"/>
        </w:rPr>
        <w:t>[****]</w:t>
      </w:r>
      <w:r>
        <w:rPr>
          <w:rFonts w:ascii="Arial" w:cs="Arial" w:eastAsia="Arial" w:hAnsi="Arial"/>
          <w:sz w:val="22"/>
          <w:szCs w:val="22"/>
          <w:color w:val="auto"/>
        </w:rPr>
        <w:t>”) and Attachment C(R4) of Letter Agreement 6-1162-TRW-0664R2 entitled “</w:t>
      </w:r>
      <w:r>
        <w:rPr>
          <w:rFonts w:ascii="Arial" w:cs="Arial" w:eastAsia="Arial" w:hAnsi="Arial"/>
          <w:sz w:val="22"/>
          <w:szCs w:val="22"/>
          <w:u w:val="single" w:color="auto"/>
          <w:color w:val="auto"/>
        </w:rPr>
        <w:t>Aircraft Purchase Rights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Substitution Rights</w:t>
      </w:r>
      <w:r>
        <w:rPr>
          <w:rFonts w:ascii="Arial" w:cs="Arial" w:eastAsia="Arial" w:hAnsi="Arial"/>
          <w:sz w:val="22"/>
          <w:szCs w:val="22"/>
          <w:color w:val="auto"/>
        </w:rPr>
        <w:t>”</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1.4.1 of Letter Agreement 6-1162-CLO-1047R4 entitled “</w:t>
      </w:r>
      <w:r>
        <w:rPr>
          <w:rFonts w:ascii="Arial" w:cs="Arial" w:eastAsia="Arial" w:hAnsi="Arial"/>
          <w:sz w:val="18"/>
          <w:szCs w:val="18"/>
          <w:color w:val="auto"/>
        </w:rPr>
        <w:t>[****]</w:t>
      </w:r>
      <w:r>
        <w:rPr>
          <w:rFonts w:ascii="Arial" w:cs="Arial" w:eastAsia="Arial" w:hAnsi="Arial"/>
          <w:sz w:val="21"/>
          <w:szCs w:val="21"/>
          <w:color w:val="auto"/>
        </w:rPr>
        <w:t>”</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1.1 of LA 6-1162-TRW-0672R1 entitled “</w:t>
      </w:r>
      <w:r>
        <w:rPr>
          <w:rFonts w:ascii="Arial" w:cs="Arial" w:eastAsia="Arial" w:hAnsi="Arial"/>
          <w:sz w:val="21"/>
          <w:szCs w:val="21"/>
          <w:u w:val="single" w:color="auto"/>
          <w:color w:val="auto"/>
        </w:rPr>
        <w:t>Promotional Support</w:t>
      </w:r>
    </w:p>
    <w:p>
      <w:pPr>
        <w:spacing w:after="0" w:line="33" w:lineRule="exact"/>
        <w:rPr>
          <w:sz w:val="20"/>
          <w:szCs w:val="20"/>
          <w:color w:val="auto"/>
        </w:rPr>
      </w:pPr>
    </w:p>
    <w:p>
      <w:pPr>
        <w:ind w:left="1320"/>
        <w:spacing w:after="0"/>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02"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Section 9.2 of Letter Agreement 6-1162-TRW-0674R4 entitled “</w:t>
      </w:r>
      <w:r>
        <w:rPr>
          <w:rFonts w:ascii="Arial" w:cs="Arial" w:eastAsia="Arial" w:hAnsi="Arial"/>
          <w:sz w:val="19"/>
          <w:szCs w:val="19"/>
          <w:u w:val="single" w:color="auto"/>
          <w:color w:val="auto"/>
        </w:rPr>
        <w:t>Business</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22"/>
          <w:szCs w:val="22"/>
          <w:u w:val="single" w:color="auto"/>
          <w:color w:val="auto"/>
        </w:rPr>
        <w:t>Considerations</w:t>
      </w:r>
      <w:r>
        <w:rPr>
          <w:rFonts w:ascii="Arial" w:cs="Arial" w:eastAsia="Arial" w:hAnsi="Arial"/>
          <w:sz w:val="22"/>
          <w:szCs w:val="22"/>
          <w:color w:val="auto"/>
        </w:rPr>
        <w:t>”</w:t>
      </w:r>
    </w:p>
    <w:p>
      <w:pPr>
        <w:spacing w:after="0" w:line="202"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Section 1.1 of Letter Agreement AAL-PA-3219-LA1802492 entitled “</w:t>
      </w:r>
      <w:r>
        <w:rPr>
          <w:rFonts w:ascii="Arial" w:cs="Arial" w:eastAsia="Arial" w:hAnsi="Arial"/>
          <w:sz w:val="19"/>
          <w:szCs w:val="19"/>
          <w:u w:val="single" w:color="auto"/>
          <w:color w:val="auto"/>
        </w:rPr>
        <w:t>Open</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22"/>
          <w:szCs w:val="22"/>
          <w:u w:val="single" w:color="auto"/>
          <w:color w:val="auto"/>
        </w:rPr>
        <w:t>Configuration Matters</w:t>
      </w:r>
      <w:r>
        <w:rPr>
          <w:rFonts w:ascii="Arial" w:cs="Arial" w:eastAsia="Arial" w:hAnsi="Arial"/>
          <w:sz w:val="22"/>
          <w:szCs w:val="22"/>
          <w:color w:val="auto"/>
        </w:rPr>
        <w:t>”</w:t>
      </w:r>
    </w:p>
    <w:p>
      <w:pPr>
        <w:spacing w:after="0" w:line="202" w:lineRule="exact"/>
        <w:rPr>
          <w:sz w:val="20"/>
          <w:szCs w:val="20"/>
          <w:color w:val="auto"/>
        </w:rPr>
      </w:pPr>
    </w:p>
    <w:p>
      <w:pPr>
        <w:ind w:left="1320" w:right="3260"/>
        <w:spacing w:after="0" w:line="221" w:lineRule="auto"/>
        <w:rPr>
          <w:sz w:val="20"/>
          <w:szCs w:val="20"/>
          <w:color w:val="auto"/>
        </w:rPr>
      </w:pPr>
      <w:r>
        <w:rPr>
          <w:rFonts w:ascii="Arial" w:cs="Arial" w:eastAsia="Arial" w:hAnsi="Arial"/>
          <w:sz w:val="22"/>
          <w:szCs w:val="22"/>
          <w:color w:val="auto"/>
        </w:rPr>
        <w:t>The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paragraph of Letter Agreement AAL-PA-3219-LA-201170 entitled “</w:t>
      </w:r>
      <w:r>
        <w:rPr>
          <w:rFonts w:ascii="Arial" w:cs="Arial" w:eastAsia="Arial" w:hAnsi="Arial"/>
          <w:sz w:val="19"/>
          <w:szCs w:val="19"/>
          <w:color w:val="auto"/>
        </w:rPr>
        <w:t>[****]</w:t>
      </w:r>
      <w:r>
        <w:rPr>
          <w:rFonts w:ascii="Arial" w:cs="Arial" w:eastAsia="Arial" w:hAnsi="Arial"/>
          <w:sz w:val="22"/>
          <w:szCs w:val="22"/>
          <w:color w:val="auto"/>
        </w:rPr>
        <w:t>”</w:t>
      </w:r>
    </w:p>
    <w:p>
      <w:pPr>
        <w:spacing w:after="0" w:line="200"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Sections 6 and 7 of Supplemental Agreement No. 11</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Supplemental Exhibit EE2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60"/>
        <w:spacing w:after="0"/>
        <w:tabs>
          <w:tab w:leader="none" w:pos="19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Table 7 Reference Clarifications</w:t>
      </w:r>
      <w:r>
        <w:rPr>
          <w:rFonts w:ascii="Arial" w:cs="Arial" w:eastAsia="Arial" w:hAnsi="Arial"/>
          <w:sz w:val="19"/>
          <w:szCs w:val="19"/>
          <w:color w:val="auto"/>
        </w:rPr>
        <w:t>.</w:t>
      </w:r>
    </w:p>
    <w:p>
      <w:pPr>
        <w:spacing w:after="0" w:line="112" w:lineRule="exact"/>
        <w:rPr>
          <w:sz w:val="20"/>
          <w:szCs w:val="20"/>
          <w:color w:val="auto"/>
        </w:rPr>
      </w:pPr>
    </w:p>
    <w:p>
      <w:pPr>
        <w:jc w:val="both"/>
        <w:ind w:firstLine="2187"/>
        <w:spacing w:after="0" w:line="253" w:lineRule="auto"/>
        <w:rPr>
          <w:sz w:val="20"/>
          <w:szCs w:val="20"/>
          <w:color w:val="auto"/>
        </w:rPr>
      </w:pPr>
      <w:r>
        <w:rPr>
          <w:rFonts w:ascii="Arial" w:cs="Arial" w:eastAsia="Arial" w:hAnsi="Arial"/>
          <w:sz w:val="22"/>
          <w:szCs w:val="22"/>
          <w:color w:val="auto"/>
        </w:rPr>
        <w:t>5.3.1 The following references in the Purchase Agreement and the associated exhibits, supplemental exhibits, and letter agreements to the Purchase Agreement now include Table 7. Specifically, the locations of such references are (but may not be limited to)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71120</wp:posOffset>
            </wp:positionV>
            <wp:extent cx="4337685" cy="1414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37685" cy="1414145"/>
                    </a:xfrm>
                    <a:prstGeom prst="rect">
                      <a:avLst/>
                    </a:prstGeom>
                    <a:noFill/>
                  </pic:spPr>
                </pic:pic>
              </a:graphicData>
            </a:graphic>
          </wp:anchor>
        </w:drawing>
      </w:r>
    </w:p>
    <w:p>
      <w:pPr>
        <w:spacing w:after="0" w:line="227" w:lineRule="exact"/>
        <w:rPr>
          <w:sz w:val="20"/>
          <w:szCs w:val="20"/>
          <w:color w:val="auto"/>
        </w:rPr>
      </w:pPr>
    </w:p>
    <w:p>
      <w:pPr>
        <w:jc w:val="center"/>
        <w:ind w:right="1940"/>
        <w:spacing w:after="0"/>
        <w:rPr>
          <w:sz w:val="20"/>
          <w:szCs w:val="20"/>
          <w:color w:val="auto"/>
        </w:rPr>
      </w:pPr>
      <w:r>
        <w:rPr>
          <w:rFonts w:ascii="Arial" w:cs="Arial" w:eastAsia="Arial" w:hAnsi="Arial"/>
          <w:sz w:val="22"/>
          <w:szCs w:val="22"/>
          <w:b w:val="1"/>
          <w:bCs w:val="1"/>
          <w:u w:val="single" w:color="auto"/>
          <w:color w:val="auto"/>
        </w:rPr>
        <w:t>Location of References*</w:t>
      </w:r>
    </w:p>
    <w:p>
      <w:pPr>
        <w:spacing w:after="0" w:line="25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Articles 1, 2, 3 (all sections), 4 (all sections), and Section 5.1 of the Basic</w:t>
      </w:r>
    </w:p>
    <w:p>
      <w:pPr>
        <w:spacing w:after="0" w:line="5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Articles</w:t>
      </w:r>
    </w:p>
    <w:p>
      <w:pPr>
        <w:spacing w:after="0" w:line="202"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Exhibit C(R1), Definitions of “Aircraft” and “Engine”</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 1 of Supplemental Exhibit AE1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color w:val="auto"/>
        </w:rPr>
        <w:t>PA 3219 SA-16</w:t>
      </w:r>
      <w:r>
        <w:rPr>
          <w:sz w:val="20"/>
          <w:szCs w:val="20"/>
          <w:color w:val="auto"/>
        </w:rPr>
        <w:tab/>
      </w:r>
      <w:r>
        <w:rPr>
          <w:rFonts w:ascii="Arial" w:cs="Arial" w:eastAsia="Arial" w:hAnsi="Arial"/>
          <w:sz w:val="18"/>
          <w:szCs w:val="18"/>
          <w:color w:val="auto"/>
        </w:rPr>
        <w:t>Page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699"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699" w:gutter="0" w:footer="0" w:header="0"/>
          <w:type w:val="continuous"/>
        </w:sectPr>
      </w:pPr>
    </w:p>
    <w:bookmarkStart w:id="203" w:name="page204"/>
    <w:bookmarkEnd w:id="203"/>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877570</wp:posOffset>
            </wp:positionV>
            <wp:extent cx="4337685" cy="3086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37685" cy="3086100"/>
                    </a:xfrm>
                    <a:prstGeom prst="rect">
                      <a:avLst/>
                    </a:prstGeom>
                    <a:noFill/>
                  </pic:spPr>
                </pic:pic>
              </a:graphicData>
            </a:graphic>
          </wp:anchor>
        </w:drawing>
      </w:r>
    </w:p>
    <w:p>
      <w:pPr>
        <w:ind w:left="1320" w:right="3260"/>
        <w:spacing w:after="0" w:line="263" w:lineRule="auto"/>
        <w:rPr>
          <w:sz w:val="20"/>
          <w:szCs w:val="20"/>
          <w:color w:val="auto"/>
        </w:rPr>
      </w:pPr>
      <w:r>
        <w:rPr>
          <w:rFonts w:ascii="Arial" w:cs="Arial" w:eastAsia="Arial" w:hAnsi="Arial"/>
          <w:sz w:val="22"/>
          <w:szCs w:val="22"/>
          <w:color w:val="auto"/>
        </w:rPr>
        <w:t>Section 1.4.1 of Letter Agreement 6-1162-CLO-1047R4 entitled “</w:t>
      </w:r>
      <w:r>
        <w:rPr>
          <w:rFonts w:ascii="Arial" w:cs="Arial" w:eastAsia="Arial" w:hAnsi="Arial"/>
          <w:sz w:val="19"/>
          <w:szCs w:val="19"/>
          <w:color w:val="auto"/>
        </w:rPr>
        <w:t>[****]</w:t>
      </w:r>
      <w:r>
        <w:rPr>
          <w:rFonts w:ascii="Arial" w:cs="Arial" w:eastAsia="Arial" w:hAnsi="Arial"/>
          <w:sz w:val="22"/>
          <w:szCs w:val="22"/>
          <w:color w:val="auto"/>
        </w:rPr>
        <w:t>” (</w:t>
      </w:r>
      <w:r>
        <w:rPr>
          <w:rFonts w:ascii="Arial" w:cs="Arial" w:eastAsia="Arial" w:hAnsi="Arial"/>
          <w:sz w:val="19"/>
          <w:szCs w:val="19"/>
          <w:color w:val="auto"/>
        </w:rPr>
        <w:t>[****]</w:t>
      </w:r>
      <w:r>
        <w:rPr>
          <w:rFonts w:ascii="Arial" w:cs="Arial" w:eastAsia="Arial" w:hAnsi="Arial"/>
          <w:sz w:val="22"/>
          <w:szCs w:val="22"/>
          <w:color w:val="auto"/>
        </w:rPr>
        <w:t>)</w:t>
      </w:r>
    </w:p>
    <w:p>
      <w:pPr>
        <w:spacing w:after="0" w:line="175" w:lineRule="exact"/>
        <w:rPr>
          <w:sz w:val="20"/>
          <w:szCs w:val="20"/>
          <w:color w:val="auto"/>
        </w:rPr>
      </w:pPr>
    </w:p>
    <w:p>
      <w:pPr>
        <w:ind w:left="1320" w:right="3260"/>
        <w:spacing w:after="0" w:line="263" w:lineRule="auto"/>
        <w:rPr>
          <w:sz w:val="20"/>
          <w:szCs w:val="20"/>
          <w:color w:val="auto"/>
        </w:rPr>
      </w:pPr>
      <w:r>
        <w:rPr>
          <w:rFonts w:ascii="Arial" w:cs="Arial" w:eastAsia="Arial" w:hAnsi="Arial"/>
          <w:sz w:val="22"/>
          <w:szCs w:val="22"/>
          <w:color w:val="auto"/>
        </w:rPr>
        <w:t>Section 1 (definition of “</w:t>
      </w:r>
      <w:r>
        <w:rPr>
          <w:rFonts w:ascii="Arial" w:cs="Arial" w:eastAsia="Arial" w:hAnsi="Arial"/>
          <w:sz w:val="19"/>
          <w:szCs w:val="19"/>
          <w:color w:val="auto"/>
        </w:rPr>
        <w:t>[****]</w:t>
      </w:r>
      <w:r>
        <w:rPr>
          <w:rFonts w:ascii="Arial" w:cs="Arial" w:eastAsia="Arial" w:hAnsi="Arial"/>
          <w:sz w:val="22"/>
          <w:szCs w:val="22"/>
          <w:color w:val="auto"/>
        </w:rPr>
        <w:t>”) of Letter Agreement 6-1162-TRW-0664R2 entitled “</w:t>
      </w:r>
      <w:r>
        <w:rPr>
          <w:rFonts w:ascii="Arial" w:cs="Arial" w:eastAsia="Arial" w:hAnsi="Arial"/>
          <w:sz w:val="22"/>
          <w:szCs w:val="22"/>
          <w:u w:val="single" w:color="auto"/>
          <w:color w:val="auto"/>
        </w:rPr>
        <w:t>Aircraft Purchase Rights and Substitution Rights</w:t>
      </w:r>
      <w:r>
        <w:rPr>
          <w:rFonts w:ascii="Arial" w:cs="Arial" w:eastAsia="Arial" w:hAnsi="Arial"/>
          <w:sz w:val="22"/>
          <w:szCs w:val="22"/>
          <w:color w:val="auto"/>
        </w:rPr>
        <w:t>”</w:t>
      </w:r>
    </w:p>
    <w:p>
      <w:pPr>
        <w:spacing w:after="0" w:line="175" w:lineRule="exact"/>
        <w:rPr>
          <w:sz w:val="20"/>
          <w:szCs w:val="20"/>
          <w:color w:val="auto"/>
        </w:rPr>
      </w:pPr>
    </w:p>
    <w:p>
      <w:pPr>
        <w:ind w:left="1320" w:right="3260"/>
        <w:spacing w:after="0" w:line="263" w:lineRule="auto"/>
        <w:rPr>
          <w:sz w:val="20"/>
          <w:szCs w:val="20"/>
          <w:color w:val="auto"/>
        </w:rPr>
      </w:pPr>
      <w:r>
        <w:rPr>
          <w:rFonts w:ascii="Arial" w:cs="Arial" w:eastAsia="Arial" w:hAnsi="Arial"/>
          <w:sz w:val="22"/>
          <w:szCs w:val="22"/>
          <w:color w:val="auto"/>
        </w:rPr>
        <w:t>Section 1.1 of LA 6-1162-TRW-0672R1 entitled “</w:t>
      </w:r>
      <w:r>
        <w:rPr>
          <w:rFonts w:ascii="Arial" w:cs="Arial" w:eastAsia="Arial" w:hAnsi="Arial"/>
          <w:sz w:val="22"/>
          <w:szCs w:val="22"/>
          <w:u w:val="single" w:color="auto"/>
          <w:color w:val="auto"/>
        </w:rPr>
        <w:t>Promotional Support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75" w:lineRule="exact"/>
        <w:rPr>
          <w:sz w:val="20"/>
          <w:szCs w:val="20"/>
          <w:color w:val="auto"/>
        </w:rPr>
      </w:pPr>
    </w:p>
    <w:p>
      <w:pPr>
        <w:ind w:left="1360" w:right="3260" w:firstLine="16"/>
        <w:spacing w:after="0" w:line="263" w:lineRule="auto"/>
        <w:rPr>
          <w:sz w:val="20"/>
          <w:szCs w:val="20"/>
          <w:color w:val="auto"/>
        </w:rPr>
      </w:pPr>
      <w:r>
        <w:rPr>
          <w:rFonts w:ascii="Arial" w:cs="Arial" w:eastAsia="Arial" w:hAnsi="Arial"/>
          <w:sz w:val="22"/>
          <w:szCs w:val="22"/>
          <w:color w:val="auto"/>
        </w:rPr>
        <w:t>Sections 4a.2, 6, and 9.2 of Letter Agreement 6-1162-TRW-0674R4 entitled “</w:t>
      </w:r>
      <w:r>
        <w:rPr>
          <w:rFonts w:ascii="Arial" w:cs="Arial" w:eastAsia="Arial" w:hAnsi="Arial"/>
          <w:sz w:val="22"/>
          <w:szCs w:val="22"/>
          <w:u w:val="single" w:color="auto"/>
          <w:color w:val="auto"/>
        </w:rPr>
        <w:t>Business Considerations</w:t>
      </w:r>
      <w:r>
        <w:rPr>
          <w:rFonts w:ascii="Arial" w:cs="Arial" w:eastAsia="Arial" w:hAnsi="Arial"/>
          <w:sz w:val="22"/>
          <w:szCs w:val="22"/>
          <w:color w:val="auto"/>
        </w:rPr>
        <w:t>”</w:t>
      </w:r>
    </w:p>
    <w:p>
      <w:pPr>
        <w:spacing w:after="0" w:line="67"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 of Letter Agreement AAL-PA-03219-1804779 entitled “[****]”</w:t>
      </w:r>
    </w:p>
    <w:p>
      <w:pPr>
        <w:spacing w:after="0" w:line="123" w:lineRule="exact"/>
        <w:rPr>
          <w:sz w:val="20"/>
          <w:szCs w:val="20"/>
          <w:color w:val="auto"/>
        </w:rPr>
      </w:pPr>
    </w:p>
    <w:p>
      <w:pPr>
        <w:ind w:left="1320" w:right="3260"/>
        <w:spacing w:after="0" w:line="263" w:lineRule="auto"/>
        <w:rPr>
          <w:sz w:val="20"/>
          <w:szCs w:val="20"/>
          <w:color w:val="auto"/>
        </w:rPr>
      </w:pPr>
      <w:r>
        <w:rPr>
          <w:rFonts w:ascii="Arial" w:cs="Arial" w:eastAsia="Arial" w:hAnsi="Arial"/>
          <w:sz w:val="22"/>
          <w:szCs w:val="22"/>
          <w:color w:val="auto"/>
        </w:rPr>
        <w:t>Section 1.2 of Letter Agreement AAL-PA-3219-LA1802492 entitled “</w:t>
      </w:r>
      <w:r>
        <w:rPr>
          <w:rFonts w:ascii="Arial" w:cs="Arial" w:eastAsia="Arial" w:hAnsi="Arial"/>
          <w:sz w:val="22"/>
          <w:szCs w:val="22"/>
          <w:u w:val="single" w:color="auto"/>
          <w:color w:val="auto"/>
        </w:rPr>
        <w:t>Open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Configuration Matters</w:t>
      </w:r>
      <w:r>
        <w:rPr>
          <w:rFonts w:ascii="Arial" w:cs="Arial" w:eastAsia="Arial" w:hAnsi="Arial"/>
          <w:sz w:val="22"/>
          <w:szCs w:val="22"/>
          <w:color w:val="auto"/>
        </w:rPr>
        <w:t>”</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Sections 6 and 7 of Supplemental Agreement No. 11</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Supplemental Exhibit EE1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2"/>
          <w:szCs w:val="22"/>
          <w:color w:val="auto"/>
        </w:rPr>
        <w:t>5.4. The reference in Section 4.1.1 of Letter Agreement 6-1162-TRW-0670R1 entitled “Miscellaneous Commitments for Model 787 Aircraft” to “Letter Agreement Nos. AAL-PA-3219-LA-08837 and AAL-PA-3219-LA-08838” is now deemed to be the following: “Letter Agreement Nos. AAL-PA-3219-LA-08837R1, AAL-PA-3219-LA-08838 and AAL-PA-3219-LA-2001170.”</w:t>
      </w:r>
    </w:p>
    <w:p>
      <w:pPr>
        <w:spacing w:after="0" w:line="323" w:lineRule="exact"/>
        <w:rPr>
          <w:sz w:val="20"/>
          <w:szCs w:val="20"/>
          <w:color w:val="auto"/>
        </w:rPr>
      </w:pPr>
    </w:p>
    <w:p>
      <w:pPr>
        <w:jc w:val="both"/>
        <w:ind w:firstLine="1053"/>
        <w:spacing w:after="0" w:line="248" w:lineRule="auto"/>
        <w:rPr>
          <w:sz w:val="20"/>
          <w:szCs w:val="20"/>
          <w:color w:val="auto"/>
        </w:rPr>
      </w:pPr>
      <w:r>
        <w:rPr>
          <w:rFonts w:ascii="Arial" w:cs="Arial" w:eastAsia="Arial" w:hAnsi="Arial"/>
          <w:sz w:val="22"/>
          <w:szCs w:val="22"/>
          <w:color w:val="auto"/>
        </w:rPr>
        <w:t>5.5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color w:val="auto"/>
        </w:rPr>
        <w:t>PA 3219 SA-16</w:t>
      </w:r>
      <w:r>
        <w:rPr>
          <w:sz w:val="20"/>
          <w:szCs w:val="20"/>
          <w:color w:val="auto"/>
        </w:rPr>
        <w:tab/>
      </w:r>
      <w:r>
        <w:rPr>
          <w:rFonts w:ascii="Arial" w:cs="Arial" w:eastAsia="Arial" w:hAnsi="Arial"/>
          <w:sz w:val="18"/>
          <w:szCs w:val="18"/>
          <w:color w:val="auto"/>
        </w:rPr>
        <w:t>Page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AGREED AND ACCEPTED</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15875</wp:posOffset>
            </wp:positionV>
            <wp:extent cx="32575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15875</wp:posOffset>
            </wp:positionV>
            <wp:extent cx="32575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Signature</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15875</wp:posOffset>
            </wp:positionV>
            <wp:extent cx="325755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Printed name</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15875</wp:posOffset>
            </wp:positionV>
            <wp:extent cx="32575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AIRLINES, INC.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15875</wp:posOffset>
            </wp:positionV>
            <wp:extent cx="3531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15875</wp:posOffset>
            </wp:positionV>
            <wp:extent cx="3531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15875</wp:posOffset>
            </wp:positionV>
            <wp:extent cx="3531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color w:val="auto"/>
        </w:rPr>
        <w:t>PA 3219 SA-16</w:t>
      </w:r>
      <w:r>
        <w:rPr>
          <w:sz w:val="20"/>
          <w:szCs w:val="20"/>
          <w:color w:val="auto"/>
        </w:rPr>
        <w:tab/>
      </w:r>
      <w:r>
        <w:rPr>
          <w:rFonts w:ascii="Arial" w:cs="Arial" w:eastAsia="Arial" w:hAnsi="Arial"/>
          <w:sz w:val="18"/>
          <w:szCs w:val="18"/>
          <w:color w:val="auto"/>
        </w:rPr>
        <w:t>Page 6</w:t>
      </w:r>
    </w:p>
    <w:p>
      <w:pPr>
        <w:spacing w:after="0" w:line="21" w:lineRule="exact"/>
        <w:rPr>
          <w:sz w:val="20"/>
          <w:szCs w:val="20"/>
          <w:color w:val="auto"/>
        </w:rPr>
      </w:pPr>
    </w:p>
    <w:p>
      <w:pPr>
        <w:jc w:val="right"/>
        <w:ind w:right="32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205" w:name="page206"/>
    <w:bookmarkEnd w:id="205"/>
    <w:tbl>
      <w:tblPr>
        <w:tblLayout w:type="fixed"/>
        <w:tblInd w:w="0" w:type="dxa"/>
        <w:tblCellMar>
          <w:top w:w="0" w:type="dxa"/>
          <w:left w:w="0" w:type="dxa"/>
          <w:bottom w:w="0" w:type="dxa"/>
          <w:right w:w="0" w:type="dxa"/>
        </w:tblCellMar>
      </w:tblPr>
      <w:tr>
        <w:trPr>
          <w:trHeight w:val="274"/>
        </w:trPr>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980" w:type="dxa"/>
            <w:vAlign w:val="bottom"/>
            <w:gridSpan w:val="2"/>
          </w:tcPr>
          <w:p>
            <w:pPr>
              <w:ind w:left="1460"/>
              <w:spacing w:after="0"/>
              <w:rPr>
                <w:sz w:val="20"/>
                <w:szCs w:val="20"/>
                <w:color w:val="auto"/>
              </w:rPr>
            </w:pPr>
            <w:r>
              <w:rPr>
                <w:rFonts w:ascii="Arial" w:cs="Arial" w:eastAsia="Arial" w:hAnsi="Arial"/>
                <w:sz w:val="22"/>
                <w:szCs w:val="22"/>
                <w:color w:val="auto"/>
              </w:rPr>
              <w:t>TABLE OF CONTENTS</w:t>
            </w:r>
          </w:p>
        </w:tc>
      </w:tr>
      <w:tr>
        <w:trPr>
          <w:trHeight w:val="517"/>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6"/>
          </w:tcPr>
          <w:p>
            <w:pPr>
              <w:jc w:val="center"/>
              <w:ind w:right="920"/>
              <w:spacing w:after="0"/>
              <w:rPr>
                <w:sz w:val="20"/>
                <w:szCs w:val="20"/>
                <w:color w:val="auto"/>
              </w:rPr>
            </w:pPr>
            <w:r>
              <w:rPr>
                <w:rFonts w:ascii="Arial" w:cs="Arial" w:eastAsia="Arial" w:hAnsi="Arial"/>
                <w:sz w:val="22"/>
                <w:szCs w:val="22"/>
                <w:color w:val="auto"/>
                <w:w w:val="94"/>
              </w:rPr>
              <w:t>ARTICLES</w:t>
            </w:r>
          </w:p>
        </w:tc>
        <w:tc>
          <w:tcPr>
            <w:tcW w:w="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41"/>
        </w:trPr>
        <w:tc>
          <w:tcPr>
            <w:tcW w:w="420" w:type="dxa"/>
            <w:vAlign w:val="bottom"/>
            <w:gridSpan w:val="2"/>
          </w:tcPr>
          <w:p>
            <w:pPr>
              <w:spacing w:after="0"/>
              <w:rPr>
                <w:sz w:val="24"/>
                <w:szCs w:val="24"/>
                <w:color w:val="auto"/>
              </w:rPr>
            </w:pPr>
          </w:p>
        </w:tc>
        <w:tc>
          <w:tcPr>
            <w:tcW w:w="440" w:type="dxa"/>
            <w:vAlign w:val="bottom"/>
            <w:tcBorders>
              <w:top w:val="single" w:sz="8" w:color="auto"/>
            </w:tcBorders>
            <w:gridSpan w:val="2"/>
          </w:tcPr>
          <w:p>
            <w:pPr>
              <w:jc w:val="center"/>
              <w:ind w:left="172"/>
              <w:spacing w:after="0"/>
              <w:rPr>
                <w:sz w:val="20"/>
                <w:szCs w:val="20"/>
                <w:color w:val="auto"/>
              </w:rPr>
            </w:pPr>
            <w:r>
              <w:rPr>
                <w:rFonts w:ascii="Arial" w:cs="Arial" w:eastAsia="Arial" w:hAnsi="Arial"/>
                <w:sz w:val="22"/>
                <w:szCs w:val="22"/>
                <w:color w:val="auto"/>
                <w:w w:val="86"/>
              </w:rPr>
              <w:t>1.</w:t>
            </w: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22"/>
                <w:szCs w:val="22"/>
                <w:color w:val="auto"/>
              </w:rPr>
              <w:t>Quantity, Model and Description</w:t>
            </w:r>
          </w:p>
        </w:tc>
      </w:tr>
      <w:tr>
        <w:trPr>
          <w:trHeight w:val="311"/>
        </w:trPr>
        <w:tc>
          <w:tcPr>
            <w:tcW w:w="860" w:type="dxa"/>
            <w:vAlign w:val="bottom"/>
            <w:gridSpan w:val="4"/>
          </w:tcPr>
          <w:p>
            <w:pPr>
              <w:jc w:val="center"/>
              <w:ind w:left="592"/>
              <w:spacing w:after="0"/>
              <w:rPr>
                <w:sz w:val="20"/>
                <w:szCs w:val="20"/>
                <w:color w:val="auto"/>
              </w:rPr>
            </w:pPr>
            <w:r>
              <w:rPr>
                <w:rFonts w:ascii="Arial" w:cs="Arial" w:eastAsia="Arial" w:hAnsi="Arial"/>
                <w:sz w:val="22"/>
                <w:szCs w:val="22"/>
                <w:color w:val="auto"/>
                <w:w w:val="86"/>
              </w:rPr>
              <w:t>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22"/>
                <w:szCs w:val="22"/>
                <w:color w:val="auto"/>
              </w:rPr>
              <w:t>Delivery Schedule</w:t>
            </w:r>
          </w:p>
        </w:tc>
      </w:tr>
      <w:tr>
        <w:trPr>
          <w:trHeight w:val="310"/>
        </w:trPr>
        <w:tc>
          <w:tcPr>
            <w:tcW w:w="860" w:type="dxa"/>
            <w:vAlign w:val="bottom"/>
            <w:gridSpan w:val="4"/>
          </w:tcPr>
          <w:p>
            <w:pPr>
              <w:jc w:val="center"/>
              <w:ind w:left="592"/>
              <w:spacing w:after="0"/>
              <w:rPr>
                <w:sz w:val="20"/>
                <w:szCs w:val="20"/>
                <w:color w:val="auto"/>
              </w:rPr>
            </w:pPr>
            <w:r>
              <w:rPr>
                <w:rFonts w:ascii="Arial" w:cs="Arial" w:eastAsia="Arial" w:hAnsi="Arial"/>
                <w:sz w:val="22"/>
                <w:szCs w:val="22"/>
                <w:color w:val="auto"/>
                <w:w w:val="86"/>
              </w:rPr>
              <w:t>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22"/>
                <w:szCs w:val="22"/>
                <w:color w:val="auto"/>
              </w:rPr>
              <w:t>Price</w:t>
            </w:r>
          </w:p>
        </w:tc>
      </w:tr>
      <w:tr>
        <w:trPr>
          <w:trHeight w:val="311"/>
        </w:trPr>
        <w:tc>
          <w:tcPr>
            <w:tcW w:w="860" w:type="dxa"/>
            <w:vAlign w:val="bottom"/>
            <w:gridSpan w:val="4"/>
          </w:tcPr>
          <w:p>
            <w:pPr>
              <w:jc w:val="center"/>
              <w:ind w:left="592"/>
              <w:spacing w:after="0"/>
              <w:rPr>
                <w:sz w:val="20"/>
                <w:szCs w:val="20"/>
                <w:color w:val="auto"/>
              </w:rPr>
            </w:pPr>
            <w:r>
              <w:rPr>
                <w:rFonts w:ascii="Arial" w:cs="Arial" w:eastAsia="Arial" w:hAnsi="Arial"/>
                <w:sz w:val="22"/>
                <w:szCs w:val="22"/>
                <w:color w:val="auto"/>
                <w:w w:val="86"/>
              </w:rPr>
              <w:t>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22"/>
                <w:szCs w:val="22"/>
                <w:color w:val="auto"/>
              </w:rPr>
              <w:t>Payment</w:t>
            </w:r>
          </w:p>
        </w:tc>
      </w:tr>
      <w:tr>
        <w:trPr>
          <w:trHeight w:val="311"/>
        </w:trPr>
        <w:tc>
          <w:tcPr>
            <w:tcW w:w="860" w:type="dxa"/>
            <w:vAlign w:val="bottom"/>
            <w:gridSpan w:val="4"/>
          </w:tcPr>
          <w:p>
            <w:pPr>
              <w:jc w:val="center"/>
              <w:ind w:left="592"/>
              <w:spacing w:after="0"/>
              <w:rPr>
                <w:sz w:val="20"/>
                <w:szCs w:val="20"/>
                <w:color w:val="auto"/>
              </w:rPr>
            </w:pPr>
            <w:r>
              <w:rPr>
                <w:rFonts w:ascii="Arial" w:cs="Arial" w:eastAsia="Arial" w:hAnsi="Arial"/>
                <w:sz w:val="22"/>
                <w:szCs w:val="22"/>
                <w:color w:val="auto"/>
                <w:w w:val="86"/>
              </w:rPr>
              <w:t>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22"/>
                <w:szCs w:val="22"/>
                <w:color w:val="auto"/>
              </w:rPr>
              <w:t>Miscellaneous</w:t>
            </w:r>
          </w:p>
        </w:tc>
      </w:tr>
      <w:tr>
        <w:trPr>
          <w:trHeight w:val="310"/>
        </w:trPr>
        <w:tc>
          <w:tcPr>
            <w:tcW w:w="860" w:type="dxa"/>
            <w:vAlign w:val="bottom"/>
            <w:gridSpan w:val="4"/>
          </w:tcPr>
          <w:p>
            <w:pPr>
              <w:jc w:val="center"/>
              <w:ind w:left="592"/>
              <w:spacing w:after="0"/>
              <w:rPr>
                <w:sz w:val="20"/>
                <w:szCs w:val="20"/>
                <w:color w:val="auto"/>
              </w:rPr>
            </w:pPr>
            <w:r>
              <w:rPr>
                <w:rFonts w:ascii="Arial" w:cs="Arial" w:eastAsia="Arial" w:hAnsi="Arial"/>
                <w:sz w:val="22"/>
                <w:szCs w:val="22"/>
                <w:color w:val="auto"/>
                <w:w w:val="86"/>
              </w:rPr>
              <w:t>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22"/>
                <w:szCs w:val="22"/>
                <w:color w:val="auto"/>
              </w:rPr>
              <w:t>Confidential Treatment</w:t>
            </w:r>
          </w:p>
        </w:tc>
      </w:tr>
      <w:tr>
        <w:trPr>
          <w:trHeight w:val="503"/>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6"/>
          </w:tcPr>
          <w:p>
            <w:pPr>
              <w:jc w:val="center"/>
              <w:ind w:right="1220"/>
              <w:spacing w:after="0"/>
              <w:rPr>
                <w:sz w:val="20"/>
                <w:szCs w:val="20"/>
                <w:color w:val="auto"/>
              </w:rPr>
            </w:pPr>
            <w:r>
              <w:rPr>
                <w:rFonts w:ascii="Arial" w:cs="Arial" w:eastAsia="Arial" w:hAnsi="Arial"/>
                <w:sz w:val="22"/>
                <w:szCs w:val="22"/>
                <w:color w:val="auto"/>
                <w:w w:val="97"/>
              </w:rPr>
              <w:t>TABLE</w:t>
            </w:r>
          </w:p>
        </w:tc>
        <w:tc>
          <w:tcPr>
            <w:tcW w:w="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41"/>
        </w:trPr>
        <w:tc>
          <w:tcPr>
            <w:tcW w:w="3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20" w:type="dxa"/>
            <w:vAlign w:val="bottom"/>
            <w:tcBorders>
              <w:top w:val="single" w:sz="8" w:color="auto"/>
            </w:tcBorders>
          </w:tcPr>
          <w:p>
            <w:pPr>
              <w:jc w:val="center"/>
              <w:ind w:left="152"/>
              <w:spacing w:after="0"/>
              <w:rPr>
                <w:sz w:val="20"/>
                <w:szCs w:val="20"/>
                <w:color w:val="auto"/>
              </w:rPr>
            </w:pPr>
            <w:r>
              <w:rPr>
                <w:rFonts w:ascii="Arial" w:cs="Arial" w:eastAsia="Arial" w:hAnsi="Arial"/>
                <w:sz w:val="22"/>
                <w:szCs w:val="22"/>
                <w:color w:val="auto"/>
                <w:strike w:val="1"/>
                <w:w w:val="86"/>
              </w:rPr>
              <w:t>1.</w:t>
            </w: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22"/>
                <w:szCs w:val="22"/>
                <w:color w:val="auto"/>
                <w:strike w:val="1"/>
                <w:w w:val="92"/>
              </w:rPr>
              <w:t>Aircraft Information Table – TRENT</w:t>
            </w:r>
          </w:p>
        </w:tc>
        <w:tc>
          <w:tcPr>
            <w:tcW w:w="3100" w:type="dxa"/>
            <w:vAlign w:val="bottom"/>
          </w:tcPr>
          <w:p>
            <w:pPr>
              <w:ind w:left="40"/>
              <w:spacing w:after="0"/>
              <w:rPr>
                <w:sz w:val="20"/>
                <w:szCs w:val="20"/>
                <w:color w:val="auto"/>
              </w:rPr>
            </w:pPr>
            <w:r>
              <w:rPr>
                <w:rFonts w:ascii="Arial" w:cs="Arial" w:eastAsia="Arial" w:hAnsi="Arial"/>
                <w:sz w:val="22"/>
                <w:szCs w:val="22"/>
                <w:color w:val="auto"/>
              </w:rPr>
              <w:t>WITHDRAWN</w:t>
            </w:r>
          </w:p>
        </w:tc>
      </w:tr>
      <w:tr>
        <w:trPr>
          <w:trHeight w:val="513"/>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jc w:val="center"/>
              <w:ind w:right="1260"/>
              <w:spacing w:after="0"/>
              <w:rPr>
                <w:sz w:val="20"/>
                <w:szCs w:val="20"/>
                <w:color w:val="auto"/>
              </w:rPr>
            </w:pPr>
            <w:r>
              <w:rPr>
                <w:rFonts w:ascii="Arial" w:cs="Arial" w:eastAsia="Arial" w:hAnsi="Arial"/>
                <w:sz w:val="22"/>
                <w:szCs w:val="22"/>
                <w:color w:val="auto"/>
                <w:w w:val="90"/>
              </w:rPr>
              <w:t>1(R7)</w:t>
            </w:r>
          </w:p>
        </w:tc>
        <w:tc>
          <w:tcPr>
            <w:tcW w:w="6320" w:type="dxa"/>
            <w:vAlign w:val="bottom"/>
            <w:gridSpan w:val="3"/>
          </w:tcPr>
          <w:p>
            <w:pPr>
              <w:spacing w:after="0"/>
              <w:rPr>
                <w:sz w:val="20"/>
                <w:szCs w:val="20"/>
                <w:color w:val="auto"/>
              </w:rPr>
            </w:pPr>
            <w:r>
              <w:rPr>
                <w:rFonts w:ascii="Arial" w:cs="Arial" w:eastAsia="Arial" w:hAnsi="Arial"/>
                <w:sz w:val="22"/>
                <w:szCs w:val="22"/>
                <w:color w:val="auto"/>
              </w:rPr>
              <w:t>787-9 Aircraft Information Table – GENX</w:t>
            </w:r>
          </w:p>
        </w:tc>
      </w:tr>
      <w:tr>
        <w:trPr>
          <w:trHeight w:val="495"/>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jc w:val="center"/>
              <w:ind w:right="1260"/>
              <w:spacing w:after="0"/>
              <w:rPr>
                <w:sz w:val="20"/>
                <w:szCs w:val="20"/>
                <w:color w:val="auto"/>
              </w:rPr>
            </w:pPr>
            <w:r>
              <w:rPr>
                <w:rFonts w:ascii="Arial" w:cs="Arial" w:eastAsia="Arial" w:hAnsi="Arial"/>
                <w:sz w:val="22"/>
                <w:szCs w:val="22"/>
                <w:color w:val="auto"/>
                <w:w w:val="90"/>
              </w:rPr>
              <w:t>2(R1)</w:t>
            </w:r>
          </w:p>
        </w:tc>
        <w:tc>
          <w:tcPr>
            <w:tcW w:w="6320" w:type="dxa"/>
            <w:vAlign w:val="bottom"/>
            <w:gridSpan w:val="3"/>
          </w:tcPr>
          <w:p>
            <w:pPr>
              <w:spacing w:after="0"/>
              <w:rPr>
                <w:sz w:val="20"/>
                <w:szCs w:val="20"/>
                <w:color w:val="auto"/>
              </w:rPr>
            </w:pPr>
            <w:r>
              <w:rPr>
                <w:rFonts w:ascii="Arial" w:cs="Arial" w:eastAsia="Arial" w:hAnsi="Arial"/>
                <w:sz w:val="22"/>
                <w:szCs w:val="22"/>
                <w:color w:val="auto"/>
              </w:rPr>
              <w:t>787-8 Aircraft Information Table – GENX</w:t>
            </w:r>
          </w:p>
        </w:tc>
      </w:tr>
      <w:tr>
        <w:trPr>
          <w:trHeight w:val="274"/>
        </w:trPr>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320" w:type="dxa"/>
            <w:vAlign w:val="bottom"/>
            <w:gridSpan w:val="3"/>
          </w:tcPr>
          <w:p>
            <w:pPr>
              <w:ind w:left="320"/>
              <w:spacing w:after="0"/>
              <w:rPr>
                <w:sz w:val="20"/>
                <w:szCs w:val="20"/>
                <w:color w:val="auto"/>
              </w:rPr>
            </w:pPr>
            <w:r>
              <w:rPr>
                <w:rFonts w:ascii="Arial" w:cs="Arial" w:eastAsia="Arial" w:hAnsi="Arial"/>
                <w:sz w:val="22"/>
                <w:szCs w:val="22"/>
                <w:color w:val="auto"/>
              </w:rPr>
              <w:t>([****] (12) 787-8 Aircraft)</w:t>
            </w:r>
          </w:p>
        </w:tc>
      </w:tr>
      <w:tr>
        <w:trPr>
          <w:trHeight w:val="495"/>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jc w:val="center"/>
              <w:ind w:right="1260"/>
              <w:spacing w:after="0"/>
              <w:rPr>
                <w:sz w:val="20"/>
                <w:szCs w:val="20"/>
                <w:color w:val="auto"/>
              </w:rPr>
            </w:pPr>
            <w:r>
              <w:rPr>
                <w:rFonts w:ascii="Arial" w:cs="Arial" w:eastAsia="Arial" w:hAnsi="Arial"/>
                <w:sz w:val="22"/>
                <w:szCs w:val="22"/>
                <w:color w:val="auto"/>
                <w:w w:val="90"/>
              </w:rPr>
              <w:t>3(R1)</w:t>
            </w:r>
          </w:p>
        </w:tc>
        <w:tc>
          <w:tcPr>
            <w:tcW w:w="6320" w:type="dxa"/>
            <w:vAlign w:val="bottom"/>
            <w:gridSpan w:val="3"/>
          </w:tcPr>
          <w:p>
            <w:pPr>
              <w:spacing w:after="0"/>
              <w:rPr>
                <w:sz w:val="20"/>
                <w:szCs w:val="20"/>
                <w:color w:val="auto"/>
              </w:rPr>
            </w:pPr>
            <w:r>
              <w:rPr>
                <w:rFonts w:ascii="Arial" w:cs="Arial" w:eastAsia="Arial" w:hAnsi="Arial"/>
                <w:sz w:val="22"/>
                <w:szCs w:val="22"/>
                <w:color w:val="auto"/>
              </w:rPr>
              <w:t>787-8 Aircraft Information Table – GENX</w:t>
            </w:r>
          </w:p>
        </w:tc>
      </w:tr>
      <w:tr>
        <w:trPr>
          <w:trHeight w:val="274"/>
        </w:trPr>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320" w:type="dxa"/>
            <w:vAlign w:val="bottom"/>
            <w:gridSpan w:val="3"/>
          </w:tcPr>
          <w:p>
            <w:pPr>
              <w:ind w:left="320"/>
              <w:spacing w:after="0"/>
              <w:rPr>
                <w:sz w:val="20"/>
                <w:szCs w:val="20"/>
                <w:color w:val="auto"/>
              </w:rPr>
            </w:pPr>
            <w:r>
              <w:rPr>
                <w:rFonts w:ascii="Arial" w:cs="Arial" w:eastAsia="Arial" w:hAnsi="Arial"/>
                <w:sz w:val="22"/>
                <w:szCs w:val="22"/>
                <w:color w:val="auto"/>
                <w:w w:val="95"/>
              </w:rPr>
              <w:t>[****] Eight (8) 787-8 Aircraft, yielding Twenty (20) 787-8 Aircraft)</w:t>
            </w:r>
          </w:p>
        </w:tc>
      </w:tr>
      <w:tr>
        <w:trPr>
          <w:trHeight w:val="513"/>
        </w:trPr>
        <w:tc>
          <w:tcPr>
            <w:tcW w:w="860" w:type="dxa"/>
            <w:vAlign w:val="bottom"/>
            <w:gridSpan w:val="4"/>
          </w:tcPr>
          <w:p>
            <w:pPr>
              <w:jc w:val="center"/>
              <w:ind w:left="572"/>
              <w:spacing w:after="0"/>
              <w:rPr>
                <w:sz w:val="20"/>
                <w:szCs w:val="20"/>
                <w:color w:val="auto"/>
              </w:rPr>
            </w:pPr>
            <w:r>
              <w:rPr>
                <w:rFonts w:ascii="Arial" w:cs="Arial" w:eastAsia="Arial" w:hAnsi="Arial"/>
                <w:sz w:val="22"/>
                <w:szCs w:val="22"/>
                <w:color w:val="auto"/>
                <w:w w:val="81"/>
              </w:rPr>
              <w:t>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22"/>
                <w:szCs w:val="22"/>
                <w:color w:val="auto"/>
              </w:rPr>
              <w:t>WITHDRAWN</w:t>
            </w:r>
          </w:p>
        </w:tc>
      </w:tr>
      <w:tr>
        <w:trPr>
          <w:trHeight w:val="621"/>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jc w:val="center"/>
              <w:ind w:right="1240"/>
              <w:spacing w:after="0"/>
              <w:rPr>
                <w:sz w:val="20"/>
                <w:szCs w:val="20"/>
                <w:color w:val="auto"/>
              </w:rPr>
            </w:pPr>
            <w:r>
              <w:rPr>
                <w:rFonts w:ascii="Arial" w:cs="Arial" w:eastAsia="Arial" w:hAnsi="Arial"/>
                <w:sz w:val="22"/>
                <w:szCs w:val="22"/>
                <w:b w:val="1"/>
                <w:bCs w:val="1"/>
                <w:color w:val="auto"/>
                <w:w w:val="94"/>
              </w:rPr>
              <w:t>5(R1)</w:t>
            </w:r>
          </w:p>
        </w:tc>
        <w:tc>
          <w:tcPr>
            <w:tcW w:w="6320" w:type="dxa"/>
            <w:vAlign w:val="bottom"/>
            <w:gridSpan w:val="3"/>
          </w:tcPr>
          <w:p>
            <w:pPr>
              <w:spacing w:after="0"/>
              <w:rPr>
                <w:sz w:val="20"/>
                <w:szCs w:val="20"/>
                <w:color w:val="auto"/>
              </w:rPr>
            </w:pPr>
            <w:r>
              <w:rPr>
                <w:rFonts w:ascii="Arial" w:cs="Arial" w:eastAsia="Arial" w:hAnsi="Arial"/>
                <w:sz w:val="22"/>
                <w:szCs w:val="22"/>
                <w:b w:val="1"/>
                <w:bCs w:val="1"/>
                <w:color w:val="auto"/>
              </w:rPr>
              <w:t>2018 787-9 [****] Aircraft Information Table – GENX</w:t>
            </w:r>
          </w:p>
        </w:tc>
      </w:tr>
      <w:tr>
        <w:trPr>
          <w:trHeight w:val="473"/>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jc w:val="center"/>
              <w:ind w:right="1240"/>
              <w:spacing w:after="0"/>
              <w:rPr>
                <w:sz w:val="20"/>
                <w:szCs w:val="20"/>
                <w:color w:val="auto"/>
              </w:rPr>
            </w:pPr>
            <w:r>
              <w:rPr>
                <w:rFonts w:ascii="Arial" w:cs="Arial" w:eastAsia="Arial" w:hAnsi="Arial"/>
                <w:sz w:val="22"/>
                <w:szCs w:val="22"/>
                <w:b w:val="1"/>
                <w:bCs w:val="1"/>
                <w:color w:val="auto"/>
                <w:w w:val="94"/>
              </w:rPr>
              <w:t>6(R2)</w:t>
            </w:r>
          </w:p>
        </w:tc>
        <w:tc>
          <w:tcPr>
            <w:tcW w:w="6320" w:type="dxa"/>
            <w:vAlign w:val="bottom"/>
            <w:gridSpan w:val="3"/>
          </w:tcPr>
          <w:p>
            <w:pPr>
              <w:spacing w:after="0"/>
              <w:rPr>
                <w:sz w:val="20"/>
                <w:szCs w:val="20"/>
                <w:color w:val="auto"/>
              </w:rPr>
            </w:pPr>
            <w:r>
              <w:rPr>
                <w:rFonts w:ascii="Arial" w:cs="Arial" w:eastAsia="Arial" w:hAnsi="Arial"/>
                <w:sz w:val="22"/>
                <w:szCs w:val="22"/>
                <w:b w:val="1"/>
                <w:bCs w:val="1"/>
                <w:color w:val="auto"/>
              </w:rPr>
              <w:t>2018 787-8 [****] Aircraft Information Table-GENX</w:t>
            </w:r>
          </w:p>
        </w:tc>
      </w:tr>
      <w:tr>
        <w:trPr>
          <w:trHeight w:val="472"/>
        </w:trPr>
        <w:tc>
          <w:tcPr>
            <w:tcW w:w="1120" w:type="dxa"/>
            <w:vAlign w:val="bottom"/>
            <w:gridSpan w:val="5"/>
          </w:tcPr>
          <w:p>
            <w:pPr>
              <w:jc w:val="right"/>
              <w:ind w:right="12"/>
              <w:spacing w:after="0"/>
              <w:rPr>
                <w:sz w:val="20"/>
                <w:szCs w:val="20"/>
                <w:color w:val="auto"/>
              </w:rPr>
            </w:pPr>
            <w:r>
              <w:rPr>
                <w:rFonts w:ascii="Arial" w:cs="Arial" w:eastAsia="Arial" w:hAnsi="Arial"/>
                <w:sz w:val="22"/>
                <w:szCs w:val="22"/>
                <w:b w:val="1"/>
                <w:bCs w:val="1"/>
                <w:color w:val="auto"/>
              </w:rPr>
              <w:t>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22"/>
                <w:szCs w:val="22"/>
                <w:b w:val="1"/>
                <w:bCs w:val="1"/>
                <w:color w:val="auto"/>
              </w:rPr>
              <w:t>2018 787-9 [****] Aircraft Information Table – GENX</w:t>
            </w:r>
          </w:p>
        </w:tc>
      </w:tr>
      <w:tr>
        <w:trPr>
          <w:trHeight w:val="260"/>
        </w:trPr>
        <w:tc>
          <w:tcPr>
            <w:tcW w:w="340" w:type="dxa"/>
            <w:vAlign w:val="bottom"/>
          </w:tcPr>
          <w:p>
            <w:pPr>
              <w:spacing w:after="0"/>
              <w:rPr>
                <w:sz w:val="22"/>
                <w:szCs w:val="22"/>
                <w:color w:val="auto"/>
              </w:rPr>
            </w:pPr>
          </w:p>
        </w:tc>
        <w:tc>
          <w:tcPr>
            <w:tcW w:w="2020" w:type="dxa"/>
            <w:vAlign w:val="bottom"/>
            <w:gridSpan w:val="7"/>
          </w:tcPr>
          <w:p>
            <w:pPr>
              <w:jc w:val="center"/>
              <w:ind w:right="1160"/>
              <w:spacing w:after="0"/>
              <w:rPr>
                <w:sz w:val="20"/>
                <w:szCs w:val="20"/>
                <w:color w:val="auto"/>
              </w:rPr>
            </w:pPr>
            <w:r>
              <w:rPr>
                <w:rFonts w:ascii="Arial" w:cs="Arial" w:eastAsia="Arial" w:hAnsi="Arial"/>
                <w:sz w:val="22"/>
                <w:szCs w:val="22"/>
                <w:color w:val="auto"/>
              </w:rPr>
              <w:t>EXHIBIT</w:t>
            </w:r>
          </w:p>
        </w:tc>
        <w:tc>
          <w:tcPr>
            <w:tcW w:w="3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395"/>
        </w:trPr>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color w:val="auto"/>
                <w:w w:val="94"/>
              </w:rPr>
              <w:t>A(R3).</w:t>
            </w:r>
          </w:p>
        </w:tc>
        <w:tc>
          <w:tcPr>
            <w:tcW w:w="1160" w:type="dxa"/>
            <w:vAlign w:val="bottom"/>
            <w:gridSpan w:val="2"/>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22"/>
                <w:szCs w:val="22"/>
                <w:color w:val="auto"/>
              </w:rPr>
              <w:t>Aircraft Configuration for [****] Aircraft</w:t>
            </w:r>
          </w:p>
        </w:tc>
      </w:tr>
      <w:tr>
        <w:trPr>
          <w:trHeight w:val="365"/>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jc w:val="center"/>
              <w:ind w:right="1260"/>
              <w:spacing w:after="0"/>
              <w:rPr>
                <w:sz w:val="20"/>
                <w:szCs w:val="20"/>
                <w:color w:val="auto"/>
              </w:rPr>
            </w:pPr>
            <w:r>
              <w:rPr>
                <w:rFonts w:ascii="Arial" w:cs="Arial" w:eastAsia="Arial" w:hAnsi="Arial"/>
                <w:sz w:val="22"/>
                <w:szCs w:val="22"/>
                <w:color w:val="auto"/>
                <w:w w:val="94"/>
              </w:rPr>
              <w:t>A2(R5)</w:t>
            </w:r>
          </w:p>
        </w:tc>
        <w:tc>
          <w:tcPr>
            <w:tcW w:w="6320" w:type="dxa"/>
            <w:vAlign w:val="bottom"/>
            <w:gridSpan w:val="3"/>
          </w:tcPr>
          <w:p>
            <w:pPr>
              <w:spacing w:after="0"/>
              <w:rPr>
                <w:sz w:val="20"/>
                <w:szCs w:val="20"/>
                <w:color w:val="auto"/>
              </w:rPr>
            </w:pPr>
            <w:r>
              <w:rPr>
                <w:rFonts w:ascii="Arial" w:cs="Arial" w:eastAsia="Arial" w:hAnsi="Arial"/>
                <w:sz w:val="22"/>
                <w:szCs w:val="22"/>
                <w:color w:val="auto"/>
              </w:rPr>
              <w:t>Aircraft Configuration for [****] Aircraft</w:t>
            </w:r>
          </w:p>
        </w:tc>
      </w:tr>
      <w:tr>
        <w:trPr>
          <w:trHeight w:val="405"/>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jc w:val="center"/>
              <w:ind w:right="1240"/>
              <w:spacing w:after="0"/>
              <w:rPr>
                <w:sz w:val="20"/>
                <w:szCs w:val="20"/>
                <w:color w:val="auto"/>
              </w:rPr>
            </w:pPr>
            <w:r>
              <w:rPr>
                <w:rFonts w:ascii="Arial" w:cs="Arial" w:eastAsia="Arial" w:hAnsi="Arial"/>
                <w:sz w:val="22"/>
                <w:szCs w:val="22"/>
                <w:color w:val="auto"/>
                <w:w w:val="94"/>
              </w:rPr>
              <w:t>B(R1).</w:t>
            </w:r>
          </w:p>
        </w:tc>
        <w:tc>
          <w:tcPr>
            <w:tcW w:w="6320" w:type="dxa"/>
            <w:vAlign w:val="bottom"/>
            <w:gridSpan w:val="3"/>
          </w:tcPr>
          <w:p>
            <w:pPr>
              <w:spacing w:after="0"/>
              <w:rPr>
                <w:sz w:val="20"/>
                <w:szCs w:val="20"/>
                <w:color w:val="auto"/>
              </w:rPr>
            </w:pPr>
            <w:r>
              <w:rPr>
                <w:rFonts w:ascii="Arial" w:cs="Arial" w:eastAsia="Arial" w:hAnsi="Arial"/>
                <w:sz w:val="22"/>
                <w:szCs w:val="22"/>
                <w:color w:val="auto"/>
              </w:rPr>
              <w:t>Aircraft Delivery Requirements and Responsibilities</w:t>
            </w:r>
          </w:p>
        </w:tc>
      </w:tr>
      <w:tr>
        <w:trPr>
          <w:trHeight w:val="365"/>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jc w:val="center"/>
              <w:ind w:right="1240"/>
              <w:spacing w:after="0"/>
              <w:rPr>
                <w:sz w:val="20"/>
                <w:szCs w:val="20"/>
                <w:color w:val="auto"/>
              </w:rPr>
            </w:pPr>
            <w:r>
              <w:rPr>
                <w:rFonts w:ascii="Arial" w:cs="Arial" w:eastAsia="Arial" w:hAnsi="Arial"/>
                <w:sz w:val="22"/>
                <w:szCs w:val="22"/>
                <w:color w:val="auto"/>
                <w:w w:val="92"/>
              </w:rPr>
              <w:t>C(R1).</w:t>
            </w:r>
          </w:p>
        </w:tc>
        <w:tc>
          <w:tcPr>
            <w:tcW w:w="6320" w:type="dxa"/>
            <w:vAlign w:val="bottom"/>
            <w:gridSpan w:val="3"/>
          </w:tcPr>
          <w:p>
            <w:pPr>
              <w:spacing w:after="0"/>
              <w:rPr>
                <w:sz w:val="20"/>
                <w:szCs w:val="20"/>
                <w:color w:val="auto"/>
              </w:rPr>
            </w:pPr>
            <w:r>
              <w:rPr>
                <w:rFonts w:ascii="Arial" w:cs="Arial" w:eastAsia="Arial" w:hAnsi="Arial"/>
                <w:sz w:val="22"/>
                <w:szCs w:val="22"/>
                <w:color w:val="auto"/>
              </w:rPr>
              <w:t>Defined Terms</w:t>
            </w:r>
          </w:p>
        </w:tc>
      </w:tr>
      <w:tr>
        <w:trPr>
          <w:trHeight w:val="813"/>
        </w:trPr>
        <w:tc>
          <w:tcPr>
            <w:tcW w:w="8680" w:type="dxa"/>
            <w:vAlign w:val="bottom"/>
            <w:gridSpan w:val="11"/>
          </w:tcPr>
          <w:p>
            <w:pPr>
              <w:spacing w:after="0"/>
              <w:rPr>
                <w:sz w:val="20"/>
                <w:szCs w:val="20"/>
                <w:color w:val="auto"/>
              </w:rPr>
            </w:pPr>
            <w:r>
              <w:rPr>
                <w:rFonts w:ascii="Arial" w:cs="Arial" w:eastAsia="Arial" w:hAnsi="Arial"/>
                <w:sz w:val="22"/>
                <w:szCs w:val="22"/>
                <w:color w:val="auto"/>
              </w:rPr>
              <w:t>SUPPLEMENTAL EXHIBITS</w:t>
            </w:r>
          </w:p>
        </w:tc>
      </w:tr>
      <w:tr>
        <w:trPr>
          <w:trHeight w:val="516"/>
        </w:trPr>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3"/>
          </w:tcPr>
          <w:p>
            <w:pPr>
              <w:jc w:val="center"/>
              <w:ind w:right="760"/>
              <w:spacing w:after="0"/>
              <w:rPr>
                <w:sz w:val="20"/>
                <w:szCs w:val="20"/>
                <w:color w:val="auto"/>
              </w:rPr>
            </w:pPr>
            <w:r>
              <w:rPr>
                <w:rFonts w:ascii="Arial" w:cs="Arial" w:eastAsia="Arial" w:hAnsi="Arial"/>
                <w:sz w:val="22"/>
                <w:szCs w:val="22"/>
                <w:color w:val="auto"/>
                <w:w w:val="92"/>
              </w:rPr>
              <w:t>AE1.</w:t>
            </w:r>
          </w:p>
        </w:tc>
        <w:tc>
          <w:tcPr>
            <w:tcW w:w="340" w:type="dxa"/>
            <w:vAlign w:val="bottom"/>
            <w:tcBorders>
              <w:top w:val="single" w:sz="8" w:color="auto"/>
            </w:tcBorders>
          </w:tcPr>
          <w:p>
            <w:pPr>
              <w:spacing w:after="0"/>
              <w:rPr>
                <w:sz w:val="24"/>
                <w:szCs w:val="24"/>
                <w:color w:val="auto"/>
              </w:rPr>
            </w:pPr>
          </w:p>
        </w:tc>
        <w:tc>
          <w:tcPr>
            <w:tcW w:w="2880" w:type="dxa"/>
            <w:vAlign w:val="bottom"/>
          </w:tcPr>
          <w:p>
            <w:pPr>
              <w:ind w:left="820"/>
              <w:spacing w:after="0"/>
              <w:rPr>
                <w:sz w:val="20"/>
                <w:szCs w:val="20"/>
                <w:color w:val="auto"/>
              </w:rPr>
            </w:pPr>
            <w:r>
              <w:rPr>
                <w:rFonts w:ascii="Arial" w:cs="Arial" w:eastAsia="Arial" w:hAnsi="Arial"/>
                <w:sz w:val="22"/>
                <w:szCs w:val="22"/>
                <w:color w:val="auto"/>
              </w:rPr>
              <w:t>[****]</w:t>
            </w:r>
          </w:p>
        </w:tc>
        <w:tc>
          <w:tcPr>
            <w:tcW w:w="3100" w:type="dxa"/>
            <w:vAlign w:val="bottom"/>
          </w:tcPr>
          <w:p>
            <w:pPr>
              <w:spacing w:after="0"/>
              <w:rPr>
                <w:sz w:val="24"/>
                <w:szCs w:val="24"/>
                <w:color w:val="auto"/>
              </w:rPr>
            </w:pPr>
          </w:p>
        </w:tc>
      </w:tr>
      <w:tr>
        <w:trPr>
          <w:trHeight w:val="473"/>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4"/>
          </w:tcPr>
          <w:p>
            <w:pPr>
              <w:jc w:val="center"/>
              <w:ind w:right="500"/>
              <w:spacing w:after="0"/>
              <w:rPr>
                <w:sz w:val="20"/>
                <w:szCs w:val="20"/>
                <w:color w:val="auto"/>
              </w:rPr>
            </w:pPr>
            <w:r>
              <w:rPr>
                <w:rFonts w:ascii="Arial" w:cs="Arial" w:eastAsia="Arial" w:hAnsi="Arial"/>
                <w:sz w:val="22"/>
                <w:szCs w:val="22"/>
                <w:color w:val="auto"/>
                <w:w w:val="92"/>
              </w:rPr>
              <w:t>BFE1(R1).</w:t>
            </w:r>
          </w:p>
        </w:tc>
        <w:tc>
          <w:tcPr>
            <w:tcW w:w="340" w:type="dxa"/>
            <w:vAlign w:val="bottom"/>
          </w:tcPr>
          <w:p>
            <w:pPr>
              <w:spacing w:after="0"/>
              <w:rPr>
                <w:sz w:val="24"/>
                <w:szCs w:val="24"/>
                <w:color w:val="auto"/>
              </w:rPr>
            </w:pPr>
          </w:p>
        </w:tc>
        <w:tc>
          <w:tcPr>
            <w:tcW w:w="5980" w:type="dxa"/>
            <w:vAlign w:val="bottom"/>
            <w:gridSpan w:val="2"/>
          </w:tcPr>
          <w:p>
            <w:pPr>
              <w:ind w:left="820"/>
              <w:spacing w:after="0"/>
              <w:rPr>
                <w:sz w:val="20"/>
                <w:szCs w:val="20"/>
                <w:color w:val="auto"/>
              </w:rPr>
            </w:pPr>
            <w:r>
              <w:rPr>
                <w:rFonts w:ascii="Arial" w:cs="Arial" w:eastAsia="Arial" w:hAnsi="Arial"/>
                <w:sz w:val="22"/>
                <w:szCs w:val="22"/>
                <w:color w:val="auto"/>
              </w:rPr>
              <w:t>Buyer Furnished Equipment Variables 787-9</w:t>
            </w:r>
          </w:p>
        </w:tc>
      </w:tr>
      <w:tr>
        <w:trPr>
          <w:trHeight w:val="473"/>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4"/>
          </w:tcPr>
          <w:p>
            <w:pPr>
              <w:jc w:val="center"/>
              <w:ind w:right="500"/>
              <w:spacing w:after="0"/>
              <w:rPr>
                <w:sz w:val="20"/>
                <w:szCs w:val="20"/>
                <w:color w:val="auto"/>
              </w:rPr>
            </w:pPr>
            <w:r>
              <w:rPr>
                <w:rFonts w:ascii="Arial" w:cs="Arial" w:eastAsia="Arial" w:hAnsi="Arial"/>
                <w:sz w:val="22"/>
                <w:szCs w:val="22"/>
                <w:color w:val="auto"/>
                <w:w w:val="91"/>
              </w:rPr>
              <w:t>BFE2.</w:t>
            </w:r>
          </w:p>
        </w:tc>
        <w:tc>
          <w:tcPr>
            <w:tcW w:w="340" w:type="dxa"/>
            <w:vAlign w:val="bottom"/>
          </w:tcPr>
          <w:p>
            <w:pPr>
              <w:spacing w:after="0"/>
              <w:rPr>
                <w:sz w:val="24"/>
                <w:szCs w:val="24"/>
                <w:color w:val="auto"/>
              </w:rPr>
            </w:pPr>
          </w:p>
        </w:tc>
        <w:tc>
          <w:tcPr>
            <w:tcW w:w="5980" w:type="dxa"/>
            <w:vAlign w:val="bottom"/>
            <w:gridSpan w:val="2"/>
          </w:tcPr>
          <w:p>
            <w:pPr>
              <w:ind w:left="820"/>
              <w:spacing w:after="0"/>
              <w:rPr>
                <w:sz w:val="20"/>
                <w:szCs w:val="20"/>
                <w:color w:val="auto"/>
              </w:rPr>
            </w:pPr>
            <w:r>
              <w:rPr>
                <w:rFonts w:ascii="Arial" w:cs="Arial" w:eastAsia="Arial" w:hAnsi="Arial"/>
                <w:sz w:val="22"/>
                <w:szCs w:val="22"/>
                <w:color w:val="auto"/>
              </w:rPr>
              <w:t>Buyer Furnished Equipment Variables 787-8</w:t>
            </w:r>
          </w:p>
        </w:tc>
      </w:tr>
      <w:tr>
        <w:trPr>
          <w:trHeight w:val="472"/>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tcPr>
          <w:p>
            <w:pPr>
              <w:jc w:val="center"/>
              <w:ind w:right="780"/>
              <w:spacing w:after="0"/>
              <w:rPr>
                <w:sz w:val="20"/>
                <w:szCs w:val="20"/>
                <w:color w:val="auto"/>
              </w:rPr>
            </w:pPr>
            <w:r>
              <w:rPr>
                <w:rFonts w:ascii="Arial" w:cs="Arial" w:eastAsia="Arial" w:hAnsi="Arial"/>
                <w:sz w:val="22"/>
                <w:szCs w:val="22"/>
                <w:color w:val="auto"/>
                <w:w w:val="85"/>
              </w:rPr>
              <w:t>CS1.</w:t>
            </w:r>
          </w:p>
        </w:tc>
        <w:tc>
          <w:tcPr>
            <w:tcW w:w="340" w:type="dxa"/>
            <w:vAlign w:val="bottom"/>
          </w:tcPr>
          <w:p>
            <w:pPr>
              <w:spacing w:after="0"/>
              <w:rPr>
                <w:sz w:val="24"/>
                <w:szCs w:val="24"/>
                <w:color w:val="auto"/>
              </w:rPr>
            </w:pPr>
          </w:p>
        </w:tc>
        <w:tc>
          <w:tcPr>
            <w:tcW w:w="5980" w:type="dxa"/>
            <w:vAlign w:val="bottom"/>
            <w:gridSpan w:val="2"/>
          </w:tcPr>
          <w:p>
            <w:pPr>
              <w:ind w:left="820"/>
              <w:spacing w:after="0"/>
              <w:rPr>
                <w:sz w:val="20"/>
                <w:szCs w:val="20"/>
                <w:color w:val="auto"/>
              </w:rPr>
            </w:pPr>
            <w:r>
              <w:rPr>
                <w:rFonts w:ascii="Arial" w:cs="Arial" w:eastAsia="Arial" w:hAnsi="Arial"/>
                <w:sz w:val="22"/>
                <w:szCs w:val="22"/>
                <w:color w:val="auto"/>
              </w:rPr>
              <w:t>787 Customer Support Document</w:t>
            </w:r>
          </w:p>
        </w:tc>
      </w:tr>
      <w:tr>
        <w:trPr>
          <w:trHeight w:val="473"/>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tcPr>
          <w:p>
            <w:pPr>
              <w:jc w:val="center"/>
              <w:ind w:right="780"/>
              <w:spacing w:after="0"/>
              <w:rPr>
                <w:sz w:val="20"/>
                <w:szCs w:val="20"/>
                <w:color w:val="auto"/>
              </w:rPr>
            </w:pPr>
            <w:r>
              <w:rPr>
                <w:rFonts w:ascii="Arial" w:cs="Arial" w:eastAsia="Arial" w:hAnsi="Arial"/>
                <w:sz w:val="22"/>
                <w:szCs w:val="22"/>
                <w:color w:val="auto"/>
                <w:w w:val="87"/>
              </w:rPr>
              <w:t>EE1.</w:t>
            </w:r>
          </w:p>
        </w:tc>
        <w:tc>
          <w:tcPr>
            <w:tcW w:w="3220" w:type="dxa"/>
            <w:vAlign w:val="bottom"/>
            <w:gridSpan w:val="2"/>
          </w:tcPr>
          <w:p>
            <w:pPr>
              <w:ind w:left="1160"/>
              <w:spacing w:after="0"/>
              <w:rPr>
                <w:sz w:val="20"/>
                <w:szCs w:val="20"/>
                <w:color w:val="auto"/>
              </w:rPr>
            </w:pPr>
            <w:r>
              <w:rPr>
                <w:rFonts w:ascii="Arial" w:cs="Arial" w:eastAsia="Arial" w:hAnsi="Arial"/>
                <w:sz w:val="22"/>
                <w:szCs w:val="22"/>
                <w:color w:val="auto"/>
              </w:rPr>
              <w:t>[****]</w:t>
            </w:r>
          </w:p>
        </w:tc>
        <w:tc>
          <w:tcPr>
            <w:tcW w:w="3100" w:type="dxa"/>
            <w:vAlign w:val="bottom"/>
          </w:tcPr>
          <w:p>
            <w:pPr>
              <w:spacing w:after="0"/>
              <w:rPr>
                <w:sz w:val="24"/>
                <w:szCs w:val="24"/>
                <w:color w:val="auto"/>
              </w:rPr>
            </w:pPr>
          </w:p>
        </w:tc>
      </w:tr>
      <w:tr>
        <w:trPr>
          <w:trHeight w:val="473"/>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tcPr>
          <w:p>
            <w:pPr>
              <w:jc w:val="center"/>
              <w:ind w:right="780"/>
              <w:spacing w:after="0"/>
              <w:rPr>
                <w:sz w:val="20"/>
                <w:szCs w:val="20"/>
                <w:color w:val="auto"/>
              </w:rPr>
            </w:pPr>
            <w:r>
              <w:rPr>
                <w:rFonts w:ascii="Arial" w:cs="Arial" w:eastAsia="Arial" w:hAnsi="Arial"/>
                <w:sz w:val="22"/>
                <w:szCs w:val="22"/>
                <w:color w:val="auto"/>
                <w:strike w:val="1"/>
                <w:w w:val="87"/>
              </w:rPr>
              <w:t>EE1.</w:t>
            </w:r>
          </w:p>
        </w:tc>
        <w:tc>
          <w:tcPr>
            <w:tcW w:w="340" w:type="dxa"/>
            <w:vAlign w:val="bottom"/>
          </w:tcPr>
          <w:p>
            <w:pPr>
              <w:spacing w:after="0"/>
              <w:rPr>
                <w:sz w:val="24"/>
                <w:szCs w:val="24"/>
                <w:color w:val="auto"/>
              </w:rPr>
            </w:pPr>
          </w:p>
        </w:tc>
        <w:tc>
          <w:tcPr>
            <w:tcW w:w="5980" w:type="dxa"/>
            <w:vAlign w:val="bottom"/>
            <w:gridSpan w:val="2"/>
          </w:tcPr>
          <w:p>
            <w:pPr>
              <w:ind w:left="820"/>
              <w:spacing w:after="0"/>
              <w:rPr>
                <w:sz w:val="20"/>
                <w:szCs w:val="20"/>
                <w:color w:val="auto"/>
              </w:rPr>
            </w:pPr>
            <w:r>
              <w:rPr>
                <w:rFonts w:ascii="Arial" w:cs="Arial" w:eastAsia="Arial" w:hAnsi="Arial"/>
                <w:sz w:val="22"/>
                <w:szCs w:val="22"/>
                <w:color w:val="auto"/>
              </w:rPr>
              <w:t>[****]WITHDRAWN</w:t>
            </w:r>
          </w:p>
        </w:tc>
      </w:tr>
      <w:tr>
        <w:trPr>
          <w:trHeight w:val="473"/>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tcPr>
          <w:p>
            <w:pPr>
              <w:jc w:val="center"/>
              <w:ind w:right="780"/>
              <w:spacing w:after="0"/>
              <w:rPr>
                <w:sz w:val="20"/>
                <w:szCs w:val="20"/>
                <w:color w:val="auto"/>
              </w:rPr>
            </w:pPr>
            <w:r>
              <w:rPr>
                <w:rFonts w:ascii="Arial" w:cs="Arial" w:eastAsia="Arial" w:hAnsi="Arial"/>
                <w:sz w:val="22"/>
                <w:szCs w:val="22"/>
                <w:color w:val="auto"/>
                <w:w w:val="87"/>
              </w:rPr>
              <w:t>EE2.</w:t>
            </w:r>
          </w:p>
        </w:tc>
        <w:tc>
          <w:tcPr>
            <w:tcW w:w="3220" w:type="dxa"/>
            <w:vAlign w:val="bottom"/>
            <w:gridSpan w:val="2"/>
          </w:tcPr>
          <w:p>
            <w:pPr>
              <w:ind w:left="1160"/>
              <w:spacing w:after="0"/>
              <w:rPr>
                <w:sz w:val="20"/>
                <w:szCs w:val="20"/>
                <w:color w:val="auto"/>
              </w:rPr>
            </w:pPr>
            <w:r>
              <w:rPr>
                <w:rFonts w:ascii="Arial" w:cs="Arial" w:eastAsia="Arial" w:hAnsi="Arial"/>
                <w:sz w:val="22"/>
                <w:szCs w:val="22"/>
                <w:color w:val="auto"/>
              </w:rPr>
              <w:t>[****]</w:t>
            </w:r>
          </w:p>
        </w:tc>
        <w:tc>
          <w:tcPr>
            <w:tcW w:w="310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4"/>
          </w:tcPr>
          <w:p>
            <w:pPr>
              <w:jc w:val="center"/>
              <w:ind w:right="520"/>
              <w:spacing w:after="0"/>
              <w:rPr>
                <w:sz w:val="20"/>
                <w:szCs w:val="20"/>
                <w:color w:val="auto"/>
              </w:rPr>
            </w:pPr>
            <w:r>
              <w:rPr>
                <w:rFonts w:ascii="Arial" w:cs="Arial" w:eastAsia="Arial" w:hAnsi="Arial"/>
                <w:sz w:val="22"/>
                <w:szCs w:val="22"/>
                <w:color w:val="auto"/>
                <w:w w:val="90"/>
              </w:rPr>
              <w:t>SLP1.</w:t>
            </w:r>
          </w:p>
        </w:tc>
        <w:tc>
          <w:tcPr>
            <w:tcW w:w="340" w:type="dxa"/>
            <w:vAlign w:val="bottom"/>
          </w:tcPr>
          <w:p>
            <w:pPr>
              <w:spacing w:after="0"/>
              <w:rPr>
                <w:sz w:val="24"/>
                <w:szCs w:val="24"/>
                <w:color w:val="auto"/>
              </w:rPr>
            </w:pPr>
          </w:p>
        </w:tc>
        <w:tc>
          <w:tcPr>
            <w:tcW w:w="5980" w:type="dxa"/>
            <w:vAlign w:val="bottom"/>
            <w:gridSpan w:val="2"/>
          </w:tcPr>
          <w:p>
            <w:pPr>
              <w:ind w:left="820"/>
              <w:spacing w:after="0"/>
              <w:rPr>
                <w:sz w:val="20"/>
                <w:szCs w:val="20"/>
                <w:color w:val="auto"/>
              </w:rPr>
            </w:pPr>
            <w:r>
              <w:rPr>
                <w:rFonts w:ascii="Arial" w:cs="Arial" w:eastAsia="Arial" w:hAnsi="Arial"/>
                <w:sz w:val="22"/>
                <w:szCs w:val="22"/>
                <w:color w:val="auto"/>
              </w:rPr>
              <w:t>Service Life Policy Components</w:t>
            </w: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NUMBER</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SA-5</w:t>
      </w:r>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SA-5</w:t>
      </w:r>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SA-6</w:t>
      </w: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SA-16</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SA-16</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SA-16</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SA-11</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SA-12</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SA-4</w:t>
      </w:r>
    </w:p>
    <w:p>
      <w:pPr>
        <w:sectPr>
          <w:pgSz w:w="11900" w:h="16838" w:orient="portrait"/>
          <w:cols w:equalWidth="0" w:num="2">
            <w:col w:w="8920" w:space="720"/>
            <w:col w:w="940"/>
          </w:cols>
          <w:pgMar w:left="680" w:top="1266" w:right="639" w:bottom="923" w:gutter="0" w:footer="0" w:header="0"/>
        </w:sectPr>
      </w:pPr>
    </w:p>
    <w:bookmarkStart w:id="206" w:name="page207"/>
    <w:bookmarkEnd w:id="206"/>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58" w:right="519" w:bottom="1440" w:gutter="0" w:footer="0" w:header="0"/>
        </w:sectPr>
      </w:pPr>
    </w:p>
    <w:bookmarkStart w:id="207" w:name="page208"/>
    <w:bookmarkEnd w:id="207"/>
    <w:p>
      <w:pPr>
        <w:ind w:left="4040"/>
        <w:spacing w:after="0"/>
        <w:rPr>
          <w:sz w:val="20"/>
          <w:szCs w:val="20"/>
          <w:color w:val="auto"/>
        </w:rPr>
      </w:pPr>
      <w:r>
        <w:rPr>
          <w:rFonts w:ascii="Arial" w:cs="Arial" w:eastAsia="Arial" w:hAnsi="Arial"/>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3680" w:type="dxa"/>
            <w:vAlign w:val="bottom"/>
            <w:gridSpan w:val="2"/>
          </w:tcPr>
          <w:p>
            <w:pPr>
              <w:spacing w:after="0"/>
              <w:rPr>
                <w:sz w:val="20"/>
                <w:szCs w:val="20"/>
                <w:color w:val="auto"/>
              </w:rPr>
            </w:pPr>
            <w:r>
              <w:rPr>
                <w:rFonts w:ascii="Arial" w:cs="Arial" w:eastAsia="Arial" w:hAnsi="Arial"/>
                <w:sz w:val="22"/>
                <w:szCs w:val="22"/>
                <w:color w:val="auto"/>
              </w:rPr>
              <w:t>LETTER AGREEMENTS</w:t>
            </w:r>
          </w:p>
        </w:tc>
        <w:tc>
          <w:tcPr>
            <w:tcW w:w="1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0"/>
        </w:trPr>
        <w:tc>
          <w:tcPr>
            <w:tcW w:w="23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3219-01</w:t>
            </w:r>
          </w:p>
        </w:tc>
        <w:tc>
          <w:tcPr>
            <w:tcW w:w="13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300" w:type="dxa"/>
            <w:vAlign w:val="bottom"/>
          </w:tcPr>
          <w:p>
            <w:pPr>
              <w:spacing w:after="0"/>
              <w:rPr>
                <w:sz w:val="20"/>
                <w:szCs w:val="20"/>
                <w:color w:val="auto"/>
              </w:rPr>
            </w:pPr>
            <w:r>
              <w:rPr>
                <w:rFonts w:ascii="Arial" w:cs="Arial" w:eastAsia="Arial" w:hAnsi="Arial"/>
                <w:sz w:val="22"/>
                <w:szCs w:val="22"/>
                <w:color w:val="auto"/>
              </w:rPr>
              <w:t>3219-02</w:t>
            </w:r>
          </w:p>
        </w:tc>
        <w:tc>
          <w:tcPr>
            <w:tcW w:w="1380" w:type="dxa"/>
            <w:vAlign w:val="bottom"/>
          </w:tcPr>
          <w:p>
            <w:pPr>
              <w:spacing w:after="0"/>
              <w:rPr>
                <w:sz w:val="24"/>
                <w:szCs w:val="24"/>
                <w:color w:val="auto"/>
              </w:rPr>
            </w:pPr>
          </w:p>
        </w:tc>
        <w:tc>
          <w:tcPr>
            <w:tcW w:w="5200" w:type="dxa"/>
            <w:vAlign w:val="bottom"/>
            <w:gridSpan w:val="6"/>
          </w:tcPr>
          <w:p>
            <w:pPr>
              <w:ind w:left="60"/>
              <w:spacing w:after="0"/>
              <w:rPr>
                <w:sz w:val="20"/>
                <w:szCs w:val="20"/>
                <w:color w:val="auto"/>
              </w:rPr>
            </w:pPr>
            <w:r>
              <w:rPr>
                <w:rFonts w:ascii="Arial" w:cs="Arial" w:eastAsia="Arial" w:hAnsi="Arial"/>
                <w:sz w:val="22"/>
                <w:szCs w:val="22"/>
                <w:color w:val="auto"/>
              </w:rPr>
              <w:t>Special Terms – Seats and In-Flight Entertainment</w:t>
            </w:r>
          </w:p>
        </w:tc>
        <w:tc>
          <w:tcPr>
            <w:tcW w:w="0" w:type="dxa"/>
            <w:vAlign w:val="bottom"/>
          </w:tcPr>
          <w:p>
            <w:pPr>
              <w:spacing w:after="0"/>
              <w:rPr>
                <w:sz w:val="1"/>
                <w:szCs w:val="1"/>
                <w:color w:val="auto"/>
              </w:rPr>
            </w:pPr>
          </w:p>
        </w:tc>
      </w:tr>
      <w:tr>
        <w:trPr>
          <w:trHeight w:val="513"/>
        </w:trPr>
        <w:tc>
          <w:tcPr>
            <w:tcW w:w="2300" w:type="dxa"/>
            <w:vAlign w:val="bottom"/>
          </w:tcPr>
          <w:p>
            <w:pPr>
              <w:spacing w:after="0"/>
              <w:rPr>
                <w:sz w:val="20"/>
                <w:szCs w:val="20"/>
                <w:color w:val="auto"/>
              </w:rPr>
            </w:pPr>
            <w:r>
              <w:rPr>
                <w:rFonts w:ascii="Arial" w:cs="Arial" w:eastAsia="Arial" w:hAnsi="Arial"/>
                <w:sz w:val="22"/>
                <w:szCs w:val="22"/>
                <w:color w:val="auto"/>
              </w:rPr>
              <w:t>3219-04</w:t>
            </w:r>
          </w:p>
        </w:tc>
        <w:tc>
          <w:tcPr>
            <w:tcW w:w="13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680" w:type="dxa"/>
            <w:vAlign w:val="bottom"/>
            <w:gridSpan w:val="2"/>
          </w:tcPr>
          <w:p>
            <w:pPr>
              <w:spacing w:after="0"/>
              <w:rPr>
                <w:sz w:val="20"/>
                <w:szCs w:val="20"/>
                <w:color w:val="auto"/>
              </w:rPr>
            </w:pPr>
            <w:r>
              <w:rPr>
                <w:rFonts w:ascii="Arial" w:cs="Arial" w:eastAsia="Arial" w:hAnsi="Arial"/>
                <w:sz w:val="22"/>
                <w:szCs w:val="22"/>
                <w:color w:val="auto"/>
              </w:rPr>
              <w:t>3219-05R1</w:t>
            </w:r>
          </w:p>
        </w:tc>
        <w:tc>
          <w:tcPr>
            <w:tcW w:w="5200" w:type="dxa"/>
            <w:vAlign w:val="bottom"/>
            <w:gridSpan w:val="6"/>
          </w:tcPr>
          <w:p>
            <w:pPr>
              <w:ind w:left="60"/>
              <w:spacing w:after="0"/>
              <w:rPr>
                <w:sz w:val="20"/>
                <w:szCs w:val="20"/>
                <w:color w:val="auto"/>
              </w:rPr>
            </w:pPr>
            <w:r>
              <w:rPr>
                <w:rFonts w:ascii="Arial" w:cs="Arial" w:eastAsia="Arial" w:hAnsi="Arial"/>
                <w:sz w:val="22"/>
                <w:szCs w:val="22"/>
                <w:color w:val="auto"/>
              </w:rPr>
              <w:t>Spare Parts Commitments</w:t>
            </w:r>
          </w:p>
        </w:tc>
        <w:tc>
          <w:tcPr>
            <w:tcW w:w="0" w:type="dxa"/>
            <w:vAlign w:val="bottom"/>
          </w:tcPr>
          <w:p>
            <w:pPr>
              <w:spacing w:after="0"/>
              <w:rPr>
                <w:sz w:val="1"/>
                <w:szCs w:val="1"/>
                <w:color w:val="auto"/>
              </w:rPr>
            </w:pPr>
          </w:p>
        </w:tc>
      </w:tr>
      <w:tr>
        <w:trPr>
          <w:trHeight w:val="513"/>
        </w:trPr>
        <w:tc>
          <w:tcPr>
            <w:tcW w:w="3680" w:type="dxa"/>
            <w:vAlign w:val="bottom"/>
            <w:gridSpan w:val="2"/>
          </w:tcPr>
          <w:p>
            <w:pPr>
              <w:spacing w:after="0"/>
              <w:rPr>
                <w:sz w:val="20"/>
                <w:szCs w:val="20"/>
                <w:color w:val="auto"/>
              </w:rPr>
            </w:pPr>
            <w:r>
              <w:rPr>
                <w:rFonts w:ascii="Arial" w:cs="Arial" w:eastAsia="Arial" w:hAnsi="Arial"/>
                <w:sz w:val="22"/>
                <w:szCs w:val="22"/>
                <w:color w:val="auto"/>
              </w:rPr>
              <w:t>3219-06R1</w:t>
            </w:r>
          </w:p>
        </w:tc>
        <w:tc>
          <w:tcPr>
            <w:tcW w:w="5200" w:type="dxa"/>
            <w:vAlign w:val="bottom"/>
            <w:gridSpan w:val="6"/>
          </w:tcPr>
          <w:p>
            <w:pPr>
              <w:ind w:left="60"/>
              <w:spacing w:after="0"/>
              <w:rPr>
                <w:sz w:val="20"/>
                <w:szCs w:val="20"/>
                <w:color w:val="auto"/>
              </w:rPr>
            </w:pPr>
            <w:r>
              <w:rPr>
                <w:rFonts w:ascii="Arial" w:cs="Arial" w:eastAsia="Arial" w:hAnsi="Arial"/>
                <w:sz w:val="22"/>
                <w:szCs w:val="22"/>
                <w:color w:val="auto"/>
              </w:rPr>
              <w:t>Spare Parts Initial Provisioning</w:t>
            </w:r>
          </w:p>
        </w:tc>
        <w:tc>
          <w:tcPr>
            <w:tcW w:w="0" w:type="dxa"/>
            <w:vAlign w:val="bottom"/>
          </w:tcPr>
          <w:p>
            <w:pPr>
              <w:spacing w:after="0"/>
              <w:rPr>
                <w:sz w:val="1"/>
                <w:szCs w:val="1"/>
                <w:color w:val="auto"/>
              </w:rPr>
            </w:pPr>
          </w:p>
        </w:tc>
      </w:tr>
      <w:tr>
        <w:trPr>
          <w:trHeight w:val="513"/>
        </w:trPr>
        <w:tc>
          <w:tcPr>
            <w:tcW w:w="2300" w:type="dxa"/>
            <w:vAlign w:val="bottom"/>
          </w:tcPr>
          <w:p>
            <w:pPr>
              <w:spacing w:after="0"/>
              <w:rPr>
                <w:sz w:val="20"/>
                <w:szCs w:val="20"/>
                <w:color w:val="auto"/>
              </w:rPr>
            </w:pPr>
            <w:r>
              <w:rPr>
                <w:rFonts w:ascii="Arial" w:cs="Arial" w:eastAsia="Arial" w:hAnsi="Arial"/>
                <w:sz w:val="22"/>
                <w:szCs w:val="22"/>
                <w:color w:val="auto"/>
                <w:strike w:val="1"/>
              </w:rPr>
              <w:t>3219-08R2</w:t>
            </w:r>
          </w:p>
        </w:tc>
        <w:tc>
          <w:tcPr>
            <w:tcW w:w="1380" w:type="dxa"/>
            <w:vAlign w:val="bottom"/>
          </w:tcPr>
          <w:p>
            <w:pPr>
              <w:spacing w:after="0"/>
              <w:rPr>
                <w:sz w:val="24"/>
                <w:szCs w:val="24"/>
                <w:color w:val="auto"/>
              </w:rPr>
            </w:pPr>
          </w:p>
        </w:tc>
        <w:tc>
          <w:tcPr>
            <w:tcW w:w="2500" w:type="dxa"/>
            <w:vAlign w:val="bottom"/>
            <w:gridSpan w:val="3"/>
          </w:tcPr>
          <w:p>
            <w:pPr>
              <w:ind w:left="60"/>
              <w:spacing w:after="0"/>
              <w:rPr>
                <w:sz w:val="20"/>
                <w:szCs w:val="20"/>
                <w:color w:val="auto"/>
              </w:rPr>
            </w:pPr>
            <w:r>
              <w:rPr>
                <w:rFonts w:ascii="Arial" w:cs="Arial" w:eastAsia="Arial" w:hAnsi="Arial"/>
                <w:sz w:val="22"/>
                <w:szCs w:val="22"/>
                <w:color w:val="auto"/>
                <w:strike w:val="1"/>
                <w:w w:val="89"/>
              </w:rPr>
              <w:t>Open Configuration Matters</w:t>
            </w:r>
          </w:p>
        </w:tc>
        <w:tc>
          <w:tcPr>
            <w:tcW w:w="2700" w:type="dxa"/>
            <w:vAlign w:val="bottom"/>
            <w:gridSpan w:val="3"/>
          </w:tcPr>
          <w:p>
            <w:pPr>
              <w:ind w:left="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401"/>
        </w:trPr>
        <w:tc>
          <w:tcPr>
            <w:tcW w:w="2300" w:type="dxa"/>
            <w:vAlign w:val="bottom"/>
          </w:tcPr>
          <w:p>
            <w:pPr>
              <w:spacing w:after="0"/>
              <w:rPr>
                <w:sz w:val="20"/>
                <w:szCs w:val="20"/>
                <w:color w:val="auto"/>
              </w:rPr>
            </w:pPr>
            <w:r>
              <w:rPr>
                <w:rFonts w:ascii="Arial" w:cs="Arial" w:eastAsia="Arial" w:hAnsi="Arial"/>
                <w:sz w:val="22"/>
                <w:szCs w:val="22"/>
                <w:color w:val="auto"/>
                <w:strike w:val="1"/>
              </w:rPr>
              <w:t>6-1162-AKP-071R1</w:t>
            </w:r>
          </w:p>
        </w:tc>
        <w:tc>
          <w:tcPr>
            <w:tcW w:w="13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200" w:type="dxa"/>
            <w:vAlign w:val="bottom"/>
            <w:gridSpan w:val="6"/>
          </w:tcPr>
          <w:p>
            <w:pPr>
              <w:ind w:left="380"/>
              <w:spacing w:after="0"/>
              <w:rPr>
                <w:sz w:val="20"/>
                <w:szCs w:val="20"/>
                <w:color w:val="auto"/>
              </w:rPr>
            </w:pPr>
            <w:r>
              <w:rPr>
                <w:rFonts w:ascii="Arial" w:cs="Arial" w:eastAsia="Arial" w:hAnsi="Arial"/>
                <w:sz w:val="22"/>
                <w:szCs w:val="22"/>
                <w:color w:val="auto"/>
              </w:rPr>
              <w:t>Terminated per AAL-PA-1977-LA-1105595</w:t>
            </w:r>
          </w:p>
        </w:tc>
        <w:tc>
          <w:tcPr>
            <w:tcW w:w="0" w:type="dxa"/>
            <w:vAlign w:val="bottom"/>
          </w:tcPr>
          <w:p>
            <w:pPr>
              <w:spacing w:after="0"/>
              <w:rPr>
                <w:sz w:val="1"/>
                <w:szCs w:val="1"/>
                <w:color w:val="auto"/>
              </w:rPr>
            </w:pPr>
          </w:p>
        </w:tc>
      </w:tr>
      <w:tr>
        <w:trPr>
          <w:trHeight w:val="401"/>
        </w:trPr>
        <w:tc>
          <w:tcPr>
            <w:tcW w:w="2300" w:type="dxa"/>
            <w:vAlign w:val="bottom"/>
          </w:tcPr>
          <w:p>
            <w:pPr>
              <w:spacing w:after="0"/>
              <w:rPr>
                <w:sz w:val="20"/>
                <w:szCs w:val="20"/>
                <w:color w:val="auto"/>
              </w:rPr>
            </w:pPr>
            <w:r>
              <w:rPr>
                <w:rFonts w:ascii="Arial" w:cs="Arial" w:eastAsia="Arial" w:hAnsi="Arial"/>
                <w:sz w:val="22"/>
                <w:szCs w:val="22"/>
                <w:color w:val="auto"/>
                <w:strike w:val="1"/>
              </w:rPr>
              <w:t>6-1162-AKP-072R2</w:t>
            </w:r>
          </w:p>
        </w:tc>
        <w:tc>
          <w:tcPr>
            <w:tcW w:w="13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200" w:type="dxa"/>
            <w:vAlign w:val="bottom"/>
            <w:gridSpan w:val="6"/>
          </w:tcPr>
          <w:p>
            <w:pPr>
              <w:ind w:left="380"/>
              <w:spacing w:after="0"/>
              <w:rPr>
                <w:sz w:val="20"/>
                <w:szCs w:val="20"/>
                <w:color w:val="auto"/>
              </w:rPr>
            </w:pPr>
            <w:r>
              <w:rPr>
                <w:rFonts w:ascii="Arial" w:cs="Arial" w:eastAsia="Arial" w:hAnsi="Arial"/>
                <w:sz w:val="22"/>
                <w:szCs w:val="22"/>
                <w:color w:val="auto"/>
              </w:rPr>
              <w:t>Terminated per AAL-PA-1977-LA-1105595</w:t>
            </w:r>
          </w:p>
        </w:tc>
        <w:tc>
          <w:tcPr>
            <w:tcW w:w="0" w:type="dxa"/>
            <w:vAlign w:val="bottom"/>
          </w:tcPr>
          <w:p>
            <w:pPr>
              <w:spacing w:after="0"/>
              <w:rPr>
                <w:sz w:val="1"/>
                <w:szCs w:val="1"/>
                <w:color w:val="auto"/>
              </w:rPr>
            </w:pPr>
          </w:p>
        </w:tc>
      </w:tr>
      <w:tr>
        <w:trPr>
          <w:trHeight w:val="418"/>
        </w:trPr>
        <w:tc>
          <w:tcPr>
            <w:tcW w:w="3680" w:type="dxa"/>
            <w:vAlign w:val="bottom"/>
            <w:gridSpan w:val="2"/>
          </w:tcPr>
          <w:p>
            <w:pPr>
              <w:spacing w:after="0"/>
              <w:rPr>
                <w:sz w:val="20"/>
                <w:szCs w:val="20"/>
                <w:color w:val="auto"/>
              </w:rPr>
            </w:pPr>
            <w:r>
              <w:rPr>
                <w:rFonts w:ascii="Arial" w:cs="Arial" w:eastAsia="Arial" w:hAnsi="Arial"/>
                <w:sz w:val="22"/>
                <w:szCs w:val="22"/>
                <w:color w:val="auto"/>
              </w:rPr>
              <w:t>6-1162-AKP-073R1</w:t>
            </w:r>
          </w:p>
        </w:tc>
        <w:tc>
          <w:tcPr>
            <w:tcW w:w="5200" w:type="dxa"/>
            <w:vAlign w:val="bottom"/>
            <w:gridSpan w:val="6"/>
          </w:tcPr>
          <w:p>
            <w:pPr>
              <w:ind w:left="60"/>
              <w:spacing w:after="0"/>
              <w:rPr>
                <w:sz w:val="20"/>
                <w:szCs w:val="20"/>
                <w:color w:val="auto"/>
              </w:rPr>
            </w:pPr>
            <w:r>
              <w:rPr>
                <w:rFonts w:ascii="Arial" w:cs="Arial" w:eastAsia="Arial" w:hAnsi="Arial"/>
                <w:sz w:val="22"/>
                <w:szCs w:val="22"/>
                <w:color w:val="auto"/>
              </w:rPr>
              <w:t>Accident Claims and Litigation</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22"/>
                <w:szCs w:val="22"/>
                <w:color w:val="auto"/>
                <w:strike w:val="1"/>
              </w:rPr>
              <w:t>6-1162-CLO-1031R1</w:t>
            </w:r>
          </w:p>
        </w:tc>
        <w:tc>
          <w:tcPr>
            <w:tcW w:w="1380" w:type="dxa"/>
            <w:vAlign w:val="bottom"/>
          </w:tcPr>
          <w:p>
            <w:pPr>
              <w:spacing w:after="0"/>
              <w:rPr>
                <w:sz w:val="24"/>
                <w:szCs w:val="24"/>
                <w:color w:val="auto"/>
              </w:rPr>
            </w:pPr>
          </w:p>
        </w:tc>
        <w:tc>
          <w:tcPr>
            <w:tcW w:w="1440" w:type="dxa"/>
            <w:vAlign w:val="bottom"/>
            <w:vMerge w:val="restart"/>
          </w:tcPr>
          <w:p>
            <w:pPr>
              <w:ind w:left="6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200" w:type="dxa"/>
            <w:vAlign w:val="bottom"/>
            <w:gridSpan w:val="6"/>
          </w:tcPr>
          <w:p>
            <w:pPr>
              <w:ind w:left="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401"/>
        </w:trPr>
        <w:tc>
          <w:tcPr>
            <w:tcW w:w="2300" w:type="dxa"/>
            <w:vAlign w:val="bottom"/>
          </w:tcPr>
          <w:p>
            <w:pPr>
              <w:spacing w:after="0"/>
              <w:rPr>
                <w:sz w:val="20"/>
                <w:szCs w:val="20"/>
                <w:color w:val="auto"/>
              </w:rPr>
            </w:pPr>
            <w:r>
              <w:rPr>
                <w:rFonts w:ascii="Arial" w:cs="Arial" w:eastAsia="Arial" w:hAnsi="Arial"/>
                <w:sz w:val="22"/>
                <w:szCs w:val="22"/>
                <w:color w:val="auto"/>
                <w:strike w:val="1"/>
              </w:rPr>
              <w:t>6-1162-CLO-1032R1</w:t>
            </w:r>
          </w:p>
        </w:tc>
        <w:tc>
          <w:tcPr>
            <w:tcW w:w="13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200" w:type="dxa"/>
            <w:vAlign w:val="bottom"/>
            <w:gridSpan w:val="6"/>
          </w:tcPr>
          <w:p>
            <w:pPr>
              <w:ind w:left="380"/>
              <w:spacing w:after="0"/>
              <w:rPr>
                <w:sz w:val="20"/>
                <w:szCs w:val="20"/>
                <w:color w:val="auto"/>
              </w:rPr>
            </w:pPr>
            <w:r>
              <w:rPr>
                <w:rFonts w:ascii="Arial" w:cs="Arial" w:eastAsia="Arial" w:hAnsi="Arial"/>
                <w:sz w:val="22"/>
                <w:szCs w:val="22"/>
                <w:color w:val="auto"/>
              </w:rPr>
              <w:t>Terminated</w:t>
            </w:r>
          </w:p>
        </w:tc>
        <w:tc>
          <w:tcPr>
            <w:tcW w:w="0" w:type="dxa"/>
            <w:vAlign w:val="bottom"/>
          </w:tcPr>
          <w:p>
            <w:pPr>
              <w:spacing w:after="0"/>
              <w:rPr>
                <w:sz w:val="1"/>
                <w:szCs w:val="1"/>
                <w:color w:val="auto"/>
              </w:rPr>
            </w:pPr>
          </w:p>
        </w:tc>
      </w:tr>
      <w:tr>
        <w:trPr>
          <w:trHeight w:val="418"/>
        </w:trPr>
        <w:tc>
          <w:tcPr>
            <w:tcW w:w="3680" w:type="dxa"/>
            <w:vAlign w:val="bottom"/>
            <w:gridSpan w:val="2"/>
          </w:tcPr>
          <w:p>
            <w:pPr>
              <w:spacing w:after="0"/>
              <w:rPr>
                <w:sz w:val="20"/>
                <w:szCs w:val="20"/>
                <w:color w:val="auto"/>
              </w:rPr>
            </w:pPr>
            <w:r>
              <w:rPr>
                <w:rFonts w:ascii="Arial" w:cs="Arial" w:eastAsia="Arial" w:hAnsi="Arial"/>
                <w:sz w:val="22"/>
                <w:szCs w:val="22"/>
                <w:color w:val="auto"/>
              </w:rPr>
              <w:t>6-1162-CLO-1039</w:t>
            </w:r>
          </w:p>
        </w:tc>
        <w:tc>
          <w:tcPr>
            <w:tcW w:w="1440" w:type="dxa"/>
            <w:vAlign w:val="bottom"/>
          </w:tcPr>
          <w:p>
            <w:pPr>
              <w:ind w:left="6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680" w:type="dxa"/>
            <w:vAlign w:val="bottom"/>
            <w:gridSpan w:val="2"/>
          </w:tcPr>
          <w:p>
            <w:pPr>
              <w:spacing w:after="0"/>
              <w:rPr>
                <w:sz w:val="20"/>
                <w:szCs w:val="20"/>
                <w:color w:val="auto"/>
              </w:rPr>
            </w:pPr>
            <w:r>
              <w:rPr>
                <w:rFonts w:ascii="Arial" w:cs="Arial" w:eastAsia="Arial" w:hAnsi="Arial"/>
                <w:sz w:val="22"/>
                <w:szCs w:val="22"/>
                <w:color w:val="auto"/>
              </w:rPr>
              <w:t>6-1162-CLO-1042</w:t>
            </w:r>
          </w:p>
        </w:tc>
        <w:tc>
          <w:tcPr>
            <w:tcW w:w="1440" w:type="dxa"/>
            <w:vAlign w:val="bottom"/>
          </w:tcPr>
          <w:p>
            <w:pPr>
              <w:ind w:left="6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680" w:type="dxa"/>
            <w:vAlign w:val="bottom"/>
            <w:gridSpan w:val="2"/>
          </w:tcPr>
          <w:p>
            <w:pPr>
              <w:spacing w:after="0"/>
              <w:rPr>
                <w:sz w:val="20"/>
                <w:szCs w:val="20"/>
                <w:color w:val="auto"/>
              </w:rPr>
            </w:pPr>
            <w:r>
              <w:rPr>
                <w:rFonts w:ascii="Arial" w:cs="Arial" w:eastAsia="Arial" w:hAnsi="Arial"/>
                <w:sz w:val="22"/>
                <w:szCs w:val="22"/>
                <w:color w:val="auto"/>
              </w:rPr>
              <w:t>6-1162-CLO-1043R1</w:t>
            </w:r>
          </w:p>
        </w:tc>
        <w:tc>
          <w:tcPr>
            <w:tcW w:w="5200" w:type="dxa"/>
            <w:vAlign w:val="bottom"/>
            <w:gridSpan w:val="6"/>
          </w:tcPr>
          <w:p>
            <w:pPr>
              <w:ind w:left="60"/>
              <w:spacing w:after="0"/>
              <w:rPr>
                <w:sz w:val="20"/>
                <w:szCs w:val="20"/>
                <w:color w:val="auto"/>
              </w:rPr>
            </w:pPr>
            <w:r>
              <w:rPr>
                <w:rFonts w:ascii="Arial" w:cs="Arial" w:eastAsia="Arial" w:hAnsi="Arial"/>
                <w:sz w:val="22"/>
                <w:szCs w:val="22"/>
                <w:color w:val="auto"/>
              </w:rPr>
              <w:t>787 Inspection Process</w:t>
            </w:r>
          </w:p>
        </w:tc>
        <w:tc>
          <w:tcPr>
            <w:tcW w:w="0" w:type="dxa"/>
            <w:vAlign w:val="bottom"/>
          </w:tcPr>
          <w:p>
            <w:pPr>
              <w:spacing w:after="0"/>
              <w:rPr>
                <w:sz w:val="1"/>
                <w:szCs w:val="1"/>
                <w:color w:val="auto"/>
              </w:rPr>
            </w:pPr>
          </w:p>
        </w:tc>
      </w:tr>
      <w:tr>
        <w:trPr>
          <w:trHeight w:val="418"/>
        </w:trPr>
        <w:tc>
          <w:tcPr>
            <w:tcW w:w="3680" w:type="dxa"/>
            <w:vAlign w:val="bottom"/>
            <w:gridSpan w:val="2"/>
          </w:tcPr>
          <w:p>
            <w:pPr>
              <w:spacing w:after="0"/>
              <w:rPr>
                <w:sz w:val="20"/>
                <w:szCs w:val="20"/>
                <w:color w:val="auto"/>
              </w:rPr>
            </w:pPr>
            <w:r>
              <w:rPr>
                <w:rFonts w:ascii="Arial" w:cs="Arial" w:eastAsia="Arial" w:hAnsi="Arial"/>
                <w:sz w:val="22"/>
                <w:szCs w:val="22"/>
                <w:color w:val="auto"/>
              </w:rPr>
              <w:t>6-1162-CLO-1045R1</w:t>
            </w:r>
          </w:p>
        </w:tc>
        <w:tc>
          <w:tcPr>
            <w:tcW w:w="1440" w:type="dxa"/>
            <w:vAlign w:val="bottom"/>
          </w:tcPr>
          <w:p>
            <w:pPr>
              <w:ind w:left="4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300" w:type="dxa"/>
            <w:vAlign w:val="bottom"/>
          </w:tcPr>
          <w:p>
            <w:pPr>
              <w:spacing w:after="0"/>
              <w:rPr>
                <w:sz w:val="20"/>
                <w:szCs w:val="20"/>
                <w:color w:val="auto"/>
              </w:rPr>
            </w:pPr>
            <w:r>
              <w:rPr>
                <w:rFonts w:ascii="Arial" w:cs="Arial" w:eastAsia="Arial" w:hAnsi="Arial"/>
                <w:sz w:val="22"/>
                <w:szCs w:val="22"/>
                <w:color w:val="auto"/>
                <w:strike w:val="1"/>
              </w:rPr>
              <w:t>6-1162-CLO-1046</w:t>
            </w:r>
          </w:p>
        </w:tc>
        <w:tc>
          <w:tcPr>
            <w:tcW w:w="1380" w:type="dxa"/>
            <w:vAlign w:val="bottom"/>
          </w:tcPr>
          <w:p>
            <w:pPr>
              <w:spacing w:after="0"/>
              <w:rPr>
                <w:sz w:val="24"/>
                <w:szCs w:val="24"/>
                <w:color w:val="auto"/>
              </w:rPr>
            </w:pPr>
          </w:p>
        </w:tc>
        <w:tc>
          <w:tcPr>
            <w:tcW w:w="5200" w:type="dxa"/>
            <w:vAlign w:val="bottom"/>
            <w:gridSpan w:val="6"/>
          </w:tcPr>
          <w:p>
            <w:pPr>
              <w:ind w:left="60"/>
              <w:spacing w:after="0"/>
              <w:rPr>
                <w:sz w:val="20"/>
                <w:szCs w:val="20"/>
                <w:color w:val="auto"/>
              </w:rPr>
            </w:pPr>
            <w:r>
              <w:rPr>
                <w:rFonts w:ascii="Arial" w:cs="Arial" w:eastAsia="Arial" w:hAnsi="Arial"/>
                <w:sz w:val="22"/>
                <w:szCs w:val="22"/>
                <w:color w:val="auto"/>
                <w:strike w:val="1"/>
                <w:w w:val="96"/>
              </w:rPr>
              <w:t>SA-eE, COTS Software and End User License Matters</w:t>
            </w:r>
          </w:p>
        </w:tc>
        <w:tc>
          <w:tcPr>
            <w:tcW w:w="0" w:type="dxa"/>
            <w:vAlign w:val="bottom"/>
          </w:tcPr>
          <w:p>
            <w:pPr>
              <w:spacing w:after="0"/>
              <w:rPr>
                <w:sz w:val="1"/>
                <w:szCs w:val="1"/>
                <w:color w:val="auto"/>
              </w:rPr>
            </w:pPr>
          </w:p>
        </w:tc>
      </w:tr>
      <w:tr>
        <w:trPr>
          <w:trHeight w:val="310"/>
        </w:trPr>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0" w:type="dxa"/>
            <w:vAlign w:val="bottom"/>
            <w:gridSpan w:val="6"/>
          </w:tcPr>
          <w:p>
            <w:pPr>
              <w:ind w:left="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418"/>
        </w:trPr>
        <w:tc>
          <w:tcPr>
            <w:tcW w:w="3680" w:type="dxa"/>
            <w:vAlign w:val="bottom"/>
            <w:gridSpan w:val="2"/>
          </w:tcPr>
          <w:p>
            <w:pPr>
              <w:spacing w:after="0"/>
              <w:rPr>
                <w:sz w:val="20"/>
                <w:szCs w:val="20"/>
                <w:color w:val="auto"/>
              </w:rPr>
            </w:pPr>
            <w:r>
              <w:rPr>
                <w:rFonts w:ascii="Arial" w:cs="Arial" w:eastAsia="Arial" w:hAnsi="Arial"/>
                <w:sz w:val="22"/>
                <w:szCs w:val="22"/>
                <w:color w:val="auto"/>
              </w:rPr>
              <w:t>6-1162-CLO-1047R4</w:t>
            </w:r>
          </w:p>
        </w:tc>
        <w:tc>
          <w:tcPr>
            <w:tcW w:w="1440" w:type="dxa"/>
            <w:vAlign w:val="bottom"/>
          </w:tcPr>
          <w:p>
            <w:pPr>
              <w:ind w:left="6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22"/>
                <w:szCs w:val="22"/>
                <w:color w:val="auto"/>
                <w:strike w:val="1"/>
              </w:rPr>
              <w:t>6-1162-CLO-1048</w:t>
            </w:r>
          </w:p>
        </w:tc>
        <w:tc>
          <w:tcPr>
            <w:tcW w:w="13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Final Matters</w:t>
            </w:r>
          </w:p>
        </w:tc>
        <w:tc>
          <w:tcPr>
            <w:tcW w:w="3760" w:type="dxa"/>
            <w:vAlign w:val="bottom"/>
            <w:gridSpan w:val="5"/>
          </w:tcPr>
          <w:p>
            <w:pPr>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419"/>
        </w:trPr>
        <w:tc>
          <w:tcPr>
            <w:tcW w:w="3680" w:type="dxa"/>
            <w:vAlign w:val="bottom"/>
            <w:gridSpan w:val="2"/>
          </w:tcPr>
          <w:p>
            <w:pPr>
              <w:spacing w:after="0"/>
              <w:rPr>
                <w:sz w:val="20"/>
                <w:szCs w:val="20"/>
                <w:color w:val="auto"/>
              </w:rPr>
            </w:pPr>
            <w:r>
              <w:rPr>
                <w:rFonts w:ascii="Arial" w:cs="Arial" w:eastAsia="Arial" w:hAnsi="Arial"/>
                <w:sz w:val="22"/>
                <w:szCs w:val="22"/>
                <w:color w:val="auto"/>
              </w:rPr>
              <w:t>6-1162-CLO-1049R2</w:t>
            </w:r>
          </w:p>
        </w:tc>
        <w:tc>
          <w:tcPr>
            <w:tcW w:w="5200" w:type="dxa"/>
            <w:vAlign w:val="bottom"/>
            <w:gridSpan w:val="6"/>
          </w:tcPr>
          <w:p>
            <w:pPr>
              <w:ind w:left="60"/>
              <w:spacing w:after="0"/>
              <w:rPr>
                <w:sz w:val="20"/>
                <w:szCs w:val="20"/>
                <w:color w:val="auto"/>
              </w:rPr>
            </w:pPr>
            <w:r>
              <w:rPr>
                <w:rFonts w:ascii="Arial" w:cs="Arial" w:eastAsia="Arial" w:hAnsi="Arial"/>
                <w:sz w:val="22"/>
                <w:szCs w:val="22"/>
                <w:color w:val="auto"/>
              </w:rPr>
              <w:t>CS1 Matters</w:t>
            </w:r>
          </w:p>
        </w:tc>
        <w:tc>
          <w:tcPr>
            <w:tcW w:w="0" w:type="dxa"/>
            <w:vAlign w:val="bottom"/>
          </w:tcPr>
          <w:p>
            <w:pPr>
              <w:spacing w:after="0"/>
              <w:rPr>
                <w:sz w:val="1"/>
                <w:szCs w:val="1"/>
                <w:color w:val="auto"/>
              </w:rPr>
            </w:pPr>
          </w:p>
        </w:tc>
      </w:tr>
      <w:tr>
        <w:trPr>
          <w:trHeight w:val="338"/>
        </w:trPr>
        <w:tc>
          <w:tcPr>
            <w:tcW w:w="3680" w:type="dxa"/>
            <w:vAlign w:val="bottom"/>
            <w:gridSpan w:val="2"/>
          </w:tcPr>
          <w:p>
            <w:pPr>
              <w:spacing w:after="0"/>
              <w:rPr>
                <w:sz w:val="20"/>
                <w:szCs w:val="20"/>
                <w:color w:val="auto"/>
              </w:rPr>
            </w:pPr>
            <w:r>
              <w:rPr>
                <w:rFonts w:ascii="Arial" w:cs="Arial" w:eastAsia="Arial" w:hAnsi="Arial"/>
                <w:sz w:val="22"/>
                <w:szCs w:val="22"/>
                <w:color w:val="auto"/>
              </w:rPr>
              <w:t>6-1162-TRW-0664R2</w:t>
            </w:r>
          </w:p>
        </w:tc>
        <w:tc>
          <w:tcPr>
            <w:tcW w:w="5200" w:type="dxa"/>
            <w:vAlign w:val="bottom"/>
            <w:gridSpan w:val="6"/>
          </w:tcPr>
          <w:p>
            <w:pPr>
              <w:spacing w:after="0"/>
              <w:rPr>
                <w:sz w:val="20"/>
                <w:szCs w:val="20"/>
                <w:color w:val="auto"/>
              </w:rPr>
            </w:pPr>
            <w:r>
              <w:rPr>
                <w:rFonts w:ascii="Arial" w:cs="Arial" w:eastAsia="Arial" w:hAnsi="Arial"/>
                <w:sz w:val="22"/>
                <w:szCs w:val="22"/>
                <w:color w:val="auto"/>
              </w:rPr>
              <w:t>Aircraft Purchase Rights and Substitution Rights</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40" w:type="dxa"/>
            <w:vAlign w:val="bottom"/>
            <w:gridSpan w:val="5"/>
          </w:tcPr>
          <w:p>
            <w:pPr>
              <w:spacing w:after="0"/>
              <w:rPr>
                <w:sz w:val="20"/>
                <w:szCs w:val="20"/>
                <w:color w:val="auto"/>
              </w:rPr>
            </w:pPr>
            <w:r>
              <w:rPr>
                <w:rFonts w:ascii="Arial" w:cs="Arial" w:eastAsia="Arial" w:hAnsi="Arial"/>
                <w:sz w:val="22"/>
                <w:szCs w:val="22"/>
                <w:color w:val="auto"/>
                <w:strike w:val="1"/>
                <w:w w:val="91"/>
              </w:rPr>
              <w:t>Attachment A(R2) – MADP Exercise Dates</w:t>
            </w:r>
          </w:p>
        </w:tc>
        <w:tc>
          <w:tcPr>
            <w:tcW w:w="1360" w:type="dxa"/>
            <w:vAlign w:val="bottom"/>
          </w:tcPr>
          <w:p>
            <w:pPr>
              <w:spacing w:after="0"/>
              <w:rPr>
                <w:sz w:val="20"/>
                <w:szCs w:val="20"/>
                <w:color w:val="auto"/>
              </w:rPr>
            </w:pPr>
            <w:r>
              <w:rPr>
                <w:rFonts w:ascii="Arial" w:cs="Arial" w:eastAsia="Arial" w:hAnsi="Arial"/>
                <w:sz w:val="22"/>
                <w:szCs w:val="22"/>
                <w:color w:val="auto"/>
                <w:w w:val="96"/>
              </w:rPr>
              <w:t>WITHDRAWN</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0" w:type="dxa"/>
            <w:vAlign w:val="bottom"/>
            <w:gridSpan w:val="4"/>
          </w:tcPr>
          <w:p>
            <w:pPr>
              <w:spacing w:after="0"/>
              <w:rPr>
                <w:sz w:val="20"/>
                <w:szCs w:val="20"/>
                <w:color w:val="auto"/>
              </w:rPr>
            </w:pPr>
            <w:r>
              <w:rPr>
                <w:rFonts w:ascii="Arial" w:cs="Arial" w:eastAsia="Arial" w:hAnsi="Arial"/>
                <w:sz w:val="22"/>
                <w:szCs w:val="22"/>
                <w:color w:val="auto"/>
                <w:strike w:val="1"/>
                <w:w w:val="90"/>
              </w:rPr>
              <w:t>Attachment B(R2) – QADP Exercise Dates</w:t>
            </w:r>
          </w:p>
        </w:tc>
        <w:tc>
          <w:tcPr>
            <w:tcW w:w="1400" w:type="dxa"/>
            <w:vAlign w:val="bottom"/>
            <w:gridSpan w:val="2"/>
          </w:tcPr>
          <w:p>
            <w:pPr>
              <w:spacing w:after="0"/>
              <w:rPr>
                <w:sz w:val="20"/>
                <w:szCs w:val="20"/>
                <w:color w:val="auto"/>
              </w:rPr>
            </w:pPr>
            <w:r>
              <w:rPr>
                <w:rFonts w:ascii="Arial" w:cs="Arial" w:eastAsia="Arial" w:hAnsi="Arial"/>
                <w:sz w:val="22"/>
                <w:szCs w:val="22"/>
                <w:color w:val="auto"/>
                <w:w w:val="99"/>
              </w:rPr>
              <w:t>WITHDRAWN</w:t>
            </w:r>
          </w:p>
        </w:tc>
        <w:tc>
          <w:tcPr>
            <w:tcW w:w="0" w:type="dxa"/>
            <w:vAlign w:val="bottom"/>
          </w:tcPr>
          <w:p>
            <w:pPr>
              <w:spacing w:after="0"/>
              <w:rPr>
                <w:sz w:val="1"/>
                <w:szCs w:val="1"/>
                <w:color w:val="auto"/>
              </w:rPr>
            </w:pPr>
          </w:p>
        </w:tc>
      </w:tr>
      <w:tr>
        <w:trPr>
          <w:trHeight w:val="320"/>
        </w:trPr>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0" w:type="dxa"/>
            <w:vAlign w:val="bottom"/>
            <w:gridSpan w:val="6"/>
          </w:tcPr>
          <w:p>
            <w:pPr>
              <w:spacing w:after="0"/>
              <w:rPr>
                <w:sz w:val="20"/>
                <w:szCs w:val="20"/>
                <w:color w:val="auto"/>
              </w:rPr>
            </w:pPr>
            <w:r>
              <w:rPr>
                <w:rFonts w:ascii="Arial" w:cs="Arial" w:eastAsia="Arial" w:hAnsi="Arial"/>
                <w:sz w:val="22"/>
                <w:szCs w:val="22"/>
                <w:color w:val="auto"/>
                <w:strike w:val="1"/>
              </w:rPr>
              <w:t>Attachment C(R3) – MADP &amp; QADP Rights Aircraft: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22"/>
                <w:szCs w:val="22"/>
                <w:color w:val="auto"/>
                <w:strike w:val="1"/>
                <w:w w:val="88"/>
              </w:rPr>
              <w:t>Description/Price Data</w:t>
            </w:r>
          </w:p>
        </w:tc>
        <w:tc>
          <w:tcPr>
            <w:tcW w:w="3240" w:type="dxa"/>
            <w:vAlign w:val="bottom"/>
            <w:gridSpan w:val="4"/>
          </w:tcPr>
          <w:p>
            <w:pPr>
              <w:ind w:left="60"/>
              <w:spacing w:after="0"/>
              <w:rPr>
                <w:sz w:val="20"/>
                <w:szCs w:val="20"/>
                <w:color w:val="auto"/>
              </w:rPr>
            </w:pPr>
            <w:r>
              <w:rPr>
                <w:rFonts w:ascii="Arial" w:cs="Arial" w:eastAsia="Arial" w:hAnsi="Arial"/>
                <w:sz w:val="22"/>
                <w:szCs w:val="22"/>
                <w:color w:val="auto"/>
              </w:rPr>
              <w:t>Attachment C(R4)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-1351280</wp:posOffset>
            </wp:positionV>
            <wp:extent cx="8724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72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19"/>
          <w:szCs w:val="19"/>
          <w:color w:val="auto"/>
        </w:rPr>
        <w:t>SA-16</w:t>
      </w:r>
    </w:p>
    <w:p>
      <w:pPr>
        <w:spacing w:after="0" w:line="21" w:lineRule="exact"/>
        <w:rPr>
          <w:sz w:val="20"/>
          <w:szCs w:val="20"/>
          <w:color w:val="auto"/>
        </w:rPr>
      </w:pPr>
    </w:p>
    <w:p>
      <w:pPr>
        <w:spacing w:after="0"/>
        <w:tabs>
          <w:tab w:leader="none" w:pos="1800" w:val="left"/>
        </w:tabs>
        <w:rPr>
          <w:sz w:val="20"/>
          <w:szCs w:val="20"/>
          <w:color w:val="auto"/>
        </w:rPr>
      </w:pPr>
      <w:r>
        <w:rPr>
          <w:rFonts w:ascii="Arial" w:cs="Arial" w:eastAsia="Arial" w:hAnsi="Arial"/>
          <w:sz w:val="22"/>
          <w:szCs w:val="22"/>
          <w:color w:val="auto"/>
        </w:rPr>
        <w:t>Table of Contents</w:t>
      </w:r>
      <w:r>
        <w:rPr>
          <w:sz w:val="20"/>
          <w:szCs w:val="20"/>
          <w:color w:val="auto"/>
        </w:rPr>
        <w:tab/>
      </w:r>
      <w:r>
        <w:rPr>
          <w:rFonts w:ascii="Arial" w:cs="Arial" w:eastAsia="Arial" w:hAnsi="Arial"/>
          <w:sz w:val="18"/>
          <w:szCs w:val="18"/>
          <w:color w:val="auto"/>
        </w:rPr>
        <w:t>Page 2</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SA</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21"/>
          <w:szCs w:val="2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6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6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SA-11</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SA-2</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SA-6</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SA-11</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SA-11</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SA-11</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SA-11</w:t>
      </w:r>
    </w:p>
    <w:p>
      <w:pPr>
        <w:spacing w:after="0" w:line="2877" w:lineRule="exact"/>
        <w:rPr>
          <w:sz w:val="20"/>
          <w:szCs w:val="20"/>
          <w:color w:val="auto"/>
        </w:rPr>
      </w:pPr>
    </w:p>
    <w:p>
      <w:pPr>
        <w:sectPr>
          <w:pgSz w:w="11900" w:h="16838" w:orient="portrait"/>
          <w:cols w:equalWidth="0" w:num="2">
            <w:col w:w="9280" w:space="720"/>
            <w:col w:w="1060"/>
          </w:cols>
          <w:pgMar w:left="320" w:top="591" w:right="519" w:bottom="0" w:gutter="0" w:footer="0" w:header="0"/>
        </w:sectPr>
      </w:pP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591" w:right="519" w:bottom="0" w:gutter="0" w:footer="0" w:header="0"/>
          <w:type w:val="continuous"/>
        </w:sectPr>
      </w:pPr>
    </w:p>
    <w:bookmarkStart w:id="208" w:name="page209"/>
    <w:bookmarkEnd w:id="208"/>
    <w:p>
      <w:pPr>
        <w:jc w:val="center"/>
        <w:ind w:right="-179"/>
        <w:spacing w:after="0"/>
        <w:rPr>
          <w:sz w:val="20"/>
          <w:szCs w:val="20"/>
          <w:color w:val="auto"/>
        </w:rPr>
      </w:pPr>
      <w:r>
        <w:rPr>
          <w:rFonts w:ascii="Arial" w:cs="Arial" w:eastAsia="Arial" w:hAnsi="Arial"/>
          <w:sz w:val="19"/>
          <w:szCs w:val="19"/>
          <w:color w:val="auto"/>
        </w:rPr>
        <w:t>TABLE OF CONTENTS, continued</w:t>
      </w:r>
    </w:p>
    <w:p>
      <w:pPr>
        <w:sectPr>
          <w:pgSz w:w="11900" w:h="16838" w:orient="portrait"/>
          <w:cols w:equalWidth="0" w:num="1">
            <w:col w:w="11060"/>
          </w:cols>
          <w:pgMar w:left="320" w:top="59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22"/>
          <w:szCs w:val="22"/>
          <w:color w:val="auto"/>
          <w:strike w:val="1"/>
        </w:rPr>
        <w:t>6-1162-TRW-0665</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2"/>
          <w:szCs w:val="22"/>
          <w:color w:val="auto"/>
          <w:strike w:val="1"/>
        </w:rPr>
        <w:t>6-1162-TRW-0666</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6-1162-TRW-0667R3</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6-1162-TRW-0668R1</w:t>
      </w: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6-1162-TRW-0670R1</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2"/>
          <w:szCs w:val="22"/>
          <w:color w:val="auto"/>
          <w:strike w:val="1"/>
        </w:rPr>
        <w:t>6-1162-TRW-0671</w:t>
      </w:r>
    </w:p>
    <w:p>
      <w:pPr>
        <w:spacing w:after="0" w:line="200" w:lineRule="exact"/>
        <w:rPr>
          <w:sz w:val="20"/>
          <w:szCs w:val="20"/>
          <w:color w:val="auto"/>
        </w:rPr>
      </w:pPr>
    </w:p>
    <w:p>
      <w:pPr>
        <w:spacing w:after="0" w:line="33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6-1162-TRW-0672R1</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6-1162-TRW-0673R1</w:t>
      </w:r>
    </w:p>
    <w:p>
      <w:pPr>
        <w:spacing w:after="0" w:line="166" w:lineRule="exact"/>
        <w:rPr>
          <w:sz w:val="20"/>
          <w:szCs w:val="20"/>
          <w:color w:val="auto"/>
        </w:rPr>
      </w:pPr>
    </w:p>
    <w:p>
      <w:pPr>
        <w:ind w:left="140" w:right="320"/>
        <w:spacing w:after="0" w:line="459" w:lineRule="auto"/>
        <w:rPr>
          <w:sz w:val="20"/>
          <w:szCs w:val="20"/>
          <w:color w:val="auto"/>
        </w:rPr>
      </w:pPr>
      <w:r>
        <w:rPr>
          <w:rFonts w:ascii="Arial" w:cs="Arial" w:eastAsia="Arial" w:hAnsi="Arial"/>
          <w:sz w:val="19"/>
          <w:szCs w:val="19"/>
          <w:color w:val="auto"/>
        </w:rPr>
        <w:t>6-1162-TRW-0674R4 AAL-PA-3219-LA-08836R2 AAL-PA-3219-LA-08837R1 AAL-PA-3219-LA-08838 AAL-LA-1106678</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AAL-PA-3219-LA-1302236R</w:t>
      </w:r>
      <w:r>
        <w:rPr>
          <w:rFonts w:ascii="Arial" w:cs="Arial" w:eastAsia="Arial" w:hAnsi="Arial"/>
          <w:sz w:val="21"/>
          <w:szCs w:val="21"/>
          <w:color w:val="auto"/>
        </w:rPr>
        <w:t>2</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21"/>
          <w:szCs w:val="21"/>
          <w:color w:val="auto"/>
        </w:rPr>
        <w:t>AAL-PA-3219-LA-1604503R1</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22"/>
          <w:szCs w:val="22"/>
          <w:color w:val="auto"/>
        </w:rPr>
        <w:t>AAL-PA-03219-LA-1701988</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AAL-PA-03219_LA-1804779</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AAL-PA-03219-LA-1802262R1</w:t>
      </w:r>
    </w:p>
    <w:p>
      <w:pPr>
        <w:spacing w:after="0" w:line="200" w:lineRule="exact"/>
        <w:rPr>
          <w:sz w:val="20"/>
          <w:szCs w:val="20"/>
          <w:color w:val="auto"/>
        </w:rPr>
      </w:pPr>
    </w:p>
    <w:p>
      <w:pPr>
        <w:ind w:left="140" w:right="240"/>
        <w:spacing w:after="0" w:line="382" w:lineRule="auto"/>
        <w:rPr>
          <w:sz w:val="20"/>
          <w:szCs w:val="20"/>
          <w:color w:val="auto"/>
        </w:rPr>
      </w:pPr>
      <w:r>
        <w:rPr>
          <w:rFonts w:ascii="Arial" w:cs="Arial" w:eastAsia="Arial" w:hAnsi="Arial"/>
          <w:sz w:val="19"/>
          <w:szCs w:val="19"/>
          <w:color w:val="auto"/>
        </w:rPr>
        <w:t>AAL-PA-03219-LA-1802492 AAL-PA-3219-LA-2001170</w:t>
      </w:r>
    </w:p>
    <w:p>
      <w:pPr>
        <w:ind w:left="140" w:right="680"/>
        <w:spacing w:after="0" w:line="468" w:lineRule="auto"/>
        <w:rPr>
          <w:sz w:val="20"/>
          <w:szCs w:val="20"/>
          <w:color w:val="auto"/>
        </w:rPr>
      </w:pPr>
      <w:r>
        <w:rPr>
          <w:rFonts w:ascii="Arial" w:cs="Arial" w:eastAsia="Arial" w:hAnsi="Arial"/>
          <w:sz w:val="19"/>
          <w:szCs w:val="19"/>
          <w:b w:val="1"/>
          <w:bCs w:val="1"/>
          <w:color w:val="auto"/>
        </w:rPr>
        <w:t>AAL-PA-3219-2101557 AAL-LA-2100530</w:t>
      </w:r>
    </w:p>
    <w:p>
      <w:pPr>
        <w:spacing w:after="0" w:line="200" w:lineRule="exact"/>
        <w:rPr>
          <w:sz w:val="20"/>
          <w:szCs w:val="20"/>
          <w:color w:val="auto"/>
        </w:rPr>
      </w:pPr>
    </w:p>
    <w:p>
      <w:pPr>
        <w:spacing w:after="0" w:line="398" w:lineRule="exact"/>
        <w:rPr>
          <w:sz w:val="20"/>
          <w:szCs w:val="20"/>
          <w:color w:val="auto"/>
        </w:rPr>
      </w:pPr>
    </w:p>
    <w:p>
      <w:pPr>
        <w:ind w:right="560"/>
        <w:spacing w:after="0" w:line="287" w:lineRule="auto"/>
        <w:rPr>
          <w:sz w:val="20"/>
          <w:szCs w:val="20"/>
          <w:color w:val="auto"/>
        </w:rPr>
      </w:pPr>
      <w:r>
        <w:rPr>
          <w:rFonts w:ascii="Arial" w:cs="Arial" w:eastAsia="Arial" w:hAnsi="Arial"/>
          <w:sz w:val="21"/>
          <w:szCs w:val="21"/>
          <w:color w:val="auto"/>
        </w:rPr>
        <w:t>P.A. No. 3219 SA-16 Table of Contents Page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Attachment D – Form of Purchase Agreement Supplement</w:t>
      </w:r>
    </w:p>
    <w:p>
      <w:pPr>
        <w:spacing w:after="0" w:line="287" w:lineRule="exact"/>
        <w:rPr>
          <w:sz w:val="20"/>
          <w:szCs w:val="20"/>
          <w:color w:val="auto"/>
        </w:rPr>
      </w:pPr>
    </w:p>
    <w:p>
      <w:pPr>
        <w:ind w:right="960"/>
        <w:spacing w:after="0" w:line="232" w:lineRule="auto"/>
        <w:rPr>
          <w:sz w:val="20"/>
          <w:szCs w:val="20"/>
          <w:color w:val="auto"/>
        </w:rPr>
      </w:pPr>
      <w:r>
        <w:rPr>
          <w:rFonts w:ascii="Arial" w:cs="Arial" w:eastAsia="Arial" w:hAnsi="Arial"/>
          <w:sz w:val="22"/>
          <w:szCs w:val="22"/>
          <w:color w:val="auto"/>
        </w:rPr>
        <w:t>Attachment E – Letter Agreements To Be Included In Purchase Agreement Supplement</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 WITHDRAWN</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[****]WITHDRAWN</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1000" w:hanging="323"/>
        <w:spacing w:after="0" w:line="256" w:lineRule="auto"/>
        <w:rPr>
          <w:sz w:val="20"/>
          <w:szCs w:val="20"/>
          <w:color w:val="auto"/>
        </w:rPr>
      </w:pPr>
      <w:r>
        <w:rPr>
          <w:rFonts w:ascii="Arial" w:cs="Arial" w:eastAsia="Arial" w:hAnsi="Arial"/>
          <w:sz w:val="22"/>
          <w:szCs w:val="22"/>
          <w:color w:val="auto"/>
        </w:rPr>
        <w:t>Special Matters Relating to COTS Software and End User License Agreements</w:t>
      </w:r>
    </w:p>
    <w:p>
      <w:pPr>
        <w:ind w:left="1000"/>
        <w:spacing w:after="0"/>
        <w:rPr>
          <w:sz w:val="20"/>
          <w:szCs w:val="20"/>
          <w:color w:val="auto"/>
        </w:rPr>
      </w:pPr>
      <w:r>
        <w:rPr>
          <w:rFonts w:ascii="Arial" w:cs="Arial" w:eastAsia="Arial" w:hAnsi="Arial"/>
          <w:sz w:val="22"/>
          <w:szCs w:val="22"/>
          <w:color w:val="auto"/>
        </w:rPr>
        <w:t>Miscellaneous Commitments for Model 787 Aircraft</w:t>
      </w:r>
    </w:p>
    <w:p>
      <w:pPr>
        <w:spacing w:after="0" w:line="30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WITHDRAWN</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Promotional Support Agreement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Confidentiality</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Business Considerations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Open Configuration Matters</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320"/>
        <w:spacing w:after="0"/>
        <w:rPr>
          <w:sz w:val="20"/>
          <w:szCs w:val="20"/>
          <w:color w:val="auto"/>
        </w:rPr>
      </w:pPr>
      <w:r>
        <w:rPr>
          <w:rFonts w:ascii="Arial" w:cs="Arial" w:eastAsia="Arial" w:hAnsi="Arial"/>
          <w:sz w:val="22"/>
          <w:szCs w:val="22"/>
          <w:color w:val="auto"/>
        </w:rPr>
        <w:t>SA-11</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SA-6</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SA-3</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SA-3</w:t>
      </w:r>
    </w:p>
    <w:p>
      <w:pPr>
        <w:spacing w:after="0" w:line="166" w:lineRule="exact"/>
        <w:rPr>
          <w:sz w:val="20"/>
          <w:szCs w:val="20"/>
          <w:color w:val="auto"/>
        </w:rPr>
      </w:pPr>
    </w:p>
    <w:p>
      <w:pPr>
        <w:jc w:val="right"/>
        <w:ind w:right="320"/>
        <w:spacing w:after="0"/>
        <w:rPr>
          <w:sz w:val="20"/>
          <w:szCs w:val="20"/>
          <w:color w:val="auto"/>
        </w:rPr>
      </w:pPr>
      <w:r>
        <w:rPr>
          <w:rFonts w:ascii="Arial" w:cs="Arial" w:eastAsia="Arial" w:hAnsi="Arial"/>
          <w:sz w:val="22"/>
          <w:szCs w:val="22"/>
          <w:color w:val="auto"/>
        </w:rPr>
        <w:t>SA-11</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SA-3</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33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SA-3</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SA-3</w:t>
      </w:r>
    </w:p>
    <w:p>
      <w:pPr>
        <w:spacing w:after="0" w:line="166" w:lineRule="exact"/>
        <w:rPr>
          <w:sz w:val="20"/>
          <w:szCs w:val="20"/>
          <w:color w:val="auto"/>
        </w:rPr>
      </w:pPr>
    </w:p>
    <w:p>
      <w:pPr>
        <w:jc w:val="right"/>
        <w:ind w:right="320"/>
        <w:spacing w:after="0"/>
        <w:rPr>
          <w:sz w:val="20"/>
          <w:szCs w:val="20"/>
          <w:color w:val="auto"/>
        </w:rPr>
      </w:pPr>
      <w:r>
        <w:rPr>
          <w:rFonts w:ascii="Arial" w:cs="Arial" w:eastAsia="Arial" w:hAnsi="Arial"/>
          <w:sz w:val="22"/>
          <w:szCs w:val="22"/>
          <w:color w:val="auto"/>
        </w:rPr>
        <w:t>SA-11</w:t>
      </w:r>
    </w:p>
    <w:p>
      <w:pPr>
        <w:spacing w:after="0" w:line="166" w:lineRule="exact"/>
        <w:rPr>
          <w:sz w:val="20"/>
          <w:szCs w:val="20"/>
          <w:color w:val="auto"/>
        </w:rPr>
      </w:pPr>
    </w:p>
    <w:p>
      <w:pPr>
        <w:jc w:val="right"/>
        <w:ind w:right="320"/>
        <w:spacing w:after="0"/>
        <w:rPr>
          <w:sz w:val="20"/>
          <w:szCs w:val="20"/>
          <w:color w:val="auto"/>
        </w:rPr>
      </w:pPr>
      <w:r>
        <w:rPr>
          <w:rFonts w:ascii="Arial" w:cs="Arial" w:eastAsia="Arial" w:hAnsi="Arial"/>
          <w:sz w:val="22"/>
          <w:szCs w:val="22"/>
          <w:color w:val="auto"/>
        </w:rPr>
        <w:t>SA-11</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SA-6</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SA-3</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SA-3</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SA-13</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SA-8</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SA-10</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SA-11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SA-12</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SA-11</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SA-15</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SA-16</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SA-16</w:t>
      </w:r>
    </w:p>
    <w:p>
      <w:pPr>
        <w:spacing w:after="0" w:line="1765" w:lineRule="exact"/>
        <w:rPr>
          <w:sz w:val="20"/>
          <w:szCs w:val="20"/>
          <w:color w:val="auto"/>
        </w:rPr>
      </w:pPr>
    </w:p>
    <w:p>
      <w:pPr>
        <w:sectPr>
          <w:pgSz w:w="11900" w:h="16838" w:orient="portrait"/>
          <w:cols w:equalWidth="0" w:num="3">
            <w:col w:w="2960" w:space="240"/>
            <w:col w:w="6440" w:space="100"/>
            <w:col w:w="1320"/>
          </w:cols>
          <w:pgMar w:left="320" w:top="591" w:right="51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591" w:right="519" w:bottom="1440" w:gutter="0" w:footer="0" w:header="0"/>
          <w:type w:val="continuous"/>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0"/>
        <w:spacing w:after="0"/>
        <w:rPr>
          <w:sz w:val="20"/>
          <w:szCs w:val="20"/>
          <w:color w:val="auto"/>
        </w:rPr>
      </w:pPr>
      <w:r>
        <w:rPr>
          <w:rFonts w:ascii="Arial" w:cs="Arial" w:eastAsia="Arial" w:hAnsi="Arial"/>
          <w:sz w:val="22"/>
          <w:szCs w:val="22"/>
          <w:u w:val="single" w:color="auto"/>
          <w:color w:val="auto"/>
        </w:rPr>
        <w:t>ATTACHMENTS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Attachment 1</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Attachment 2</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Attachment 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760"/>
        <w:spacing w:after="0" w:line="287" w:lineRule="auto"/>
        <w:rPr>
          <w:sz w:val="20"/>
          <w:szCs w:val="20"/>
          <w:color w:val="auto"/>
        </w:rPr>
      </w:pPr>
      <w:r>
        <w:rPr>
          <w:rFonts w:ascii="Arial" w:cs="Arial" w:eastAsia="Arial" w:hAnsi="Arial"/>
          <w:sz w:val="21"/>
          <w:szCs w:val="21"/>
          <w:color w:val="auto"/>
        </w:rPr>
        <w:t>P.A. No. 3219 SA-16 Table of Contents Page 4</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80" w:type="dxa"/>
            <w:vAlign w:val="bottom"/>
          </w:tcPr>
          <w:p>
            <w:pPr>
              <w:spacing w:after="0"/>
              <w:rPr>
                <w:sz w:val="20"/>
                <w:szCs w:val="20"/>
                <w:color w:val="auto"/>
              </w:rPr>
            </w:pPr>
            <w:r>
              <w:rPr>
                <w:rFonts w:ascii="Arial" w:cs="Arial" w:eastAsia="Arial" w:hAnsi="Arial"/>
                <w:sz w:val="20"/>
                <w:szCs w:val="20"/>
                <w:color w:val="auto"/>
                <w:w w:val="97"/>
              </w:rPr>
              <w:t xml:space="preserve">Schedule for </w:t>
            </w:r>
            <w:r>
              <w:rPr>
                <w:rFonts w:ascii="Arial" w:cs="Arial" w:eastAsia="Arial" w:hAnsi="Arial"/>
                <w:sz w:val="21"/>
                <w:szCs w:val="21"/>
                <w:color w:val="auto"/>
                <w:w w:val="97"/>
              </w:rPr>
              <w:t>[****]</w:t>
            </w:r>
            <w:r>
              <w:rPr>
                <w:rFonts w:ascii="Arial" w:cs="Arial" w:eastAsia="Arial" w:hAnsi="Arial"/>
                <w:sz w:val="20"/>
                <w:szCs w:val="20"/>
                <w:color w:val="auto"/>
                <w:w w:val="97"/>
              </w:rPr>
              <w:t xml:space="preserve"> of 787-9</w:t>
            </w:r>
          </w:p>
        </w:tc>
        <w:tc>
          <w:tcPr>
            <w:tcW w:w="2480" w:type="dxa"/>
            <w:vAlign w:val="bottom"/>
          </w:tcPr>
          <w:p>
            <w:pPr>
              <w:ind w:left="20"/>
              <w:spacing w:after="0"/>
              <w:rPr>
                <w:sz w:val="20"/>
                <w:szCs w:val="20"/>
                <w:color w:val="auto"/>
              </w:rPr>
            </w:pPr>
            <w:r>
              <w:rPr>
                <w:rFonts w:ascii="Arial" w:cs="Arial" w:eastAsia="Arial" w:hAnsi="Arial"/>
                <w:sz w:val="20"/>
                <w:szCs w:val="20"/>
                <w:color w:val="auto"/>
              </w:rPr>
              <w:t>MADP Rights</w:t>
            </w:r>
          </w:p>
        </w:tc>
        <w:tc>
          <w:tcPr>
            <w:tcW w:w="1560" w:type="dxa"/>
            <w:vAlign w:val="bottom"/>
          </w:tcPr>
          <w:p>
            <w:pPr>
              <w:ind w:left="1020"/>
              <w:spacing w:after="0"/>
              <w:rPr>
                <w:sz w:val="20"/>
                <w:szCs w:val="20"/>
                <w:color w:val="auto"/>
              </w:rPr>
            </w:pPr>
            <w:r>
              <w:rPr>
                <w:rFonts w:ascii="Arial" w:cs="Arial" w:eastAsia="Arial" w:hAnsi="Arial"/>
                <w:sz w:val="22"/>
                <w:szCs w:val="22"/>
                <w:color w:val="auto"/>
                <w:w w:val="84"/>
              </w:rPr>
              <w:t>SA-11</w:t>
            </w:r>
          </w:p>
        </w:tc>
      </w:tr>
      <w:tr>
        <w:trPr>
          <w:trHeight w:val="418"/>
        </w:trPr>
        <w:tc>
          <w:tcPr>
            <w:tcW w:w="2380" w:type="dxa"/>
            <w:vAlign w:val="bottom"/>
          </w:tcPr>
          <w:p>
            <w:pPr>
              <w:spacing w:after="0"/>
              <w:rPr>
                <w:sz w:val="20"/>
                <w:szCs w:val="20"/>
                <w:color w:val="auto"/>
              </w:rPr>
            </w:pPr>
            <w:r>
              <w:rPr>
                <w:rFonts w:ascii="Arial" w:cs="Arial" w:eastAsia="Arial" w:hAnsi="Arial"/>
                <w:sz w:val="20"/>
                <w:szCs w:val="20"/>
                <w:color w:val="auto"/>
                <w:w w:val="97"/>
              </w:rPr>
              <w:t xml:space="preserve">Schedule for </w:t>
            </w:r>
            <w:r>
              <w:rPr>
                <w:rFonts w:ascii="Arial" w:cs="Arial" w:eastAsia="Arial" w:hAnsi="Arial"/>
                <w:sz w:val="21"/>
                <w:szCs w:val="21"/>
                <w:color w:val="auto"/>
                <w:w w:val="97"/>
              </w:rPr>
              <w:t>[****]</w:t>
            </w:r>
            <w:r>
              <w:rPr>
                <w:rFonts w:ascii="Arial" w:cs="Arial" w:eastAsia="Arial" w:hAnsi="Arial"/>
                <w:sz w:val="20"/>
                <w:szCs w:val="20"/>
                <w:color w:val="auto"/>
                <w:w w:val="97"/>
              </w:rPr>
              <w:t xml:space="preserve"> of 787-9</w:t>
            </w:r>
          </w:p>
        </w:tc>
        <w:tc>
          <w:tcPr>
            <w:tcW w:w="2480" w:type="dxa"/>
            <w:vAlign w:val="bottom"/>
          </w:tcPr>
          <w:p>
            <w:pPr>
              <w:ind w:left="20"/>
              <w:spacing w:after="0"/>
              <w:rPr>
                <w:sz w:val="20"/>
                <w:szCs w:val="20"/>
                <w:color w:val="auto"/>
              </w:rPr>
            </w:pPr>
            <w:r>
              <w:rPr>
                <w:rFonts w:ascii="Arial" w:cs="Arial" w:eastAsia="Arial" w:hAnsi="Arial"/>
                <w:sz w:val="20"/>
                <w:szCs w:val="20"/>
                <w:color w:val="auto"/>
              </w:rPr>
              <w:t>QADP Rights</w:t>
            </w:r>
          </w:p>
        </w:tc>
        <w:tc>
          <w:tcPr>
            <w:tcW w:w="1560" w:type="dxa"/>
            <w:vAlign w:val="bottom"/>
          </w:tcPr>
          <w:p>
            <w:pPr>
              <w:ind w:left="1020"/>
              <w:spacing w:after="0"/>
              <w:rPr>
                <w:sz w:val="20"/>
                <w:szCs w:val="20"/>
                <w:color w:val="auto"/>
              </w:rPr>
            </w:pPr>
            <w:r>
              <w:rPr>
                <w:rFonts w:ascii="Arial" w:cs="Arial" w:eastAsia="Arial" w:hAnsi="Arial"/>
                <w:sz w:val="22"/>
                <w:szCs w:val="22"/>
                <w:color w:val="auto"/>
                <w:w w:val="84"/>
              </w:rPr>
              <w:t>SA-11</w:t>
            </w:r>
          </w:p>
        </w:tc>
      </w:tr>
      <w:tr>
        <w:trPr>
          <w:trHeight w:val="418"/>
        </w:trPr>
        <w:tc>
          <w:tcPr>
            <w:tcW w:w="4860" w:type="dxa"/>
            <w:vAlign w:val="bottom"/>
            <w:gridSpan w:val="2"/>
          </w:tcPr>
          <w:p>
            <w:pPr>
              <w:spacing w:after="0"/>
              <w:rPr>
                <w:sz w:val="20"/>
                <w:szCs w:val="20"/>
                <w:color w:val="auto"/>
              </w:rPr>
            </w:pPr>
            <w:r>
              <w:rPr>
                <w:rFonts w:ascii="Arial" w:cs="Arial" w:eastAsia="Arial" w:hAnsi="Arial"/>
                <w:sz w:val="20"/>
                <w:szCs w:val="20"/>
                <w:color w:val="auto"/>
              </w:rPr>
              <w:t xml:space="preserve">787-9 Purchase Rights Aircraft </w:t>
            </w:r>
            <w:r>
              <w:rPr>
                <w:rFonts w:ascii="Arial" w:cs="Arial" w:eastAsia="Arial" w:hAnsi="Arial"/>
                <w:sz w:val="21"/>
                <w:szCs w:val="21"/>
                <w:color w:val="auto"/>
              </w:rPr>
              <w:t>[****]</w:t>
            </w:r>
            <w:r>
              <w:rPr>
                <w:rFonts w:ascii="Arial" w:cs="Arial" w:eastAsia="Arial" w:hAnsi="Arial"/>
                <w:sz w:val="20"/>
                <w:szCs w:val="20"/>
                <w:color w:val="auto"/>
              </w:rPr>
              <w:t xml:space="preserve"> Schedule</w:t>
            </w:r>
          </w:p>
        </w:tc>
        <w:tc>
          <w:tcPr>
            <w:tcW w:w="1560" w:type="dxa"/>
            <w:vAlign w:val="bottom"/>
          </w:tcPr>
          <w:p>
            <w:pPr>
              <w:ind w:left="1020"/>
              <w:spacing w:after="0"/>
              <w:rPr>
                <w:sz w:val="20"/>
                <w:szCs w:val="20"/>
                <w:color w:val="auto"/>
              </w:rPr>
            </w:pPr>
            <w:r>
              <w:rPr>
                <w:rFonts w:ascii="Arial" w:cs="Arial" w:eastAsia="Arial" w:hAnsi="Arial"/>
                <w:sz w:val="22"/>
                <w:szCs w:val="22"/>
                <w:color w:val="auto"/>
                <w:w w:val="84"/>
              </w:rPr>
              <w:t>SA-11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BOEING PROPRIETARY</w:t>
      </w:r>
    </w:p>
    <w:p>
      <w:pPr>
        <w:spacing w:after="0" w:line="200" w:lineRule="exact"/>
        <w:rPr>
          <w:sz w:val="20"/>
          <w:szCs w:val="20"/>
          <w:color w:val="auto"/>
        </w:rPr>
      </w:pPr>
    </w:p>
    <w:p>
      <w:pPr>
        <w:sectPr>
          <w:pgSz w:w="11900" w:h="16838" w:orient="portrait"/>
          <w:cols w:equalWidth="0" w:num="2">
            <w:col w:w="3160" w:space="720"/>
            <w:col w:w="7180"/>
          </w:cols>
          <w:pgMar w:left="320" w:top="591" w:right="51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591" w:right="519" w:bottom="1440" w:gutter="0" w:footer="0" w:header="0"/>
          <w:type w:val="continuous"/>
        </w:sectPr>
      </w:pPr>
    </w:p>
    <w:bookmarkStart w:id="210" w:name="page211"/>
    <w:bookmarkEnd w:id="210"/>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5R1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PA-03219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787-9 [****] Aircraft Delivery, Description, Price and Advance Payments</w:t>
      </w:r>
    </w:p>
    <w:p>
      <w:pPr>
        <w:sectPr>
          <w:pgSz w:w="11900" w:h="16838" w:orient="portrait"/>
          <w:cols w:equalWidth="0" w:num="1">
            <w:col w:w="11260"/>
          </w:cols>
          <w:pgMar w:left="320" w:top="1440" w:right="319" w:bottom="1440" w:gutter="0" w:footer="0" w:header="0"/>
        </w:sect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Airframe Model/MTOW:</w:t>
            </w:r>
          </w:p>
        </w:tc>
        <w:tc>
          <w:tcPr>
            <w:tcW w:w="1140" w:type="dxa"/>
            <w:vAlign w:val="bottom"/>
          </w:tcPr>
          <w:p>
            <w:pPr>
              <w:jc w:val="right"/>
              <w:ind w:right="348"/>
              <w:spacing w:after="0"/>
              <w:rPr>
                <w:sz w:val="20"/>
                <w:szCs w:val="20"/>
                <w:color w:val="auto"/>
              </w:rPr>
            </w:pPr>
            <w:r>
              <w:rPr>
                <w:rFonts w:ascii="Arial" w:cs="Arial" w:eastAsia="Arial" w:hAnsi="Arial"/>
                <w:sz w:val="14"/>
                <w:szCs w:val="14"/>
                <w:color w:val="auto"/>
              </w:rPr>
              <w:t>787-9</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 pounds</w:t>
            </w:r>
          </w:p>
        </w:tc>
        <w:tc>
          <w:tcPr>
            <w:tcW w:w="0" w:type="dxa"/>
            <w:vAlign w:val="bottom"/>
          </w:tcPr>
          <w:p>
            <w:pPr>
              <w:spacing w:after="0"/>
              <w:rPr>
                <w:sz w:val="1"/>
                <w:szCs w:val="1"/>
                <w:color w:val="auto"/>
              </w:rPr>
            </w:pPr>
          </w:p>
        </w:tc>
      </w:tr>
      <w:tr>
        <w:trPr>
          <w:trHeight w:val="189"/>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Engine Model/Thrust:</w:t>
            </w:r>
          </w:p>
        </w:tc>
        <w:tc>
          <w:tcPr>
            <w:tcW w:w="1140" w:type="dxa"/>
            <w:vAlign w:val="bottom"/>
          </w:tcPr>
          <w:p>
            <w:pPr>
              <w:jc w:val="center"/>
              <w:spacing w:after="0"/>
              <w:rPr>
                <w:sz w:val="20"/>
                <w:szCs w:val="20"/>
                <w:color w:val="auto"/>
              </w:rPr>
            </w:pPr>
            <w:r>
              <w:rPr>
                <w:rFonts w:ascii="Arial" w:cs="Arial" w:eastAsia="Arial" w:hAnsi="Arial"/>
                <w:sz w:val="14"/>
                <w:szCs w:val="14"/>
                <w:color w:val="auto"/>
                <w:w w:val="97"/>
              </w:rPr>
              <w:t>GENX-1B74/75</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 pounds</w:t>
            </w:r>
          </w:p>
        </w:tc>
        <w:tc>
          <w:tcPr>
            <w:tcW w:w="0" w:type="dxa"/>
            <w:vAlign w:val="bottom"/>
          </w:tcPr>
          <w:p>
            <w:pPr>
              <w:spacing w:after="0"/>
              <w:rPr>
                <w:sz w:val="1"/>
                <w:szCs w:val="1"/>
                <w:color w:val="auto"/>
              </w:rPr>
            </w:pPr>
          </w:p>
        </w:tc>
      </w:tr>
      <w:tr>
        <w:trPr>
          <w:trHeight w:val="189"/>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Airframe Price:</w:t>
            </w:r>
          </w:p>
        </w:tc>
        <w:tc>
          <w:tcPr>
            <w:tcW w:w="1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Optional Features:</w:t>
            </w:r>
          </w:p>
        </w:tc>
        <w:tc>
          <w:tcPr>
            <w:tcW w:w="1140" w:type="dxa"/>
            <w:vAlign w:val="bottom"/>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8"/>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Sub-Total of Airframe and Features:</w:t>
            </w:r>
          </w:p>
        </w:tc>
        <w:tc>
          <w:tcPr>
            <w:tcW w:w="11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Engine Price (Per Aircraft):</w:t>
            </w:r>
          </w:p>
        </w:tc>
        <w:tc>
          <w:tcPr>
            <w:tcW w:w="1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w w:val="97"/>
              </w:rPr>
              <w:t>Aircraft Basic Price (Excluding BFE/SPE):</w:t>
            </w:r>
          </w:p>
        </w:tc>
        <w:tc>
          <w:tcPr>
            <w:tcW w:w="1140" w:type="dxa"/>
            <w:vAlign w:val="bottom"/>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800" w:type="dxa"/>
            <w:vAlign w:val="bottom"/>
            <w:vMerge w:val="restart"/>
          </w:tcPr>
          <w:p>
            <w:pPr>
              <w:ind w:left="60"/>
              <w:spacing w:after="0" w:line="142" w:lineRule="exact"/>
              <w:rPr>
                <w:sz w:val="20"/>
                <w:szCs w:val="20"/>
                <w:color w:val="auto"/>
              </w:rPr>
            </w:pPr>
            <w:r>
              <w:rPr>
                <w:rFonts w:ascii="Arial" w:cs="Arial" w:eastAsia="Arial" w:hAnsi="Arial"/>
                <w:sz w:val="14"/>
                <w:szCs w:val="14"/>
                <w:b w:val="1"/>
                <w:bCs w:val="1"/>
                <w:color w:val="auto"/>
              </w:rPr>
              <w:t>Buyer Furnished Equipment (BFE)</w:t>
            </w:r>
          </w:p>
        </w:tc>
        <w:tc>
          <w:tcPr>
            <w:tcW w:w="1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80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Estimate:</w:t>
            </w:r>
          </w:p>
        </w:tc>
        <w:tc>
          <w:tcPr>
            <w:tcW w:w="1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//Seller Purchased Equipment (SPE) In-Flight Ent: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w w:val="96"/>
              </w:rPr>
              <w:t>LIFT Seats Provided by Boeing (Estimate):</w:t>
            </w:r>
          </w:p>
        </w:tc>
        <w:tc>
          <w:tcPr>
            <w:tcW w:w="1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00" w:type="dxa"/>
            <w:vAlign w:val="bottom"/>
          </w:tcPr>
          <w:p>
            <w:pPr>
              <w:ind w:left="60"/>
              <w:spacing w:after="0"/>
              <w:rPr>
                <w:sz w:val="20"/>
                <w:szCs w:val="20"/>
                <w:color w:val="auto"/>
              </w:rPr>
            </w:pPr>
            <w:r>
              <w:rPr>
                <w:rFonts w:ascii="Arial" w:cs="Arial" w:eastAsia="Arial" w:hAnsi="Arial"/>
                <w:sz w:val="14"/>
                <w:szCs w:val="14"/>
                <w:b w:val="1"/>
                <w:bCs w:val="1"/>
                <w:color w:val="auto"/>
              </w:rPr>
              <w:t>Deposit per Aircraft:</w:t>
            </w:r>
          </w:p>
        </w:tc>
        <w:tc>
          <w:tcPr>
            <w:tcW w:w="1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Detail Specification:</w:t>
            </w:r>
          </w:p>
        </w:tc>
        <w:tc>
          <w:tcPr>
            <w:tcW w:w="880" w:type="dxa"/>
            <w:vAlign w:val="bottom"/>
          </w:tcPr>
          <w:p>
            <w:pPr>
              <w:spacing w:after="0"/>
              <w:rPr>
                <w:sz w:val="16"/>
                <w:szCs w:val="16"/>
                <w:color w:val="auto"/>
              </w:rPr>
            </w:pPr>
          </w:p>
        </w:tc>
        <w:tc>
          <w:tcPr>
            <w:tcW w:w="1340" w:type="dxa"/>
            <w:vAlign w:val="bottom"/>
          </w:tcPr>
          <w:p>
            <w:pPr>
              <w:jc w:val="right"/>
              <w:ind w:right="688"/>
              <w:spacing w:after="0"/>
              <w:rPr>
                <w:sz w:val="20"/>
                <w:szCs w:val="20"/>
                <w:color w:val="auto"/>
              </w:rPr>
            </w:pPr>
            <w:r>
              <w:rPr>
                <w:rFonts w:ascii="Arial" w:cs="Arial" w:eastAsia="Arial" w:hAnsi="Arial"/>
                <w:sz w:val="14"/>
                <w:szCs w:val="14"/>
                <w:color w:val="auto"/>
              </w:rPr>
              <w:t>[****]</w:t>
            </w:r>
          </w:p>
        </w:tc>
      </w:tr>
      <w:tr>
        <w:trPr>
          <w:trHeight w:val="189"/>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Airframe Price Base Year/Escalation Formula:</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Engine Price Base Year/Escalation Formula:</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7"/>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Airframe Escalation Data:</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Base Year Index (ECI):</w:t>
            </w:r>
          </w:p>
        </w:tc>
        <w:tc>
          <w:tcPr>
            <w:tcW w:w="1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jc w:val="right"/>
              <w:ind w:right="688"/>
              <w:spacing w:after="0"/>
              <w:rPr>
                <w:sz w:val="20"/>
                <w:szCs w:val="20"/>
                <w:color w:val="auto"/>
              </w:rPr>
            </w:pPr>
            <w:r>
              <w:rPr>
                <w:rFonts w:ascii="Arial" w:cs="Arial" w:eastAsia="Arial" w:hAnsi="Arial"/>
                <w:sz w:val="14"/>
                <w:szCs w:val="14"/>
                <w:color w:val="auto"/>
              </w:rPr>
              <w:t>[****]</w:t>
            </w:r>
          </w:p>
        </w:tc>
      </w:tr>
      <w:tr>
        <w:trPr>
          <w:trHeight w:val="216"/>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Base Year Index (CPI):</w:t>
            </w:r>
          </w:p>
        </w:tc>
        <w:tc>
          <w:tcPr>
            <w:tcW w:w="880" w:type="dxa"/>
            <w:vAlign w:val="bottom"/>
          </w:tcPr>
          <w:p>
            <w:pPr>
              <w:spacing w:after="0"/>
              <w:rPr>
                <w:sz w:val="18"/>
                <w:szCs w:val="18"/>
                <w:color w:val="auto"/>
              </w:rPr>
            </w:pPr>
          </w:p>
        </w:tc>
        <w:tc>
          <w:tcPr>
            <w:tcW w:w="1340" w:type="dxa"/>
            <w:vAlign w:val="bottom"/>
          </w:tcPr>
          <w:p>
            <w:pPr>
              <w:jc w:val="right"/>
              <w:ind w:right="688"/>
              <w:spacing w:after="0"/>
              <w:rPr>
                <w:sz w:val="20"/>
                <w:szCs w:val="20"/>
                <w:color w:val="auto"/>
              </w:rPr>
            </w:pPr>
            <w:r>
              <w:rPr>
                <w:rFonts w:ascii="Arial" w:cs="Arial" w:eastAsia="Arial" w:hAnsi="Arial"/>
                <w:sz w:val="14"/>
                <w:szCs w:val="14"/>
                <w:color w:val="auto"/>
              </w:rPr>
              <w:t>[****]</w:t>
            </w:r>
          </w:p>
        </w:tc>
      </w:tr>
      <w:tr>
        <w:trPr>
          <w:trHeight w:val="228"/>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Engine Escalation Data:</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65"/>
        </w:trPr>
        <w:tc>
          <w:tcPr>
            <w:tcW w:w="14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5"/>
              </w:rPr>
              <w:t>Base Year Index (ECI):</w:t>
            </w:r>
          </w:p>
        </w:tc>
        <w:tc>
          <w:tcPr>
            <w:tcW w:w="1740" w:type="dxa"/>
            <w:vAlign w:val="bottom"/>
            <w:gridSpan w:val="2"/>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jc w:val="right"/>
              <w:ind w:right="688"/>
              <w:spacing w:after="0"/>
              <w:rPr>
                <w:sz w:val="20"/>
                <w:szCs w:val="20"/>
                <w:color w:val="auto"/>
              </w:rPr>
            </w:pPr>
            <w:r>
              <w:rPr>
                <w:rFonts w:ascii="Arial" w:cs="Arial" w:eastAsia="Arial" w:hAnsi="Arial"/>
                <w:sz w:val="14"/>
                <w:szCs w:val="14"/>
                <w:color w:val="auto"/>
              </w:rPr>
              <w:t>[****]</w:t>
            </w:r>
          </w:p>
        </w:tc>
      </w:tr>
      <w:tr>
        <w:trPr>
          <w:trHeight w:val="189"/>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Base Year Index (CPI):</w:t>
            </w:r>
          </w:p>
        </w:tc>
        <w:tc>
          <w:tcPr>
            <w:tcW w:w="880" w:type="dxa"/>
            <w:vAlign w:val="bottom"/>
          </w:tcPr>
          <w:p>
            <w:pPr>
              <w:spacing w:after="0"/>
              <w:rPr>
                <w:sz w:val="16"/>
                <w:szCs w:val="16"/>
                <w:color w:val="auto"/>
              </w:rPr>
            </w:pPr>
          </w:p>
        </w:tc>
        <w:tc>
          <w:tcPr>
            <w:tcW w:w="1340" w:type="dxa"/>
            <w:vAlign w:val="bottom"/>
          </w:tcPr>
          <w:p>
            <w:pPr>
              <w:jc w:val="right"/>
              <w:ind w:right="688"/>
              <w:spacing w:after="0"/>
              <w:rPr>
                <w:sz w:val="20"/>
                <w:szCs w:val="20"/>
                <w:color w:val="auto"/>
              </w:rPr>
            </w:pPr>
            <w:r>
              <w:rPr>
                <w:rFonts w:ascii="Arial" w:cs="Arial" w:eastAsia="Arial" w:hAnsi="Arial"/>
                <w:sz w:val="14"/>
                <w:szCs w:val="14"/>
                <w:color w:val="auto"/>
              </w:rPr>
              <w:t>[****]</w:t>
            </w:r>
          </w:p>
        </w:tc>
      </w:tr>
    </w:tbl>
    <w:p>
      <w:pPr>
        <w:spacing w:after="0" w:line="389" w:lineRule="exact"/>
        <w:rPr>
          <w:sz w:val="20"/>
          <w:szCs w:val="20"/>
          <w:color w:val="auto"/>
        </w:rPr>
      </w:pPr>
    </w:p>
    <w:p>
      <w:pPr>
        <w:sectPr>
          <w:pgSz w:w="11900" w:h="16838" w:orient="portrait"/>
          <w:cols w:equalWidth="0" w:num="2">
            <w:col w:w="5020" w:space="620"/>
            <w:col w:w="5620"/>
          </w:cols>
          <w:pgMar w:left="320" w:top="1440" w:right="319" w:bottom="1440" w:gutter="0" w:footer="0" w:header="0"/>
          <w:type w:val="continuous"/>
        </w:sectPr>
      </w:pP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000" w:type="dxa"/>
            <w:vAlign w:val="bottom"/>
            <w:tcBorders>
              <w:top w:val="single" w:sz="8" w:color="auto"/>
              <w:left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shd w:val="clear" w:color="auto" w:fill="D9D9D9"/>
          </w:tcPr>
          <w:p>
            <w:pPr>
              <w:spacing w:after="0"/>
              <w:rPr>
                <w:sz w:val="15"/>
                <w:szCs w:val="15"/>
                <w:color w:val="auto"/>
              </w:rPr>
            </w:pPr>
          </w:p>
        </w:tc>
        <w:tc>
          <w:tcPr>
            <w:tcW w:w="1480" w:type="dxa"/>
            <w:vAlign w:val="bottom"/>
            <w:tcBorders>
              <w:top w:val="single" w:sz="8" w:color="auto"/>
              <w:right w:val="single" w:sz="8" w:color="auto"/>
            </w:tcBorders>
          </w:tcPr>
          <w:p>
            <w:pPr>
              <w:spacing w:after="0"/>
              <w:rPr>
                <w:sz w:val="15"/>
                <w:szCs w:val="15"/>
                <w:color w:val="auto"/>
              </w:rPr>
            </w:pPr>
          </w:p>
        </w:tc>
        <w:tc>
          <w:tcPr>
            <w:tcW w:w="4480" w:type="dxa"/>
            <w:vAlign w:val="bottom"/>
            <w:tcBorders>
              <w:top w:val="single" w:sz="8" w:color="auto"/>
              <w:right w:val="single" w:sz="8" w:color="auto"/>
            </w:tcBorders>
            <w:gridSpan w:val="4"/>
          </w:tcPr>
          <w:p>
            <w:pPr>
              <w:jc w:val="center"/>
              <w:spacing w:after="0" w:line="175" w:lineRule="exact"/>
              <w:rPr>
                <w:sz w:val="20"/>
                <w:szCs w:val="20"/>
                <w:color w:val="auto"/>
              </w:rPr>
            </w:pPr>
            <w:r>
              <w:rPr>
                <w:rFonts w:ascii="Arial" w:cs="Arial" w:eastAsia="Arial" w:hAnsi="Arial"/>
                <w:sz w:val="16"/>
                <w:szCs w:val="16"/>
                <w:b w:val="1"/>
                <w:bCs w:val="1"/>
                <w:color w:val="auto"/>
                <w:w w:val="93"/>
              </w:rPr>
              <w:t>Advance Payment Per Aircraft (Amts. Due/Mos. Prior to</w:t>
            </w: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20" w:type="dxa"/>
            <w:vAlign w:val="bottom"/>
            <w:tcBorders>
              <w:bottom w:val="single" w:sz="8" w:color="D9D9D9"/>
              <w:right w:val="single" w:sz="8" w:color="auto"/>
            </w:tcBorders>
            <w:shd w:val="clear" w:color="auto" w:fill="D9D9D9"/>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Delivery):</w:t>
            </w: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Nominal</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1220" w:type="dxa"/>
            <w:vAlign w:val="bottom"/>
            <w:tcBorders>
              <w:right w:val="single" w:sz="8" w:color="auto"/>
            </w:tcBorders>
            <w:shd w:val="clear" w:color="auto" w:fill="D9D9D9"/>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Escalation Estimate</w:t>
            </w:r>
          </w:p>
        </w:tc>
        <w:tc>
          <w:tcPr>
            <w:tcW w:w="1120" w:type="dxa"/>
            <w:vAlign w:val="bottom"/>
            <w:tcBorders>
              <w:right w:val="single" w:sz="8" w:color="auto"/>
            </w:tcBorders>
          </w:tcPr>
          <w:p>
            <w:pPr>
              <w:ind w:left="180"/>
              <w:spacing w:after="0"/>
              <w:rPr>
                <w:sz w:val="20"/>
                <w:szCs w:val="20"/>
                <w:color w:val="auto"/>
              </w:rPr>
            </w:pPr>
            <w:r>
              <w:rPr>
                <w:rFonts w:ascii="Arial" w:cs="Arial" w:eastAsia="Arial" w:hAnsi="Arial"/>
                <w:sz w:val="16"/>
                <w:szCs w:val="16"/>
                <w:b w:val="1"/>
                <w:bCs w:val="1"/>
                <w:color w:val="auto"/>
              </w:rPr>
              <w:t>At Signing</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6"/>
              </w:rPr>
              <w:t>Delivery</w:t>
            </w:r>
          </w:p>
        </w:tc>
        <w:tc>
          <w:tcPr>
            <w:tcW w:w="82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3"/>
              </w:rPr>
              <w:t>Factor</w:t>
            </w:r>
          </w:p>
        </w:tc>
        <w:tc>
          <w:tcPr>
            <w:tcW w:w="12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3"/>
              </w:rPr>
              <w:t>Factor</w:t>
            </w:r>
          </w:p>
        </w:tc>
        <w:tc>
          <w:tcPr>
            <w:tcW w:w="1220" w:type="dxa"/>
            <w:vAlign w:val="bottom"/>
            <w:tcBorders>
              <w:right w:val="single" w:sz="8" w:color="auto"/>
            </w:tcBorders>
            <w:shd w:val="clear" w:color="auto" w:fill="D9D9D9"/>
          </w:tcPr>
          <w:p>
            <w:pPr>
              <w:spacing w:after="0"/>
              <w:rPr>
                <w:sz w:val="12"/>
                <w:szCs w:val="12"/>
                <w:color w:val="auto"/>
              </w:rPr>
            </w:pPr>
          </w:p>
        </w:tc>
        <w:tc>
          <w:tcPr>
            <w:tcW w:w="14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0"/>
              </w:rPr>
              <w:t>Adv Payment Base</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Month*</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8"/>
              </w:rPr>
              <w:t>Aircraft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(Airframe)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(Engine)</w:t>
            </w:r>
          </w:p>
        </w:tc>
        <w:tc>
          <w:tcPr>
            <w:tcW w:w="1220" w:type="dxa"/>
            <w:vAlign w:val="bottom"/>
            <w:tcBorders>
              <w:right w:val="single" w:sz="8" w:color="auto"/>
            </w:tcBorders>
            <w:shd w:val="clear" w:color="auto" w:fill="D9D9D9"/>
          </w:tcPr>
          <w:p>
            <w:pPr>
              <w:spacing w:after="0"/>
              <w:rPr>
                <w:sz w:val="12"/>
                <w:szCs w:val="12"/>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Price Per A/P</w:t>
            </w:r>
          </w:p>
        </w:tc>
        <w:tc>
          <w:tcPr>
            <w:tcW w:w="11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0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820" w:type="dxa"/>
            <w:vAlign w:val="bottom"/>
            <w:tcBorders>
              <w:bottom w:val="single" w:sz="8" w:color="auto"/>
              <w:right w:val="single" w:sz="8" w:color="auto"/>
            </w:tcBorders>
            <w:vMerge w:val="continue"/>
          </w:tcPr>
          <w:p>
            <w:pPr>
              <w:spacing w:after="0"/>
              <w:rPr>
                <w:sz w:val="6"/>
                <w:szCs w:val="6"/>
                <w:color w:val="auto"/>
              </w:rPr>
            </w:pPr>
          </w:p>
        </w:tc>
        <w:tc>
          <w:tcPr>
            <w:tcW w:w="1060" w:type="dxa"/>
            <w:vAlign w:val="bottom"/>
            <w:tcBorders>
              <w:bottom w:val="single" w:sz="8" w:color="auto"/>
              <w:right w:val="single" w:sz="8" w:color="auto"/>
            </w:tcBorders>
            <w:vMerge w:val="continue"/>
          </w:tcPr>
          <w:p>
            <w:pPr>
              <w:spacing w:after="0"/>
              <w:rPr>
                <w:sz w:val="6"/>
                <w:szCs w:val="6"/>
                <w:color w:val="auto"/>
              </w:rPr>
            </w:pPr>
          </w:p>
        </w:tc>
        <w:tc>
          <w:tcPr>
            <w:tcW w:w="1200" w:type="dxa"/>
            <w:vAlign w:val="bottom"/>
            <w:tcBorders>
              <w:bottom w:val="single" w:sz="8" w:color="auto"/>
              <w:right w:val="single" w:sz="8" w:color="auto"/>
            </w:tcBorders>
            <w:vMerge w:val="continue"/>
          </w:tcPr>
          <w:p>
            <w:pPr>
              <w:spacing w:after="0"/>
              <w:rPr>
                <w:sz w:val="6"/>
                <w:szCs w:val="6"/>
                <w:color w:val="auto"/>
              </w:rPr>
            </w:pPr>
          </w:p>
        </w:tc>
        <w:tc>
          <w:tcPr>
            <w:tcW w:w="1220" w:type="dxa"/>
            <w:vAlign w:val="bottom"/>
            <w:tcBorders>
              <w:bottom w:val="single" w:sz="8" w:color="auto"/>
              <w:right w:val="single" w:sz="8" w:color="auto"/>
            </w:tcBorders>
            <w:shd w:val="clear" w:color="auto" w:fill="D9D9D9"/>
          </w:tcPr>
          <w:p>
            <w:pPr>
              <w:spacing w:after="0"/>
              <w:rPr>
                <w:sz w:val="6"/>
                <w:szCs w:val="6"/>
                <w:color w:val="auto"/>
              </w:rPr>
            </w:pPr>
          </w:p>
        </w:tc>
        <w:tc>
          <w:tcPr>
            <w:tcW w:w="148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2000" w:val="left"/>
          <w:tab w:leader="none" w:pos="3500" w:val="left"/>
        </w:tabs>
        <w:rPr>
          <w:sz w:val="20"/>
          <w:szCs w:val="20"/>
          <w:color w:val="auto"/>
        </w:rPr>
      </w:pPr>
      <w:r>
        <w:rPr>
          <w:rFonts w:ascii="Arial" w:cs="Arial" w:eastAsia="Arial" w:hAnsi="Arial"/>
          <w:sz w:val="14"/>
          <w:szCs w:val="14"/>
          <w:color w:val="auto"/>
        </w:rPr>
        <w:t>AAL-PA-03219 108759-1F.txt</w:t>
      </w:r>
      <w:r>
        <w:rPr>
          <w:sz w:val="20"/>
          <w:szCs w:val="20"/>
          <w:color w:val="auto"/>
        </w:rPr>
        <w:tab/>
      </w:r>
      <w:r>
        <w:rPr>
          <w:rFonts w:ascii="Arial" w:cs="Arial" w:eastAsia="Arial" w:hAnsi="Arial"/>
          <w:sz w:val="14"/>
          <w:szCs w:val="14"/>
          <w:b w:val="1"/>
          <w:bCs w:val="1"/>
          <w:color w:val="auto"/>
        </w:rPr>
        <w:t>Boeing Proprietary</w:t>
      </w:r>
      <w:r>
        <w:rPr>
          <w:sz w:val="20"/>
          <w:szCs w:val="20"/>
          <w:color w:val="auto"/>
        </w:rPr>
        <w:tab/>
      </w:r>
      <w:r>
        <w:rPr>
          <w:rFonts w:ascii="Arial" w:cs="Arial" w:eastAsia="Arial" w:hAnsi="Arial"/>
          <w:sz w:val="14"/>
          <w:szCs w:val="14"/>
          <w:color w:val="auto"/>
        </w:rPr>
        <w:t>SA-16, Table 5(R1)</w:t>
      </w:r>
    </w:p>
    <w:p>
      <w:pPr>
        <w:spacing w:after="0" w:line="109" w:lineRule="exact"/>
        <w:rPr>
          <w:sz w:val="20"/>
          <w:szCs w:val="20"/>
          <w:color w:val="auto"/>
        </w:rPr>
      </w:pPr>
    </w:p>
    <w:p>
      <w:pPr>
        <w:ind w:right="940"/>
        <w:spacing w:after="0" w:line="285" w:lineRule="auto"/>
        <w:rPr>
          <w:sz w:val="20"/>
          <w:szCs w:val="20"/>
          <w:color w:val="auto"/>
        </w:rPr>
      </w:pPr>
      <w:r>
        <w:rPr>
          <w:rFonts w:ascii="Arial" w:cs="Arial" w:eastAsia="Arial" w:hAnsi="Arial"/>
          <w:sz w:val="14"/>
          <w:szCs w:val="14"/>
          <w:b w:val="1"/>
          <w:bCs w:val="1"/>
          <w:color w:val="auto"/>
        </w:rPr>
        <w:t xml:space="preserve">[****]=[CONFIDENTIAL PORTION HAS BEEN OMITTED BECAUSE IT (I) IS NOT MATERIAL AND (II) WOULD BE COMPETITIVELY HARMFUL IF PUBLICLY DISCLOSED] </w:t>
      </w:r>
      <w:r>
        <w:rPr>
          <w:rFonts w:ascii="Arial" w:cs="Arial" w:eastAsia="Arial" w:hAnsi="Arial"/>
          <w:sz w:val="14"/>
          <w:szCs w:val="14"/>
          <w:color w:val="auto"/>
        </w:rPr>
        <w:t>Page 5</w:t>
      </w:r>
    </w:p>
    <w:p>
      <w:pPr>
        <w:sectPr>
          <w:pgSz w:w="11900" w:h="16838" w:orient="portrait"/>
          <w:cols w:equalWidth="0" w:num="1">
            <w:col w:w="11260"/>
          </w:cols>
          <w:pgMar w:left="320" w:top="1440" w:right="319" w:bottom="1440" w:gutter="0" w:footer="0" w:header="0"/>
          <w:type w:val="continuous"/>
        </w:sectPr>
      </w:pPr>
    </w:p>
    <w:bookmarkStart w:id="211" w:name="page212"/>
    <w:bookmarkEnd w:id="211"/>
    <w:p>
      <w:pPr>
        <w:jc w:val="center"/>
        <w:ind w:right="20"/>
        <w:spacing w:after="0"/>
        <w:rPr>
          <w:sz w:val="20"/>
          <w:szCs w:val="20"/>
          <w:color w:val="auto"/>
        </w:rPr>
      </w:pPr>
      <w:r>
        <w:rPr>
          <w:rFonts w:ascii="Arial" w:cs="Arial" w:eastAsia="Arial" w:hAnsi="Arial"/>
          <w:sz w:val="22"/>
          <w:szCs w:val="22"/>
          <w:b w:val="1"/>
          <w:bCs w:val="1"/>
          <w:color w:val="auto"/>
        </w:rPr>
        <w:t>Table 5R1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Purchase Agreement No. PA-03219</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787-9 [****] Aircraft Delivery, Description, Price and Advance Payments</w:t>
      </w:r>
    </w:p>
    <w:p>
      <w:pPr>
        <w:spacing w:after="0" w:line="200" w:lineRule="exact"/>
        <w:rPr>
          <w:sz w:val="20"/>
          <w:szCs w:val="20"/>
          <w:color w:val="auto"/>
        </w:rPr>
      </w:pP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000" w:type="dxa"/>
            <w:vAlign w:val="bottom"/>
            <w:tcBorders>
              <w:top w:val="single" w:sz="8" w:color="auto"/>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[****]-2024</w:t>
            </w:r>
          </w:p>
        </w:tc>
        <w:tc>
          <w:tcPr>
            <w:tcW w:w="82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top w:val="single" w:sz="8" w:color="auto"/>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[****]-2024</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[****]-2024</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10"/>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10"/>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10"/>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[****]-2026</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[****]-2026</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10"/>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[****]-2026</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[****]-2026</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09"/>
        </w:trPr>
        <w:tc>
          <w:tcPr>
            <w:tcW w:w="1000" w:type="dxa"/>
            <w:vAlign w:val="bottom"/>
            <w:tcBorders>
              <w:left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[****]-2026</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10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4"/>
          <w:szCs w:val="14"/>
          <w:color w:val="auto"/>
        </w:rPr>
        <w:t>25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Note: [****]</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Note: [****]</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2000" w:val="left"/>
          <w:tab w:leader="none" w:pos="3360" w:val="left"/>
        </w:tabs>
        <w:rPr>
          <w:sz w:val="20"/>
          <w:szCs w:val="20"/>
          <w:color w:val="auto"/>
        </w:rPr>
      </w:pPr>
      <w:r>
        <w:rPr>
          <w:rFonts w:ascii="Arial" w:cs="Arial" w:eastAsia="Arial" w:hAnsi="Arial"/>
          <w:sz w:val="14"/>
          <w:szCs w:val="14"/>
          <w:color w:val="auto"/>
        </w:rPr>
        <w:t>AAL-PA-03219 108759-1F.txt</w:t>
        <w:tab/>
        <w:t>Boeing Proprietary</w:t>
        <w:tab/>
        <w:t>SA-16, Table 5(R1)</w:t>
      </w:r>
    </w:p>
    <w:p>
      <w:pPr>
        <w:spacing w:after="0" w:line="109" w:lineRule="exact"/>
        <w:rPr>
          <w:sz w:val="20"/>
          <w:szCs w:val="20"/>
          <w:color w:val="auto"/>
        </w:rPr>
      </w:pPr>
    </w:p>
    <w:p>
      <w:pPr>
        <w:ind w:right="1100"/>
        <w:spacing w:after="0" w:line="258" w:lineRule="auto"/>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 Page 6</w:t>
      </w:r>
    </w:p>
    <w:p>
      <w:pPr>
        <w:sectPr>
          <w:pgSz w:w="11900" w:h="16838" w:orient="portrait"/>
          <w:cols w:equalWidth="0" w:num="1">
            <w:col w:w="11260"/>
          </w:cols>
          <w:pgMar w:left="320" w:top="126" w:right="319" w:bottom="1440" w:gutter="0" w:footer="0" w:header="0"/>
        </w:sectPr>
      </w:pPr>
    </w:p>
    <w:bookmarkStart w:id="212" w:name="page213"/>
    <w:bookmarkEnd w:id="212"/>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6R2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PA-03219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787-8 [****] Aircraft Delivery, Description, Price and Advance Payments</w:t>
      </w:r>
    </w:p>
    <w:p>
      <w:pPr>
        <w:sectPr>
          <w:pgSz w:w="11900" w:h="16838" w:orient="portrait"/>
          <w:cols w:equalWidth="0" w:num="1">
            <w:col w:w="11260"/>
          </w:cols>
          <w:pgMar w:left="320" w:top="1440" w:right="319" w:bottom="1440" w:gutter="0" w:footer="0" w:header="0"/>
        </w:sectPr>
      </w:pP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2780" w:type="dxa"/>
            <w:vAlign w:val="bottom"/>
          </w:tcPr>
          <w:p>
            <w:pPr>
              <w:spacing w:after="0"/>
              <w:rPr>
                <w:sz w:val="20"/>
                <w:szCs w:val="20"/>
                <w:color w:val="auto"/>
              </w:rPr>
            </w:pPr>
            <w:r>
              <w:rPr>
                <w:rFonts w:ascii="Arial" w:cs="Arial" w:eastAsia="Arial" w:hAnsi="Arial"/>
                <w:sz w:val="14"/>
                <w:szCs w:val="14"/>
                <w:b w:val="1"/>
                <w:bCs w:val="1"/>
                <w:color w:val="auto"/>
              </w:rPr>
              <w:t>Airframe Model/MTOW:</w:t>
            </w:r>
          </w:p>
        </w:tc>
        <w:tc>
          <w:tcPr>
            <w:tcW w:w="1100" w:type="dxa"/>
            <w:vAlign w:val="bottom"/>
          </w:tcPr>
          <w:p>
            <w:pPr>
              <w:jc w:val="right"/>
              <w:ind w:right="348"/>
              <w:spacing w:after="0"/>
              <w:rPr>
                <w:sz w:val="20"/>
                <w:szCs w:val="20"/>
                <w:color w:val="auto"/>
              </w:rPr>
            </w:pPr>
            <w:r>
              <w:rPr>
                <w:rFonts w:ascii="Arial" w:cs="Arial" w:eastAsia="Arial" w:hAnsi="Arial"/>
                <w:sz w:val="14"/>
                <w:szCs w:val="14"/>
                <w:color w:val="auto"/>
              </w:rPr>
              <w:t>787-8</w:t>
            </w:r>
          </w:p>
        </w:tc>
        <w:tc>
          <w:tcPr>
            <w:tcW w:w="1060" w:type="dxa"/>
            <w:vAlign w:val="bottom"/>
          </w:tcPr>
          <w:p>
            <w:pPr>
              <w:ind w:left="80"/>
              <w:spacing w:after="0"/>
              <w:rPr>
                <w:sz w:val="20"/>
                <w:szCs w:val="20"/>
                <w:color w:val="auto"/>
              </w:rPr>
            </w:pPr>
            <w:r>
              <w:rPr>
                <w:rFonts w:ascii="Arial" w:cs="Arial" w:eastAsia="Arial" w:hAnsi="Arial"/>
                <w:sz w:val="14"/>
                <w:szCs w:val="14"/>
                <w:color w:val="auto"/>
              </w:rPr>
              <w:t>[****] pounds</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4"/>
                <w:szCs w:val="14"/>
                <w:b w:val="1"/>
                <w:bCs w:val="1"/>
                <w:color w:val="auto"/>
              </w:rPr>
              <w:t>Engine Model/Thrust:</w:t>
            </w:r>
          </w:p>
        </w:tc>
        <w:tc>
          <w:tcPr>
            <w:tcW w:w="1100" w:type="dxa"/>
            <w:vAlign w:val="bottom"/>
          </w:tcPr>
          <w:p>
            <w:pPr>
              <w:jc w:val="center"/>
              <w:ind w:right="28"/>
              <w:spacing w:after="0"/>
              <w:rPr>
                <w:sz w:val="20"/>
                <w:szCs w:val="20"/>
                <w:color w:val="auto"/>
              </w:rPr>
            </w:pPr>
            <w:r>
              <w:rPr>
                <w:rFonts w:ascii="Arial" w:cs="Arial" w:eastAsia="Arial" w:hAnsi="Arial"/>
                <w:sz w:val="14"/>
                <w:szCs w:val="14"/>
                <w:color w:val="auto"/>
                <w:w w:val="98"/>
              </w:rPr>
              <w:t>GENX-1B70</w:t>
            </w:r>
          </w:p>
        </w:tc>
        <w:tc>
          <w:tcPr>
            <w:tcW w:w="1060" w:type="dxa"/>
            <w:vAlign w:val="bottom"/>
          </w:tcPr>
          <w:p>
            <w:pPr>
              <w:ind w:left="80"/>
              <w:spacing w:after="0"/>
              <w:rPr>
                <w:sz w:val="20"/>
                <w:szCs w:val="20"/>
                <w:color w:val="auto"/>
              </w:rPr>
            </w:pPr>
            <w:r>
              <w:rPr>
                <w:rFonts w:ascii="Arial" w:cs="Arial" w:eastAsia="Arial" w:hAnsi="Arial"/>
                <w:sz w:val="14"/>
                <w:szCs w:val="14"/>
                <w:color w:val="auto"/>
              </w:rPr>
              <w:t>[****] pounds</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4"/>
                <w:szCs w:val="14"/>
                <w:b w:val="1"/>
                <w:bCs w:val="1"/>
                <w:color w:val="auto"/>
              </w:rPr>
              <w:t>Airframe Price:</w:t>
            </w:r>
          </w:p>
        </w:tc>
        <w:tc>
          <w:tcPr>
            <w:tcW w:w="110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20"/>
                <w:szCs w:val="20"/>
                <w:color w:val="auto"/>
              </w:rPr>
            </w:pPr>
            <w:r>
              <w:rPr>
                <w:rFonts w:ascii="Arial" w:cs="Arial" w:eastAsia="Arial" w:hAnsi="Arial"/>
                <w:sz w:val="14"/>
                <w:szCs w:val="14"/>
                <w:b w:val="1"/>
                <w:bCs w:val="1"/>
                <w:color w:val="auto"/>
              </w:rPr>
              <w:t>Optional Features:</w:t>
            </w:r>
          </w:p>
        </w:tc>
        <w:tc>
          <w:tcPr>
            <w:tcW w:w="1100" w:type="dxa"/>
            <w:vAlign w:val="bottom"/>
          </w:tcPr>
          <w:p>
            <w:pPr>
              <w:spacing w:after="0"/>
              <w:rPr>
                <w:sz w:val="16"/>
                <w:szCs w:val="16"/>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8"/>
        </w:trPr>
        <w:tc>
          <w:tcPr>
            <w:tcW w:w="2780" w:type="dxa"/>
            <w:vAlign w:val="bottom"/>
          </w:tcPr>
          <w:p>
            <w:pPr>
              <w:spacing w:after="0"/>
              <w:rPr>
                <w:sz w:val="20"/>
                <w:szCs w:val="20"/>
                <w:color w:val="auto"/>
              </w:rPr>
            </w:pPr>
            <w:r>
              <w:rPr>
                <w:rFonts w:ascii="Arial" w:cs="Arial" w:eastAsia="Arial" w:hAnsi="Arial"/>
                <w:sz w:val="14"/>
                <w:szCs w:val="14"/>
                <w:b w:val="1"/>
                <w:bCs w:val="1"/>
                <w:color w:val="auto"/>
              </w:rPr>
              <w:t>Sub-Total of Airframe and Features:</w:t>
            </w:r>
          </w:p>
        </w:tc>
        <w:tc>
          <w:tcPr>
            <w:tcW w:w="110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4"/>
                <w:szCs w:val="14"/>
                <w:b w:val="1"/>
                <w:bCs w:val="1"/>
                <w:color w:val="auto"/>
              </w:rPr>
              <w:t>Engine Price (Per Aircraft):</w:t>
            </w:r>
          </w:p>
        </w:tc>
        <w:tc>
          <w:tcPr>
            <w:tcW w:w="110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20"/>
                <w:szCs w:val="20"/>
                <w:color w:val="auto"/>
              </w:rPr>
            </w:pPr>
            <w:r>
              <w:rPr>
                <w:rFonts w:ascii="Arial" w:cs="Arial" w:eastAsia="Arial" w:hAnsi="Arial"/>
                <w:sz w:val="14"/>
                <w:szCs w:val="14"/>
                <w:b w:val="1"/>
                <w:bCs w:val="1"/>
                <w:color w:val="auto"/>
                <w:w w:val="99"/>
              </w:rPr>
              <w:t>Aircraft Basic Price (Excluding BFE/SPE):</w:t>
            </w:r>
          </w:p>
        </w:tc>
        <w:tc>
          <w:tcPr>
            <w:tcW w:w="1100" w:type="dxa"/>
            <w:vAlign w:val="bottom"/>
          </w:tcPr>
          <w:p>
            <w:pPr>
              <w:spacing w:after="0"/>
              <w:rPr>
                <w:sz w:val="17"/>
                <w:szCs w:val="17"/>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780" w:type="dxa"/>
            <w:vAlign w:val="bottom"/>
            <w:vMerge w:val="restart"/>
          </w:tcPr>
          <w:p>
            <w:pPr>
              <w:spacing w:after="0" w:line="142" w:lineRule="exact"/>
              <w:rPr>
                <w:sz w:val="20"/>
                <w:szCs w:val="20"/>
                <w:color w:val="auto"/>
              </w:rPr>
            </w:pPr>
            <w:r>
              <w:rPr>
                <w:rFonts w:ascii="Arial" w:cs="Arial" w:eastAsia="Arial" w:hAnsi="Arial"/>
                <w:sz w:val="14"/>
                <w:szCs w:val="14"/>
                <w:b w:val="1"/>
                <w:bCs w:val="1"/>
                <w:color w:val="auto"/>
              </w:rPr>
              <w:t>Buyer Furnished Equipment (BFE)</w:t>
            </w:r>
          </w:p>
        </w:tc>
        <w:tc>
          <w:tcPr>
            <w:tcW w:w="1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06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1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8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6"/>
              </w:rPr>
              <w:t>//Seller Purchased Equipment (SPE)/In-Flight Entertainment</w:t>
            </w:r>
          </w:p>
        </w:tc>
        <w:tc>
          <w:tcPr>
            <w:tcW w:w="106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tcPr>
          <w:p>
            <w:pPr>
              <w:ind w:left="1680"/>
              <w:spacing w:after="0"/>
              <w:rPr>
                <w:sz w:val="20"/>
                <w:szCs w:val="20"/>
                <w:color w:val="auto"/>
              </w:rPr>
            </w:pPr>
            <w:r>
              <w:rPr>
                <w:rFonts w:ascii="Arial" w:cs="Arial" w:eastAsia="Arial" w:hAnsi="Arial"/>
                <w:sz w:val="14"/>
                <w:szCs w:val="14"/>
                <w:b w:val="1"/>
                <w:bCs w:val="1"/>
                <w:color w:val="auto"/>
              </w:rPr>
              <w:t>(IFE)//:</w:t>
            </w:r>
          </w:p>
        </w:tc>
        <w:tc>
          <w:tcPr>
            <w:tcW w:w="1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20"/>
                <w:szCs w:val="20"/>
                <w:color w:val="auto"/>
              </w:rPr>
            </w:pPr>
            <w:r>
              <w:rPr>
                <w:rFonts w:ascii="Arial" w:cs="Arial" w:eastAsia="Arial" w:hAnsi="Arial"/>
                <w:sz w:val="14"/>
                <w:szCs w:val="14"/>
                <w:b w:val="1"/>
                <w:bCs w:val="1"/>
                <w:color w:val="auto"/>
                <w:w w:val="97"/>
              </w:rPr>
              <w:t>LIFT Seats Provided by Boeing (Estimate):</w:t>
            </w:r>
          </w:p>
        </w:tc>
        <w:tc>
          <w:tcPr>
            <w:tcW w:w="110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4"/>
                <w:szCs w:val="14"/>
                <w:b w:val="1"/>
                <w:bCs w:val="1"/>
                <w:color w:val="auto"/>
              </w:rPr>
              <w:t>Deposit per Aircraft:</w:t>
            </w:r>
          </w:p>
        </w:tc>
        <w:tc>
          <w:tcPr>
            <w:tcW w:w="110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Detail Specification:</w:t>
            </w:r>
          </w:p>
        </w:tc>
        <w:tc>
          <w:tcPr>
            <w:tcW w:w="880" w:type="dxa"/>
            <w:vAlign w:val="bottom"/>
          </w:tcPr>
          <w:p>
            <w:pPr>
              <w:spacing w:after="0"/>
              <w:rPr>
                <w:sz w:val="16"/>
                <w:szCs w:val="16"/>
                <w:color w:val="auto"/>
              </w:rPr>
            </w:pPr>
          </w:p>
        </w:tc>
        <w:tc>
          <w:tcPr>
            <w:tcW w:w="1340" w:type="dxa"/>
            <w:vAlign w:val="bottom"/>
          </w:tcPr>
          <w:p>
            <w:pPr>
              <w:jc w:val="right"/>
              <w:ind w:right="688"/>
              <w:spacing w:after="0"/>
              <w:rPr>
                <w:sz w:val="20"/>
                <w:szCs w:val="20"/>
                <w:color w:val="auto"/>
              </w:rPr>
            </w:pPr>
            <w:r>
              <w:rPr>
                <w:rFonts w:ascii="Arial" w:cs="Arial" w:eastAsia="Arial" w:hAnsi="Arial"/>
                <w:sz w:val="14"/>
                <w:szCs w:val="14"/>
                <w:color w:val="auto"/>
              </w:rPr>
              <w:t>[****]</w:t>
            </w:r>
          </w:p>
        </w:tc>
      </w:tr>
      <w:tr>
        <w:trPr>
          <w:trHeight w:val="189"/>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Airframe Price Base Year/Escalation Formula:</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Engine Price Base Year/Escalation Formula:</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7"/>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Airframe Escalation Data:</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Base Year Index (ECI):</w:t>
            </w:r>
          </w:p>
        </w:tc>
        <w:tc>
          <w:tcPr>
            <w:tcW w:w="1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jc w:val="right"/>
              <w:ind w:right="688"/>
              <w:spacing w:after="0"/>
              <w:rPr>
                <w:sz w:val="20"/>
                <w:szCs w:val="20"/>
                <w:color w:val="auto"/>
              </w:rPr>
            </w:pPr>
            <w:r>
              <w:rPr>
                <w:rFonts w:ascii="Arial" w:cs="Arial" w:eastAsia="Arial" w:hAnsi="Arial"/>
                <w:sz w:val="14"/>
                <w:szCs w:val="14"/>
                <w:color w:val="auto"/>
              </w:rPr>
              <w:t>[****]</w:t>
            </w:r>
          </w:p>
        </w:tc>
      </w:tr>
      <w:tr>
        <w:trPr>
          <w:trHeight w:val="216"/>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Base Year Index (CPI):</w:t>
            </w:r>
          </w:p>
        </w:tc>
        <w:tc>
          <w:tcPr>
            <w:tcW w:w="880" w:type="dxa"/>
            <w:vAlign w:val="bottom"/>
          </w:tcPr>
          <w:p>
            <w:pPr>
              <w:spacing w:after="0"/>
              <w:rPr>
                <w:sz w:val="18"/>
                <w:szCs w:val="18"/>
                <w:color w:val="auto"/>
              </w:rPr>
            </w:pPr>
          </w:p>
        </w:tc>
        <w:tc>
          <w:tcPr>
            <w:tcW w:w="1340" w:type="dxa"/>
            <w:vAlign w:val="bottom"/>
          </w:tcPr>
          <w:p>
            <w:pPr>
              <w:jc w:val="right"/>
              <w:ind w:right="688"/>
              <w:spacing w:after="0"/>
              <w:rPr>
                <w:sz w:val="20"/>
                <w:szCs w:val="20"/>
                <w:color w:val="auto"/>
              </w:rPr>
            </w:pPr>
            <w:r>
              <w:rPr>
                <w:rFonts w:ascii="Arial" w:cs="Arial" w:eastAsia="Arial" w:hAnsi="Arial"/>
                <w:sz w:val="14"/>
                <w:szCs w:val="14"/>
                <w:color w:val="auto"/>
              </w:rPr>
              <w:t>[****]</w:t>
            </w:r>
          </w:p>
        </w:tc>
      </w:tr>
      <w:tr>
        <w:trPr>
          <w:trHeight w:val="228"/>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Engine Escalation Data:</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00"/>
        </w:trPr>
        <w:tc>
          <w:tcPr>
            <w:tcW w:w="14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5"/>
              </w:rPr>
              <w:t>Base Year Index (ECI):</w:t>
            </w:r>
          </w:p>
        </w:tc>
        <w:tc>
          <w:tcPr>
            <w:tcW w:w="17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jc w:val="right"/>
              <w:ind w:right="688"/>
              <w:spacing w:after="0"/>
              <w:rPr>
                <w:sz w:val="20"/>
                <w:szCs w:val="20"/>
                <w:color w:val="auto"/>
              </w:rPr>
            </w:pPr>
            <w:r>
              <w:rPr>
                <w:rFonts w:ascii="Arial" w:cs="Arial" w:eastAsia="Arial" w:hAnsi="Arial"/>
                <w:sz w:val="14"/>
                <w:szCs w:val="14"/>
                <w:color w:val="auto"/>
              </w:rPr>
              <w:t>[****]</w:t>
            </w:r>
          </w:p>
        </w:tc>
      </w:tr>
      <w:tr>
        <w:trPr>
          <w:trHeight w:val="189"/>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Base Year Index (CPI):</w:t>
            </w:r>
          </w:p>
        </w:tc>
        <w:tc>
          <w:tcPr>
            <w:tcW w:w="880" w:type="dxa"/>
            <w:vAlign w:val="bottom"/>
          </w:tcPr>
          <w:p>
            <w:pPr>
              <w:spacing w:after="0"/>
              <w:rPr>
                <w:sz w:val="16"/>
                <w:szCs w:val="16"/>
                <w:color w:val="auto"/>
              </w:rPr>
            </w:pPr>
          </w:p>
        </w:tc>
        <w:tc>
          <w:tcPr>
            <w:tcW w:w="1340" w:type="dxa"/>
            <w:vAlign w:val="bottom"/>
          </w:tcPr>
          <w:p>
            <w:pPr>
              <w:jc w:val="right"/>
              <w:ind w:right="688"/>
              <w:spacing w:after="0"/>
              <w:rPr>
                <w:sz w:val="20"/>
                <w:szCs w:val="20"/>
                <w:color w:val="auto"/>
              </w:rPr>
            </w:pPr>
            <w:r>
              <w:rPr>
                <w:rFonts w:ascii="Arial" w:cs="Arial" w:eastAsia="Arial" w:hAnsi="Arial"/>
                <w:sz w:val="14"/>
                <w:szCs w:val="14"/>
                <w:color w:val="auto"/>
              </w:rPr>
              <w:t>[****]</w:t>
            </w:r>
          </w:p>
        </w:tc>
      </w:tr>
    </w:tbl>
    <w:p>
      <w:pPr>
        <w:spacing w:after="0" w:line="389" w:lineRule="exact"/>
        <w:rPr>
          <w:sz w:val="20"/>
          <w:szCs w:val="20"/>
          <w:color w:val="auto"/>
        </w:rPr>
      </w:pPr>
    </w:p>
    <w:p>
      <w:pPr>
        <w:sectPr>
          <w:pgSz w:w="11900" w:h="16838" w:orient="portrait"/>
          <w:cols w:equalWidth="0" w:num="2">
            <w:col w:w="5020" w:space="620"/>
            <w:col w:w="5620"/>
          </w:cols>
          <w:pgMar w:left="320" w:top="1440" w:right="319" w:bottom="1440" w:gutter="0" w:footer="0" w:header="0"/>
          <w:type w:val="continuous"/>
        </w:sectPr>
      </w:pP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180" w:type="dxa"/>
            <w:vAlign w:val="bottom"/>
            <w:tcBorders>
              <w:top w:val="single" w:sz="8" w:color="auto"/>
              <w:left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400" w:type="dxa"/>
            <w:vAlign w:val="bottom"/>
            <w:tcBorders>
              <w:top w:val="single" w:sz="8" w:color="auto"/>
              <w:right w:val="single" w:sz="8" w:color="auto"/>
            </w:tcBorders>
            <w:shd w:val="clear" w:color="auto" w:fill="D9D9D9"/>
          </w:tcPr>
          <w:p>
            <w:pPr>
              <w:spacing w:after="0"/>
              <w:rPr>
                <w:sz w:val="15"/>
                <w:szCs w:val="15"/>
                <w:color w:val="auto"/>
              </w:rPr>
            </w:pPr>
          </w:p>
        </w:tc>
        <w:tc>
          <w:tcPr>
            <w:tcW w:w="1400" w:type="dxa"/>
            <w:vAlign w:val="bottom"/>
            <w:tcBorders>
              <w:top w:val="single" w:sz="8" w:color="auto"/>
              <w:right w:val="single" w:sz="8" w:color="auto"/>
            </w:tcBorders>
          </w:tcPr>
          <w:p>
            <w:pPr>
              <w:spacing w:after="0"/>
              <w:rPr>
                <w:sz w:val="15"/>
                <w:szCs w:val="15"/>
                <w:color w:val="auto"/>
              </w:rPr>
            </w:pPr>
          </w:p>
        </w:tc>
        <w:tc>
          <w:tcPr>
            <w:tcW w:w="4280" w:type="dxa"/>
            <w:vAlign w:val="bottom"/>
            <w:tcBorders>
              <w:top w:val="single" w:sz="8" w:color="auto"/>
              <w:right w:val="single" w:sz="8" w:color="auto"/>
            </w:tcBorders>
            <w:gridSpan w:val="4"/>
          </w:tcPr>
          <w:p>
            <w:pPr>
              <w:jc w:val="center"/>
              <w:spacing w:after="0" w:line="175" w:lineRule="exact"/>
              <w:rPr>
                <w:sz w:val="20"/>
                <w:szCs w:val="20"/>
                <w:color w:val="auto"/>
              </w:rPr>
            </w:pPr>
            <w:r>
              <w:rPr>
                <w:rFonts w:ascii="Arial" w:cs="Arial" w:eastAsia="Arial" w:hAnsi="Arial"/>
                <w:sz w:val="16"/>
                <w:szCs w:val="16"/>
                <w:b w:val="1"/>
                <w:bCs w:val="1"/>
                <w:color w:val="auto"/>
                <w:w w:val="93"/>
              </w:rPr>
              <w:t>Advance Payment Per Aircraft (Amts. Due/Mos. Prior to</w:t>
            </w:r>
          </w:p>
        </w:tc>
        <w:tc>
          <w:tcPr>
            <w:tcW w:w="0" w:type="dxa"/>
            <w:vAlign w:val="bottom"/>
          </w:tcPr>
          <w:p>
            <w:pPr>
              <w:spacing w:after="0"/>
              <w:rPr>
                <w:sz w:val="1"/>
                <w:szCs w:val="1"/>
                <w:color w:val="auto"/>
              </w:rPr>
            </w:pPr>
          </w:p>
        </w:tc>
      </w:tr>
      <w:tr>
        <w:trPr>
          <w:trHeight w:val="264"/>
        </w:trPr>
        <w:tc>
          <w:tcPr>
            <w:tcW w:w="1180" w:type="dxa"/>
            <w:vAlign w:val="bottom"/>
            <w:tcBorders>
              <w:left w:val="single" w:sz="8" w:color="auto"/>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400" w:type="dxa"/>
            <w:vAlign w:val="bottom"/>
            <w:tcBorders>
              <w:bottom w:val="single" w:sz="8" w:color="D9D9D9"/>
              <w:right w:val="single" w:sz="8" w:color="auto"/>
            </w:tcBorders>
            <w:shd w:val="clear" w:color="auto" w:fill="D9D9D9"/>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11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Delivery):</w:t>
            </w:r>
          </w:p>
        </w:tc>
        <w:tc>
          <w:tcPr>
            <w:tcW w:w="1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18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w:t>
            </w:r>
          </w:p>
        </w:tc>
        <w:tc>
          <w:tcPr>
            <w:tcW w:w="11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9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Escalation</w:t>
            </w:r>
          </w:p>
        </w:tc>
        <w:tc>
          <w:tcPr>
            <w:tcW w:w="10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Escalation</w:t>
            </w:r>
          </w:p>
        </w:tc>
        <w:tc>
          <w:tcPr>
            <w:tcW w:w="400" w:type="dxa"/>
            <w:vAlign w:val="bottom"/>
            <w:tcBorders>
              <w:right w:val="single" w:sz="8" w:color="auto"/>
            </w:tcBorders>
            <w:shd w:val="clear" w:color="auto" w:fill="D9D9D9"/>
          </w:tcPr>
          <w:p>
            <w:pPr>
              <w:spacing w:after="0"/>
              <w:rPr>
                <w:sz w:val="15"/>
                <w:szCs w:val="15"/>
                <w:color w:val="auto"/>
              </w:rPr>
            </w:pPr>
          </w:p>
        </w:tc>
        <w:tc>
          <w:tcPr>
            <w:tcW w:w="14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2"/>
              </w:rPr>
              <w:t>Estimate</w:t>
            </w:r>
          </w:p>
        </w:tc>
        <w:tc>
          <w:tcPr>
            <w:tcW w:w="11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ind w:left="340"/>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8"/>
              </w:rPr>
              <w:t>Scheduled</w:t>
            </w:r>
          </w:p>
        </w:tc>
        <w:tc>
          <w:tcPr>
            <w:tcW w:w="11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8"/>
              </w:rPr>
              <w:t>Scheduled</w:t>
            </w:r>
          </w:p>
        </w:tc>
        <w:tc>
          <w:tcPr>
            <w:tcW w:w="84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9"/>
              </w:rPr>
              <w:t>Factor</w:t>
            </w:r>
          </w:p>
        </w:tc>
        <w:tc>
          <w:tcPr>
            <w:tcW w:w="10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3"/>
              </w:rPr>
              <w:t>Factor</w:t>
            </w:r>
          </w:p>
        </w:tc>
        <w:tc>
          <w:tcPr>
            <w:tcW w:w="400" w:type="dxa"/>
            <w:vAlign w:val="bottom"/>
            <w:tcBorders>
              <w:right w:val="single" w:sz="8" w:color="auto"/>
            </w:tcBorders>
            <w:shd w:val="clear" w:color="auto" w:fill="D9D9D9"/>
          </w:tcPr>
          <w:p>
            <w:pPr>
              <w:spacing w:after="0"/>
              <w:rPr>
                <w:sz w:val="12"/>
                <w:szCs w:val="12"/>
                <w:color w:val="auto"/>
              </w:rPr>
            </w:pPr>
          </w:p>
        </w:tc>
        <w:tc>
          <w:tcPr>
            <w:tcW w:w="14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0"/>
              </w:rPr>
              <w:t>Adv Payment Base</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5"/>
              </w:rPr>
              <w:t>Delivery Month</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Delivery Month</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Aircraft</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(Airframe)</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(Engine)</w:t>
            </w:r>
          </w:p>
        </w:tc>
        <w:tc>
          <w:tcPr>
            <w:tcW w:w="400" w:type="dxa"/>
            <w:vAlign w:val="bottom"/>
            <w:tcBorders>
              <w:right w:val="single" w:sz="8" w:color="auto"/>
            </w:tcBorders>
            <w:shd w:val="clear" w:color="auto" w:fill="D9D9D9"/>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Price Per A/P</w:t>
            </w:r>
          </w:p>
        </w:tc>
        <w:tc>
          <w:tcPr>
            <w:tcW w:w="112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180" w:type="dxa"/>
            <w:vAlign w:val="bottom"/>
            <w:tcBorders>
              <w:bottom w:val="single" w:sz="8" w:color="auto"/>
              <w:right w:val="single" w:sz="8" w:color="auto"/>
            </w:tcBorders>
            <w:vMerge w:val="continue"/>
          </w:tcPr>
          <w:p>
            <w:pPr>
              <w:spacing w:after="0"/>
              <w:rPr>
                <w:sz w:val="6"/>
                <w:szCs w:val="6"/>
                <w:color w:val="auto"/>
              </w:rPr>
            </w:pPr>
          </w:p>
        </w:tc>
        <w:tc>
          <w:tcPr>
            <w:tcW w:w="840" w:type="dxa"/>
            <w:vAlign w:val="bottom"/>
            <w:tcBorders>
              <w:bottom w:val="single" w:sz="8" w:color="auto"/>
              <w:right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vMerge w:val="continue"/>
          </w:tcPr>
          <w:p>
            <w:pPr>
              <w:spacing w:after="0"/>
              <w:rPr>
                <w:sz w:val="6"/>
                <w:szCs w:val="6"/>
                <w:color w:val="auto"/>
              </w:rPr>
            </w:pPr>
          </w:p>
        </w:tc>
        <w:tc>
          <w:tcPr>
            <w:tcW w:w="1000" w:type="dxa"/>
            <w:vAlign w:val="bottom"/>
            <w:tcBorders>
              <w:bottom w:val="single" w:sz="8" w:color="auto"/>
              <w:right w:val="single" w:sz="8" w:color="auto"/>
            </w:tcBorders>
            <w:vMerge w:val="continue"/>
          </w:tcPr>
          <w:p>
            <w:pPr>
              <w:spacing w:after="0"/>
              <w:rPr>
                <w:sz w:val="6"/>
                <w:szCs w:val="6"/>
                <w:color w:val="auto"/>
              </w:rPr>
            </w:pPr>
          </w:p>
        </w:tc>
        <w:tc>
          <w:tcPr>
            <w:tcW w:w="400" w:type="dxa"/>
            <w:vAlign w:val="bottom"/>
            <w:tcBorders>
              <w:bottom w:val="single" w:sz="8" w:color="auto"/>
              <w:right w:val="single" w:sz="8" w:color="auto"/>
            </w:tcBorders>
            <w:shd w:val="clear" w:color="auto" w:fill="D9D9D9"/>
          </w:tcPr>
          <w:p>
            <w:pPr>
              <w:spacing w:after="0"/>
              <w:rPr>
                <w:sz w:val="6"/>
                <w:szCs w:val="6"/>
                <w:color w:val="auto"/>
              </w:rPr>
            </w:pPr>
          </w:p>
        </w:tc>
        <w:tc>
          <w:tcPr>
            <w:tcW w:w="140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[****]-2020</w:t>
            </w:r>
          </w:p>
        </w:tc>
        <w:tc>
          <w:tcPr>
            <w:tcW w:w="11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[****]-2020</w:t>
            </w:r>
          </w:p>
        </w:tc>
        <w:tc>
          <w:tcPr>
            <w:tcW w:w="11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[****]-2020</w:t>
            </w:r>
          </w:p>
        </w:tc>
        <w:tc>
          <w:tcPr>
            <w:tcW w:w="11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070C0"/>
                <w:w w:val="89"/>
              </w:rPr>
              <w:t>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2000" w:val="left"/>
          <w:tab w:leader="none" w:pos="3460" w:val="left"/>
        </w:tabs>
        <w:rPr>
          <w:sz w:val="20"/>
          <w:szCs w:val="20"/>
          <w:color w:val="auto"/>
        </w:rPr>
      </w:pPr>
      <w:r>
        <w:rPr>
          <w:rFonts w:ascii="Arial" w:cs="Arial" w:eastAsia="Arial" w:hAnsi="Arial"/>
          <w:sz w:val="14"/>
          <w:szCs w:val="14"/>
          <w:color w:val="auto"/>
        </w:rPr>
        <w:t>AAL-PA-03219 113460-1F.txt</w:t>
      </w:r>
      <w:r>
        <w:rPr>
          <w:sz w:val="20"/>
          <w:szCs w:val="20"/>
          <w:color w:val="auto"/>
        </w:rPr>
        <w:tab/>
      </w:r>
      <w:r>
        <w:rPr>
          <w:rFonts w:ascii="Arial" w:cs="Arial" w:eastAsia="Arial" w:hAnsi="Arial"/>
          <w:sz w:val="14"/>
          <w:szCs w:val="14"/>
          <w:b w:val="1"/>
          <w:bCs w:val="1"/>
          <w:color w:val="auto"/>
        </w:rPr>
        <w:t>Boeing Proprietary</w:t>
      </w:r>
      <w:r>
        <w:rPr>
          <w:sz w:val="20"/>
          <w:szCs w:val="20"/>
          <w:color w:val="auto"/>
        </w:rPr>
        <w:tab/>
      </w:r>
      <w:r>
        <w:rPr>
          <w:rFonts w:ascii="Arial" w:cs="Arial" w:eastAsia="Arial" w:hAnsi="Arial"/>
          <w:sz w:val="14"/>
          <w:szCs w:val="14"/>
          <w:color w:val="auto"/>
        </w:rPr>
        <w:t>SA-16, Table 6R1</w:t>
      </w:r>
    </w:p>
    <w:p>
      <w:pPr>
        <w:spacing w:after="0" w:line="109" w:lineRule="exact"/>
        <w:rPr>
          <w:sz w:val="20"/>
          <w:szCs w:val="20"/>
          <w:color w:val="auto"/>
        </w:rPr>
      </w:pPr>
    </w:p>
    <w:p>
      <w:pPr>
        <w:ind w:right="940"/>
        <w:spacing w:after="0" w:line="285" w:lineRule="auto"/>
        <w:rPr>
          <w:sz w:val="20"/>
          <w:szCs w:val="20"/>
          <w:color w:val="auto"/>
        </w:rPr>
      </w:pPr>
      <w:r>
        <w:rPr>
          <w:rFonts w:ascii="Arial" w:cs="Arial" w:eastAsia="Arial" w:hAnsi="Arial"/>
          <w:sz w:val="14"/>
          <w:szCs w:val="14"/>
          <w:b w:val="1"/>
          <w:bCs w:val="1"/>
          <w:color w:val="auto"/>
        </w:rPr>
        <w:t xml:space="preserve">[****]=[CONFIDENTIAL PORTION HAS BEEN OMITTED BECAUSE IT (I) IS NOT MATERIAL AND (II) WOULD BE COMPETITIVELY HARMFUL IF PUBLICLY DISCLOSED] </w:t>
      </w:r>
      <w:r>
        <w:rPr>
          <w:rFonts w:ascii="Arial" w:cs="Arial" w:eastAsia="Arial" w:hAnsi="Arial"/>
          <w:sz w:val="14"/>
          <w:szCs w:val="14"/>
          <w:color w:val="auto"/>
        </w:rPr>
        <w:t>Page 7</w:t>
      </w:r>
    </w:p>
    <w:p>
      <w:pPr>
        <w:sectPr>
          <w:pgSz w:w="11900" w:h="16838" w:orient="portrait"/>
          <w:cols w:equalWidth="0" w:num="1">
            <w:col w:w="11260"/>
          </w:cols>
          <w:pgMar w:left="320" w:top="1440" w:right="319" w:bottom="1440" w:gutter="0" w:footer="0" w:header="0"/>
          <w:type w:val="continuous"/>
        </w:sectPr>
      </w:pPr>
    </w:p>
    <w:bookmarkStart w:id="213" w:name="page214"/>
    <w:bookmarkEnd w:id="213"/>
    <w:p>
      <w:pPr>
        <w:jc w:val="center"/>
        <w:ind w:right="20"/>
        <w:spacing w:after="0"/>
        <w:rPr>
          <w:sz w:val="20"/>
          <w:szCs w:val="20"/>
          <w:color w:val="auto"/>
        </w:rPr>
      </w:pPr>
      <w:r>
        <w:rPr>
          <w:rFonts w:ascii="Arial" w:cs="Arial" w:eastAsia="Arial" w:hAnsi="Arial"/>
          <w:sz w:val="22"/>
          <w:szCs w:val="22"/>
          <w:b w:val="1"/>
          <w:bCs w:val="1"/>
          <w:color w:val="auto"/>
        </w:rPr>
        <w:t>Table 6R2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Purchase Agreement No. PA-03219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787-8 [****] Aircraft Delivery, Description, Price and Advance Payments</w:t>
      </w: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180" w:type="dxa"/>
            <w:vAlign w:val="bottom"/>
            <w:tcBorders>
              <w:top w:val="single" w:sz="8" w:color="auto"/>
              <w:left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-2021</w:t>
            </w:r>
          </w:p>
        </w:tc>
        <w:tc>
          <w:tcPr>
            <w:tcW w:w="82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980" w:type="dxa"/>
            <w:vAlign w:val="bottom"/>
            <w:tcBorders>
              <w:top w:val="single" w:sz="8" w:color="auto"/>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140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r>
      <w:tr>
        <w:trPr>
          <w:trHeight w:val="237"/>
        </w:trPr>
        <w:tc>
          <w:tcPr>
            <w:tcW w:w="1180" w:type="dxa"/>
            <w:vAlign w:val="bottom"/>
            <w:tcBorders>
              <w:left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-2021</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9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r>
      <w:tr>
        <w:trPr>
          <w:trHeight w:val="237"/>
        </w:trPr>
        <w:tc>
          <w:tcPr>
            <w:tcW w:w="1180" w:type="dxa"/>
            <w:vAlign w:val="bottom"/>
            <w:tcBorders>
              <w:left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-2021</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9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r>
      <w:tr>
        <w:trPr>
          <w:trHeight w:val="236"/>
        </w:trPr>
        <w:tc>
          <w:tcPr>
            <w:tcW w:w="1180" w:type="dxa"/>
            <w:vAlign w:val="bottom"/>
            <w:tcBorders>
              <w:left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-2021</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9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r>
      <w:tr>
        <w:trPr>
          <w:trHeight w:val="237"/>
        </w:trPr>
        <w:tc>
          <w:tcPr>
            <w:tcW w:w="1180" w:type="dxa"/>
            <w:vAlign w:val="bottom"/>
            <w:tcBorders>
              <w:left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-2022</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9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r>
      <w:tr>
        <w:trPr>
          <w:trHeight w:val="236"/>
        </w:trPr>
        <w:tc>
          <w:tcPr>
            <w:tcW w:w="1180" w:type="dxa"/>
            <w:vAlign w:val="bottom"/>
            <w:tcBorders>
              <w:left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-2023</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9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r>
      <w:tr>
        <w:trPr>
          <w:trHeight w:val="237"/>
        </w:trPr>
        <w:tc>
          <w:tcPr>
            <w:tcW w:w="1180" w:type="dxa"/>
            <w:vAlign w:val="bottom"/>
            <w:tcBorders>
              <w:left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-2022</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9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r>
      <w:tr>
        <w:trPr>
          <w:trHeight w:val="237"/>
        </w:trPr>
        <w:tc>
          <w:tcPr>
            <w:tcW w:w="1180" w:type="dxa"/>
            <w:vAlign w:val="bottom"/>
            <w:tcBorders>
              <w:left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-2022</w:t>
            </w:r>
          </w:p>
        </w:tc>
        <w:tc>
          <w:tcPr>
            <w:tcW w:w="8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0070C0"/>
              </w:rPr>
              <w:t>1</w:t>
            </w:r>
          </w:p>
        </w:tc>
        <w:tc>
          <w:tcPr>
            <w:tcW w:w="9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2000" w:val="left"/>
          <w:tab w:leader="none" w:pos="3360" w:val="left"/>
        </w:tabs>
        <w:rPr>
          <w:sz w:val="20"/>
          <w:szCs w:val="20"/>
          <w:color w:val="auto"/>
        </w:rPr>
      </w:pPr>
      <w:r>
        <w:rPr>
          <w:rFonts w:ascii="Arial" w:cs="Arial" w:eastAsia="Arial" w:hAnsi="Arial"/>
          <w:sz w:val="14"/>
          <w:szCs w:val="14"/>
          <w:color w:val="auto"/>
        </w:rPr>
        <w:t>AAL-PA-03219 113460-1F.txt</w:t>
        <w:tab/>
        <w:t>Boeing Proprietary</w:t>
        <w:tab/>
        <w:t>SA-16, Table 6R1</w:t>
      </w:r>
    </w:p>
    <w:p>
      <w:pPr>
        <w:spacing w:after="0" w:line="109" w:lineRule="exact"/>
        <w:rPr>
          <w:sz w:val="20"/>
          <w:szCs w:val="20"/>
          <w:color w:val="auto"/>
        </w:rPr>
      </w:pPr>
    </w:p>
    <w:p>
      <w:pPr>
        <w:ind w:right="1100"/>
        <w:spacing w:after="0" w:line="258" w:lineRule="auto"/>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 Page 8</w:t>
      </w:r>
    </w:p>
    <w:p>
      <w:pPr>
        <w:sectPr>
          <w:pgSz w:w="11900" w:h="16838" w:orient="portrait"/>
          <w:cols w:equalWidth="0" w:num="1">
            <w:col w:w="11260"/>
          </w:cols>
          <w:pgMar w:left="320" w:top="126" w:right="319" w:bottom="1440" w:gutter="0" w:footer="0" w:header="0"/>
        </w:sectPr>
      </w:pPr>
    </w:p>
    <w:bookmarkStart w:id="214" w:name="page215"/>
    <w:bookmarkEnd w:id="214"/>
    <w:p>
      <w:pPr>
        <w:jc w:val="center"/>
        <w:ind w:right="20"/>
        <w:spacing w:after="0"/>
        <w:rPr>
          <w:sz w:val="20"/>
          <w:szCs w:val="20"/>
          <w:color w:val="auto"/>
        </w:rPr>
      </w:pPr>
      <w:r>
        <w:rPr>
          <w:rFonts w:ascii="Arial" w:cs="Arial" w:eastAsia="Arial" w:hAnsi="Arial"/>
          <w:sz w:val="22"/>
          <w:szCs w:val="22"/>
          <w:b w:val="1"/>
          <w:bCs w:val="1"/>
          <w:color w:val="auto"/>
        </w:rPr>
        <w:t>Table 7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Purchase Agreement No. PA-03219</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787-9 [****] Aircraft, Aircraft Delivery, Description, Price and Advance Payments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2000" w:type="dxa"/>
            <w:vAlign w:val="bottom"/>
            <w:gridSpan w:val="2"/>
          </w:tcPr>
          <w:p>
            <w:pPr>
              <w:ind w:left="80"/>
              <w:spacing w:after="0"/>
              <w:rPr>
                <w:sz w:val="20"/>
                <w:szCs w:val="20"/>
                <w:color w:val="auto"/>
              </w:rPr>
            </w:pPr>
            <w:r>
              <w:rPr>
                <w:rFonts w:ascii="Arial" w:cs="Arial" w:eastAsia="Arial" w:hAnsi="Arial"/>
                <w:sz w:val="14"/>
                <w:szCs w:val="14"/>
                <w:b w:val="1"/>
                <w:bCs w:val="1"/>
                <w:color w:val="auto"/>
              </w:rPr>
              <w:t>Airframe Model/MTOW:</w:t>
            </w:r>
          </w:p>
        </w:tc>
        <w:tc>
          <w:tcPr>
            <w:tcW w:w="1960" w:type="dxa"/>
            <w:vAlign w:val="bottom"/>
            <w:gridSpan w:val="4"/>
          </w:tcPr>
          <w:p>
            <w:pPr>
              <w:jc w:val="right"/>
              <w:ind w:right="300"/>
              <w:spacing w:after="0"/>
              <w:rPr>
                <w:sz w:val="20"/>
                <w:szCs w:val="20"/>
                <w:color w:val="auto"/>
              </w:rPr>
            </w:pPr>
            <w:r>
              <w:rPr>
                <w:rFonts w:ascii="Arial" w:cs="Arial" w:eastAsia="Arial" w:hAnsi="Arial"/>
                <w:sz w:val="14"/>
                <w:szCs w:val="14"/>
                <w:color w:val="auto"/>
              </w:rPr>
              <w:t>787-9</w:t>
            </w:r>
          </w:p>
        </w:tc>
        <w:tc>
          <w:tcPr>
            <w:tcW w:w="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 pounds</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4"/>
              </w:rPr>
              <w:t>Detail Specification: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gridSpan w:val="2"/>
          </w:tcPr>
          <w:p>
            <w:pPr>
              <w:jc w:val="right"/>
              <w:ind w:right="89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00" w:type="dxa"/>
            <w:vAlign w:val="bottom"/>
            <w:gridSpan w:val="2"/>
          </w:tcPr>
          <w:p>
            <w:pPr>
              <w:ind w:left="80"/>
              <w:spacing w:after="0"/>
              <w:rPr>
                <w:sz w:val="20"/>
                <w:szCs w:val="20"/>
                <w:color w:val="auto"/>
              </w:rPr>
            </w:pPr>
            <w:r>
              <w:rPr>
                <w:rFonts w:ascii="Arial" w:cs="Arial" w:eastAsia="Arial" w:hAnsi="Arial"/>
                <w:sz w:val="14"/>
                <w:szCs w:val="14"/>
                <w:b w:val="1"/>
                <w:bCs w:val="1"/>
                <w:color w:val="auto"/>
              </w:rPr>
              <w:t>Engine Model/Thrust:</w:t>
            </w:r>
          </w:p>
        </w:tc>
        <w:tc>
          <w:tcPr>
            <w:tcW w:w="140" w:type="dxa"/>
            <w:vAlign w:val="bottom"/>
          </w:tcPr>
          <w:p>
            <w:pPr>
              <w:spacing w:after="0"/>
              <w:rPr>
                <w:sz w:val="16"/>
                <w:szCs w:val="16"/>
                <w:color w:val="auto"/>
              </w:rPr>
            </w:pPr>
          </w:p>
        </w:tc>
        <w:tc>
          <w:tcPr>
            <w:tcW w:w="1880" w:type="dxa"/>
            <w:vAlign w:val="bottom"/>
            <w:gridSpan w:val="4"/>
          </w:tcPr>
          <w:p>
            <w:pPr>
              <w:jc w:val="center"/>
              <w:ind w:left="580"/>
              <w:spacing w:after="0"/>
              <w:rPr>
                <w:sz w:val="20"/>
                <w:szCs w:val="20"/>
                <w:color w:val="auto"/>
              </w:rPr>
            </w:pPr>
            <w:r>
              <w:rPr>
                <w:rFonts w:ascii="Arial" w:cs="Arial" w:eastAsia="Arial" w:hAnsi="Arial"/>
                <w:sz w:val="14"/>
                <w:szCs w:val="14"/>
                <w:color w:val="auto"/>
                <w:w w:val="97"/>
              </w:rPr>
              <w:t>GENX-1B74/75</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 pounds</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80" w:type="dxa"/>
            <w:vAlign w:val="bottom"/>
            <w:gridSpan w:val="6"/>
          </w:tcPr>
          <w:p>
            <w:pPr>
              <w:spacing w:after="0"/>
              <w:rPr>
                <w:sz w:val="20"/>
                <w:szCs w:val="20"/>
                <w:color w:val="auto"/>
              </w:rPr>
            </w:pPr>
            <w:r>
              <w:rPr>
                <w:rFonts w:ascii="Arial" w:cs="Arial" w:eastAsia="Arial" w:hAnsi="Arial"/>
                <w:sz w:val="14"/>
                <w:szCs w:val="14"/>
                <w:b w:val="1"/>
                <w:bCs w:val="1"/>
                <w:color w:val="auto"/>
              </w:rPr>
              <w:t>Airframe Price Base Year/Escalation Formula:</w:t>
            </w:r>
          </w:p>
        </w:tc>
        <w:tc>
          <w:tcPr>
            <w:tcW w:w="840" w:type="dxa"/>
            <w:vAlign w:val="bottom"/>
          </w:tcPr>
          <w:p>
            <w:pPr>
              <w:jc w:val="right"/>
              <w:ind w:right="281"/>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80" w:type="dxa"/>
            <w:vAlign w:val="bottom"/>
          </w:tcPr>
          <w:p>
            <w:pPr>
              <w:ind w:left="80"/>
              <w:spacing w:after="0"/>
              <w:rPr>
                <w:sz w:val="20"/>
                <w:szCs w:val="20"/>
                <w:color w:val="auto"/>
              </w:rPr>
            </w:pPr>
            <w:r>
              <w:rPr>
                <w:rFonts w:ascii="Arial" w:cs="Arial" w:eastAsia="Arial" w:hAnsi="Arial"/>
                <w:sz w:val="14"/>
                <w:szCs w:val="14"/>
                <w:b w:val="1"/>
                <w:bCs w:val="1"/>
                <w:color w:val="auto"/>
                <w:w w:val="95"/>
              </w:rPr>
              <w:t>Airframe Price:</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80" w:type="dxa"/>
            <w:vAlign w:val="bottom"/>
            <w:gridSpan w:val="6"/>
          </w:tcPr>
          <w:p>
            <w:pPr>
              <w:spacing w:after="0"/>
              <w:rPr>
                <w:sz w:val="20"/>
                <w:szCs w:val="20"/>
                <w:color w:val="auto"/>
              </w:rPr>
            </w:pPr>
            <w:r>
              <w:rPr>
                <w:rFonts w:ascii="Arial" w:cs="Arial" w:eastAsia="Arial" w:hAnsi="Arial"/>
                <w:sz w:val="14"/>
                <w:szCs w:val="14"/>
                <w:b w:val="1"/>
                <w:bCs w:val="1"/>
                <w:color w:val="auto"/>
              </w:rPr>
              <w:t>Engine Price Base Year/Escalation Formula:</w:t>
            </w:r>
          </w:p>
        </w:tc>
        <w:tc>
          <w:tcPr>
            <w:tcW w:w="840" w:type="dxa"/>
            <w:vAlign w:val="bottom"/>
          </w:tcPr>
          <w:p>
            <w:pPr>
              <w:jc w:val="right"/>
              <w:ind w:right="281"/>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000" w:type="dxa"/>
            <w:vAlign w:val="bottom"/>
            <w:gridSpan w:val="2"/>
          </w:tcPr>
          <w:p>
            <w:pPr>
              <w:ind w:left="80"/>
              <w:spacing w:after="0"/>
              <w:rPr>
                <w:sz w:val="20"/>
                <w:szCs w:val="20"/>
                <w:color w:val="auto"/>
              </w:rPr>
            </w:pPr>
            <w:r>
              <w:rPr>
                <w:rFonts w:ascii="Arial" w:cs="Arial" w:eastAsia="Arial" w:hAnsi="Arial"/>
                <w:sz w:val="14"/>
                <w:szCs w:val="14"/>
                <w:b w:val="1"/>
                <w:bCs w:val="1"/>
                <w:color w:val="auto"/>
              </w:rPr>
              <w:t>Optional Features: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Sub-Total of Airframe and Features:</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2580" w:type="dxa"/>
            <w:vAlign w:val="bottom"/>
            <w:gridSpan w:val="6"/>
          </w:tcPr>
          <w:p>
            <w:pPr>
              <w:ind w:left="320"/>
              <w:spacing w:after="0"/>
              <w:rPr>
                <w:sz w:val="20"/>
                <w:szCs w:val="20"/>
                <w:color w:val="auto"/>
              </w:rPr>
            </w:pPr>
            <w:r>
              <w:rPr>
                <w:rFonts w:ascii="Arial" w:cs="Arial" w:eastAsia="Arial" w:hAnsi="Arial"/>
                <w:sz w:val="14"/>
                <w:szCs w:val="14"/>
                <w:b w:val="1"/>
                <w:bCs w:val="1"/>
                <w:color w:val="auto"/>
              </w:rPr>
              <w:t>Airframe Escalation Data:</w:t>
            </w: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3340" w:type="dxa"/>
            <w:vAlign w:val="bottom"/>
            <w:gridSpan w:val="5"/>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00" w:type="dxa"/>
            <w:vAlign w:val="bottom"/>
            <w:gridSpan w:val="2"/>
          </w:tcPr>
          <w:p>
            <w:pPr>
              <w:ind w:left="80"/>
              <w:spacing w:after="0"/>
              <w:rPr>
                <w:sz w:val="20"/>
                <w:szCs w:val="20"/>
                <w:color w:val="auto"/>
              </w:rPr>
            </w:pPr>
            <w:r>
              <w:rPr>
                <w:rFonts w:ascii="Arial" w:cs="Arial" w:eastAsia="Arial" w:hAnsi="Arial"/>
                <w:sz w:val="14"/>
                <w:szCs w:val="14"/>
                <w:b w:val="1"/>
                <w:bCs w:val="1"/>
                <w:color w:val="auto"/>
              </w:rPr>
              <w:t>Engine Price (Per Aircraft):</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5"/>
          </w:tcPr>
          <w:p>
            <w:pPr>
              <w:spacing w:after="0"/>
              <w:rPr>
                <w:sz w:val="20"/>
                <w:szCs w:val="20"/>
                <w:color w:val="auto"/>
              </w:rPr>
            </w:pPr>
            <w:r>
              <w:rPr>
                <w:rFonts w:ascii="Arial" w:cs="Arial" w:eastAsia="Arial" w:hAnsi="Arial"/>
                <w:sz w:val="14"/>
                <w:szCs w:val="14"/>
                <w:b w:val="1"/>
                <w:bCs w:val="1"/>
                <w:color w:val="auto"/>
              </w:rPr>
              <w:t>Base Year Index (ECI):</w:t>
            </w: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gridSpan w:val="2"/>
          </w:tcPr>
          <w:p>
            <w:pPr>
              <w:jc w:val="right"/>
              <w:ind w:right="89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340" w:type="dxa"/>
            <w:vAlign w:val="bottom"/>
            <w:gridSpan w:val="5"/>
          </w:tcPr>
          <w:p>
            <w:pPr>
              <w:ind w:left="80"/>
              <w:spacing w:after="0"/>
              <w:rPr>
                <w:sz w:val="20"/>
                <w:szCs w:val="20"/>
                <w:color w:val="auto"/>
              </w:rPr>
            </w:pPr>
            <w:r>
              <w:rPr>
                <w:rFonts w:ascii="Arial" w:cs="Arial" w:eastAsia="Arial" w:hAnsi="Arial"/>
                <w:sz w:val="14"/>
                <w:szCs w:val="14"/>
                <w:b w:val="1"/>
                <w:bCs w:val="1"/>
                <w:color w:val="auto"/>
              </w:rPr>
              <w:t>Aircraft Basic Price (Excluding BFE/SPE):</w:t>
            </w:r>
          </w:p>
        </w:tc>
        <w:tc>
          <w:tcPr>
            <w:tcW w:w="6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5"/>
          </w:tcPr>
          <w:p>
            <w:pPr>
              <w:spacing w:after="0"/>
              <w:rPr>
                <w:sz w:val="20"/>
                <w:szCs w:val="20"/>
                <w:color w:val="auto"/>
              </w:rPr>
            </w:pPr>
            <w:r>
              <w:rPr>
                <w:rFonts w:ascii="Arial" w:cs="Arial" w:eastAsia="Arial" w:hAnsi="Arial"/>
                <w:sz w:val="14"/>
                <w:szCs w:val="14"/>
                <w:b w:val="1"/>
                <w:bCs w:val="1"/>
                <w:color w:val="auto"/>
              </w:rPr>
              <w:t>Base Year Index (CPI):</w:t>
            </w: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gridSpan w:val="2"/>
          </w:tcPr>
          <w:p>
            <w:pPr>
              <w:jc w:val="right"/>
              <w:ind w:right="89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340" w:type="dxa"/>
            <w:vAlign w:val="bottom"/>
            <w:gridSpan w:val="5"/>
            <w:vMerge w:val="restart"/>
          </w:tcPr>
          <w:p>
            <w:pPr>
              <w:ind w:left="80"/>
              <w:spacing w:after="0" w:line="142" w:lineRule="exact"/>
              <w:rPr>
                <w:sz w:val="20"/>
                <w:szCs w:val="20"/>
                <w:color w:val="auto"/>
              </w:rPr>
            </w:pPr>
            <w:r>
              <w:rPr>
                <w:rFonts w:ascii="Arial" w:cs="Arial" w:eastAsia="Arial" w:hAnsi="Arial"/>
                <w:sz w:val="14"/>
                <w:szCs w:val="14"/>
                <w:b w:val="1"/>
                <w:bCs w:val="1"/>
                <w:color w:val="auto"/>
              </w:rPr>
              <w:t>Buyer Furnished Equipment (BFE)</w:t>
            </w:r>
          </w:p>
        </w:tc>
        <w:tc>
          <w:tcPr>
            <w:tcW w:w="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gridSpan w:val="6"/>
            <w:vMerge w:val="restart"/>
          </w:tcPr>
          <w:p>
            <w:pPr>
              <w:ind w:left="320"/>
              <w:spacing w:after="0"/>
              <w:rPr>
                <w:sz w:val="20"/>
                <w:szCs w:val="20"/>
                <w:color w:val="auto"/>
              </w:rPr>
            </w:pPr>
            <w:r>
              <w:rPr>
                <w:rFonts w:ascii="Arial" w:cs="Arial" w:eastAsia="Arial" w:hAnsi="Arial"/>
                <w:sz w:val="14"/>
                <w:szCs w:val="14"/>
                <w:b w:val="1"/>
                <w:bCs w:val="1"/>
                <w:color w:val="auto"/>
              </w:rPr>
              <w:t>Engine Escalation Data:</w:t>
            </w: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334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80" w:type="dxa"/>
            <w:vAlign w:val="bottom"/>
            <w:gridSpan w:val="6"/>
            <w:vMerge w:val="continue"/>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Estimate:</w:t>
            </w: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7"/>
                <w:szCs w:val="7"/>
                <w:color w:val="auto"/>
              </w:rPr>
            </w:pPr>
          </w:p>
        </w:tc>
        <w:tc>
          <w:tcPr>
            <w:tcW w:w="2580" w:type="dxa"/>
            <w:vAlign w:val="bottom"/>
            <w:gridSpan w:val="6"/>
            <w:vMerge w:val="continue"/>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08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340" w:type="dxa"/>
            <w:vAlign w:val="bottom"/>
            <w:gridSpan w:val="5"/>
          </w:tcPr>
          <w:p>
            <w:pPr>
              <w:ind w:left="80"/>
              <w:spacing w:after="0" w:line="145" w:lineRule="exact"/>
              <w:rPr>
                <w:sz w:val="20"/>
                <w:szCs w:val="20"/>
                <w:color w:val="auto"/>
              </w:rPr>
            </w:pPr>
            <w:r>
              <w:rPr>
                <w:rFonts w:ascii="Arial" w:cs="Arial" w:eastAsia="Arial" w:hAnsi="Arial"/>
                <w:sz w:val="14"/>
                <w:szCs w:val="14"/>
                <w:b w:val="1"/>
                <w:bCs w:val="1"/>
                <w:color w:val="auto"/>
              </w:rPr>
              <w:t>//Seller Purchased Equipment (SPE)/In-</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Base Year Index (ECI):</w:t>
            </w: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gridSpan w:val="2"/>
            <w:vMerge w:val="restart"/>
          </w:tcPr>
          <w:p>
            <w:pPr>
              <w:jc w:val="right"/>
              <w:ind w:right="89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80" w:type="dxa"/>
            <w:vAlign w:val="bottom"/>
          </w:tcPr>
          <w:p>
            <w:pPr>
              <w:ind w:left="80"/>
              <w:spacing w:after="0"/>
              <w:rPr>
                <w:sz w:val="20"/>
                <w:szCs w:val="20"/>
                <w:color w:val="auto"/>
              </w:rPr>
            </w:pPr>
            <w:r>
              <w:rPr>
                <w:rFonts w:ascii="Arial" w:cs="Arial" w:eastAsia="Arial" w:hAnsi="Arial"/>
                <w:sz w:val="14"/>
                <w:szCs w:val="14"/>
                <w:b w:val="1"/>
                <w:bCs w:val="1"/>
                <w:color w:val="auto"/>
              </w:rPr>
              <w:t>Flight Ent</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gridSpan w:val="5"/>
            <w:vMerge w:val="continue"/>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40" w:type="dxa"/>
            <w:vAlign w:val="bottom"/>
            <w:gridSpan w:val="5"/>
          </w:tcPr>
          <w:p>
            <w:pPr>
              <w:ind w:left="80"/>
              <w:spacing w:after="0"/>
              <w:rPr>
                <w:sz w:val="20"/>
                <w:szCs w:val="20"/>
                <w:color w:val="auto"/>
              </w:rPr>
            </w:pPr>
            <w:r>
              <w:rPr>
                <w:rFonts w:ascii="Arial" w:cs="Arial" w:eastAsia="Arial" w:hAnsi="Arial"/>
                <w:sz w:val="14"/>
                <w:szCs w:val="14"/>
                <w:b w:val="1"/>
                <w:bCs w:val="1"/>
                <w:color w:val="auto"/>
              </w:rPr>
              <w:t>LIFT Seats Provided by Boeing (Estimate):</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5"/>
          </w:tcPr>
          <w:p>
            <w:pPr>
              <w:spacing w:after="0"/>
              <w:rPr>
                <w:sz w:val="20"/>
                <w:szCs w:val="20"/>
                <w:color w:val="auto"/>
              </w:rPr>
            </w:pPr>
            <w:r>
              <w:rPr>
                <w:rFonts w:ascii="Arial" w:cs="Arial" w:eastAsia="Arial" w:hAnsi="Arial"/>
                <w:sz w:val="14"/>
                <w:szCs w:val="14"/>
                <w:b w:val="1"/>
                <w:bCs w:val="1"/>
                <w:color w:val="auto"/>
              </w:rPr>
              <w:t>Base Year Index (CPI):</w:t>
            </w: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gridSpan w:val="2"/>
          </w:tcPr>
          <w:p>
            <w:pPr>
              <w:jc w:val="right"/>
              <w:ind w:right="89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00" w:type="dxa"/>
            <w:vAlign w:val="bottom"/>
            <w:gridSpan w:val="2"/>
          </w:tcPr>
          <w:p>
            <w:pPr>
              <w:ind w:left="80"/>
              <w:spacing w:after="0"/>
              <w:rPr>
                <w:sz w:val="20"/>
                <w:szCs w:val="20"/>
                <w:color w:val="auto"/>
              </w:rPr>
            </w:pPr>
            <w:r>
              <w:rPr>
                <w:rFonts w:ascii="Arial" w:cs="Arial" w:eastAsia="Arial" w:hAnsi="Arial"/>
                <w:sz w:val="14"/>
                <w:szCs w:val="14"/>
                <w:b w:val="1"/>
                <w:bCs w:val="1"/>
                <w:color w:val="auto"/>
              </w:rPr>
              <w:t>Deposit per Aircraft:</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300" w:type="dxa"/>
            <w:vAlign w:val="bottom"/>
            <w:tcBorders>
              <w:right w:val="single" w:sz="8" w:color="auto"/>
            </w:tcBorders>
            <w:shd w:val="clear" w:color="auto" w:fill="D9D9D9"/>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340" w:type="dxa"/>
            <w:vAlign w:val="bottom"/>
            <w:tcBorders>
              <w:right w:val="single" w:sz="8" w:color="auto"/>
            </w:tcBorders>
            <w:gridSpan w:val="7"/>
          </w:tcPr>
          <w:p>
            <w:pPr>
              <w:jc w:val="right"/>
              <w:ind w:right="199"/>
              <w:spacing w:after="0" w:line="155" w:lineRule="exact"/>
              <w:rPr>
                <w:sz w:val="20"/>
                <w:szCs w:val="20"/>
                <w:color w:val="auto"/>
              </w:rPr>
            </w:pPr>
            <w:r>
              <w:rPr>
                <w:rFonts w:ascii="Arial" w:cs="Arial" w:eastAsia="Arial" w:hAnsi="Arial"/>
                <w:sz w:val="16"/>
                <w:szCs w:val="16"/>
                <w:b w:val="1"/>
                <w:bCs w:val="1"/>
                <w:color w:val="auto"/>
                <w:w w:val="96"/>
              </w:rPr>
              <w:t>Advance Payment Per Aircraft (Amts. Due/Mos. Prior to</w:t>
            </w: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760" w:type="dxa"/>
            <w:vAlign w:val="bottom"/>
            <w:tcBorders>
              <w:bottom w:val="single" w:sz="8" w:color="D9D9D9"/>
            </w:tcBorders>
            <w:shd w:val="clear" w:color="auto" w:fill="D9D9D9"/>
          </w:tcPr>
          <w:p>
            <w:pPr>
              <w:spacing w:after="0"/>
              <w:rPr>
                <w:sz w:val="18"/>
                <w:szCs w:val="18"/>
                <w:color w:val="auto"/>
              </w:rPr>
            </w:pPr>
          </w:p>
        </w:tc>
        <w:tc>
          <w:tcPr>
            <w:tcW w:w="300" w:type="dxa"/>
            <w:vAlign w:val="bottom"/>
            <w:tcBorders>
              <w:bottom w:val="single" w:sz="8" w:color="D9D9D9"/>
              <w:right w:val="single" w:sz="8" w:color="auto"/>
            </w:tcBorders>
            <w:shd w:val="clear" w:color="auto" w:fill="D9D9D9"/>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6"/>
                <w:szCs w:val="16"/>
                <w:b w:val="1"/>
                <w:bCs w:val="1"/>
                <w:color w:val="auto"/>
              </w:rPr>
              <w:t>Delivery):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Nominal</w:t>
            </w:r>
          </w:p>
        </w:tc>
        <w:tc>
          <w:tcPr>
            <w:tcW w:w="92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w w:val="94"/>
              </w:rPr>
              <w:t>Number of</w:t>
            </w:r>
          </w:p>
        </w:tc>
        <w:tc>
          <w:tcPr>
            <w:tcW w:w="14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140" w:type="dxa"/>
            <w:vAlign w:val="bottom"/>
          </w:tcPr>
          <w:p>
            <w:pPr>
              <w:spacing w:after="0"/>
              <w:rPr>
                <w:sz w:val="19"/>
                <w:szCs w:val="19"/>
                <w:color w:val="auto"/>
              </w:rPr>
            </w:pPr>
          </w:p>
        </w:tc>
        <w:tc>
          <w:tcPr>
            <w:tcW w:w="920" w:type="dxa"/>
            <w:vAlign w:val="bottom"/>
            <w:tcBorders>
              <w:right w:val="single" w:sz="8" w:color="auto"/>
            </w:tcBorders>
            <w:gridSpan w:val="3"/>
          </w:tcPr>
          <w:p>
            <w:pPr>
              <w:jc w:val="center"/>
              <w:ind w:right="88"/>
              <w:spacing w:after="0"/>
              <w:rPr>
                <w:sz w:val="20"/>
                <w:szCs w:val="20"/>
                <w:color w:val="auto"/>
              </w:rPr>
            </w:pPr>
            <w:r>
              <w:rPr>
                <w:rFonts w:ascii="Arial" w:cs="Arial" w:eastAsia="Arial" w:hAnsi="Arial"/>
                <w:sz w:val="16"/>
                <w:szCs w:val="16"/>
                <w:b w:val="1"/>
                <w:bCs w:val="1"/>
                <w:color w:val="auto"/>
                <w:w w:val="89"/>
              </w:rPr>
              <w:t>Escalation</w:t>
            </w:r>
          </w:p>
        </w:tc>
        <w:tc>
          <w:tcPr>
            <w:tcW w:w="760" w:type="dxa"/>
            <w:vAlign w:val="bottom"/>
            <w:shd w:val="clear" w:color="auto" w:fill="D9D9D9"/>
          </w:tcPr>
          <w:p>
            <w:pPr>
              <w:spacing w:after="0"/>
              <w:rPr>
                <w:sz w:val="19"/>
                <w:szCs w:val="19"/>
                <w:color w:val="auto"/>
              </w:rPr>
            </w:pPr>
          </w:p>
        </w:tc>
        <w:tc>
          <w:tcPr>
            <w:tcW w:w="300" w:type="dxa"/>
            <w:vAlign w:val="bottom"/>
            <w:tcBorders>
              <w:right w:val="single" w:sz="8" w:color="auto"/>
            </w:tcBorders>
            <w:shd w:val="clear" w:color="auto" w:fill="D9D9D9"/>
          </w:tcPr>
          <w:p>
            <w:pPr>
              <w:spacing w:after="0"/>
              <w:rPr>
                <w:sz w:val="19"/>
                <w:szCs w:val="19"/>
                <w:color w:val="auto"/>
              </w:rPr>
            </w:pP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Escalation Estimate</w:t>
            </w:r>
          </w:p>
        </w:tc>
        <w:tc>
          <w:tcPr>
            <w:tcW w:w="140" w:type="dxa"/>
            <w:vAlign w:val="bottom"/>
          </w:tcPr>
          <w:p>
            <w:pPr>
              <w:spacing w:after="0"/>
              <w:rPr>
                <w:sz w:val="19"/>
                <w:szCs w:val="19"/>
                <w:color w:val="auto"/>
              </w:rPr>
            </w:pPr>
          </w:p>
        </w:tc>
        <w:tc>
          <w:tcPr>
            <w:tcW w:w="9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At Signing</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181"/>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6"/>
              </w:rPr>
              <w:t>Delivery</w:t>
            </w:r>
          </w:p>
        </w:tc>
        <w:tc>
          <w:tcPr>
            <w:tcW w:w="9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3"/>
              </w:rPr>
              <w:t>Factor</w:t>
            </w:r>
          </w:p>
        </w:tc>
        <w:tc>
          <w:tcPr>
            <w:tcW w:w="140" w:type="dxa"/>
            <w:vAlign w:val="bottom"/>
          </w:tcPr>
          <w:p>
            <w:pPr>
              <w:spacing w:after="0"/>
              <w:rPr>
                <w:sz w:val="12"/>
                <w:szCs w:val="12"/>
                <w:color w:val="auto"/>
              </w:rPr>
            </w:pPr>
          </w:p>
        </w:tc>
        <w:tc>
          <w:tcPr>
            <w:tcW w:w="680" w:type="dxa"/>
            <w:vAlign w:val="bottom"/>
            <w:gridSpan w:val="2"/>
          </w:tcPr>
          <w:p>
            <w:pPr>
              <w:jc w:val="center"/>
              <w:ind w:left="20"/>
              <w:spacing w:after="0" w:line="148" w:lineRule="exact"/>
              <w:rPr>
                <w:sz w:val="20"/>
                <w:szCs w:val="20"/>
                <w:color w:val="auto"/>
              </w:rPr>
            </w:pPr>
            <w:r>
              <w:rPr>
                <w:rFonts w:ascii="Arial" w:cs="Arial" w:eastAsia="Arial" w:hAnsi="Arial"/>
                <w:sz w:val="16"/>
                <w:szCs w:val="16"/>
                <w:b w:val="1"/>
                <w:bCs w:val="1"/>
                <w:color w:val="auto"/>
                <w:w w:val="93"/>
              </w:rPr>
              <w:t>Factor</w:t>
            </w:r>
          </w:p>
        </w:tc>
        <w:tc>
          <w:tcPr>
            <w:tcW w:w="240" w:type="dxa"/>
            <w:vAlign w:val="bottom"/>
            <w:tcBorders>
              <w:right w:val="single" w:sz="8" w:color="auto"/>
            </w:tcBorders>
          </w:tcPr>
          <w:p>
            <w:pPr>
              <w:spacing w:after="0"/>
              <w:rPr>
                <w:sz w:val="12"/>
                <w:szCs w:val="12"/>
                <w:color w:val="auto"/>
              </w:rPr>
            </w:pPr>
          </w:p>
        </w:tc>
        <w:tc>
          <w:tcPr>
            <w:tcW w:w="760" w:type="dxa"/>
            <w:vAlign w:val="bottom"/>
            <w:shd w:val="clear" w:color="auto" w:fill="D9D9D9"/>
          </w:tcPr>
          <w:p>
            <w:pPr>
              <w:spacing w:after="0"/>
              <w:rPr>
                <w:sz w:val="12"/>
                <w:szCs w:val="12"/>
                <w:color w:val="auto"/>
              </w:rPr>
            </w:pPr>
          </w:p>
        </w:tc>
        <w:tc>
          <w:tcPr>
            <w:tcW w:w="300" w:type="dxa"/>
            <w:vAlign w:val="bottom"/>
            <w:tcBorders>
              <w:right w:val="single" w:sz="8" w:color="auto"/>
            </w:tcBorders>
            <w:shd w:val="clear" w:color="auto" w:fill="D9D9D9"/>
          </w:tcPr>
          <w:p>
            <w:pPr>
              <w:spacing w:after="0"/>
              <w:rPr>
                <w:sz w:val="12"/>
                <w:szCs w:val="12"/>
                <w:color w:val="auto"/>
              </w:rPr>
            </w:pPr>
          </w:p>
        </w:tc>
        <w:tc>
          <w:tcPr>
            <w:tcW w:w="1460" w:type="dxa"/>
            <w:vAlign w:val="bottom"/>
            <w:tcBorders>
              <w:right w:val="single" w:sz="8" w:color="auto"/>
            </w:tcBorders>
            <w:gridSpan w:val="2"/>
          </w:tcPr>
          <w:p>
            <w:pPr>
              <w:jc w:val="center"/>
              <w:spacing w:after="0" w:line="148" w:lineRule="exact"/>
              <w:rPr>
                <w:sz w:val="20"/>
                <w:szCs w:val="20"/>
                <w:color w:val="auto"/>
              </w:rPr>
            </w:pPr>
            <w:r>
              <w:rPr>
                <w:rFonts w:ascii="Arial" w:cs="Arial" w:eastAsia="Arial" w:hAnsi="Arial"/>
                <w:sz w:val="16"/>
                <w:szCs w:val="16"/>
                <w:b w:val="1"/>
                <w:bCs w:val="1"/>
                <w:color w:val="auto"/>
                <w:w w:val="90"/>
              </w:rPr>
              <w:t>Adv Payment Base</w:t>
            </w:r>
          </w:p>
        </w:tc>
        <w:tc>
          <w:tcPr>
            <w:tcW w:w="140" w:type="dxa"/>
            <w:vAlign w:val="bottom"/>
          </w:tcPr>
          <w:p>
            <w:pPr>
              <w:spacing w:after="0"/>
              <w:rPr>
                <w:sz w:val="12"/>
                <w:szCs w:val="12"/>
                <w:color w:val="auto"/>
              </w:rPr>
            </w:pPr>
          </w:p>
        </w:tc>
        <w:tc>
          <w:tcPr>
            <w:tcW w:w="980" w:type="dxa"/>
            <w:vAlign w:val="bottom"/>
            <w:tcBorders>
              <w:right w:val="single" w:sz="8" w:color="auto"/>
            </w:tcBorders>
            <w:gridSpan w:val="3"/>
            <w:vMerge w:val="restart"/>
          </w:tcPr>
          <w:p>
            <w:pPr>
              <w:jc w:val="center"/>
              <w:ind w:right="18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center"/>
              <w:ind w:left="181"/>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Month*</w:t>
            </w:r>
          </w:p>
        </w:tc>
        <w:tc>
          <w:tcPr>
            <w:tcW w:w="92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w w:val="98"/>
              </w:rPr>
              <w:t>Aircraft</w:t>
            </w:r>
          </w:p>
        </w:tc>
        <w:tc>
          <w:tcPr>
            <w:tcW w:w="1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(Airframe)</w:t>
            </w:r>
          </w:p>
        </w:tc>
        <w:tc>
          <w:tcPr>
            <w:tcW w:w="14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(Engine)</w:t>
            </w:r>
          </w:p>
        </w:tc>
        <w:tc>
          <w:tcPr>
            <w:tcW w:w="240" w:type="dxa"/>
            <w:vAlign w:val="bottom"/>
            <w:tcBorders>
              <w:right w:val="single" w:sz="8" w:color="auto"/>
            </w:tcBorders>
          </w:tcPr>
          <w:p>
            <w:pPr>
              <w:spacing w:after="0"/>
              <w:rPr>
                <w:sz w:val="12"/>
                <w:szCs w:val="12"/>
                <w:color w:val="auto"/>
              </w:rPr>
            </w:pPr>
          </w:p>
        </w:tc>
        <w:tc>
          <w:tcPr>
            <w:tcW w:w="760" w:type="dxa"/>
            <w:vAlign w:val="bottom"/>
            <w:shd w:val="clear" w:color="auto" w:fill="D9D9D9"/>
          </w:tcPr>
          <w:p>
            <w:pPr>
              <w:spacing w:after="0"/>
              <w:rPr>
                <w:sz w:val="12"/>
                <w:szCs w:val="12"/>
                <w:color w:val="auto"/>
              </w:rPr>
            </w:pPr>
          </w:p>
        </w:tc>
        <w:tc>
          <w:tcPr>
            <w:tcW w:w="300" w:type="dxa"/>
            <w:vAlign w:val="bottom"/>
            <w:tcBorders>
              <w:right w:val="single" w:sz="8" w:color="auto"/>
            </w:tcBorders>
            <w:shd w:val="clear" w:color="auto" w:fill="D9D9D9"/>
          </w:tcPr>
          <w:p>
            <w:pPr>
              <w:spacing w:after="0"/>
              <w:rPr>
                <w:sz w:val="12"/>
                <w:szCs w:val="12"/>
                <w:color w:val="auto"/>
              </w:rPr>
            </w:pPr>
          </w:p>
        </w:tc>
        <w:tc>
          <w:tcPr>
            <w:tcW w:w="14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3"/>
              </w:rPr>
              <w:t>Price Per A/P</w:t>
            </w:r>
          </w:p>
        </w:tc>
        <w:tc>
          <w:tcPr>
            <w:tcW w:w="140" w:type="dxa"/>
            <w:vAlign w:val="bottom"/>
          </w:tcPr>
          <w:p>
            <w:pPr>
              <w:spacing w:after="0"/>
              <w:rPr>
                <w:sz w:val="12"/>
                <w:szCs w:val="12"/>
                <w:color w:val="auto"/>
              </w:rPr>
            </w:pPr>
          </w:p>
        </w:tc>
        <w:tc>
          <w:tcPr>
            <w:tcW w:w="980" w:type="dxa"/>
            <w:vAlign w:val="bottom"/>
            <w:tcBorders>
              <w:right w:val="single" w:sz="8" w:color="auto"/>
            </w:tcBorders>
            <w:gridSpan w:val="3"/>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0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vMerge w:val="continue"/>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shd w:val="clear" w:color="auto" w:fill="D9D9D9"/>
          </w:tcPr>
          <w:p>
            <w:pPr>
              <w:spacing w:after="0"/>
              <w:rPr>
                <w:sz w:val="6"/>
                <w:szCs w:val="6"/>
                <w:color w:val="auto"/>
              </w:rPr>
            </w:pPr>
          </w:p>
        </w:tc>
        <w:tc>
          <w:tcPr>
            <w:tcW w:w="300" w:type="dxa"/>
            <w:vAlign w:val="bottom"/>
            <w:tcBorders>
              <w:bottom w:val="single" w:sz="8" w:color="auto"/>
              <w:right w:val="single" w:sz="8" w:color="auto"/>
            </w:tcBorders>
            <w:shd w:val="clear" w:color="auto" w:fill="D9D9D9"/>
          </w:tcPr>
          <w:p>
            <w:pPr>
              <w:spacing w:after="0"/>
              <w:rPr>
                <w:sz w:val="6"/>
                <w:szCs w:val="6"/>
                <w:color w:val="auto"/>
              </w:rPr>
            </w:pPr>
          </w:p>
        </w:tc>
        <w:tc>
          <w:tcPr>
            <w:tcW w:w="1460" w:type="dxa"/>
            <w:vAlign w:val="bottom"/>
            <w:tcBorders>
              <w:bottom w:val="single" w:sz="8" w:color="auto"/>
              <w:right w:val="single" w:sz="8" w:color="auto"/>
            </w:tcBorders>
            <w:gridSpan w:val="2"/>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9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0070C0"/>
                <w:w w:val="89"/>
              </w:rPr>
              <w:t>1</w:t>
            </w:r>
          </w:p>
        </w:tc>
        <w:tc>
          <w:tcPr>
            <w:tcW w:w="1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shd w:val="clear" w:color="auto" w:fill="D9D9D9"/>
          </w:tcPr>
          <w:p>
            <w:pPr>
              <w:spacing w:after="0"/>
              <w:rPr>
                <w:sz w:val="18"/>
                <w:szCs w:val="18"/>
                <w:color w:val="auto"/>
              </w:rPr>
            </w:pPr>
          </w:p>
        </w:tc>
        <w:tc>
          <w:tcPr>
            <w:tcW w:w="300" w:type="dxa"/>
            <w:vAlign w:val="bottom"/>
            <w:tcBorders>
              <w:bottom w:val="single" w:sz="8" w:color="auto"/>
              <w:right w:val="single" w:sz="8" w:color="auto"/>
            </w:tcBorders>
            <w:shd w:val="clear" w:color="auto" w:fill="D9D9D9"/>
          </w:tcPr>
          <w:p>
            <w:pPr>
              <w:spacing w:after="0"/>
              <w:rPr>
                <w:sz w:val="18"/>
                <w:szCs w:val="18"/>
                <w:color w:val="auto"/>
              </w:rPr>
            </w:pP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3"/>
          </w:tcPr>
          <w:p>
            <w:pPr>
              <w:jc w:val="center"/>
              <w:ind w:righ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9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0070C0"/>
                <w:w w:val="89"/>
              </w:rPr>
              <w:t>1</w:t>
            </w:r>
          </w:p>
        </w:tc>
        <w:tc>
          <w:tcPr>
            <w:tcW w:w="1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shd w:val="clear" w:color="auto" w:fill="D9D9D9"/>
          </w:tcPr>
          <w:p>
            <w:pPr>
              <w:spacing w:after="0"/>
              <w:rPr>
                <w:sz w:val="18"/>
                <w:szCs w:val="18"/>
                <w:color w:val="auto"/>
              </w:rPr>
            </w:pPr>
          </w:p>
        </w:tc>
        <w:tc>
          <w:tcPr>
            <w:tcW w:w="300" w:type="dxa"/>
            <w:vAlign w:val="bottom"/>
            <w:tcBorders>
              <w:bottom w:val="single" w:sz="8" w:color="auto"/>
              <w:right w:val="single" w:sz="8" w:color="auto"/>
            </w:tcBorders>
            <w:shd w:val="clear" w:color="auto" w:fill="D9D9D9"/>
          </w:tcPr>
          <w:p>
            <w:pPr>
              <w:spacing w:after="0"/>
              <w:rPr>
                <w:sz w:val="18"/>
                <w:szCs w:val="18"/>
                <w:color w:val="auto"/>
              </w:rPr>
            </w:pP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3"/>
          </w:tcPr>
          <w:p>
            <w:pPr>
              <w:jc w:val="center"/>
              <w:ind w:righ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9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0070C0"/>
                <w:w w:val="89"/>
              </w:rPr>
              <w:t>1</w:t>
            </w:r>
          </w:p>
        </w:tc>
        <w:tc>
          <w:tcPr>
            <w:tcW w:w="1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shd w:val="clear" w:color="auto" w:fill="D9D9D9"/>
          </w:tcPr>
          <w:p>
            <w:pPr>
              <w:spacing w:after="0"/>
              <w:rPr>
                <w:sz w:val="18"/>
                <w:szCs w:val="18"/>
                <w:color w:val="auto"/>
              </w:rPr>
            </w:pPr>
          </w:p>
        </w:tc>
        <w:tc>
          <w:tcPr>
            <w:tcW w:w="300" w:type="dxa"/>
            <w:vAlign w:val="bottom"/>
            <w:tcBorders>
              <w:bottom w:val="single" w:sz="8" w:color="auto"/>
              <w:right w:val="single" w:sz="8" w:color="auto"/>
            </w:tcBorders>
            <w:shd w:val="clear" w:color="auto" w:fill="D9D9D9"/>
          </w:tcPr>
          <w:p>
            <w:pPr>
              <w:spacing w:after="0"/>
              <w:rPr>
                <w:sz w:val="18"/>
                <w:szCs w:val="18"/>
                <w:color w:val="auto"/>
              </w:rPr>
            </w:pP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3"/>
          </w:tcPr>
          <w:p>
            <w:pPr>
              <w:jc w:val="center"/>
              <w:ind w:righ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9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0070C0"/>
                <w:w w:val="89"/>
              </w:rPr>
              <w:t>1</w:t>
            </w:r>
          </w:p>
        </w:tc>
        <w:tc>
          <w:tcPr>
            <w:tcW w:w="1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shd w:val="clear" w:color="auto" w:fill="D9D9D9"/>
          </w:tcPr>
          <w:p>
            <w:pPr>
              <w:spacing w:after="0"/>
              <w:rPr>
                <w:sz w:val="18"/>
                <w:szCs w:val="18"/>
                <w:color w:val="auto"/>
              </w:rPr>
            </w:pPr>
          </w:p>
        </w:tc>
        <w:tc>
          <w:tcPr>
            <w:tcW w:w="300" w:type="dxa"/>
            <w:vAlign w:val="bottom"/>
            <w:tcBorders>
              <w:bottom w:val="single" w:sz="8" w:color="auto"/>
              <w:right w:val="single" w:sz="8" w:color="auto"/>
            </w:tcBorders>
            <w:shd w:val="clear" w:color="auto" w:fill="D9D9D9"/>
          </w:tcPr>
          <w:p>
            <w:pPr>
              <w:spacing w:after="0"/>
              <w:rPr>
                <w:sz w:val="18"/>
                <w:szCs w:val="18"/>
                <w:color w:val="auto"/>
              </w:rPr>
            </w:pP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3"/>
          </w:tcPr>
          <w:p>
            <w:pPr>
              <w:jc w:val="center"/>
              <w:ind w:righ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9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0070C0"/>
                <w:w w:val="89"/>
              </w:rPr>
              <w:t>1</w:t>
            </w:r>
          </w:p>
        </w:tc>
        <w:tc>
          <w:tcPr>
            <w:tcW w:w="1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shd w:val="clear" w:color="auto" w:fill="D9D9D9"/>
          </w:tcPr>
          <w:p>
            <w:pPr>
              <w:spacing w:after="0"/>
              <w:rPr>
                <w:sz w:val="18"/>
                <w:szCs w:val="18"/>
                <w:color w:val="auto"/>
              </w:rPr>
            </w:pPr>
          </w:p>
        </w:tc>
        <w:tc>
          <w:tcPr>
            <w:tcW w:w="300" w:type="dxa"/>
            <w:vAlign w:val="bottom"/>
            <w:tcBorders>
              <w:bottom w:val="single" w:sz="8" w:color="auto"/>
              <w:right w:val="single" w:sz="8" w:color="auto"/>
            </w:tcBorders>
            <w:shd w:val="clear" w:color="auto" w:fill="D9D9D9"/>
          </w:tcPr>
          <w:p>
            <w:pPr>
              <w:spacing w:after="0"/>
              <w:rPr>
                <w:sz w:val="18"/>
                <w:szCs w:val="18"/>
                <w:color w:val="auto"/>
              </w:rPr>
            </w:pPr>
          </w:p>
        </w:tc>
        <w:tc>
          <w:tcPr>
            <w:tcW w:w="14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3"/>
          </w:tcPr>
          <w:p>
            <w:pPr>
              <w:jc w:val="center"/>
              <w:ind w:righ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2"/>
        </w:trPr>
        <w:tc>
          <w:tcPr>
            <w:tcW w:w="1080" w:type="dxa"/>
            <w:vAlign w:val="bottom"/>
          </w:tcPr>
          <w:p>
            <w:pPr>
              <w:spacing w:after="0"/>
              <w:rPr>
                <w:sz w:val="20"/>
                <w:szCs w:val="20"/>
                <w:color w:val="auto"/>
              </w:rPr>
            </w:pPr>
            <w:r>
              <w:rPr>
                <w:rFonts w:ascii="Arial" w:cs="Arial" w:eastAsia="Arial" w:hAnsi="Arial"/>
                <w:sz w:val="16"/>
                <w:szCs w:val="16"/>
                <w:color w:val="auto"/>
              </w:rPr>
              <w:t>Total  5</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2000" w:type="dxa"/>
            <w:vAlign w:val="bottom"/>
            <w:gridSpan w:val="2"/>
          </w:tcPr>
          <w:p>
            <w:pPr>
              <w:spacing w:after="0"/>
              <w:rPr>
                <w:sz w:val="20"/>
                <w:szCs w:val="20"/>
                <w:color w:val="auto"/>
              </w:rPr>
            </w:pPr>
            <w:r>
              <w:rPr>
                <w:rFonts w:ascii="Arial" w:cs="Arial" w:eastAsia="Arial" w:hAnsi="Arial"/>
                <w:sz w:val="14"/>
                <w:szCs w:val="14"/>
                <w:color w:val="auto"/>
              </w:rPr>
              <w:t>AAL-PA-03219 108759-1F.txt</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Boeing Proprietary</w:t>
            </w:r>
          </w:p>
        </w:tc>
        <w:tc>
          <w:tcPr>
            <w:tcW w:w="1680" w:type="dxa"/>
            <w:vAlign w:val="bottom"/>
            <w:gridSpan w:val="4"/>
          </w:tcPr>
          <w:p>
            <w:pPr>
              <w:jc w:val="right"/>
              <w:ind w:right="600"/>
              <w:spacing w:after="0"/>
              <w:rPr>
                <w:sz w:val="20"/>
                <w:szCs w:val="20"/>
                <w:color w:val="auto"/>
              </w:rPr>
            </w:pPr>
            <w:r>
              <w:rPr>
                <w:rFonts w:ascii="Arial" w:cs="Arial" w:eastAsia="Arial" w:hAnsi="Arial"/>
                <w:sz w:val="14"/>
                <w:szCs w:val="14"/>
                <w:color w:val="auto"/>
              </w:rPr>
              <w:t>SA-16, Table 7</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940"/>
        <w:spacing w:after="0" w:line="285" w:lineRule="auto"/>
        <w:rPr>
          <w:sz w:val="20"/>
          <w:szCs w:val="20"/>
          <w:color w:val="auto"/>
        </w:rPr>
      </w:pPr>
      <w:r>
        <w:rPr>
          <w:rFonts w:ascii="Arial" w:cs="Arial" w:eastAsia="Arial" w:hAnsi="Arial"/>
          <w:sz w:val="14"/>
          <w:szCs w:val="14"/>
          <w:b w:val="1"/>
          <w:bCs w:val="1"/>
          <w:color w:val="auto"/>
        </w:rPr>
        <w:t xml:space="preserve">[****]=[CONFIDENTIAL PORTION HAS BEEN OMITTED BECAUSE IT (I) IS NOT MATERIAL AND (II) WOULD BE COMPETITIVELY HARMFUL IF PUBLICLY DISCLOSED] </w:t>
      </w:r>
      <w:r>
        <w:rPr>
          <w:rFonts w:ascii="Arial" w:cs="Arial" w:eastAsia="Arial" w:hAnsi="Arial"/>
          <w:sz w:val="14"/>
          <w:szCs w:val="14"/>
          <w:color w:val="auto"/>
        </w:rPr>
        <w:t>Page 9</w:t>
      </w:r>
    </w:p>
    <w:p>
      <w:pPr>
        <w:sectPr>
          <w:pgSz w:w="11900" w:h="16838" w:orient="portrait"/>
          <w:cols w:equalWidth="0" w:num="1">
            <w:col w:w="11260"/>
          </w:cols>
          <w:pgMar w:left="320" w:top="1422" w:right="319" w:bottom="1440" w:gutter="0" w:footer="0" w:header="0"/>
        </w:sectPr>
      </w:pPr>
    </w:p>
    <w:bookmarkStart w:id="215" w:name="page216"/>
    <w:bookmarkEnd w:id="215"/>
    <w:p>
      <w:pPr>
        <w:ind w:left="2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1491615" cy="3429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440"/>
        <w:spacing w:after="0" w:line="211" w:lineRule="auto"/>
        <w:rPr>
          <w:sz w:val="20"/>
          <w:szCs w:val="20"/>
          <w:color w:val="auto"/>
        </w:rPr>
      </w:pPr>
      <w:r>
        <w:rPr>
          <w:rFonts w:ascii="Arial" w:cs="Arial" w:eastAsia="Arial" w:hAnsi="Arial"/>
          <w:sz w:val="16"/>
          <w:szCs w:val="16"/>
          <w:color w:val="auto"/>
        </w:rPr>
        <w:t>P.O. Box 3707</w:t>
      </w:r>
    </w:p>
    <w:p>
      <w:pPr>
        <w:ind w:left="244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AAL-PA-3219-LA-2101557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4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21" w:lineRule="exact"/>
        <w:rPr>
          <w:sz w:val="20"/>
          <w:szCs w:val="20"/>
          <w:color w:val="auto"/>
        </w:rPr>
      </w:pPr>
    </w:p>
    <w:p>
      <w:pPr>
        <w:jc w:val="both"/>
        <w:ind w:left="1420" w:hanging="1781"/>
        <w:spacing w:after="0" w:line="265" w:lineRule="auto"/>
        <w:tabs>
          <w:tab w:leader="none" w:pos="1400" w:val="left"/>
        </w:tabs>
        <w:rPr>
          <w:sz w:val="20"/>
          <w:szCs w:val="20"/>
          <w:color w:val="auto"/>
        </w:rPr>
      </w:pPr>
      <w:r>
        <w:rPr>
          <w:rFonts w:ascii="Arial" w:cs="Arial" w:eastAsia="Arial" w:hAnsi="Arial"/>
          <w:sz w:val="22"/>
          <w:szCs w:val="22"/>
          <w:color w:val="auto"/>
        </w:rPr>
        <w:t>References:</w:t>
        <w:tab/>
        <w:t>(a) Purchase Agreement No. 3219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787 aircraft (collectively</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color w:val="auto"/>
        </w:rPr>
        <w:t>Aircraft</w:t>
      </w:r>
      <w:r>
        <w:rPr>
          <w:rFonts w:ascii="Arial" w:cs="Arial" w:eastAsia="Arial" w:hAnsi="Arial"/>
          <w:sz w:val="22"/>
          <w:szCs w:val="22"/>
          <w:color w:val="auto"/>
        </w:rPr>
        <w:t>); and</w:t>
      </w:r>
    </w:p>
    <w:p>
      <w:pPr>
        <w:spacing w:after="0" w:line="200" w:lineRule="exact"/>
        <w:rPr>
          <w:sz w:val="20"/>
          <w:szCs w:val="20"/>
          <w:color w:val="auto"/>
        </w:rPr>
      </w:pPr>
    </w:p>
    <w:p>
      <w:pPr>
        <w:spacing w:after="0" w:line="254" w:lineRule="exact"/>
        <w:rPr>
          <w:sz w:val="20"/>
          <w:szCs w:val="20"/>
          <w:color w:val="auto"/>
        </w:rPr>
      </w:pPr>
    </w:p>
    <w:p>
      <w:pPr>
        <w:ind w:left="1800" w:hanging="496"/>
        <w:spacing w:after="0" w:line="274" w:lineRule="auto"/>
        <w:tabs>
          <w:tab w:leader="none" w:pos="163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Aircraft General Terms Agreement No. AGTA-AAL (</w:t>
      </w:r>
      <w:r>
        <w:rPr>
          <w:rFonts w:ascii="Arial" w:cs="Arial" w:eastAsia="Arial" w:hAnsi="Arial"/>
          <w:sz w:val="22"/>
          <w:szCs w:val="22"/>
          <w:b w:val="1"/>
          <w:bCs w:val="1"/>
          <w:color w:val="auto"/>
        </w:rPr>
        <w:t>AGTA</w:t>
      </w:r>
      <w:r>
        <w:rPr>
          <w:rFonts w:ascii="Arial" w:cs="Arial" w:eastAsia="Arial" w:hAnsi="Arial"/>
          <w:sz w:val="22"/>
          <w:szCs w:val="22"/>
          <w:color w:val="auto"/>
        </w:rPr>
        <w:t>) between Boeing and Customer dated as of October 31, 1997.</w:t>
      </w:r>
    </w:p>
    <w:p>
      <w:pPr>
        <w:spacing w:after="0" w:line="259"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This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have the same meaning as in the Purchase Agreement or the AGTA, as the context requires.</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As of the date of this Letter Agreement, Customer has [****] ([****]) 2018 787-9 Exercised Aircraft as [****] of the Purchase Agreement (</w:t>
      </w:r>
      <w:r>
        <w:rPr>
          <w:rFonts w:ascii="Arial" w:cs="Arial" w:eastAsia="Arial" w:hAnsi="Arial"/>
          <w:sz w:val="22"/>
          <w:szCs w:val="22"/>
          <w:b w:val="1"/>
          <w:bCs w:val="1"/>
          <w:color w:val="auto"/>
        </w:rPr>
        <w:t>Undelivered 2018 787-9</w:t>
      </w:r>
      <w:r>
        <w:rPr>
          <w:rFonts w:ascii="Arial" w:cs="Arial" w:eastAsia="Arial" w:hAnsi="Arial"/>
          <w:sz w:val="22"/>
          <w:szCs w:val="22"/>
          <w:color w:val="auto"/>
        </w:rPr>
        <w:t xml:space="preserve"> [****] </w:t>
      </w:r>
      <w:r>
        <w:rPr>
          <w:rFonts w:ascii="Arial" w:cs="Arial" w:eastAsia="Arial" w:hAnsi="Arial"/>
          <w:sz w:val="22"/>
          <w:szCs w:val="22"/>
          <w:b w:val="1"/>
          <w:bCs w:val="1"/>
          <w:color w:val="auto"/>
        </w:rPr>
        <w:t>Aircraft</w:t>
      </w:r>
      <w:r>
        <w:rPr>
          <w:rFonts w:ascii="Arial" w:cs="Arial" w:eastAsia="Arial" w:hAnsi="Arial"/>
          <w:sz w:val="22"/>
          <w:szCs w:val="22"/>
          <w:color w:val="auto"/>
        </w:rPr>
        <w:t xml:space="preserve">), [****] ([****]) [****] 2018 787-9 [****] Aircraft [****] ([****] </w:t>
      </w:r>
      <w:r>
        <w:rPr>
          <w:rFonts w:ascii="Arial" w:cs="Arial" w:eastAsia="Arial" w:hAnsi="Arial"/>
          <w:sz w:val="22"/>
          <w:szCs w:val="22"/>
          <w:b w:val="1"/>
          <w:bCs w:val="1"/>
          <w:color w:val="auto"/>
        </w:rPr>
        <w:t>2018 787-9</w:t>
      </w:r>
      <w:r>
        <w:rPr>
          <w:rFonts w:ascii="Arial" w:cs="Arial" w:eastAsia="Arial" w:hAnsi="Arial"/>
          <w:sz w:val="22"/>
          <w:szCs w:val="22"/>
          <w:color w:val="auto"/>
        </w:rPr>
        <w:t xml:space="preserve"> [****] </w:t>
      </w:r>
      <w:r>
        <w:rPr>
          <w:rFonts w:ascii="Arial" w:cs="Arial" w:eastAsia="Arial" w:hAnsi="Arial"/>
          <w:sz w:val="22"/>
          <w:szCs w:val="22"/>
          <w:b w:val="1"/>
          <w:bCs w:val="1"/>
          <w:color w:val="auto"/>
        </w:rPr>
        <w:t>Aircraft)</w:t>
      </w:r>
      <w:r>
        <w:rPr>
          <w:rFonts w:ascii="Arial" w:cs="Arial" w:eastAsia="Arial" w:hAnsi="Arial"/>
          <w:sz w:val="22"/>
          <w:szCs w:val="22"/>
          <w:color w:val="auto"/>
        </w:rPr>
        <w:t xml:space="preserve"> and [****] ([****]) [****] 2018 787-8 Exercised Aircraft under the Purchase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Boeing and Customer agree as follows:</w:t>
      </w:r>
    </w:p>
    <w:p>
      <w:pPr>
        <w:spacing w:after="0" w:line="220" w:lineRule="exact"/>
        <w:rPr>
          <w:sz w:val="20"/>
          <w:szCs w:val="20"/>
          <w:color w:val="auto"/>
        </w:rPr>
      </w:pPr>
    </w:p>
    <w:p>
      <w:pPr>
        <w:ind w:left="640" w:hanging="632"/>
        <w:spacing w:after="0"/>
        <w:tabs>
          <w:tab w:leader="none" w:pos="64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787-8 [****] Aircraft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u w:val="single" w:color="auto"/>
          <w:color w:val="auto"/>
        </w:rPr>
        <w:t>1.1 [****] Undelivered 2018 787-8 [****] Aircraft</w:t>
      </w:r>
      <w:r>
        <w:rPr>
          <w:rFonts w:ascii="Arial" w:cs="Arial" w:eastAsia="Arial" w:hAnsi="Arial"/>
          <w:sz w:val="22"/>
          <w:szCs w:val="22"/>
          <w:color w:val="auto"/>
        </w:rPr>
        <w:t>.</w:t>
      </w:r>
    </w:p>
    <w:p>
      <w:pPr>
        <w:spacing w:after="0" w:line="220" w:lineRule="exact"/>
        <w:rPr>
          <w:sz w:val="20"/>
          <w:szCs w:val="20"/>
          <w:color w:val="auto"/>
        </w:rPr>
      </w:pPr>
    </w:p>
    <w:p>
      <w:pPr>
        <w:jc w:val="both"/>
        <w:ind w:firstLine="1218"/>
        <w:spacing w:after="0" w:line="246" w:lineRule="auto"/>
        <w:rPr>
          <w:sz w:val="20"/>
          <w:szCs w:val="20"/>
          <w:color w:val="auto"/>
        </w:rPr>
      </w:pPr>
      <w:r>
        <w:rPr>
          <w:rFonts w:ascii="Arial" w:cs="Arial" w:eastAsia="Arial" w:hAnsi="Arial"/>
          <w:sz w:val="22"/>
          <w:szCs w:val="22"/>
          <w:color w:val="auto"/>
        </w:rPr>
        <w:t xml:space="preserve">1.1.1 Boeing and Customer acknowledge that the [****] of [****] ([****]) [****] 2018 787-8 [****] Aircraft and [****] ([****]) [****] 2018 787-8 [****] Aircraft ([****] </w:t>
      </w:r>
      <w:r>
        <w:rPr>
          <w:rFonts w:ascii="Arial" w:cs="Arial" w:eastAsia="Arial" w:hAnsi="Arial"/>
          <w:sz w:val="22"/>
          <w:szCs w:val="22"/>
          <w:b w:val="1"/>
          <w:bCs w:val="1"/>
          <w:color w:val="auto"/>
        </w:rPr>
        <w:t>2018 787-8</w:t>
      </w:r>
      <w:r>
        <w:rPr>
          <w:rFonts w:ascii="Arial" w:cs="Arial" w:eastAsia="Arial" w:hAnsi="Arial"/>
          <w:sz w:val="22"/>
          <w:szCs w:val="22"/>
          <w:color w:val="auto"/>
        </w:rPr>
        <w:t xml:space="preserve"> [****] </w:t>
      </w:r>
      <w:r>
        <w:rPr>
          <w:rFonts w:ascii="Arial" w:cs="Arial" w:eastAsia="Arial" w:hAnsi="Arial"/>
          <w:sz w:val="22"/>
          <w:szCs w:val="22"/>
          <w:b w:val="1"/>
          <w:bCs w:val="1"/>
          <w:color w:val="auto"/>
        </w:rPr>
        <w:t>Aircraft</w:t>
      </w:r>
      <w:r>
        <w:rPr>
          <w:rFonts w:ascii="Arial" w:cs="Arial" w:eastAsia="Arial" w:hAnsi="Arial"/>
          <w:sz w:val="22"/>
          <w:szCs w:val="22"/>
          <w:color w:val="auto"/>
        </w:rPr>
        <w:t>) were [****] as set forth in Attachment A and [****].</w:t>
      </w:r>
    </w:p>
    <w:p>
      <w:pPr>
        <w:spacing w:after="0" w:line="208" w:lineRule="exact"/>
        <w:rPr>
          <w:sz w:val="20"/>
          <w:szCs w:val="20"/>
          <w:color w:val="auto"/>
        </w:rPr>
      </w:pPr>
    </w:p>
    <w:p>
      <w:pPr>
        <w:ind w:left="1220"/>
        <w:spacing w:after="0"/>
        <w:tabs>
          <w:tab w:leader="none" w:pos="192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Boeing and Customer agree that the [****] 2018 787-8 [****] Aircraft [****].</w:t>
      </w:r>
    </w:p>
    <w:p>
      <w:pPr>
        <w:spacing w:after="0" w:line="220" w:lineRule="exact"/>
        <w:rPr>
          <w:sz w:val="20"/>
          <w:szCs w:val="20"/>
          <w:color w:val="auto"/>
        </w:rPr>
      </w:pPr>
    </w:p>
    <w:p>
      <w:pPr>
        <w:ind w:left="440" w:hanging="429"/>
        <w:spacing w:after="0"/>
        <w:tabs>
          <w:tab w:leader="none" w:pos="4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2018 787-8 Aircraft to</w:t>
      </w:r>
      <w:r>
        <w:rPr>
          <w:rFonts w:ascii="Arial" w:cs="Arial" w:eastAsia="Arial" w:hAnsi="Arial"/>
          <w:sz w:val="22"/>
          <w:szCs w:val="22"/>
          <w:color w:val="auto"/>
        </w:rPr>
        <w:t xml:space="preserve"> [****].</w:t>
      </w:r>
    </w:p>
    <w:p>
      <w:pPr>
        <w:spacing w:after="0" w:line="355"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2.1 Customer and Boeing agree that the [****] Aircraft set forth in Attachment B [****] from [****] aircraft [****] with the [****] as set forth in Attachment B [****].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540" w:val="left"/>
          <w:tab w:leader="none" w:pos="276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22"/>
          <w:szCs w:val="22"/>
          <w:b w:val="1"/>
          <w:bCs w:val="1"/>
          <w:color w:val="auto"/>
        </w:rPr>
        <w:t>SA-16</w:t>
      </w:r>
      <w:r>
        <w:rPr>
          <w:sz w:val="20"/>
          <w:szCs w:val="20"/>
          <w:color w:val="auto"/>
        </w:rPr>
        <w:tab/>
      </w:r>
      <w:r>
        <w:rPr>
          <w:rFonts w:ascii="Arial" w:cs="Arial" w:eastAsia="Arial" w:hAnsi="Arial"/>
          <w:sz w:val="21"/>
          <w:szCs w:val="21"/>
          <w:color w:val="auto"/>
        </w:rPr>
        <w:t>L.A. AAL-PA-3219-LA-2101557</w:t>
      </w:r>
    </w:p>
    <w:p>
      <w:pPr>
        <w:spacing w:after="0" w:line="30" w:lineRule="exact"/>
        <w:rPr>
          <w:sz w:val="20"/>
          <w:szCs w:val="20"/>
          <w:color w:val="auto"/>
        </w:rPr>
      </w:pPr>
    </w:p>
    <w:p>
      <w:pPr>
        <w:spacing w:after="0"/>
        <w:tabs>
          <w:tab w:leader="none" w:pos="21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Page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60"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60" w:right="339" w:bottom="1440" w:gutter="0" w:footer="0" w:header="0"/>
          <w:type w:val="continuous"/>
        </w:sectPr>
      </w:pPr>
    </w:p>
    <w:bookmarkStart w:id="216" w:name="page217"/>
    <w:bookmarkEnd w:id="216"/>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jc w:val="both"/>
        <w:spacing w:after="0" w:line="249" w:lineRule="auto"/>
        <w:rPr>
          <w:sz w:val="20"/>
          <w:szCs w:val="20"/>
          <w:color w:val="auto"/>
        </w:rPr>
      </w:pPr>
      <w:r>
        <w:rPr>
          <w:rFonts w:ascii="Arial" w:cs="Arial" w:eastAsia="Arial" w:hAnsi="Arial"/>
          <w:sz w:val="22"/>
          <w:szCs w:val="22"/>
          <w:color w:val="auto"/>
        </w:rPr>
        <w:t>[****] will have the same [****] as the [****] 2018 787-9 [****] Aircraft, and [****] to its applicable Scheduled Delivery Month [****] in accordance with the Purchase Agreement.</w:t>
      </w:r>
    </w:p>
    <w:p>
      <w:pPr>
        <w:spacing w:after="0" w:line="23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2.2 For avoidance of doubt, the [****] for the [****] includes [****] of Letter Agreement No. 6-1162-TRW-0674R4 to the Purchase Agreement entitled </w:t>
      </w:r>
      <w:r>
        <w:rPr>
          <w:rFonts w:ascii="Arial" w:cs="Arial" w:eastAsia="Arial" w:hAnsi="Arial"/>
          <w:sz w:val="22"/>
          <w:szCs w:val="22"/>
          <w:u w:val="single" w:color="auto"/>
          <w:color w:val="auto"/>
        </w:rPr>
        <w:t>Business Considerations</w:t>
      </w:r>
      <w:r>
        <w:rPr>
          <w:rFonts w:ascii="Arial" w:cs="Arial" w:eastAsia="Arial" w:hAnsi="Arial"/>
          <w:sz w:val="22"/>
          <w:szCs w:val="22"/>
          <w:color w:val="auto"/>
        </w:rPr>
        <w:t xml:space="preserve"> (</w:t>
      </w:r>
      <w:r>
        <w:rPr>
          <w:rFonts w:ascii="Arial" w:cs="Arial" w:eastAsia="Arial" w:hAnsi="Arial"/>
          <w:sz w:val="22"/>
          <w:szCs w:val="22"/>
          <w:b w:val="1"/>
          <w:bCs w:val="1"/>
          <w:color w:val="auto"/>
        </w:rPr>
        <w:t>Business Considerations LA</w:t>
      </w:r>
      <w:r>
        <w:rPr>
          <w:rFonts w:ascii="Arial" w:cs="Arial" w:eastAsia="Arial" w:hAnsi="Arial"/>
          <w:sz w:val="22"/>
          <w:szCs w:val="22"/>
          <w:color w:val="auto"/>
        </w:rPr>
        <w:t>) [****], and the [****] described in Section 2.2.1 below. The parties hereby confirm that [****] with Supplemental Agreement No. 5 and Supplemental Agreement No. 11, for the [****]. Such [****] in accordance with the Purchase Agreement.</w:t>
      </w:r>
    </w:p>
    <w:p>
      <w:pPr>
        <w:spacing w:after="0" w:line="236" w:lineRule="exact"/>
        <w:rPr>
          <w:sz w:val="20"/>
          <w:szCs w:val="20"/>
          <w:color w:val="auto"/>
        </w:rPr>
      </w:pPr>
    </w:p>
    <w:p>
      <w:pPr>
        <w:jc w:val="both"/>
        <w:ind w:firstLine="624"/>
        <w:spacing w:after="0" w:line="244" w:lineRule="auto"/>
        <w:rPr>
          <w:sz w:val="20"/>
          <w:szCs w:val="20"/>
          <w:color w:val="auto"/>
        </w:rPr>
      </w:pPr>
      <w:r>
        <w:rPr>
          <w:rFonts w:ascii="Arial" w:cs="Arial" w:eastAsia="Arial" w:hAnsi="Arial"/>
          <w:sz w:val="22"/>
          <w:szCs w:val="22"/>
          <w:color w:val="auto"/>
        </w:rPr>
        <w:t>2.2.1 Boeing and Customer agree that Boeing will provide to Customer a [****] ([****]) in the [****] of [****] ([****]). The [****] is [****] and shall be[****] is [****] by Boeing in [****] of the Supplemental Exhibit AE1-[****] as such provisions have been applied to the [****]. Except as provided in Section 2.2.1.1, below, the [****] shall be [****] by Boeing to Customer at the [****] of the [****]. The [****], in whole or in part, [****], and/or [****]. The [****] is in addition to the [****] of the Business Considerations LA.</w:t>
      </w:r>
    </w:p>
    <w:p>
      <w:pPr>
        <w:spacing w:after="0" w:line="240" w:lineRule="exact"/>
        <w:rPr>
          <w:sz w:val="20"/>
          <w:szCs w:val="20"/>
          <w:color w:val="auto"/>
        </w:rPr>
      </w:pPr>
    </w:p>
    <w:p>
      <w:pPr>
        <w:jc w:val="both"/>
        <w:ind w:firstLine="1944"/>
        <w:spacing w:after="0" w:line="246" w:lineRule="auto"/>
        <w:rPr>
          <w:sz w:val="20"/>
          <w:szCs w:val="20"/>
          <w:color w:val="auto"/>
        </w:rPr>
      </w:pPr>
      <w:r>
        <w:rPr>
          <w:rFonts w:ascii="Arial" w:cs="Arial" w:eastAsia="Arial" w:hAnsi="Arial"/>
          <w:sz w:val="22"/>
          <w:szCs w:val="22"/>
          <w:color w:val="auto"/>
        </w:rPr>
        <w:t>2.2.1.1 If either [****] the Purchase Agreement as to the [****] Aircraft as and [****] under a [****] (as defined in Section 7.3 of the Business Considerations LA), such [****] Aircraft will be [****], and shall be [****] of determining [****] Aircraft [****].</w:t>
      </w:r>
    </w:p>
    <w:p>
      <w:pPr>
        <w:spacing w:after="0" w:line="235" w:lineRule="exact"/>
        <w:rPr>
          <w:sz w:val="20"/>
          <w:szCs w:val="20"/>
          <w:color w:val="auto"/>
        </w:rPr>
      </w:pPr>
    </w:p>
    <w:p>
      <w:pPr>
        <w:ind w:left="1960"/>
        <w:spacing w:after="0"/>
        <w:tabs>
          <w:tab w:leader="none" w:pos="2920" w:val="left"/>
        </w:tabs>
        <w:rPr>
          <w:sz w:val="20"/>
          <w:szCs w:val="20"/>
          <w:color w:val="auto"/>
        </w:rPr>
      </w:pPr>
      <w:r>
        <w:rPr>
          <w:rFonts w:ascii="Arial" w:cs="Arial" w:eastAsia="Arial" w:hAnsi="Arial"/>
          <w:sz w:val="22"/>
          <w:szCs w:val="22"/>
          <w:color w:val="auto"/>
        </w:rPr>
        <w:t>2.2.1.2</w:t>
        <w:tab/>
        <w:t>If a [****] 2018 787-9 [****] Aircraft is [****] in accordance with a [****], the [****]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787-9 [****] Aircraft [****] 2018 787-9 [****] Aircraft [****] in accordance with a [****].</w:t>
      </w:r>
    </w:p>
    <w:p>
      <w:pPr>
        <w:spacing w:after="0" w:line="247" w:lineRule="exact"/>
        <w:rPr>
          <w:sz w:val="20"/>
          <w:szCs w:val="20"/>
          <w:color w:val="auto"/>
        </w:rPr>
      </w:pPr>
    </w:p>
    <w:p>
      <w:pPr>
        <w:ind w:left="1960"/>
        <w:spacing w:after="0"/>
        <w:tabs>
          <w:tab w:leader="none" w:pos="2840" w:val="left"/>
        </w:tabs>
        <w:rPr>
          <w:sz w:val="20"/>
          <w:szCs w:val="20"/>
          <w:color w:val="auto"/>
        </w:rPr>
      </w:pPr>
      <w:r>
        <w:rPr>
          <w:rFonts w:ascii="Arial" w:cs="Arial" w:eastAsia="Arial" w:hAnsi="Arial"/>
          <w:sz w:val="22"/>
          <w:szCs w:val="22"/>
          <w:color w:val="auto"/>
        </w:rPr>
        <w:t>2.2.1.3</w:t>
      </w:r>
      <w:r>
        <w:rPr>
          <w:sz w:val="20"/>
          <w:szCs w:val="20"/>
          <w:color w:val="auto"/>
        </w:rPr>
        <w:tab/>
      </w:r>
      <w:r>
        <w:rPr>
          <w:rFonts w:ascii="Arial" w:cs="Arial" w:eastAsia="Arial" w:hAnsi="Arial"/>
          <w:sz w:val="21"/>
          <w:szCs w:val="21"/>
          <w:color w:val="auto"/>
        </w:rPr>
        <w:t>If the [****].</w:t>
      </w:r>
    </w:p>
    <w:p>
      <w:pPr>
        <w:spacing w:after="0" w:line="220" w:lineRule="exact"/>
        <w:rPr>
          <w:sz w:val="20"/>
          <w:szCs w:val="20"/>
          <w:color w:val="auto"/>
        </w:rPr>
      </w:pPr>
    </w:p>
    <w:p>
      <w:pPr>
        <w:jc w:val="both"/>
        <w:ind w:left="660" w:right="9480" w:hanging="571"/>
        <w:spacing w:after="0" w:line="449" w:lineRule="auto"/>
        <w:tabs>
          <w:tab w:leader="none" w:pos="651"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Other</w:t>
      </w:r>
      <w:r>
        <w:rPr>
          <w:rFonts w:ascii="Arial" w:cs="Arial" w:eastAsia="Arial" w:hAnsi="Arial"/>
          <w:sz w:val="21"/>
          <w:szCs w:val="21"/>
          <w:color w:val="auto"/>
        </w:rPr>
        <w:t xml:space="preserve"> [****]. 3.1 [****]</w:t>
      </w:r>
      <w:r>
        <w:rPr>
          <w:rFonts w:ascii="Arial" w:cs="Arial" w:eastAsia="Arial" w:hAnsi="Arial"/>
          <w:sz w:val="21"/>
          <w:szCs w:val="21"/>
          <w:u w:val="single" w:color="auto"/>
          <w:color w:val="auto"/>
        </w:rPr>
        <w:t>.</w:t>
      </w:r>
    </w:p>
    <w:p>
      <w:pPr>
        <w:spacing w:after="0" w:line="1" w:lineRule="exact"/>
        <w:rPr>
          <w:sz w:val="20"/>
          <w:szCs w:val="20"/>
          <w:color w:val="auto"/>
        </w:rPr>
      </w:pPr>
    </w:p>
    <w:p>
      <w:pPr>
        <w:jc w:val="both"/>
        <w:ind w:right="20" w:firstLine="1296"/>
        <w:spacing w:after="0" w:line="249" w:lineRule="auto"/>
        <w:rPr>
          <w:sz w:val="20"/>
          <w:szCs w:val="20"/>
          <w:color w:val="auto"/>
        </w:rPr>
      </w:pPr>
      <w:r>
        <w:rPr>
          <w:rFonts w:ascii="Arial" w:cs="Arial" w:eastAsia="Arial" w:hAnsi="Arial"/>
          <w:sz w:val="22"/>
          <w:szCs w:val="22"/>
          <w:color w:val="auto"/>
        </w:rPr>
        <w:t xml:space="preserve">3.1.1 [****], Boeing [****] Customer, [****], a [****] 787-9 aircraft [****] as [****] Purchase Agreement ([****] </w:t>
      </w:r>
      <w:r>
        <w:rPr>
          <w:rFonts w:ascii="Arial" w:cs="Arial" w:eastAsia="Arial" w:hAnsi="Arial"/>
          <w:sz w:val="22"/>
          <w:szCs w:val="22"/>
          <w:b w:val="1"/>
          <w:bCs w:val="1"/>
          <w:color w:val="auto"/>
        </w:rPr>
        <w:t>787-9 Aircraft</w:t>
      </w:r>
      <w:r>
        <w:rPr>
          <w:rFonts w:ascii="Arial" w:cs="Arial" w:eastAsia="Arial" w:hAnsi="Arial"/>
          <w:sz w:val="22"/>
          <w:szCs w:val="22"/>
          <w:color w:val="auto"/>
        </w:rPr>
        <w:t>). Customer [****] for (i) [****] and (ii) [****] the [****] 787-9 Aircraft.</w:t>
      </w:r>
    </w:p>
    <w:p>
      <w:pPr>
        <w:spacing w:after="0" w:line="23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2"/>
          <w:szCs w:val="22"/>
          <w:color w:val="auto"/>
        </w:rPr>
        <w:t>3.1.2. [****] Customer [****] Boeing [****] ([****]) [****] Undelivered 2018 787-9 [****] Aircraft, the [****] 2018 787-9 [****] Aircraft, and [****] 787-9 Aircraft [****] (or [****]) [****] this Agreement, Boeing [****] Undelivered 2018 787-9 [****] Aircraft, [****] 2018 787-9 [****] Aircraft, or [****] 787-9 Aircraft [****] (or [****]) [****] of this Agreement. In the event that [****] Undelivered 2018 787-9 [****] Aircraft, a [****] 2018 787-9 [****] Aircraft, and[****] 787-9 Aircraft [****] (or [****]), [****], except Customer [****].</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P.A. No. 3219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0"/>
        <w:spacing w:after="0"/>
        <w:rPr>
          <w:sz w:val="20"/>
          <w:szCs w:val="20"/>
          <w:color w:val="auto"/>
        </w:rPr>
      </w:pPr>
      <w:r>
        <w:rPr>
          <w:rFonts w:ascii="Arial" w:cs="Arial" w:eastAsia="Arial" w:hAnsi="Arial"/>
          <w:sz w:val="21"/>
          <w:szCs w:val="21"/>
          <w:color w:val="auto"/>
        </w:rPr>
        <w:t>L.A. AAL-PA-3219-LA-2101557</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6" w:lineRule="exact"/>
        <w:rPr>
          <w:sz w:val="20"/>
          <w:szCs w:val="20"/>
          <w:color w:val="auto"/>
        </w:rPr>
      </w:pPr>
    </w:p>
    <w:p>
      <w:pPr>
        <w:sectPr>
          <w:pgSz w:w="11900" w:h="16838" w:orient="portrait"/>
          <w:cols w:equalWidth="0" w:num="3">
            <w:col w:w="1320" w:space="240"/>
            <w:col w:w="620" w:space="20"/>
            <w:col w:w="904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440"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type w:val="continuous"/>
        </w:sectPr>
      </w:pPr>
    </w:p>
    <w:bookmarkStart w:id="217" w:name="page218"/>
    <w:bookmarkEnd w:id="217"/>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ind w:left="1300"/>
        <w:spacing w:after="0"/>
        <w:tabs>
          <w:tab w:leader="none" w:pos="202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21"/>
          <w:szCs w:val="21"/>
          <w:color w:val="auto"/>
        </w:rPr>
        <w:t>Within [****] ([****]) days [****] Customer, Boeing [****] Customer, [****], [****] 787-9 Aircraft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Customer [****] for (i) [****] and (ii) [****] 787-9 Aircraft.</w:t>
      </w:r>
    </w:p>
    <w:p>
      <w:pPr>
        <w:spacing w:after="0" w:line="19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3.2 [****]. The parties acknowledge that [****] to that [****] by and between Boeing and Customer (as amended by that certain Letter Agreement No. AAL-LA-2002714 entitled </w:t>
      </w:r>
      <w:r>
        <w:rPr>
          <w:rFonts w:ascii="Arial" w:cs="Arial" w:eastAsia="Arial" w:hAnsi="Arial"/>
          <w:sz w:val="22"/>
          <w:szCs w:val="22"/>
          <w:u w:val="single" w:color="auto"/>
          <w:color w:val="auto"/>
        </w:rPr>
        <w:t>[****] for 737 Max [****]</w:t>
      </w:r>
      <w:r>
        <w:rPr>
          <w:rFonts w:ascii="Arial" w:cs="Arial" w:eastAsia="Arial" w:hAnsi="Arial"/>
          <w:sz w:val="22"/>
          <w:szCs w:val="22"/>
          <w:color w:val="auto"/>
        </w:rPr>
        <w:t>), Boeing [****] Customer [****]. Boeing [****] Customer, [****], [****].</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w:t>
      </w:r>
      <w:r>
        <w:rPr>
          <w:rFonts w:ascii="Arial" w:cs="Arial" w:eastAsia="Arial" w:hAnsi="Arial"/>
          <w:sz w:val="22"/>
          <w:szCs w:val="22"/>
          <w:color w:val="auto"/>
        </w:rPr>
        <w:t>. As [****] to Section 1.3.1.3 of Letter Agreement AAL-PA-3219-LA-1604503 entitled [****], the parties agree as follows:</w:t>
      </w:r>
    </w:p>
    <w:p>
      <w:pPr>
        <w:spacing w:after="0" w:line="23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21"/>
          <w:szCs w:val="21"/>
          <w:u w:val="single" w:color="auto"/>
          <w:color w:val="auto"/>
        </w:rPr>
        <w:t>[****]</w:t>
      </w:r>
      <w:r>
        <w:rPr>
          <w:rFonts w:ascii="Arial" w:cs="Arial" w:eastAsia="Arial" w:hAnsi="Arial"/>
          <w:sz w:val="21"/>
          <w:szCs w:val="21"/>
          <w:color w:val="auto"/>
        </w:rPr>
        <w:t>. Boeing [****] Customer, [****], a [****] of twenty-two (22) 787-9 Aircraft [****].</w:t>
      </w:r>
    </w:p>
    <w:p>
      <w:pPr>
        <w:spacing w:after="0" w:line="24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21"/>
          <w:szCs w:val="21"/>
          <w:u w:val="single" w:color="auto"/>
          <w:color w:val="auto"/>
        </w:rPr>
        <w:t>[****]</w:t>
      </w:r>
      <w:r>
        <w:rPr>
          <w:rFonts w:ascii="Arial" w:cs="Arial" w:eastAsia="Arial" w:hAnsi="Arial"/>
          <w:sz w:val="21"/>
          <w:szCs w:val="21"/>
          <w:color w:val="auto"/>
        </w:rPr>
        <w:t>. [****] 787-9 Aircraft [****] Boeing under the Purchase Agreement [****] ([****]) will be [****].</w:t>
      </w:r>
    </w:p>
    <w:p>
      <w:pPr>
        <w:spacing w:after="0" w:line="247"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3.3.3 </w:t>
      </w:r>
      <w:r>
        <w:rPr>
          <w:rFonts w:ascii="Arial" w:cs="Arial" w:eastAsia="Arial" w:hAnsi="Arial"/>
          <w:sz w:val="22"/>
          <w:szCs w:val="22"/>
          <w:u w:val="single" w:color="auto"/>
          <w:color w:val="auto"/>
        </w:rPr>
        <w:t>[****]</w:t>
      </w:r>
      <w:r>
        <w:rPr>
          <w:rFonts w:ascii="Arial" w:cs="Arial" w:eastAsia="Arial" w:hAnsi="Arial"/>
          <w:sz w:val="22"/>
          <w:szCs w:val="22"/>
          <w:color w:val="auto"/>
        </w:rPr>
        <w:t>. If, [****], [****] of the 787-9 Aircraft [****] by Boeing to Customer under the Purchase Agreement, then [****] Boeing, Boeing [****] Customer, [****], [****] 787-9 Aircraft.</w:t>
      </w:r>
    </w:p>
    <w:p>
      <w:pPr>
        <w:spacing w:after="0" w:line="23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3.3.4 </w:t>
      </w:r>
      <w:r>
        <w:rPr>
          <w:rFonts w:ascii="Arial" w:cs="Arial" w:eastAsia="Arial" w:hAnsi="Arial"/>
          <w:sz w:val="22"/>
          <w:szCs w:val="22"/>
          <w:u w:val="single" w:color="auto"/>
          <w:color w:val="auto"/>
        </w:rPr>
        <w:t>[****]</w:t>
      </w:r>
      <w:r>
        <w:rPr>
          <w:rFonts w:ascii="Arial" w:cs="Arial" w:eastAsia="Arial" w:hAnsi="Arial"/>
          <w:sz w:val="22"/>
          <w:szCs w:val="22"/>
          <w:color w:val="auto"/>
        </w:rPr>
        <w:t>. If [****], [****]l 787-9 aircraft is [****] Agreement ([****]), then [****] 787-9 Aircraft, Boeing [****] Customer [****], [****]. Such [****] by Customer to Boeing [****]</w:t>
      </w:r>
      <w:r>
        <w:rPr>
          <w:rFonts w:ascii="Arial" w:cs="Arial" w:eastAsia="Arial" w:hAnsi="Arial"/>
          <w:sz w:val="22"/>
          <w:szCs w:val="22"/>
          <w:b w:val="1"/>
          <w:bCs w:val="1"/>
          <w:color w:val="auto"/>
        </w:rPr>
        <w:t>.</w:t>
      </w:r>
      <w:r>
        <w:rPr>
          <w:rFonts w:ascii="Arial" w:cs="Arial" w:eastAsia="Arial" w:hAnsi="Arial"/>
          <w:sz w:val="22"/>
          <w:szCs w:val="22"/>
          <w:color w:val="auto"/>
        </w:rPr>
        <w:t xml:space="preserve"> [****] Customer [****] Aircraft or [****] Aircraft, Customer [****] pursuant to Section 3.3.3 above.</w:t>
      </w:r>
    </w:p>
    <w:p>
      <w:pPr>
        <w:spacing w:after="0" w:line="181" w:lineRule="exact"/>
        <w:rPr>
          <w:sz w:val="20"/>
          <w:szCs w:val="20"/>
          <w:color w:val="auto"/>
        </w:rPr>
      </w:pPr>
    </w:p>
    <w:p>
      <w:pPr>
        <w:ind w:left="480" w:hanging="472"/>
        <w:spacing w:after="0"/>
        <w:tabs>
          <w:tab w:leader="none" w:pos="48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u w:val="single" w:color="auto"/>
          <w:color w:val="auto"/>
        </w:rPr>
        <w:t>[****] in regards to [****] 2018 787-9 [****] Aircraft</w:t>
      </w:r>
      <w:r>
        <w:rPr>
          <w:rFonts w:ascii="Arial" w:cs="Arial" w:eastAsia="Arial" w:hAnsi="Arial"/>
          <w:sz w:val="21"/>
          <w:szCs w:val="21"/>
          <w:color w:val="auto"/>
        </w:rPr>
        <w:t>.</w:t>
      </w:r>
    </w:p>
    <w:p>
      <w:pPr>
        <w:spacing w:after="0" w:line="34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4.1.1 Boeing will [****] 2018 787-8 [****] Aircraft and [****] by Customer for the [****] 2018 787-8 [****] Aircraft. The parties agree that[****], Customer [****] on the [****] 2018 787-8 [****] Aircraft that [****] of this Agreement.</w:t>
      </w:r>
    </w:p>
    <w:p>
      <w:pPr>
        <w:spacing w:after="0" w:line="181" w:lineRule="exact"/>
        <w:rPr>
          <w:sz w:val="20"/>
          <w:szCs w:val="20"/>
          <w:color w:val="auto"/>
        </w:rPr>
      </w:pPr>
    </w:p>
    <w:p>
      <w:pPr>
        <w:jc w:val="both"/>
        <w:ind w:firstLine="1520"/>
        <w:spacing w:after="0" w:line="213" w:lineRule="auto"/>
        <w:rPr>
          <w:sz w:val="20"/>
          <w:szCs w:val="20"/>
          <w:color w:val="auto"/>
        </w:rPr>
      </w:pPr>
      <w:r>
        <w:rPr>
          <w:rFonts w:ascii="Arial" w:cs="Arial" w:eastAsia="Arial" w:hAnsi="Arial"/>
          <w:sz w:val="22"/>
          <w:szCs w:val="22"/>
          <w:color w:val="auto"/>
        </w:rPr>
        <w:t>4.1.2 Boeing [****] 2018 787-8 [****] Aircraft that are being [****] to [****] 2018 787-9 [****] Aircraft (the [****]). The [****] ([****]). Boeing [****] ([****]) [****] ([****] ([****]) [****] as defined in Section 1.4.1 of Letter Agreement No. 6-1162-CLO-1047R4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that are [****] 2018 787-9 [****] Aircraft [****] 2018 787-9 [****] Aircraft. Boeing [****] 787-9 Aircraft ([****], the Undelivered 2018 787-9 [****] Aircraft and the [****] 2018 787-9 [****] Aircraft) [****] the terms of the Purchase Agreement are applicable.</w:t>
      </w:r>
    </w:p>
    <w:p>
      <w:pPr>
        <w:spacing w:after="0" w:line="227" w:lineRule="exact"/>
        <w:rPr>
          <w:sz w:val="20"/>
          <w:szCs w:val="20"/>
          <w:color w:val="auto"/>
        </w:rPr>
      </w:pPr>
    </w:p>
    <w:p>
      <w:pPr>
        <w:ind w:left="420" w:hanging="412"/>
        <w:spacing w:after="0"/>
        <w:tabs>
          <w:tab w:leader="none" w:pos="42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 2018 787-9 [****] Aircraft [****]</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P.A. No. 3219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L.A. AAL-PA-3219-LA-2101557</w:t>
      </w:r>
    </w:p>
    <w:p>
      <w:pPr>
        <w:spacing w:after="0" w:line="18" w:lineRule="exact"/>
        <w:rPr>
          <w:sz w:val="20"/>
          <w:szCs w:val="20"/>
          <w:color w:val="auto"/>
        </w:rPr>
      </w:pPr>
    </w:p>
    <w:p>
      <w:pPr>
        <w:sectPr>
          <w:pgSz w:w="11900" w:h="16838" w:orient="portrait"/>
          <w:cols w:equalWidth="0" w:num="3">
            <w:col w:w="1320" w:space="240"/>
            <w:col w:w="620" w:space="600"/>
            <w:col w:w="8460"/>
          </w:cols>
          <w:pgMar w:left="320" w:top="1440" w:right="339" w:bottom="1440" w:gutter="0" w:footer="0" w:header="0"/>
          <w:type w:val="continuous"/>
        </w:sect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Page 3</w:t>
      </w:r>
    </w:p>
    <w:p>
      <w:pPr>
        <w:spacing w:after="0" w:line="15" w:lineRule="exact"/>
        <w:rPr>
          <w:sz w:val="20"/>
          <w:szCs w:val="20"/>
          <w:color w:val="auto"/>
        </w:rPr>
      </w:pPr>
    </w:p>
    <w:p>
      <w:pPr>
        <w:sectPr>
          <w:pgSz w:w="11900" w:h="16838" w:orient="portrait"/>
          <w:cols w:equalWidth="0" w:num="2">
            <w:col w:w="1480" w:space="720"/>
            <w:col w:w="904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440"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type w:val="continuous"/>
        </w:sectPr>
      </w:pPr>
    </w:p>
    <w:bookmarkStart w:id="218" w:name="page219"/>
    <w:bookmarkEnd w:id="218"/>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jc w:val="both"/>
        <w:ind w:firstLine="312"/>
        <w:spacing w:after="0" w:line="249" w:lineRule="auto"/>
        <w:rPr>
          <w:sz w:val="20"/>
          <w:szCs w:val="20"/>
          <w:color w:val="auto"/>
        </w:rPr>
      </w:pPr>
      <w:r>
        <w:rPr>
          <w:rFonts w:ascii="Arial" w:cs="Arial" w:eastAsia="Arial" w:hAnsi="Arial"/>
          <w:sz w:val="22"/>
          <w:szCs w:val="22"/>
          <w:color w:val="auto"/>
        </w:rPr>
        <w:t>5.1 Customer has [****] ([****]) for the Undelivered 2018 787-8 [****] Aircraft ([****]) in which [****] ([****]) [****] ([****]) and [****]. [****], [****] the [****] 2018 787-9 [****] Aircraft into the [****].</w:t>
      </w:r>
    </w:p>
    <w:p>
      <w:pPr>
        <w:spacing w:after="0" w:line="20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Section 9.2 of Supplemental Agreement No. 11 (</w:t>
      </w:r>
      <w:r>
        <w:rPr>
          <w:rFonts w:ascii="Arial" w:cs="Arial" w:eastAsia="Arial" w:hAnsi="Arial"/>
          <w:sz w:val="22"/>
          <w:szCs w:val="22"/>
          <w:b w:val="1"/>
          <w:bCs w:val="1"/>
          <w:color w:val="auto"/>
        </w:rPr>
        <w:t>SA-11</w:t>
      </w:r>
      <w:r>
        <w:rPr>
          <w:rFonts w:ascii="Arial" w:cs="Arial" w:eastAsia="Arial" w:hAnsi="Arial"/>
          <w:sz w:val="22"/>
          <w:szCs w:val="22"/>
          <w:color w:val="auto"/>
        </w:rPr>
        <w:t>) (as such Section 9.2 was amended by</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Supplemental Agreement No. 14) is hereby deleted in its entirety and replaced with the following:</w:t>
      </w:r>
    </w:p>
    <w:p>
      <w:pPr>
        <w:spacing w:after="0" w:line="24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“9.2</w:t>
        <w:tab/>
        <w:t>Customer and Boeing will [****]:</w:t>
      </w:r>
    </w:p>
    <w:p>
      <w:pPr>
        <w:spacing w:after="0" w:line="247"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2"/>
          <w:szCs w:val="22"/>
          <w:color w:val="auto"/>
        </w:rPr>
        <w:t>9.2.1</w:t>
      </w:r>
      <w:r>
        <w:rPr>
          <w:sz w:val="20"/>
          <w:szCs w:val="20"/>
          <w:color w:val="auto"/>
        </w:rPr>
        <w:tab/>
      </w:r>
      <w:r>
        <w:rPr>
          <w:rFonts w:ascii="Arial" w:cs="Arial" w:eastAsia="Arial" w:hAnsi="Arial"/>
          <w:sz w:val="21"/>
          <w:szCs w:val="21"/>
          <w:color w:val="auto"/>
        </w:rPr>
        <w:t>the [****] for any [****] Aircraft [****] Customer of the applicable [****];</w:t>
      </w:r>
    </w:p>
    <w:p>
      <w:pPr>
        <w:spacing w:after="0" w:line="24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9.2.2</w:t>
      </w:r>
      <w:r>
        <w:rPr>
          <w:sz w:val="20"/>
          <w:szCs w:val="20"/>
          <w:color w:val="auto"/>
        </w:rPr>
        <w:tab/>
      </w:r>
      <w:r>
        <w:rPr>
          <w:rFonts w:ascii="Arial" w:cs="Arial" w:eastAsia="Arial" w:hAnsi="Arial"/>
          <w:sz w:val="21"/>
          <w:szCs w:val="21"/>
          <w:color w:val="auto"/>
        </w:rPr>
        <w:t>Boeing, [****] for the [****] for such [****] Aircraft; or</w:t>
      </w:r>
    </w:p>
    <w:p>
      <w:pPr>
        <w:spacing w:after="0" w:line="247" w:lineRule="exact"/>
        <w:rPr>
          <w:sz w:val="20"/>
          <w:szCs w:val="20"/>
          <w:color w:val="auto"/>
        </w:rPr>
      </w:pPr>
    </w:p>
    <w:p>
      <w:pPr>
        <w:ind w:left="660" w:firstLine="648"/>
        <w:spacing w:after="0" w:line="249" w:lineRule="auto"/>
        <w:rPr>
          <w:sz w:val="20"/>
          <w:szCs w:val="20"/>
          <w:color w:val="auto"/>
        </w:rPr>
      </w:pPr>
      <w:r>
        <w:rPr>
          <w:rFonts w:ascii="Arial" w:cs="Arial" w:eastAsia="Arial" w:hAnsi="Arial"/>
          <w:sz w:val="22"/>
          <w:szCs w:val="22"/>
          <w:color w:val="auto"/>
        </w:rPr>
        <w:t>9.2.3 Boeing [****] 2018 787-9 [****] Aircraft [****] (as defined in Section 5.3 of Letter Agreement AAL-LA-2100511) [****] 2018 787-9 [****] Aircraft.</w:t>
      </w:r>
    </w:p>
    <w:p>
      <w:pPr>
        <w:spacing w:after="0" w:line="23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the event of a [****], Boeing agrees to [****] of the applicable [****] Aircraft for the [****]. Customer shall not be [****] the applicable [****] Aircraft during such [****] and, if required, [****] to Customer the [****] 2018 787-9 [****] Aircraft [****] for the applicable [****] Aircraft, [****] Aircraft may otherwise be [****] during such [****]. For the avoidance of doubt, the [****] as defined in Section 1.13 of the Misc. Commitments LA, the [****] is otherwise subject to the terms and conditions of the AGTA and the Purchase Agreement.</w:t>
      </w: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If prior to the [****], Boeing and Customer are [****], Customer may, within [****] following the [****], and [****], either (i) [****] the applicable [****] Aircraft for which the [****], or (ii) [****] the Purchase Agreement [****] to (A) the applicable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Aircraft for which the [****], or (B) any [****] Aircraft, including the applicable [****] Aircraft for which the [****], without [****] Aircraft [****] by Customer [****] clause (ii) of this paragraph. If Customer [****] the Purchase Agreement as to [****] Aircraft under this Section 9.2, Boeing shall (x) [****] Aircraft with [****] from Customer to Boeing of the [****] to Customer by Boeing pursuant to this Section 9.2, (y) [****] from Customer all [****] related to the [****] Aircraft at the [****], by Customer, and (z) [****] Customer for all [****] of such [****] Aircraft, including, but not limited to, all [****] Aircraft that have been [****] with this Section 9.2 but are not yet [****].”</w:t>
      </w:r>
    </w:p>
    <w:p>
      <w:pPr>
        <w:spacing w:after="0" w:line="21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5.3 At the [****] of each [****] 2018 787-9 [****] Aircraft, for which [****] (as defined in Section 9 of SA-11), Boeing will [****] Customer a [****] ([****]) [****]. The [****] from Boeing to Customer pursuant Section 2.2.1 above.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P.A. No. 3219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L.A. AAL-PA-3219-LA-2101557</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6" w:lineRule="exact"/>
        <w:rPr>
          <w:sz w:val="20"/>
          <w:szCs w:val="20"/>
          <w:color w:val="auto"/>
        </w:rPr>
      </w:pPr>
    </w:p>
    <w:p>
      <w:pPr>
        <w:sectPr>
          <w:pgSz w:w="11900" w:h="16838" w:orient="portrait"/>
          <w:cols w:equalWidth="0" w:num="3">
            <w:col w:w="1320" w:space="240"/>
            <w:col w:w="620" w:space="20"/>
            <w:col w:w="904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440"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type w:val="continuous"/>
        </w:sectPr>
      </w:pPr>
    </w:p>
    <w:bookmarkStart w:id="219" w:name="page220"/>
    <w:bookmarkEnd w:id="219"/>
    <w:p>
      <w:pPr>
        <w:spacing w:after="0" w:line="3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ind w:left="400" w:hanging="311"/>
        <w:spacing w:after="0"/>
        <w:tabs>
          <w:tab w:leader="none" w:pos="400" w:val="left"/>
        </w:tabs>
        <w:numPr>
          <w:ilvl w:val="0"/>
          <w:numId w:val="167"/>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p>
    <w:p>
      <w:pPr>
        <w:spacing w:after="0" w:line="21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Notwithstanding any other provision of the Purchase Agreement except for the AGTA Assignment Provisions (as defined in Section 1 of Letter Agreement AAl-LA-1106678 entitled “</w:t>
      </w:r>
      <w:r>
        <w:rPr>
          <w:rFonts w:ascii="Arial" w:cs="Arial" w:eastAsia="Arial" w:hAnsi="Arial"/>
          <w:sz w:val="22"/>
          <w:szCs w:val="22"/>
          <w:u w:val="single" w:color="auto"/>
          <w:color w:val="auto"/>
        </w:rPr>
        <w:t>Assignment Matter</w:t>
      </w:r>
      <w:r>
        <w:rPr>
          <w:rFonts w:ascii="Arial" w:cs="Arial" w:eastAsia="Arial" w:hAnsi="Arial"/>
          <w:sz w:val="22"/>
          <w:szCs w:val="22"/>
          <w:color w:val="auto"/>
        </w:rPr>
        <w: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75" w:lineRule="exact"/>
        <w:rPr>
          <w:sz w:val="20"/>
          <w:szCs w:val="20"/>
          <w:color w:val="auto"/>
        </w:rPr>
      </w:pPr>
    </w:p>
    <w:p>
      <w:pPr>
        <w:ind w:left="640" w:hanging="632"/>
        <w:spacing w:after="0"/>
        <w:tabs>
          <w:tab w:leader="none" w:pos="640"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Treatment.</w:t>
      </w:r>
    </w:p>
    <w:p>
      <w:pPr>
        <w:spacing w:after="0" w:line="21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Customer and Boeing understand that the information contained herein represents confidential business information and has value precisely because it is not available generally or to other parties. This Letter Agreement Letter shall be subject to the terms and conditions of Letter Agreement 6-1162-TRW-0673R1 entitled “Confidentiality.</w:t>
      </w:r>
    </w:p>
    <w:p>
      <w:pPr>
        <w:spacing w:after="0" w:line="147" w:lineRule="exact"/>
        <w:rPr>
          <w:sz w:val="20"/>
          <w:szCs w:val="20"/>
          <w:color w:val="auto"/>
        </w:rPr>
      </w:pPr>
    </w:p>
    <w:p>
      <w:pPr>
        <w:ind w:left="3580"/>
        <w:spacing w:after="0"/>
        <w:rPr>
          <w:sz w:val="20"/>
          <w:szCs w:val="20"/>
          <w:color w:val="auto"/>
        </w:rPr>
      </w:pPr>
      <w:r>
        <w:rPr>
          <w:rFonts w:ascii="Arial" w:cs="Arial" w:eastAsia="Arial" w:hAnsi="Arial"/>
          <w:sz w:val="22"/>
          <w:szCs w:val="22"/>
          <w:b w:val="1"/>
          <w:bCs w:val="1"/>
          <w:i w:val="1"/>
          <w:iCs w:val="1"/>
          <w:color w:val="auto"/>
        </w:rPr>
        <w:t>The rest of this page is left intentionally blank.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1"/>
          <w:szCs w:val="21"/>
          <w:color w:val="auto"/>
        </w:rPr>
        <w:t>P.A. No. 3219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L.A. AAL-PA-3219-LA-2101557</w:t>
      </w:r>
    </w:p>
    <w:p>
      <w:pPr>
        <w:spacing w:after="0" w:line="18" w:lineRule="exact"/>
        <w:rPr>
          <w:sz w:val="20"/>
          <w:szCs w:val="20"/>
          <w:color w:val="auto"/>
        </w:rPr>
      </w:pPr>
    </w:p>
    <w:p>
      <w:pPr>
        <w:sectPr>
          <w:pgSz w:w="11900" w:h="16838" w:orient="portrait"/>
          <w:cols w:equalWidth="0" w:num="3">
            <w:col w:w="1320" w:space="240"/>
            <w:col w:w="620" w:space="600"/>
            <w:col w:w="8460"/>
          </w:cols>
          <w:pgMar w:left="320" w:top="1440" w:right="339" w:bottom="1440" w:gutter="0" w:footer="0" w:header="0"/>
          <w:type w:val="continuous"/>
        </w:sect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Page 5</w:t>
      </w:r>
    </w:p>
    <w:p>
      <w:pPr>
        <w:spacing w:after="0" w:line="15" w:lineRule="exact"/>
        <w:rPr>
          <w:sz w:val="20"/>
          <w:szCs w:val="20"/>
          <w:color w:val="auto"/>
        </w:rPr>
      </w:pPr>
    </w:p>
    <w:p>
      <w:pPr>
        <w:sectPr>
          <w:pgSz w:w="11900" w:h="16838" w:orient="portrait"/>
          <w:cols w:equalWidth="0" w:num="2">
            <w:col w:w="1480" w:space="720"/>
            <w:col w:w="904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440"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440" w:right="339" w:bottom="1440" w:gutter="0" w:footer="0" w:header="0"/>
          <w:type w:val="continuous"/>
        </w:sectPr>
      </w:pPr>
    </w:p>
    <w:bookmarkStart w:id="220" w:name="page221"/>
    <w:bookmarkEnd w:id="2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EXECUTED as of May 21,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520" w:type="dxa"/>
            <w:vAlign w:val="bottom"/>
            <w:gridSpan w:val="6"/>
          </w:tcPr>
          <w:p>
            <w:pPr>
              <w:spacing w:after="0"/>
              <w:rPr>
                <w:sz w:val="20"/>
                <w:szCs w:val="20"/>
                <w:color w:val="auto"/>
              </w:rPr>
            </w:pPr>
            <w:r>
              <w:rPr>
                <w:rFonts w:ascii="Arial" w:cs="Arial" w:eastAsia="Arial" w:hAnsi="Arial"/>
                <w:sz w:val="22"/>
                <w:szCs w:val="22"/>
                <w:b w:val="1"/>
                <w:bCs w:val="1"/>
                <w:color w:val="auto"/>
                <w:w w:val="97"/>
              </w:rPr>
              <w:t>THE BOEING COMPANY</w:t>
            </w:r>
          </w:p>
        </w:tc>
        <w:tc>
          <w:tcPr>
            <w:tcW w:w="180" w:type="dxa"/>
            <w:vAlign w:val="bottom"/>
          </w:tcPr>
          <w:p>
            <w:pPr>
              <w:spacing w:after="0"/>
              <w:rPr>
                <w:sz w:val="24"/>
                <w:szCs w:val="24"/>
                <w:color w:val="auto"/>
              </w:rPr>
            </w:pPr>
          </w:p>
        </w:tc>
        <w:tc>
          <w:tcPr>
            <w:tcW w:w="3660" w:type="dxa"/>
            <w:vAlign w:val="bottom"/>
            <w:gridSpan w:val="8"/>
          </w:tcPr>
          <w:p>
            <w:pPr>
              <w:ind w:left="40"/>
              <w:spacing w:after="0"/>
              <w:rPr>
                <w:sz w:val="20"/>
                <w:szCs w:val="20"/>
                <w:color w:val="auto"/>
              </w:rPr>
            </w:pPr>
            <w:r>
              <w:rPr>
                <w:rFonts w:ascii="Arial" w:cs="Arial" w:eastAsia="Arial" w:hAnsi="Arial"/>
                <w:sz w:val="22"/>
                <w:szCs w:val="22"/>
                <w:b w:val="1"/>
                <w:bCs w:val="1"/>
                <w:color w:val="auto"/>
              </w:rPr>
              <w:t>AMERICAN AIRLINES, INC.</w:t>
            </w:r>
          </w:p>
        </w:tc>
      </w:tr>
      <w:tr>
        <w:trPr>
          <w:trHeight w:val="449"/>
        </w:trPr>
        <w:tc>
          <w:tcPr>
            <w:tcW w:w="2520" w:type="dxa"/>
            <w:vAlign w:val="bottom"/>
            <w:gridSpan w:val="6"/>
          </w:tcPr>
          <w:p>
            <w:pPr>
              <w:spacing w:after="0"/>
              <w:rPr>
                <w:sz w:val="20"/>
                <w:szCs w:val="20"/>
                <w:color w:val="auto"/>
              </w:rPr>
            </w:pPr>
            <w:r>
              <w:rPr>
                <w:rFonts w:ascii="Arial" w:cs="Arial" w:eastAsia="Arial" w:hAnsi="Arial"/>
                <w:sz w:val="22"/>
                <w:szCs w:val="22"/>
                <w:color w:val="auto"/>
                <w:w w:val="99"/>
              </w:rPr>
              <w:t>By: The Boeing Company</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7"/>
          </w:tcPr>
          <w:p>
            <w:pPr>
              <w:ind w:left="20"/>
              <w:spacing w:after="0"/>
              <w:rPr>
                <w:sz w:val="20"/>
                <w:szCs w:val="20"/>
                <w:color w:val="auto"/>
              </w:rPr>
            </w:pPr>
            <w:r>
              <w:rPr>
                <w:rFonts w:ascii="Arial" w:cs="Arial" w:eastAsia="Arial" w:hAnsi="Arial"/>
                <w:sz w:val="22"/>
                <w:szCs w:val="22"/>
                <w:color w:val="auto"/>
              </w:rPr>
              <w:t>By: American Airlines, Inc.</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80"/>
        </w:trPr>
        <w:tc>
          <w:tcPr>
            <w:tcW w:w="2920" w:type="dxa"/>
            <w:vAlign w:val="bottom"/>
            <w:gridSpan w:val="8"/>
          </w:tcPr>
          <w:p>
            <w:pPr>
              <w:spacing w:after="0"/>
              <w:rPr>
                <w:sz w:val="20"/>
                <w:szCs w:val="20"/>
                <w:color w:val="auto"/>
              </w:rPr>
            </w:pPr>
            <w:r>
              <w:rPr>
                <w:rFonts w:ascii="Arial" w:cs="Arial" w:eastAsia="Arial" w:hAnsi="Arial"/>
                <w:sz w:val="22"/>
                <w:szCs w:val="22"/>
                <w:color w:val="auto"/>
              </w:rPr>
              <w:t>Name: The Boeing Company</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gridSpan w:val="5"/>
          </w:tcPr>
          <w:p>
            <w:pPr>
              <w:ind w:left="200"/>
              <w:spacing w:after="0"/>
              <w:rPr>
                <w:sz w:val="20"/>
                <w:szCs w:val="20"/>
                <w:color w:val="auto"/>
              </w:rPr>
            </w:pPr>
            <w:r>
              <w:rPr>
                <w:rFonts w:ascii="Arial" w:cs="Arial" w:eastAsia="Arial" w:hAnsi="Arial"/>
                <w:sz w:val="22"/>
                <w:szCs w:val="22"/>
                <w:color w:val="auto"/>
              </w:rPr>
              <w:t>Name: American Airlines, Inc.</w:t>
            </w:r>
          </w:p>
        </w:tc>
      </w:tr>
      <w:tr>
        <w:trPr>
          <w:trHeight w:val="20"/>
        </w:trPr>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r>
      <w:tr>
        <w:trPr>
          <w:trHeight w:val="479"/>
        </w:trPr>
        <w:tc>
          <w:tcPr>
            <w:tcW w:w="2520" w:type="dxa"/>
            <w:vAlign w:val="bottom"/>
            <w:gridSpan w:val="6"/>
          </w:tcPr>
          <w:p>
            <w:pPr>
              <w:spacing w:after="0"/>
              <w:rPr>
                <w:sz w:val="20"/>
                <w:szCs w:val="20"/>
                <w:color w:val="auto"/>
              </w:rPr>
            </w:pPr>
            <w:r>
              <w:rPr>
                <w:rFonts w:ascii="Arial" w:cs="Arial" w:eastAsia="Arial" w:hAnsi="Arial"/>
                <w:sz w:val="22"/>
                <w:szCs w:val="22"/>
                <w:color w:val="auto"/>
              </w:rPr>
              <w:t>Title: Attorney-In-Fact</w:t>
            </w:r>
          </w:p>
        </w:tc>
        <w:tc>
          <w:tcPr>
            <w:tcW w:w="3840" w:type="dxa"/>
            <w:vAlign w:val="bottom"/>
            <w:gridSpan w:val="9"/>
          </w:tcPr>
          <w:p>
            <w:pPr>
              <w:ind w:left="40"/>
              <w:spacing w:after="0"/>
              <w:rPr>
                <w:sz w:val="20"/>
                <w:szCs w:val="20"/>
                <w:color w:val="auto"/>
              </w:rPr>
            </w:pPr>
            <w:r>
              <w:rPr>
                <w:rFonts w:ascii="Arial" w:cs="Arial" w:eastAsia="Arial" w:hAnsi="Arial"/>
                <w:sz w:val="22"/>
                <w:szCs w:val="22"/>
                <w:color w:val="auto"/>
              </w:rPr>
              <w:t>Title: VP, Treasurer</w:t>
            </w:r>
          </w:p>
        </w:tc>
      </w:tr>
      <w:tr>
        <w:trPr>
          <w:trHeight w:val="20"/>
        </w:trPr>
        <w:tc>
          <w:tcPr>
            <w:tcW w:w="52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932"/>
        </w:trPr>
        <w:tc>
          <w:tcPr>
            <w:tcW w:w="1440" w:type="dxa"/>
            <w:vAlign w:val="bottom"/>
            <w:gridSpan w:val="4"/>
          </w:tcPr>
          <w:p>
            <w:pPr>
              <w:spacing w:after="0"/>
              <w:rPr>
                <w:sz w:val="20"/>
                <w:szCs w:val="20"/>
                <w:color w:val="auto"/>
              </w:rPr>
            </w:pPr>
            <w:r>
              <w:rPr>
                <w:rFonts w:ascii="Arial" w:cs="Arial" w:eastAsia="Arial" w:hAnsi="Arial"/>
                <w:sz w:val="22"/>
                <w:szCs w:val="22"/>
                <w:color w:val="auto"/>
              </w:rPr>
              <w:t>P.A. No. 3219</w:t>
            </w:r>
          </w:p>
        </w:tc>
        <w:tc>
          <w:tcPr>
            <w:tcW w:w="1080" w:type="dxa"/>
            <w:vAlign w:val="bottom"/>
            <w:gridSpan w:val="2"/>
          </w:tcPr>
          <w:p>
            <w:pPr>
              <w:ind w:left="120"/>
              <w:spacing w:after="0"/>
              <w:rPr>
                <w:sz w:val="20"/>
                <w:szCs w:val="20"/>
                <w:color w:val="auto"/>
              </w:rPr>
            </w:pPr>
            <w:r>
              <w:rPr>
                <w:rFonts w:ascii="Arial" w:cs="Arial" w:eastAsia="Arial" w:hAnsi="Arial"/>
                <w:sz w:val="22"/>
                <w:szCs w:val="22"/>
                <w:b w:val="1"/>
                <w:bCs w:val="1"/>
                <w:color w:val="auto"/>
              </w:rPr>
              <w:t>SA-16</w:t>
            </w:r>
          </w:p>
        </w:tc>
        <w:tc>
          <w:tcPr>
            <w:tcW w:w="180" w:type="dxa"/>
            <w:vAlign w:val="bottom"/>
          </w:tcPr>
          <w:p>
            <w:pPr>
              <w:spacing w:after="0"/>
              <w:rPr>
                <w:sz w:val="24"/>
                <w:szCs w:val="24"/>
                <w:color w:val="auto"/>
              </w:rPr>
            </w:pPr>
          </w:p>
        </w:tc>
        <w:tc>
          <w:tcPr>
            <w:tcW w:w="3660" w:type="dxa"/>
            <w:vAlign w:val="bottom"/>
            <w:gridSpan w:val="8"/>
          </w:tcPr>
          <w:p>
            <w:pPr>
              <w:ind w:left="80"/>
              <w:spacing w:after="0"/>
              <w:rPr>
                <w:sz w:val="20"/>
                <w:szCs w:val="20"/>
                <w:color w:val="auto"/>
              </w:rPr>
            </w:pPr>
            <w:r>
              <w:rPr>
                <w:rFonts w:ascii="Arial" w:cs="Arial" w:eastAsia="Arial" w:hAnsi="Arial"/>
                <w:sz w:val="22"/>
                <w:szCs w:val="22"/>
                <w:color w:val="auto"/>
              </w:rPr>
              <w:t>L.A. AAL-PA-3219-LA-2101557</w:t>
            </w:r>
          </w:p>
        </w:tc>
      </w:tr>
      <w:tr>
        <w:trPr>
          <w:trHeight w:val="256"/>
        </w:trPr>
        <w:tc>
          <w:tcPr>
            <w:tcW w:w="520" w:type="dxa"/>
            <w:vAlign w:val="bottom"/>
            <w:gridSpan w:val="2"/>
          </w:tcPr>
          <w:p>
            <w:pPr>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gridSpan w:val="4"/>
          </w:tcPr>
          <w:p>
            <w:pPr>
              <w:ind w:left="760"/>
              <w:spacing w:after="0"/>
              <w:rPr>
                <w:sz w:val="20"/>
                <w:szCs w:val="20"/>
                <w:color w:val="auto"/>
              </w:rPr>
            </w:pPr>
            <w:r>
              <w:rPr>
                <w:rFonts w:ascii="Arial" w:cs="Arial" w:eastAsia="Arial" w:hAnsi="Arial"/>
                <w:sz w:val="22"/>
                <w:szCs w:val="22"/>
                <w:color w:val="auto"/>
              </w:rPr>
              <w:t>Page 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r>
    </w:tbl>
    <w:p>
      <w:pPr>
        <w:jc w:val="center"/>
        <w:ind w:right="-17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40" w:right="519" w:bottom="1440" w:gutter="0" w:footer="0" w:header="0"/>
        </w:sectPr>
      </w:pPr>
    </w:p>
    <w:bookmarkStart w:id="221" w:name="page222"/>
    <w:bookmarkEnd w:id="221"/>
    <w:p>
      <w:pPr>
        <w:jc w:val="center"/>
        <w:ind w:right="-179"/>
        <w:spacing w:after="0"/>
        <w:rPr>
          <w:sz w:val="20"/>
          <w:szCs w:val="20"/>
          <w:color w:val="auto"/>
        </w:rPr>
      </w:pPr>
      <w:r>
        <w:rPr>
          <w:rFonts w:ascii="Arial" w:cs="Arial" w:eastAsia="Arial" w:hAnsi="Arial"/>
          <w:sz w:val="22"/>
          <w:szCs w:val="22"/>
          <w:b w:val="1"/>
          <w:bCs w:val="1"/>
          <w:color w:val="auto"/>
        </w:rPr>
        <w:t>Attachment A</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AAL-PA-3219-LA-2101557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321945</wp:posOffset>
            </wp:positionV>
            <wp:extent cx="5991860" cy="26149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91860" cy="261493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 Undelivered 2018 787-8 [****] Aircraft</w:t>
      </w:r>
    </w:p>
    <w:p>
      <w:pPr>
        <w:spacing w:after="0" w:line="16"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 Scheduled Delivery Month</w:t>
            </w:r>
          </w:p>
        </w:tc>
        <w:tc>
          <w:tcPr>
            <w:tcW w:w="4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6"/>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6"/>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6"/>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7"/>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36"/>
        </w:trPr>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w:t>
      </w:r>
      <w:r>
        <w:rPr>
          <w:rFonts w:ascii="Arial" w:cs="Arial" w:eastAsia="Arial" w:hAnsi="Arial"/>
          <w:sz w:val="22"/>
          <w:szCs w:val="22"/>
          <w:color w:val="auto"/>
        </w:rPr>
        <w:t xml:space="preserve">. For this aircraft, </w:t>
      </w:r>
      <w:r>
        <w:rPr>
          <w:rFonts w:ascii="Arial" w:cs="Arial" w:eastAsia="Arial" w:hAnsi="Arial"/>
          <w:sz w:val="19"/>
          <w:szCs w:val="19"/>
          <w:color w:val="auto"/>
        </w:rPr>
        <w:t>[****]-2021</w:t>
      </w:r>
      <w:r>
        <w:rPr>
          <w:rFonts w:ascii="Arial" w:cs="Arial" w:eastAsia="Arial" w:hAnsi="Arial"/>
          <w:sz w:val="22"/>
          <w:szCs w:val="22"/>
          <w:color w:val="auto"/>
        </w:rPr>
        <w:t xml:space="preserve">. The parties also agreed that for the avoidance of doubt, </w:t>
      </w:r>
      <w:r>
        <w:rPr>
          <w:rFonts w:ascii="Arial" w:cs="Arial" w:eastAsia="Arial" w:hAnsi="Arial"/>
          <w:sz w:val="19"/>
          <w:szCs w:val="19"/>
          <w:color w:val="auto"/>
        </w:rPr>
        <w:t>[****]-2021</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SA-16</w:t>
      </w:r>
    </w:p>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22" w:right="519" w:bottom="1440" w:gutter="0" w:footer="0" w:header="0"/>
        </w:sectPr>
      </w:pPr>
    </w:p>
    <w:bookmarkStart w:id="222" w:name="page223"/>
    <w:bookmarkEnd w:id="222"/>
    <w:p>
      <w:pPr>
        <w:jc w:val="center"/>
        <w:ind w:right="20"/>
        <w:spacing w:after="0"/>
        <w:rPr>
          <w:sz w:val="20"/>
          <w:szCs w:val="20"/>
          <w:color w:val="auto"/>
        </w:rPr>
      </w:pPr>
      <w:r>
        <w:rPr>
          <w:rFonts w:ascii="Arial" w:cs="Arial" w:eastAsia="Arial" w:hAnsi="Arial"/>
          <w:sz w:val="22"/>
          <w:szCs w:val="22"/>
          <w:b w:val="1"/>
          <w:bCs w:val="1"/>
          <w:color w:val="auto"/>
        </w:rPr>
        <w:t>Attachment B</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AAL-PA-3219-LA-2101557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40575" cy="12687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0575" cy="126873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2018 787-9[****] Aircraft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60" w:type="dxa"/>
            <w:vAlign w:val="bottom"/>
            <w:tcBorders>
              <w:top w:val="single" w:sz="8" w:color="auto"/>
              <w:right w:val="single" w:sz="8" w:color="auto"/>
            </w:tcBorders>
          </w:tcPr>
          <w:p>
            <w:pPr>
              <w:jc w:val="right"/>
              <w:ind w:right="921"/>
              <w:spacing w:after="0" w:line="183" w:lineRule="exact"/>
              <w:rPr>
                <w:sz w:val="20"/>
                <w:szCs w:val="20"/>
                <w:color w:val="auto"/>
              </w:rPr>
            </w:pPr>
            <w:r>
              <w:rPr>
                <w:rFonts w:ascii="Arial" w:cs="Arial" w:eastAsia="Arial" w:hAnsi="Arial"/>
                <w:sz w:val="20"/>
                <w:szCs w:val="20"/>
                <w:color w:val="auto"/>
              </w:rPr>
              <w:t>[****]</w:t>
            </w:r>
          </w:p>
        </w:tc>
        <w:tc>
          <w:tcPr>
            <w:tcW w:w="260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7"/>
              </w:rPr>
              <w:t>[****]Scheduled Delivery</w:t>
            </w:r>
          </w:p>
        </w:tc>
        <w:tc>
          <w:tcPr>
            <w:tcW w:w="3040" w:type="dxa"/>
            <w:vAlign w:val="bottom"/>
            <w:tcBorders>
              <w:top w:val="single" w:sz="8" w:color="auto"/>
              <w:right w:val="single" w:sz="8" w:color="auto"/>
            </w:tcBorders>
          </w:tcPr>
          <w:p>
            <w:pPr>
              <w:jc w:val="right"/>
              <w:ind w:right="1161"/>
              <w:spacing w:after="0" w:line="183" w:lineRule="exact"/>
              <w:rPr>
                <w:sz w:val="20"/>
                <w:szCs w:val="20"/>
                <w:color w:val="auto"/>
              </w:rPr>
            </w:pPr>
            <w:r>
              <w:rPr>
                <w:rFonts w:ascii="Arial" w:cs="Arial" w:eastAsia="Arial" w:hAnsi="Arial"/>
                <w:sz w:val="20"/>
                <w:szCs w:val="20"/>
                <w:color w:val="auto"/>
              </w:rPr>
              <w:t>[****]</w:t>
            </w:r>
          </w:p>
        </w:tc>
        <w:tc>
          <w:tcPr>
            <w:tcW w:w="3060" w:type="dxa"/>
            <w:vAlign w:val="bottom"/>
            <w:tcBorders>
              <w:top w:val="single" w:sz="8" w:color="auto"/>
            </w:tcBorders>
          </w:tcPr>
          <w:p>
            <w:pPr>
              <w:jc w:val="right"/>
              <w:ind w:right="1181"/>
              <w:spacing w:after="0" w:line="183" w:lineRule="exact"/>
              <w:rPr>
                <w:sz w:val="20"/>
                <w:szCs w:val="20"/>
                <w:color w:val="auto"/>
              </w:rPr>
            </w:pPr>
            <w:r>
              <w:rPr>
                <w:rFonts w:ascii="Arial" w:cs="Arial" w:eastAsia="Arial" w:hAnsi="Arial"/>
                <w:sz w:val="20"/>
                <w:szCs w:val="20"/>
                <w:color w:val="auto"/>
              </w:rPr>
              <w:t>[****]</w:t>
            </w:r>
          </w:p>
        </w:tc>
      </w:tr>
      <w:tr>
        <w:trPr>
          <w:trHeight w:val="243"/>
        </w:trPr>
        <w:tc>
          <w:tcPr>
            <w:tcW w:w="256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Month</w:t>
            </w:r>
          </w:p>
        </w:tc>
        <w:tc>
          <w:tcPr>
            <w:tcW w:w="3040" w:type="dxa"/>
            <w:vAlign w:val="bottom"/>
            <w:tcBorders>
              <w:bottom w:val="single" w:sz="8" w:color="auto"/>
              <w:right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r>
      <w:tr>
        <w:trPr>
          <w:trHeight w:val="236"/>
        </w:trPr>
        <w:tc>
          <w:tcPr>
            <w:tcW w:w="2560" w:type="dxa"/>
            <w:vAlign w:val="bottom"/>
            <w:tcBorders>
              <w:bottom w:val="single" w:sz="8" w:color="auto"/>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3040" w:type="dxa"/>
            <w:vAlign w:val="bottom"/>
            <w:tcBorders>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Borders>
              <w:bottom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237"/>
        </w:trPr>
        <w:tc>
          <w:tcPr>
            <w:tcW w:w="2560" w:type="dxa"/>
            <w:vAlign w:val="bottom"/>
            <w:tcBorders>
              <w:bottom w:val="single" w:sz="8" w:color="auto"/>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3040" w:type="dxa"/>
            <w:vAlign w:val="bottom"/>
            <w:tcBorders>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Borders>
              <w:bottom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237"/>
        </w:trPr>
        <w:tc>
          <w:tcPr>
            <w:tcW w:w="2560" w:type="dxa"/>
            <w:vAlign w:val="bottom"/>
            <w:tcBorders>
              <w:bottom w:val="single" w:sz="8" w:color="auto"/>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3040" w:type="dxa"/>
            <w:vAlign w:val="bottom"/>
            <w:tcBorders>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Borders>
              <w:bottom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237"/>
        </w:trPr>
        <w:tc>
          <w:tcPr>
            <w:tcW w:w="2560" w:type="dxa"/>
            <w:vAlign w:val="bottom"/>
            <w:tcBorders>
              <w:bottom w:val="single" w:sz="8" w:color="auto"/>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3040" w:type="dxa"/>
            <w:vAlign w:val="bottom"/>
            <w:tcBorders>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Borders>
              <w:bottom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237"/>
        </w:trPr>
        <w:tc>
          <w:tcPr>
            <w:tcW w:w="2560" w:type="dxa"/>
            <w:vAlign w:val="bottom"/>
            <w:tcBorders>
              <w:bottom w:val="single" w:sz="8" w:color="auto"/>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3040" w:type="dxa"/>
            <w:vAlign w:val="bottom"/>
            <w:tcBorders>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Borders>
              <w:bottom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Notes:</w:t>
      </w:r>
    </w:p>
    <w:p>
      <w:pPr>
        <w:spacing w:after="0" w:line="132" w:lineRule="exact"/>
        <w:rPr>
          <w:sz w:val="20"/>
          <w:szCs w:val="20"/>
          <w:color w:val="auto"/>
        </w:rPr>
      </w:pPr>
    </w:p>
    <w:p>
      <w:pPr>
        <w:ind w:left="280" w:hanging="272"/>
        <w:spacing w:after="0"/>
        <w:tabs>
          <w:tab w:leader="none" w:pos="280" w:val="left"/>
        </w:tabs>
        <w:numPr>
          <w:ilvl w:val="0"/>
          <w:numId w:val="169"/>
        </w:numPr>
        <w:rPr>
          <w:rFonts w:ascii="Arial" w:cs="Arial" w:eastAsia="Arial" w:hAnsi="Arial"/>
          <w:sz w:val="22"/>
          <w:szCs w:val="22"/>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SA-16</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BOEING PROPRIETARY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60"/>
          </w:cols>
          <w:pgMar w:left="320" w:top="1422" w:right="319" w:bottom="1440" w:gutter="0" w:footer="0" w:header="0"/>
        </w:sectPr>
      </w:pPr>
    </w:p>
    <w:bookmarkStart w:id="223" w:name="page224"/>
    <w:bookmarkEnd w:id="223"/>
    <w:p>
      <w:pPr>
        <w:ind w:left="10240"/>
        <w:spacing w:after="0"/>
        <w:rPr>
          <w:sz w:val="20"/>
          <w:szCs w:val="20"/>
          <w:color w:val="auto"/>
        </w:rPr>
      </w:pPr>
      <w:r>
        <w:rPr>
          <w:rFonts w:ascii="Arial" w:cs="Arial" w:eastAsia="Arial" w:hAnsi="Arial"/>
          <w:sz w:val="17"/>
          <w:szCs w:val="17"/>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40575" cy="274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0575" cy="274320"/>
                    </a:xfrm>
                    <a:prstGeom prst="rect">
                      <a:avLst/>
                    </a:prstGeom>
                    <a:noFill/>
                  </pic:spPr>
                </pic:pic>
              </a:graphicData>
            </a:graphic>
          </wp:anchor>
        </w:drawing>
      </w:r>
    </w:p>
    <w:p>
      <w:pPr>
        <w:spacing w:after="0" w:line="54" w:lineRule="exact"/>
        <w:rPr>
          <w:sz w:val="20"/>
          <w:szCs w:val="20"/>
          <w:color w:val="auto"/>
        </w:rPr>
      </w:pPr>
    </w:p>
    <w:p>
      <w:pPr>
        <w:ind w:left="40" w:right="600" w:hanging="2"/>
        <w:spacing w:after="0"/>
        <w:rPr>
          <w:sz w:val="20"/>
          <w:szCs w:val="20"/>
          <w:color w:val="auto"/>
        </w:rPr>
      </w:pPr>
      <w:r>
        <w:rPr>
          <w:rFonts w:ascii="Arial" w:cs="Arial" w:eastAsia="Arial" w:hAnsi="Arial"/>
          <w:sz w:val="18"/>
          <w:szCs w:val="18"/>
          <w:b w:val="1"/>
          <w:bCs w:val="1"/>
          <w:color w:val="auto"/>
        </w:rPr>
        <w:t>Certain confidential information contained in this document, marked by brackets, has been omitted because it is both (i) not material and (ii) would be competitively harmful if publicly disclosed.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19</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03735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SUPPLEMENTAL AGREEMENT No. 19 (</w:t>
      </w:r>
      <w:r>
        <w:rPr>
          <w:rFonts w:ascii="Arial" w:cs="Arial" w:eastAsia="Arial" w:hAnsi="Arial"/>
          <w:sz w:val="22"/>
          <w:szCs w:val="22"/>
          <w:b w:val="1"/>
          <w:bCs w:val="1"/>
          <w:i w:val="1"/>
          <w:iCs w:val="1"/>
          <w:color w:val="auto"/>
        </w:rPr>
        <w:t>SA-19</w:t>
      </w:r>
      <w:r>
        <w:rPr>
          <w:rFonts w:ascii="Arial" w:cs="Arial" w:eastAsia="Arial" w:hAnsi="Arial"/>
          <w:sz w:val="22"/>
          <w:szCs w:val="22"/>
          <w:i w:val="1"/>
          <w:iCs w:val="1"/>
          <w:color w:val="auto"/>
        </w:rPr>
        <w:t>)</w:t>
      </w:r>
      <w:r>
        <w:rPr>
          <w:rFonts w:ascii="Arial" w:cs="Arial" w:eastAsia="Arial" w:hAnsi="Arial"/>
          <w:sz w:val="22"/>
          <w:szCs w:val="22"/>
          <w:color w:val="auto"/>
        </w:rPr>
        <w:t>, entered into as of April _</w:t>
      </w:r>
      <w:r>
        <w:rPr>
          <w:rFonts w:ascii="Arial" w:cs="Arial" w:eastAsia="Arial" w:hAnsi="Arial"/>
          <w:sz w:val="22"/>
          <w:szCs w:val="22"/>
          <w:u w:val="single" w:color="auto"/>
          <w:color w:val="auto"/>
        </w:rPr>
        <w:t>8</w:t>
      </w:r>
      <w:r>
        <w:rPr>
          <w:rFonts w:ascii="Arial" w:cs="Arial" w:eastAsia="Arial" w:hAnsi="Arial"/>
          <w:sz w:val="22"/>
          <w:szCs w:val="22"/>
          <w:color w:val="auto"/>
        </w:rPr>
        <w:t>__, 2021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xml:space="preserve"> ),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20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235" w:lineRule="exact"/>
        <w:rPr>
          <w:sz w:val="20"/>
          <w:szCs w:val="20"/>
          <w:color w:val="auto"/>
        </w:rPr>
      </w:pPr>
    </w:p>
    <w:p>
      <w:pPr>
        <w:jc w:val="both"/>
        <w:ind w:firstLine="443"/>
        <w:spacing w:after="0" w:line="246" w:lineRule="auto"/>
        <w:rPr>
          <w:sz w:val="20"/>
          <w:szCs w:val="20"/>
          <w:color w:val="auto"/>
        </w:rPr>
      </w:pPr>
      <w:r>
        <w:rPr>
          <w:rFonts w:ascii="Arial" w:cs="Arial" w:eastAsia="Arial" w:hAnsi="Arial"/>
          <w:sz w:val="22"/>
          <w:szCs w:val="22"/>
          <w:color w:val="auto"/>
        </w:rPr>
        <w:t>WHEREAS, Boeing and Customer have entered into Letter No. AAL-LA-2002714, entitled [****] and Letter Agreement No. AAL-PA-03735-LA-2002743 entitled [****], which both [****] the [****] for the following [****] ([****]) as June 2021:</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361"/>
        </w:trPr>
        <w:tc>
          <w:tcPr>
            <w:tcW w:w="3680" w:type="dxa"/>
            <w:vAlign w:val="bottom"/>
            <w:tcBorders>
              <w:top w:val="single" w:sz="8" w:color="auto"/>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top w:val="single" w:sz="8" w:color="auto"/>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r>
        <w:trPr>
          <w:trHeight w:val="341"/>
        </w:trPr>
        <w:tc>
          <w:tcPr>
            <w:tcW w:w="3680" w:type="dxa"/>
            <w:vAlign w:val="bottom"/>
            <w:tcBorders>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r>
        <w:trPr>
          <w:trHeight w:val="341"/>
        </w:trPr>
        <w:tc>
          <w:tcPr>
            <w:tcW w:w="3680" w:type="dxa"/>
            <w:vAlign w:val="bottom"/>
            <w:tcBorders>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r>
        <w:trPr>
          <w:trHeight w:val="341"/>
        </w:trPr>
        <w:tc>
          <w:tcPr>
            <w:tcW w:w="3680" w:type="dxa"/>
            <w:vAlign w:val="bottom"/>
            <w:tcBorders>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r>
        <w:trPr>
          <w:trHeight w:val="341"/>
        </w:trPr>
        <w:tc>
          <w:tcPr>
            <w:tcW w:w="3680" w:type="dxa"/>
            <w:vAlign w:val="bottom"/>
            <w:tcBorders>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r>
        <w:trPr>
          <w:trHeight w:val="341"/>
        </w:trPr>
        <w:tc>
          <w:tcPr>
            <w:tcW w:w="3680" w:type="dxa"/>
            <w:vAlign w:val="bottom"/>
            <w:tcBorders>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r>
        <w:trPr>
          <w:trHeight w:val="341"/>
        </w:trPr>
        <w:tc>
          <w:tcPr>
            <w:tcW w:w="3680" w:type="dxa"/>
            <w:vAlign w:val="bottom"/>
            <w:tcBorders>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SA-19, Page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18" w:right="3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18" w:right="339" w:bottom="1440" w:gutter="0" w:footer="0" w:header="0"/>
          <w:type w:val="continuous"/>
        </w:sectPr>
      </w:pPr>
    </w:p>
    <w:bookmarkStart w:id="224" w:name="page225"/>
    <w:bookmarkEnd w:id="224"/>
    <w:tbl>
      <w:tblPr>
        <w:tblLayout w:type="fixed"/>
        <w:tblInd w:w="10" w:type="dxa"/>
        <w:tblCellMar>
          <w:top w:w="0" w:type="dxa"/>
          <w:left w:w="0" w:type="dxa"/>
          <w:bottom w:w="0" w:type="dxa"/>
          <w:right w:w="0" w:type="dxa"/>
        </w:tblCellMar>
      </w:tblPr>
      <w:tr>
        <w:trPr>
          <w:trHeight w:val="361"/>
        </w:trPr>
        <w:tc>
          <w:tcPr>
            <w:tcW w:w="3680" w:type="dxa"/>
            <w:vAlign w:val="bottom"/>
            <w:tcBorders>
              <w:top w:val="single" w:sz="8" w:color="auto"/>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top w:val="single" w:sz="8" w:color="auto"/>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r>
        <w:trPr>
          <w:trHeight w:val="341"/>
        </w:trPr>
        <w:tc>
          <w:tcPr>
            <w:tcW w:w="3680" w:type="dxa"/>
            <w:vAlign w:val="bottom"/>
            <w:tcBorders>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r>
        <w:trPr>
          <w:trHeight w:val="341"/>
        </w:trPr>
        <w:tc>
          <w:tcPr>
            <w:tcW w:w="3680" w:type="dxa"/>
            <w:vAlign w:val="bottom"/>
            <w:tcBorders>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r>
        <w:trPr>
          <w:trHeight w:val="341"/>
        </w:trPr>
        <w:tc>
          <w:tcPr>
            <w:tcW w:w="3680" w:type="dxa"/>
            <w:vAlign w:val="bottom"/>
            <w:tcBorders>
              <w:left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c>
          <w:tcPr>
            <w:tcW w:w="5840" w:type="dxa"/>
            <w:vAlign w:val="bottom"/>
            <w:tcBorders>
              <w:right w:val="single" w:sz="8" w:color="auto"/>
            </w:tcBorders>
          </w:tcPr>
          <w:p>
            <w:pPr>
              <w:jc w:val="right"/>
              <w:ind w:right="2592"/>
              <w:spacing w:after="0"/>
              <w:rPr>
                <w:sz w:val="20"/>
                <w:szCs w:val="20"/>
                <w:color w:val="auto"/>
              </w:rPr>
            </w:pPr>
            <w:r>
              <w:rPr>
                <w:rFonts w:ascii="Arial" w:cs="Arial" w:eastAsia="Arial" w:hAnsi="Arial"/>
                <w:sz w:val="22"/>
                <w:szCs w:val="22"/>
                <w:color w:val="auto"/>
              </w:rPr>
              <w:t>[****]</w:t>
            </w:r>
          </w:p>
        </w:tc>
      </w:tr>
      <w:tr>
        <w:trPr>
          <w:trHeight w:val="71"/>
        </w:trPr>
        <w:tc>
          <w:tcPr>
            <w:tcW w:w="3680" w:type="dxa"/>
            <w:vAlign w:val="bottom"/>
            <w:tcBorders>
              <w:left w:val="single" w:sz="8" w:color="auto"/>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53" w:lineRule="exact"/>
        <w:rPr>
          <w:sz w:val="20"/>
          <w:szCs w:val="20"/>
          <w:color w:val="auto"/>
        </w:rPr>
      </w:pPr>
    </w:p>
    <w:p>
      <w:pPr>
        <w:ind w:firstLine="317"/>
        <w:spacing w:after="0" w:line="249" w:lineRule="auto"/>
        <w:rPr>
          <w:sz w:val="20"/>
          <w:szCs w:val="20"/>
          <w:color w:val="auto"/>
        </w:rPr>
      </w:pPr>
      <w:r>
        <w:rPr>
          <w:rFonts w:ascii="Arial" w:cs="Arial" w:eastAsia="Arial" w:hAnsi="Arial"/>
          <w:sz w:val="22"/>
          <w:szCs w:val="22"/>
          <w:color w:val="auto"/>
        </w:rPr>
        <w:t>WHEREAS, Boeing and Customer agree that pursuant to Section 1.2 of the [****], Customer agreed to [****] to, [****], [****] the [****] and the [****] (each as defined in Section 1.2 of the [****]);</w:t>
      </w:r>
    </w:p>
    <w:p>
      <w:pPr>
        <w:spacing w:after="0" w:line="231" w:lineRule="exact"/>
        <w:rPr>
          <w:sz w:val="20"/>
          <w:szCs w:val="20"/>
          <w:color w:val="auto"/>
        </w:rPr>
      </w:pPr>
    </w:p>
    <w:p>
      <w:pPr>
        <w:ind w:firstLine="339"/>
        <w:spacing w:after="0" w:line="243" w:lineRule="auto"/>
        <w:rPr>
          <w:sz w:val="20"/>
          <w:szCs w:val="20"/>
          <w:color w:val="auto"/>
        </w:rPr>
      </w:pPr>
      <w:r>
        <w:rPr>
          <w:rFonts w:ascii="Arial" w:cs="Arial" w:eastAsia="Arial" w:hAnsi="Arial"/>
          <w:sz w:val="22"/>
          <w:szCs w:val="22"/>
          <w:color w:val="auto"/>
        </w:rPr>
        <w:t>WHEREAS, in accordance with Section 1.2 of the [****], Customer has [****] to Boeing the [****] by [****], and the [****] for the [****];</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Customer has [****] to Boeing the [****] in a [****] to Boeing [****] for [****];</w:t>
      </w:r>
    </w:p>
    <w:p>
      <w:pPr>
        <w:spacing w:after="0" w:line="247"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231" w:lineRule="exact"/>
        <w:rPr>
          <w:sz w:val="20"/>
          <w:szCs w:val="20"/>
          <w:color w:val="auto"/>
        </w:rPr>
      </w:pPr>
    </w:p>
    <w:p>
      <w:pPr>
        <w:ind w:left="640" w:hanging="632"/>
        <w:spacing w:after="0"/>
        <w:tabs>
          <w:tab w:leader="none" w:pos="64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p>
    <w:p>
      <w:pPr>
        <w:spacing w:after="0" w:line="247"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Customer and Boeing agree to [****] of [****] from [****] to [****] as shown in the table below, pursuant to the terms and conditions in the [****].</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61"/>
        </w:trPr>
        <w:tc>
          <w:tcPr>
            <w:tcW w:w="4760" w:type="dxa"/>
            <w:vAlign w:val="bottom"/>
            <w:tcBorders>
              <w:top w:val="single" w:sz="8" w:color="auto"/>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top w:val="single" w:sz="8" w:color="auto"/>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r>
        <w:trPr>
          <w:trHeight w:val="341"/>
        </w:trPr>
        <w:tc>
          <w:tcPr>
            <w:tcW w:w="4760" w:type="dxa"/>
            <w:vAlign w:val="bottom"/>
            <w:tcBorders>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r>
        <w:trPr>
          <w:trHeight w:val="341"/>
        </w:trPr>
        <w:tc>
          <w:tcPr>
            <w:tcW w:w="4760" w:type="dxa"/>
            <w:vAlign w:val="bottom"/>
            <w:tcBorders>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r>
        <w:trPr>
          <w:trHeight w:val="341"/>
        </w:trPr>
        <w:tc>
          <w:tcPr>
            <w:tcW w:w="4760" w:type="dxa"/>
            <w:vAlign w:val="bottom"/>
            <w:tcBorders>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r>
        <w:trPr>
          <w:trHeight w:val="341"/>
        </w:trPr>
        <w:tc>
          <w:tcPr>
            <w:tcW w:w="4760" w:type="dxa"/>
            <w:vAlign w:val="bottom"/>
            <w:tcBorders>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r>
        <w:trPr>
          <w:trHeight w:val="341"/>
        </w:trPr>
        <w:tc>
          <w:tcPr>
            <w:tcW w:w="4760" w:type="dxa"/>
            <w:vAlign w:val="bottom"/>
            <w:tcBorders>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r>
        <w:trPr>
          <w:trHeight w:val="341"/>
        </w:trPr>
        <w:tc>
          <w:tcPr>
            <w:tcW w:w="4760" w:type="dxa"/>
            <w:vAlign w:val="bottom"/>
            <w:tcBorders>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r>
        <w:trPr>
          <w:trHeight w:val="341"/>
        </w:trPr>
        <w:tc>
          <w:tcPr>
            <w:tcW w:w="4760" w:type="dxa"/>
            <w:vAlign w:val="bottom"/>
            <w:tcBorders>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r>
        <w:trPr>
          <w:trHeight w:val="341"/>
        </w:trPr>
        <w:tc>
          <w:tcPr>
            <w:tcW w:w="4760" w:type="dxa"/>
            <w:vAlign w:val="bottom"/>
            <w:tcBorders>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r>
        <w:trPr>
          <w:trHeight w:val="341"/>
        </w:trPr>
        <w:tc>
          <w:tcPr>
            <w:tcW w:w="4760" w:type="dxa"/>
            <w:vAlign w:val="bottom"/>
            <w:tcBorders>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r>
        <w:trPr>
          <w:trHeight w:val="341"/>
        </w:trPr>
        <w:tc>
          <w:tcPr>
            <w:tcW w:w="4760" w:type="dxa"/>
            <w:vAlign w:val="bottom"/>
            <w:tcBorders>
              <w:left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c>
          <w:tcPr>
            <w:tcW w:w="5520" w:type="dxa"/>
            <w:vAlign w:val="bottom"/>
            <w:tcBorders>
              <w:right w:val="single" w:sz="8" w:color="auto"/>
            </w:tcBorders>
          </w:tcPr>
          <w:p>
            <w:pPr>
              <w:jc w:val="right"/>
              <w:ind w:right="2432"/>
              <w:spacing w:after="0"/>
              <w:rPr>
                <w:sz w:val="20"/>
                <w:szCs w:val="20"/>
                <w:color w:val="auto"/>
              </w:rPr>
            </w:pPr>
            <w:r>
              <w:rPr>
                <w:rFonts w:ascii="Arial" w:cs="Arial" w:eastAsia="Arial" w:hAnsi="Arial"/>
                <w:sz w:val="22"/>
                <w:szCs w:val="22"/>
                <w:color w:val="auto"/>
              </w:rPr>
              <w:t>[****]</w:t>
            </w:r>
          </w:p>
        </w:tc>
      </w:tr>
      <w:tr>
        <w:trPr>
          <w:trHeight w:val="71"/>
        </w:trPr>
        <w:tc>
          <w:tcPr>
            <w:tcW w:w="4760" w:type="dxa"/>
            <w:vAlign w:val="bottom"/>
            <w:tcBorders>
              <w:left w:val="single" w:sz="8" w:color="auto"/>
              <w:bottom w:val="single" w:sz="8" w:color="auto"/>
              <w:right w:val="single" w:sz="8" w:color="auto"/>
            </w:tcBorders>
          </w:tcPr>
          <w:p>
            <w:pPr>
              <w:spacing w:after="0"/>
              <w:rPr>
                <w:sz w:val="6"/>
                <w:szCs w:val="6"/>
                <w:color w:val="auto"/>
              </w:rPr>
            </w:pPr>
          </w:p>
        </w:tc>
        <w:tc>
          <w:tcPr>
            <w:tcW w:w="552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347" w:lineRule="exact"/>
        <w:rPr>
          <w:sz w:val="20"/>
          <w:szCs w:val="20"/>
          <w:color w:val="auto"/>
        </w:rPr>
      </w:pPr>
    </w:p>
    <w:p>
      <w:pPr>
        <w:ind w:left="640" w:hanging="632"/>
        <w:spacing w:after="0"/>
        <w:tabs>
          <w:tab w:leader="none" w:pos="64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SA-18 in the footer is deleted in its entirety and is replaced with the new “</w:t>
      </w:r>
      <w:r>
        <w:rPr>
          <w:rFonts w:ascii="Arial" w:cs="Arial" w:eastAsia="Arial" w:hAnsi="Arial"/>
          <w:sz w:val="22"/>
          <w:szCs w:val="22"/>
          <w:u w:val="single" w:color="auto"/>
          <w:color w:val="auto"/>
        </w:rPr>
        <w:t>Table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SA-19, Page 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362" w:right="339" w:bottom="632"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1362" w:right="339" w:bottom="632" w:gutter="0" w:footer="0" w:header="0"/>
          <w:type w:val="continuous"/>
        </w:sectPr>
      </w:pPr>
    </w:p>
    <w:bookmarkStart w:id="225" w:name="page226"/>
    <w:bookmarkEnd w:id="225"/>
    <w:p>
      <w:pPr>
        <w:spacing w:after="0" w:line="138" w:lineRule="exact"/>
        <w:rPr>
          <w:sz w:val="20"/>
          <w:szCs w:val="20"/>
          <w:color w:val="auto"/>
        </w:rPr>
      </w:pPr>
    </w:p>
    <w:p>
      <w:pPr>
        <w:jc w:val="both"/>
        <w:ind w:left="73"/>
        <w:spacing w:after="0" w:line="246" w:lineRule="auto"/>
        <w:rPr>
          <w:sz w:val="20"/>
          <w:szCs w:val="20"/>
          <w:color w:val="auto"/>
        </w:rPr>
      </w:pPr>
      <w:r>
        <w:rPr>
          <w:rFonts w:ascii="Arial" w:cs="Arial" w:eastAsia="Arial" w:hAnsi="Arial"/>
          <w:sz w:val="22"/>
          <w:szCs w:val="22"/>
          <w:u w:val="single" w:color="auto"/>
          <w:color w:val="auto"/>
        </w:rPr>
        <w:t>Contents</w:t>
      </w:r>
      <w:r>
        <w:rPr>
          <w:rFonts w:ascii="Arial" w:cs="Arial" w:eastAsia="Arial" w:hAnsi="Arial"/>
          <w:sz w:val="22"/>
          <w:szCs w:val="22"/>
          <w:color w:val="auto"/>
        </w:rPr>
        <w:t>” (attached hereto) referencing SA-19 in the footer to reflect changes made to the Purchase Agreement by this SA-19. Such new Table of Contents is hereby incorporated into the Purchase Agreement in replacement of its predecessor.</w:t>
      </w:r>
    </w:p>
    <w:p>
      <w:pPr>
        <w:spacing w:after="0" w:line="208" w:lineRule="exact"/>
        <w:rPr>
          <w:sz w:val="20"/>
          <w:szCs w:val="20"/>
          <w:color w:val="auto"/>
        </w:rPr>
      </w:pPr>
    </w:p>
    <w:p>
      <w:pPr>
        <w:ind w:left="713" w:hanging="632"/>
        <w:spacing w:after="0"/>
        <w:tabs>
          <w:tab w:leader="none" w:pos="713"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220" w:lineRule="exact"/>
        <w:rPr>
          <w:sz w:val="20"/>
          <w:szCs w:val="20"/>
          <w:color w:val="auto"/>
        </w:rPr>
      </w:pPr>
    </w:p>
    <w:p>
      <w:pPr>
        <w:jc w:val="both"/>
        <w:ind w:left="73" w:firstLine="648"/>
        <w:spacing w:after="0" w:line="260"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Table 1R11</w:t>
      </w:r>
      <w:r>
        <w:rPr>
          <w:rFonts w:ascii="Arial" w:cs="Arial" w:eastAsia="Arial" w:hAnsi="Arial"/>
          <w:sz w:val="21"/>
          <w:szCs w:val="21"/>
          <w:color w:val="auto"/>
        </w:rPr>
        <w:t>. Table 1R11, entitled “</w:t>
      </w:r>
      <w:r>
        <w:rPr>
          <w:rFonts w:ascii="Arial" w:cs="Arial" w:eastAsia="Arial" w:hAnsi="Arial"/>
          <w:sz w:val="21"/>
          <w:szCs w:val="21"/>
          <w:u w:val="single" w:color="auto"/>
          <w:color w:val="auto"/>
        </w:rPr>
        <w:t>Base Weight 737-8 Aircraft Delivery, Description, Price, and Advance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Payments</w:t>
      </w:r>
      <w:r>
        <w:rPr>
          <w:rFonts w:ascii="Arial" w:cs="Arial" w:eastAsia="Arial" w:hAnsi="Arial"/>
          <w:sz w:val="21"/>
          <w:szCs w:val="21"/>
          <w:color w:val="auto"/>
        </w:rPr>
        <w:t>” referencing SA-18 in the footer is deleted in its entirety and replaced with Table 1R12, entitled “</w:t>
      </w:r>
      <w:r>
        <w:rPr>
          <w:rFonts w:ascii="Arial" w:cs="Arial" w:eastAsia="Arial" w:hAnsi="Arial"/>
          <w:sz w:val="21"/>
          <w:szCs w:val="21"/>
          <w:u w:val="single" w:color="auto"/>
          <w:color w:val="auto"/>
        </w:rPr>
        <w:t>737-8</w:t>
      </w:r>
      <w:r>
        <w:rPr>
          <w:rFonts w:ascii="Arial" w:cs="Arial" w:eastAsia="Arial" w:hAnsi="Arial"/>
          <w:sz w:val="21"/>
          <w:szCs w:val="21"/>
          <w:color w:val="auto"/>
        </w:rPr>
        <w:t xml:space="preserve"> </w:t>
      </w:r>
      <w:r>
        <w:rPr>
          <w:rFonts w:ascii="Arial" w:cs="Arial" w:eastAsia="Arial" w:hAnsi="Arial"/>
          <w:sz w:val="21"/>
          <w:szCs w:val="21"/>
          <w:u w:val="single" w:color="auto"/>
          <w:color w:val="auto"/>
        </w:rPr>
        <w:t>Aircraft Delivery, Description, Price, and Advance Payments</w:t>
      </w:r>
      <w:r>
        <w:rPr>
          <w:rFonts w:ascii="Arial" w:cs="Arial" w:eastAsia="Arial" w:hAnsi="Arial"/>
          <w:sz w:val="21"/>
          <w:szCs w:val="21"/>
          <w:color w:val="auto"/>
        </w:rPr>
        <w:t>” (attached hereto) referencing SA-19 in the footer (</w:t>
      </w:r>
      <w:r>
        <w:rPr>
          <w:rFonts w:ascii="Arial" w:cs="Arial" w:eastAsia="Arial" w:hAnsi="Arial"/>
          <w:sz w:val="21"/>
          <w:szCs w:val="21"/>
          <w:b w:val="1"/>
          <w:bCs w:val="1"/>
          <w:i w:val="1"/>
          <w:iCs w:val="1"/>
          <w:color w:val="auto"/>
        </w:rPr>
        <w:t>Table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1R12</w:t>
      </w:r>
      <w:r>
        <w:rPr>
          <w:rFonts w:ascii="Arial" w:cs="Arial" w:eastAsia="Arial" w:hAnsi="Arial"/>
          <w:sz w:val="21"/>
          <w:szCs w:val="21"/>
          <w:color w:val="auto"/>
        </w:rPr>
        <w:t>). Table 1R12 is hereby incorporated into the Purchase Agreement in replacement of Table 1R11. [****].</w:t>
      </w:r>
    </w:p>
    <w:p>
      <w:pPr>
        <w:spacing w:after="0" w:line="196" w:lineRule="exact"/>
        <w:rPr>
          <w:sz w:val="20"/>
          <w:szCs w:val="20"/>
          <w:color w:val="auto"/>
        </w:rPr>
      </w:pPr>
    </w:p>
    <w:p>
      <w:pPr>
        <w:jc w:val="both"/>
        <w:ind w:left="73" w:firstLine="648"/>
        <w:spacing w:after="0" w:line="245"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Table 1-3R5</w:t>
      </w:r>
      <w:r>
        <w:rPr>
          <w:rFonts w:ascii="Arial" w:cs="Arial" w:eastAsia="Arial" w:hAnsi="Arial"/>
          <w:sz w:val="22"/>
          <w:szCs w:val="22"/>
          <w:color w:val="auto"/>
        </w:rPr>
        <w:t>. Table 1-3R5 entitled “</w:t>
      </w:r>
      <w:r>
        <w:rPr>
          <w:rFonts w:ascii="Arial" w:cs="Arial" w:eastAsia="Arial" w:hAnsi="Arial"/>
          <w:sz w:val="22"/>
          <w:szCs w:val="22"/>
          <w:u w:val="single" w:color="auto"/>
          <w:color w:val="auto"/>
        </w:rPr>
        <w:t>[****] Aircraft Delivery, Description, Price, and Advance Payments</w:t>
      </w:r>
      <w:r>
        <w:rPr>
          <w:rFonts w:ascii="Arial" w:cs="Arial" w:eastAsia="Arial" w:hAnsi="Arial"/>
          <w:sz w:val="22"/>
          <w:szCs w:val="22"/>
          <w:color w:val="auto"/>
        </w:rPr>
        <w:t>” referencing SA-18 in the footer is deleted in its entirety and replaced with Table 1-3R6, entitled “</w:t>
      </w:r>
      <w:r>
        <w:rPr>
          <w:rFonts w:ascii="Arial" w:cs="Arial" w:eastAsia="Arial" w:hAnsi="Arial"/>
          <w:sz w:val="22"/>
          <w:szCs w:val="22"/>
          <w:u w:val="single" w:color="auto"/>
          <w:color w:val="auto"/>
        </w:rPr>
        <w:t>[****] Aircraft Delivery,</w:t>
      </w:r>
      <w:r>
        <w:rPr>
          <w:rFonts w:ascii="Arial" w:cs="Arial" w:eastAsia="Arial" w:hAnsi="Arial"/>
          <w:sz w:val="22"/>
          <w:szCs w:val="22"/>
          <w:color w:val="auto"/>
        </w:rPr>
        <w:t xml:space="preserve"> </w:t>
      </w:r>
      <w:r>
        <w:rPr>
          <w:rFonts w:ascii="Arial" w:cs="Arial" w:eastAsia="Arial" w:hAnsi="Arial"/>
          <w:sz w:val="22"/>
          <w:szCs w:val="22"/>
          <w:u w:val="single" w:color="auto"/>
          <w:color w:val="auto"/>
        </w:rPr>
        <w:t>Description, Price, and Advance Payments</w:t>
      </w:r>
      <w:r>
        <w:rPr>
          <w:rFonts w:ascii="Arial" w:cs="Arial" w:eastAsia="Arial" w:hAnsi="Arial"/>
          <w:sz w:val="22"/>
          <w:szCs w:val="22"/>
          <w:color w:val="auto"/>
        </w:rPr>
        <w:t>” (attached hereto) referencing SA-19 in the footer (</w:t>
      </w:r>
      <w:r>
        <w:rPr>
          <w:rFonts w:ascii="Arial" w:cs="Arial" w:eastAsia="Arial" w:hAnsi="Arial"/>
          <w:sz w:val="22"/>
          <w:szCs w:val="22"/>
          <w:b w:val="1"/>
          <w:bCs w:val="1"/>
          <w:i w:val="1"/>
          <w:iCs w:val="1"/>
          <w:color w:val="auto"/>
        </w:rPr>
        <w:t>Table 1-3R6</w:t>
      </w:r>
      <w:r>
        <w:rPr>
          <w:rFonts w:ascii="Arial" w:cs="Arial" w:eastAsia="Arial" w:hAnsi="Arial"/>
          <w:sz w:val="22"/>
          <w:szCs w:val="22"/>
          <w:color w:val="auto"/>
        </w:rPr>
        <w:t>). Table 1-3R6 is hereby incorporated into the Purchase Agreement in replacement of Table 1-3R5. [****].</w:t>
      </w:r>
    </w:p>
    <w:p>
      <w:pPr>
        <w:spacing w:after="0" w:line="344" w:lineRule="exact"/>
        <w:rPr>
          <w:sz w:val="20"/>
          <w:szCs w:val="20"/>
          <w:color w:val="auto"/>
        </w:rPr>
      </w:pPr>
    </w:p>
    <w:p>
      <w:pPr>
        <w:ind w:left="713" w:hanging="713"/>
        <w:spacing w:after="0"/>
        <w:tabs>
          <w:tab w:leader="none" w:pos="713"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jc w:val="both"/>
        <w:ind w:left="73" w:firstLine="648"/>
        <w:spacing w:after="0" w:line="246" w:lineRule="auto"/>
        <w:rPr>
          <w:sz w:val="20"/>
          <w:szCs w:val="20"/>
          <w:color w:val="auto"/>
        </w:rPr>
      </w:pPr>
      <w:r>
        <w:rPr>
          <w:rFonts w:ascii="Arial" w:cs="Arial" w:eastAsia="Arial" w:hAnsi="Arial"/>
          <w:sz w:val="22"/>
          <w:szCs w:val="22"/>
          <w:color w:val="auto"/>
        </w:rPr>
        <w:t>4.1 The Purchase Agreement is amended as set forth above by the revised Table of Contents, Table 1R12, and Table 1-3R6. All other terms and conditions of the Purchase Agreement remain unchanged and are in full force and effect.</w:t>
      </w:r>
    </w:p>
    <w:p>
      <w:pPr>
        <w:spacing w:after="0" w:line="208" w:lineRule="exact"/>
        <w:rPr>
          <w:sz w:val="20"/>
          <w:szCs w:val="20"/>
          <w:color w:val="auto"/>
        </w:rPr>
      </w:pPr>
    </w:p>
    <w:p>
      <w:pPr>
        <w:jc w:val="both"/>
        <w:ind w:left="73" w:firstLine="648"/>
        <w:spacing w:after="0" w:line="259" w:lineRule="auto"/>
        <w:rPr>
          <w:sz w:val="20"/>
          <w:szCs w:val="20"/>
          <w:color w:val="auto"/>
        </w:rPr>
      </w:pPr>
      <w:r>
        <w:rPr>
          <w:rFonts w:ascii="Arial" w:cs="Arial" w:eastAsia="Arial" w:hAnsi="Arial"/>
          <w:sz w:val="21"/>
          <w:szCs w:val="21"/>
          <w:color w:val="auto"/>
        </w:rPr>
        <w:t>4.2 References in the Purchase Agreement and any supplemental agreements and associated letter agreements to “Table 1” or “Table 1R2” or “Table 1R3”, or “Table1R4 and Table 1-2” or “Table 1(R4) and Table 1-2”, “Table 1R5 and Table 1-2”, “Table 1R6, Table 1-2, and Table 1-3”, “Table 1R7, Table 1-2, and Table 1-3R1”,“Table 1R8, Table 1-2, and Table 1-3R2”, “Table 1R9, Table 1-2, and Table 1-3R3”, “Table 1R10, Table 1-2, and Table 1-3R4”, “Table 1R11, Table 1-2, and Table 1-3R5” are deemed to refer to “Table 1R12, Table 1-2, and Table 1-3R6”.</w:t>
      </w:r>
    </w:p>
    <w:p>
      <w:pPr>
        <w:spacing w:after="0" w:line="196" w:lineRule="exact"/>
        <w:rPr>
          <w:sz w:val="20"/>
          <w:szCs w:val="20"/>
          <w:color w:val="auto"/>
        </w:rPr>
      </w:pPr>
    </w:p>
    <w:p>
      <w:pPr>
        <w:jc w:val="both"/>
        <w:ind w:left="73" w:firstLine="648"/>
        <w:spacing w:after="0" w:line="244" w:lineRule="auto"/>
        <w:rPr>
          <w:sz w:val="20"/>
          <w:szCs w:val="20"/>
          <w:color w:val="auto"/>
        </w:rPr>
      </w:pPr>
      <w:r>
        <w:rPr>
          <w:rFonts w:ascii="Arial" w:cs="Arial" w:eastAsia="Arial" w:hAnsi="Arial"/>
          <w:sz w:val="22"/>
          <w:szCs w:val="22"/>
          <w:color w:val="auto"/>
        </w:rPr>
        <w:t>References in the Purchase Agreement and any supplemental agreements and associated letter agreements to “Table 1R4” or “Table 1R5” (where no corresponding reference to Table 1-2 is made) are deemed to refer to “Table 1R12 and Table 1-3R6”, (including without limitation, and for the avoidance of doubt, the references to Table 1R4 in Section 3 of Supplemental Agreement No. 9 dated April 6, 2018). However, references to Table 1R5 in Letter Agreement AAL-PA-LA-1106650R4 entitled “[****]” is deemed to only refer to Table 1R12 and the references to Table 1R5 in the Slide Letter Agreement remain references to Table 1R5.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3"/>
        <w:spacing w:after="0"/>
        <w:tabs>
          <w:tab w:leader="none" w:pos="123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SA-19, Page 3</w:t>
      </w:r>
    </w:p>
    <w:p>
      <w:pPr>
        <w:spacing w:after="0" w:line="4"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pacing w:after="0" w:line="244" w:lineRule="exact"/>
        <w:rPr>
          <w:sz w:val="20"/>
          <w:szCs w:val="20"/>
          <w:color w:val="auto"/>
        </w:rPr>
      </w:pPr>
    </w:p>
    <w:p>
      <w:pPr>
        <w:ind w:left="73"/>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313"/>
          </w:cols>
          <w:pgMar w:left="247" w:top="1440" w:right="339" w:bottom="1440" w:gutter="0" w:footer="0" w:header="0"/>
        </w:sectPr>
      </w:pPr>
    </w:p>
    <w:bookmarkStart w:id="226" w:name="page227"/>
    <w:bookmarkEnd w:id="226"/>
    <w:p>
      <w:pPr>
        <w:spacing w:after="0" w:line="13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2"/>
          <w:szCs w:val="22"/>
          <w:color w:val="auto"/>
        </w:rPr>
        <w:t>References in the Purchase Agreement and any supplemental agreements and associated letter agreements to “Table 1R6”, “Table 1R7”, “Table 1R8”, “Table 1R9”, “Table 1R10” or “Table 1R11” (where no corresponding reference to either Table 1-2 or Table 1-3 is made) are deemed to refer to only “Table 1R12”.</w:t>
      </w:r>
    </w:p>
    <w:p>
      <w:pPr>
        <w:spacing w:after="0" w:line="20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2"/>
          <w:szCs w:val="22"/>
          <w:color w:val="auto"/>
        </w:rPr>
        <w:t>Additionally, for the avoidance of doubt, references in the Purchase Agreement and any supplemental agreements and associated letter agreements to “Table 1-2” (where no corresponding reference to Table 1R4 or Table 1R5 is made) remain references to “Table 1-2”.</w:t>
      </w:r>
    </w:p>
    <w:p>
      <w:pPr>
        <w:spacing w:after="0" w:line="208"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21"/>
          <w:szCs w:val="21"/>
          <w:color w:val="auto"/>
        </w:rPr>
        <w:t>4.3 On or before [****], Boeing will, pursuant to Section 6.1 of the [****] Agreement (and by [****] concurrent with the execution of this SA-19), [****] to Customer the [****] in the [****] of [****] ([****]) as shown in the table below.</w:t>
      </w: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361"/>
        </w:trPr>
        <w:tc>
          <w:tcPr>
            <w:tcW w:w="1560" w:type="dxa"/>
            <w:vAlign w:val="bottom"/>
            <w:tcBorders>
              <w:top w:val="single" w:sz="8" w:color="auto"/>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top w:val="single" w:sz="8" w:color="auto"/>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top w:val="single" w:sz="8" w:color="auto"/>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top w:val="single" w:sz="8" w:color="auto"/>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3000" w:type="dxa"/>
            <w:vAlign w:val="bottom"/>
            <w:tcBorders>
              <w:right w:val="single" w:sz="8" w:color="auto"/>
            </w:tcBorders>
          </w:tcPr>
          <w:p>
            <w:pPr>
              <w:jc w:val="right"/>
              <w:ind w:right="1172"/>
              <w:spacing w:after="0"/>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341"/>
        </w:trPr>
        <w:tc>
          <w:tcPr>
            <w:tcW w:w="1560" w:type="dxa"/>
            <w:vAlign w:val="bottom"/>
            <w:tcBorders>
              <w:left w:val="single" w:sz="8" w:color="auto"/>
              <w:right w:val="single" w:sz="8" w:color="auto"/>
            </w:tcBorders>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c>
          <w:tcPr>
            <w:tcW w:w="3020" w:type="dxa"/>
            <w:vAlign w:val="bottom"/>
            <w:tcBorders>
              <w:right w:val="single" w:sz="8" w:color="auto"/>
            </w:tcBorders>
          </w:tcPr>
          <w:p>
            <w:pPr>
              <w:jc w:val="right"/>
              <w:ind w:right="119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right"/>
              <w:ind w:right="1512"/>
              <w:spacing w:after="0"/>
              <w:rPr>
                <w:sz w:val="20"/>
                <w:szCs w:val="20"/>
                <w:color w:val="auto"/>
              </w:rPr>
            </w:pPr>
            <w:r>
              <w:rPr>
                <w:rFonts w:ascii="Arial" w:cs="Arial" w:eastAsia="Arial" w:hAnsi="Arial"/>
                <w:sz w:val="22"/>
                <w:szCs w:val="22"/>
                <w:color w:val="auto"/>
              </w:rPr>
              <w:t>[****]</w:t>
            </w:r>
          </w:p>
        </w:tc>
      </w:tr>
      <w:tr>
        <w:trPr>
          <w:trHeight w:val="71"/>
        </w:trPr>
        <w:tc>
          <w:tcPr>
            <w:tcW w:w="1560" w:type="dxa"/>
            <w:vAlign w:val="bottom"/>
            <w:tcBorders>
              <w:left w:val="single" w:sz="8" w:color="auto"/>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SA-19, Page 4</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BOEING PROPRIETARY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60"/>
          </w:cols>
          <w:pgMar w:left="320" w:top="1440" w:right="319" w:bottom="1440" w:gutter="0" w:footer="0" w:header="0"/>
        </w:sectPr>
      </w:pPr>
    </w:p>
    <w:bookmarkStart w:id="227" w:name="page228"/>
    <w:bookmarkEnd w:id="227"/>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April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49530</wp:posOffset>
            </wp:positionV>
            <wp:extent cx="32575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36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49530</wp:posOffset>
            </wp:positionV>
            <wp:extent cx="32575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39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49530</wp:posOffset>
            </wp:positionV>
            <wp:extent cx="32575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39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49530</wp:posOffset>
            </wp:positionV>
            <wp:extent cx="32575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540"/>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49530</wp:posOffset>
            </wp:positionV>
            <wp:extent cx="3531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49530</wp:posOffset>
            </wp:positionV>
            <wp:extent cx="3531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49530</wp:posOffset>
            </wp:positionV>
            <wp:extent cx="3531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5320"/>
          </w:cols>
          <w:pgMar w:left="320"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SA-19, Page 5</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BOEING PROPRIETARY</w:t>
      </w:r>
    </w:p>
    <w:p>
      <w:pPr>
        <w:sectPr>
          <w:pgSz w:w="11900" w:h="16838" w:orient="portrait"/>
          <w:cols w:equalWidth="0" w:num="1">
            <w:col w:w="11060"/>
          </w:cols>
          <w:pgMar w:left="320" w:top="1440" w:right="51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40" w:right="519" w:bottom="1440" w:gutter="0" w:footer="0" w:header="0"/>
          <w:type w:val="continuous"/>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285"/>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60" w:type="dxa"/>
            <w:vAlign w:val="bottom"/>
          </w:tcPr>
          <w:p>
            <w:pPr>
              <w:ind w:left="2400"/>
              <w:spacing w:after="0"/>
              <w:rPr>
                <w:sz w:val="20"/>
                <w:szCs w:val="20"/>
                <w:color w:val="auto"/>
              </w:rPr>
            </w:pPr>
            <w:r>
              <w:rPr>
                <w:rFonts w:ascii="Arial" w:cs="Arial" w:eastAsia="Arial" w:hAnsi="Arial"/>
                <w:sz w:val="22"/>
                <w:szCs w:val="22"/>
                <w:b w:val="1"/>
                <w:bCs w:val="1"/>
                <w:color w:val="auto"/>
              </w:rPr>
              <w:t>TABLE OF CONTENTS</w:t>
            </w:r>
          </w:p>
        </w:tc>
        <w:tc>
          <w:tcPr>
            <w:tcW w:w="960" w:type="dxa"/>
            <w:vAlign w:val="bottom"/>
          </w:tcPr>
          <w:p>
            <w:pPr>
              <w:spacing w:after="0"/>
              <w:rPr>
                <w:sz w:val="24"/>
                <w:szCs w:val="24"/>
                <w:color w:val="auto"/>
              </w:rPr>
            </w:pPr>
          </w:p>
        </w:tc>
      </w:tr>
      <w:tr>
        <w:trPr>
          <w:trHeight w:val="444"/>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r>
      <w:tr>
        <w:trPr>
          <w:trHeight w:val="235"/>
        </w:trPr>
        <w:tc>
          <w:tcPr>
            <w:tcW w:w="1080" w:type="dxa"/>
            <w:vAlign w:val="bottom"/>
            <w:tcBorders>
              <w:bottom w:val="single" w:sz="8" w:color="auto"/>
            </w:tcBorders>
            <w:gridSpan w:val="3"/>
          </w:tcPr>
          <w:p>
            <w:pPr>
              <w:spacing w:after="0" w:line="234" w:lineRule="exact"/>
              <w:rPr>
                <w:sz w:val="20"/>
                <w:szCs w:val="20"/>
                <w:color w:val="auto"/>
              </w:rPr>
            </w:pPr>
            <w:r>
              <w:rPr>
                <w:rFonts w:ascii="Arial" w:cs="Arial" w:eastAsia="Arial" w:hAnsi="Arial"/>
                <w:sz w:val="22"/>
                <w:szCs w:val="22"/>
                <w:b w:val="1"/>
                <w:bCs w:val="1"/>
                <w:color w:val="auto"/>
                <w:w w:val="96"/>
              </w:rPr>
              <w:t>ARTICLES</w:t>
            </w:r>
          </w:p>
        </w:tc>
        <w:tc>
          <w:tcPr>
            <w:tcW w:w="9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9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22"/>
                <w:szCs w:val="22"/>
                <w:b w:val="1"/>
                <w:bCs w:val="1"/>
                <w:color w:val="auto"/>
                <w:w w:val="99"/>
              </w:rPr>
              <w:t>NUMBER</w:t>
            </w:r>
          </w:p>
        </w:tc>
      </w:tr>
      <w:tr>
        <w:trPr>
          <w:trHeight w:val="449"/>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1.</w:t>
            </w:r>
          </w:p>
        </w:tc>
        <w:tc>
          <w:tcPr>
            <w:tcW w:w="7960" w:type="dxa"/>
            <w:vAlign w:val="bottom"/>
          </w:tcPr>
          <w:p>
            <w:pPr>
              <w:ind w:left="420"/>
              <w:spacing w:after="0"/>
              <w:rPr>
                <w:sz w:val="20"/>
                <w:szCs w:val="20"/>
                <w:color w:val="auto"/>
              </w:rPr>
            </w:pPr>
            <w:r>
              <w:rPr>
                <w:rFonts w:ascii="Arial" w:cs="Arial" w:eastAsia="Arial" w:hAnsi="Arial"/>
                <w:sz w:val="22"/>
                <w:szCs w:val="22"/>
                <w:color w:val="auto"/>
              </w:rPr>
              <w:t>Quantity, Model and Description</w:t>
            </w:r>
          </w:p>
        </w:tc>
        <w:tc>
          <w:tcPr>
            <w:tcW w:w="960" w:type="dxa"/>
            <w:vAlign w:val="bottom"/>
          </w:tcPr>
          <w:p>
            <w:pPr>
              <w:spacing w:after="0"/>
              <w:rPr>
                <w:sz w:val="24"/>
                <w:szCs w:val="24"/>
                <w:color w:val="auto"/>
              </w:rPr>
            </w:pPr>
          </w:p>
        </w:tc>
      </w:tr>
      <w:tr>
        <w:trPr>
          <w:trHeight w:val="419"/>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2.</w:t>
            </w:r>
          </w:p>
        </w:tc>
        <w:tc>
          <w:tcPr>
            <w:tcW w:w="7960" w:type="dxa"/>
            <w:vAlign w:val="bottom"/>
          </w:tcPr>
          <w:p>
            <w:pPr>
              <w:ind w:left="420"/>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3.</w:t>
            </w:r>
          </w:p>
        </w:tc>
        <w:tc>
          <w:tcPr>
            <w:tcW w:w="7960" w:type="dxa"/>
            <w:vAlign w:val="bottom"/>
          </w:tcPr>
          <w:p>
            <w:pPr>
              <w:ind w:left="420"/>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4.</w:t>
            </w:r>
          </w:p>
        </w:tc>
        <w:tc>
          <w:tcPr>
            <w:tcW w:w="7960" w:type="dxa"/>
            <w:vAlign w:val="bottom"/>
          </w:tcPr>
          <w:p>
            <w:pPr>
              <w:ind w:left="420"/>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5.</w:t>
            </w:r>
          </w:p>
        </w:tc>
        <w:tc>
          <w:tcPr>
            <w:tcW w:w="7960" w:type="dxa"/>
            <w:vAlign w:val="bottom"/>
          </w:tcPr>
          <w:p>
            <w:pPr>
              <w:ind w:left="420"/>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22"/>
                <w:szCs w:val="22"/>
                <w:color w:val="auto"/>
              </w:rPr>
              <w:t>Article 6.</w:t>
            </w:r>
          </w:p>
        </w:tc>
        <w:tc>
          <w:tcPr>
            <w:tcW w:w="7960" w:type="dxa"/>
            <w:vAlign w:val="bottom"/>
          </w:tcPr>
          <w:p>
            <w:pPr>
              <w:ind w:left="42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r>
      <w:tr>
        <w:trPr>
          <w:trHeight w:val="368"/>
        </w:trPr>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TABLE</w:t>
            </w:r>
          </w:p>
        </w:tc>
        <w:tc>
          <w:tcPr>
            <w:tcW w:w="7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2"/>
        </w:trPr>
        <w:tc>
          <w:tcPr>
            <w:tcW w:w="700" w:type="dxa"/>
            <w:vAlign w:val="bottom"/>
            <w:tcBorders>
              <w:top w:val="single" w:sz="8" w:color="auto"/>
            </w:tcBorders>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22"/>
                <w:szCs w:val="22"/>
                <w:b w:val="1"/>
                <w:bCs w:val="1"/>
                <w:color w:val="auto"/>
                <w:w w:val="95"/>
              </w:rPr>
              <w:t>1R12</w:t>
            </w:r>
          </w:p>
        </w:tc>
        <w:tc>
          <w:tcPr>
            <w:tcW w:w="7960" w:type="dxa"/>
            <w:vAlign w:val="bottom"/>
          </w:tcPr>
          <w:p>
            <w:pPr>
              <w:ind w:left="420"/>
              <w:spacing w:after="0"/>
              <w:rPr>
                <w:sz w:val="20"/>
                <w:szCs w:val="20"/>
                <w:color w:val="auto"/>
              </w:rPr>
            </w:pPr>
            <w:r>
              <w:rPr>
                <w:rFonts w:ascii="Arial" w:cs="Arial" w:eastAsia="Arial" w:hAnsi="Arial"/>
                <w:sz w:val="22"/>
                <w:szCs w:val="22"/>
                <w:b w:val="1"/>
                <w:bCs w:val="1"/>
                <w:color w:val="auto"/>
              </w:rPr>
              <w:t>Aircraft Information Table</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19</w:t>
            </w:r>
          </w:p>
        </w:tc>
      </w:tr>
      <w:tr>
        <w:trPr>
          <w:trHeight w:val="230"/>
        </w:trPr>
        <w:tc>
          <w:tcPr>
            <w:tcW w:w="1980" w:type="dxa"/>
            <w:vAlign w:val="bottom"/>
            <w:gridSpan w:val="4"/>
          </w:tcPr>
          <w:p>
            <w:pPr>
              <w:jc w:val="center"/>
              <w:ind w:left="172"/>
              <w:spacing w:after="0" w:line="230" w:lineRule="exact"/>
              <w:rPr>
                <w:sz w:val="20"/>
                <w:szCs w:val="20"/>
                <w:color w:val="auto"/>
              </w:rPr>
            </w:pPr>
            <w:r>
              <w:rPr>
                <w:rFonts w:ascii="Arial" w:cs="Arial" w:eastAsia="Arial" w:hAnsi="Arial"/>
                <w:sz w:val="22"/>
                <w:szCs w:val="22"/>
                <w:color w:val="auto"/>
                <w:w w:val="94"/>
              </w:rPr>
              <w:t>1-2</w:t>
            </w:r>
          </w:p>
        </w:tc>
        <w:tc>
          <w:tcPr>
            <w:tcW w:w="7960" w:type="dxa"/>
            <w:vAlign w:val="bottom"/>
          </w:tcPr>
          <w:p>
            <w:pPr>
              <w:ind w:left="420"/>
              <w:spacing w:after="0" w:line="230" w:lineRule="exact"/>
              <w:rPr>
                <w:sz w:val="20"/>
                <w:szCs w:val="20"/>
                <w:color w:val="auto"/>
              </w:rPr>
            </w:pPr>
            <w:r>
              <w:rPr>
                <w:rFonts w:ascii="Arial" w:cs="Arial" w:eastAsia="Arial" w:hAnsi="Arial"/>
                <w:sz w:val="22"/>
                <w:szCs w:val="22"/>
                <w:color w:val="auto"/>
              </w:rPr>
              <w:t>Revised Delivery Aircraft Information Table</w:t>
            </w:r>
          </w:p>
        </w:tc>
        <w:tc>
          <w:tcPr>
            <w:tcW w:w="960" w:type="dxa"/>
            <w:vAlign w:val="bottom"/>
          </w:tcPr>
          <w:p>
            <w:pPr>
              <w:jc w:val="center"/>
              <w:spacing w:after="0" w:line="230" w:lineRule="exact"/>
              <w:rPr>
                <w:sz w:val="20"/>
                <w:szCs w:val="20"/>
                <w:color w:val="auto"/>
              </w:rPr>
            </w:pPr>
            <w:r>
              <w:rPr>
                <w:rFonts w:ascii="Arial" w:cs="Arial" w:eastAsia="Arial" w:hAnsi="Arial"/>
                <w:sz w:val="22"/>
                <w:szCs w:val="22"/>
                <w:color w:val="auto"/>
                <w:w w:val="97"/>
              </w:rPr>
              <w:t>9</w:t>
            </w:r>
          </w:p>
        </w:tc>
      </w:tr>
      <w:tr>
        <w:trPr>
          <w:trHeight w:val="285"/>
        </w:trPr>
        <w:tc>
          <w:tcPr>
            <w:tcW w:w="70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22"/>
                <w:szCs w:val="22"/>
                <w:b w:val="1"/>
                <w:bCs w:val="1"/>
                <w:color w:val="auto"/>
                <w:w w:val="96"/>
              </w:rPr>
              <w:t>1-3R6</w:t>
            </w:r>
          </w:p>
        </w:tc>
        <w:tc>
          <w:tcPr>
            <w:tcW w:w="7960" w:type="dxa"/>
            <w:vAlign w:val="bottom"/>
          </w:tcPr>
          <w:p>
            <w:pPr>
              <w:ind w:left="420"/>
              <w:spacing w:after="0"/>
              <w:rPr>
                <w:sz w:val="20"/>
                <w:szCs w:val="20"/>
                <w:color w:val="auto"/>
              </w:rPr>
            </w:pPr>
            <w:r>
              <w:rPr>
                <w:rFonts w:ascii="Arial" w:cs="Arial" w:eastAsia="Arial" w:hAnsi="Arial"/>
                <w:sz w:val="22"/>
                <w:szCs w:val="22"/>
                <w:b w:val="1"/>
                <w:bCs w:val="1"/>
                <w:color w:val="auto"/>
              </w:rPr>
              <w:t>[****] Aircraft Delivery, Description, Price, and Advance Payments</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19</w:t>
            </w:r>
          </w:p>
        </w:tc>
      </w:tr>
      <w:tr>
        <w:trPr>
          <w:trHeight w:val="314"/>
        </w:trPr>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EXHIBITS</w:t>
            </w:r>
          </w:p>
        </w:tc>
        <w:tc>
          <w:tcPr>
            <w:tcW w:w="7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92"/>
        </w:trPr>
        <w:tc>
          <w:tcPr>
            <w:tcW w:w="70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22"/>
                <w:szCs w:val="22"/>
                <w:color w:val="auto"/>
                <w:w w:val="98"/>
              </w:rPr>
              <w:t>AR1</w:t>
            </w:r>
          </w:p>
        </w:tc>
        <w:tc>
          <w:tcPr>
            <w:tcW w:w="7960" w:type="dxa"/>
            <w:vAlign w:val="bottom"/>
          </w:tcPr>
          <w:p>
            <w:pPr>
              <w:ind w:left="420"/>
              <w:spacing w:after="0"/>
              <w:rPr>
                <w:sz w:val="20"/>
                <w:szCs w:val="20"/>
                <w:color w:val="auto"/>
              </w:rPr>
            </w:pPr>
            <w:r>
              <w:rPr>
                <w:rFonts w:ascii="Arial" w:cs="Arial" w:eastAsia="Arial" w:hAnsi="Arial"/>
                <w:sz w:val="22"/>
                <w:szCs w:val="22"/>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59"/>
        </w:trPr>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center"/>
              <w:ind w:right="700"/>
              <w:spacing w:after="0"/>
              <w:rPr>
                <w:sz w:val="20"/>
                <w:szCs w:val="20"/>
                <w:color w:val="auto"/>
              </w:rPr>
            </w:pPr>
            <w:r>
              <w:rPr>
                <w:rFonts w:ascii="Arial" w:cs="Arial" w:eastAsia="Arial" w:hAnsi="Arial"/>
                <w:sz w:val="22"/>
                <w:szCs w:val="22"/>
                <w:color w:val="auto"/>
                <w:w w:val="96"/>
              </w:rPr>
              <w:t>A2</w:t>
            </w:r>
          </w:p>
        </w:tc>
        <w:tc>
          <w:tcPr>
            <w:tcW w:w="7960" w:type="dxa"/>
            <w:vAlign w:val="bottom"/>
          </w:tcPr>
          <w:p>
            <w:pPr>
              <w:ind w:left="420"/>
              <w:spacing w:after="0"/>
              <w:rPr>
                <w:sz w:val="20"/>
                <w:szCs w:val="20"/>
                <w:color w:val="auto"/>
              </w:rPr>
            </w:pPr>
            <w:r>
              <w:rPr>
                <w:rFonts w:ascii="Arial" w:cs="Arial" w:eastAsia="Arial" w:hAnsi="Arial"/>
                <w:sz w:val="22"/>
                <w:szCs w:val="22"/>
                <w:color w:val="auto"/>
              </w:rPr>
              <w:t>Revised Delivery 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r>
    </w:tbl>
    <w:p>
      <w:pPr>
        <w:ind w:left="2480" w:hanging="1373"/>
        <w:spacing w:after="0" w:line="181" w:lineRule="auto"/>
        <w:tabs>
          <w:tab w:leader="none" w:pos="2480" w:val="left"/>
        </w:tabs>
        <w:numPr>
          <w:ilvl w:val="0"/>
          <w:numId w:val="174"/>
        </w:numPr>
        <w:rPr>
          <w:rFonts w:ascii="Arial" w:cs="Arial" w:eastAsia="Arial" w:hAnsi="Arial"/>
          <w:sz w:val="42"/>
          <w:szCs w:val="42"/>
          <w:color w:val="auto"/>
          <w:vertAlign w:val="superscript"/>
        </w:rPr>
      </w:pPr>
      <w:r>
        <w:rPr>
          <w:rFonts w:ascii="Arial" w:cs="Arial" w:eastAsia="Arial" w:hAnsi="Arial"/>
          <w:sz w:val="21"/>
          <w:szCs w:val="21"/>
          <w:color w:val="auto"/>
        </w:rPr>
        <w:t>Aircraft Delivery Requirements and Responsibilities</w:t>
      </w:r>
    </w:p>
    <w:p>
      <w:pPr>
        <w:spacing w:after="0" w:line="159" w:lineRule="exact"/>
        <w:rPr>
          <w:rFonts w:ascii="Arial" w:cs="Arial" w:eastAsia="Arial" w:hAnsi="Arial"/>
          <w:sz w:val="42"/>
          <w:szCs w:val="42"/>
          <w:color w:val="auto"/>
          <w:vertAlign w:val="superscript"/>
        </w:rPr>
      </w:pPr>
    </w:p>
    <w:p>
      <w:pPr>
        <w:ind w:left="2480" w:hanging="1379"/>
        <w:spacing w:after="0" w:line="180" w:lineRule="auto"/>
        <w:tabs>
          <w:tab w:leader="none" w:pos="2480" w:val="left"/>
        </w:tabs>
        <w:numPr>
          <w:ilvl w:val="0"/>
          <w:numId w:val="174"/>
        </w:numPr>
        <w:rPr>
          <w:rFonts w:ascii="Arial" w:cs="Arial" w:eastAsia="Arial" w:hAnsi="Arial"/>
          <w:sz w:val="30"/>
          <w:szCs w:val="30"/>
          <w:color w:val="auto"/>
          <w:vertAlign w:val="superscript"/>
        </w:rPr>
      </w:pPr>
      <w:r>
        <w:rPr>
          <w:rFonts w:ascii="Arial" w:cs="Arial" w:eastAsia="Arial" w:hAnsi="Arial"/>
          <w:sz w:val="17"/>
          <w:szCs w:val="17"/>
          <w:color w:val="auto"/>
        </w:rPr>
        <w:t>Definitions</w:t>
      </w:r>
    </w:p>
    <w:p>
      <w:pPr>
        <w:spacing w:after="0" w:line="160" w:lineRule="exact"/>
        <w:rPr>
          <w:sz w:val="20"/>
          <w:szCs w:val="20"/>
          <w:color w:val="auto"/>
        </w:rPr>
      </w:pPr>
    </w:p>
    <w:p>
      <w:pPr>
        <w:ind w:left="80"/>
        <w:spacing w:after="0"/>
        <w:rPr>
          <w:sz w:val="20"/>
          <w:szCs w:val="20"/>
          <w:color w:val="auto"/>
        </w:rPr>
      </w:pPr>
      <w:r>
        <w:rPr>
          <w:rFonts w:ascii="Arial" w:cs="Arial" w:eastAsia="Arial" w:hAnsi="Arial"/>
          <w:sz w:val="22"/>
          <w:szCs w:val="22"/>
          <w:b w:val="1"/>
          <w:bCs w:val="1"/>
          <w:u w:val="single" w:color="auto"/>
          <w:color w:val="auto"/>
        </w:rPr>
        <w:t>SUPPLEMENTAL EXHIBITS</w:t>
      </w:r>
    </w:p>
    <w:p>
      <w:pPr>
        <w:ind w:left="980"/>
        <w:spacing w:after="0" w:line="180" w:lineRule="auto"/>
        <w:tabs>
          <w:tab w:leader="none" w:pos="2460" w:val="left"/>
        </w:tabs>
        <w:rPr>
          <w:sz w:val="20"/>
          <w:szCs w:val="20"/>
          <w:color w:val="auto"/>
        </w:rPr>
      </w:pPr>
      <w:r>
        <w:rPr>
          <w:rFonts w:ascii="Arial" w:cs="Arial" w:eastAsia="Arial" w:hAnsi="Arial"/>
          <w:sz w:val="43"/>
          <w:szCs w:val="43"/>
          <w:color w:val="auto"/>
          <w:vertAlign w:val="superscript"/>
        </w:rPr>
        <w:t>AE1.</w:t>
      </w:r>
      <w:r>
        <w:rPr>
          <w:sz w:val="20"/>
          <w:szCs w:val="20"/>
          <w:color w:val="auto"/>
        </w:rPr>
        <w:tab/>
      </w:r>
      <w:r>
        <w:rPr>
          <w:rFonts w:ascii="Arial" w:cs="Arial" w:eastAsia="Arial" w:hAnsi="Arial"/>
          <w:sz w:val="22"/>
          <w:szCs w:val="22"/>
          <w:color w:val="auto"/>
        </w:rPr>
        <w:t>[****]</w:t>
      </w:r>
    </w:p>
    <w:p>
      <w:pPr>
        <w:spacing w:after="0" w:line="159" w:lineRule="exact"/>
        <w:rPr>
          <w:sz w:val="20"/>
          <w:szCs w:val="20"/>
          <w:color w:val="auto"/>
        </w:rPr>
      </w:pPr>
    </w:p>
    <w:tbl>
      <w:tblPr>
        <w:tblLayout w:type="fixed"/>
        <w:tblInd w:w="840" w:type="dxa"/>
        <w:tblCellMar>
          <w:top w:w="0" w:type="dxa"/>
          <w:left w:w="0" w:type="dxa"/>
          <w:bottom w:w="0" w:type="dxa"/>
          <w:right w:w="0" w:type="dxa"/>
        </w:tblCellMar>
      </w:tblPr>
      <w:tr>
        <w:trPr>
          <w:trHeight w:val="313"/>
        </w:trPr>
        <w:tc>
          <w:tcPr>
            <w:tcW w:w="1200" w:type="dxa"/>
            <w:vAlign w:val="bottom"/>
          </w:tcPr>
          <w:p>
            <w:pPr>
              <w:jc w:val="center"/>
              <w:ind w:right="372"/>
              <w:spacing w:after="0"/>
              <w:rPr>
                <w:sz w:val="20"/>
                <w:szCs w:val="20"/>
                <w:color w:val="auto"/>
              </w:rPr>
            </w:pPr>
            <w:r>
              <w:rPr>
                <w:rFonts w:ascii="Arial" w:cs="Arial" w:eastAsia="Arial" w:hAnsi="Arial"/>
                <w:sz w:val="22"/>
                <w:szCs w:val="22"/>
                <w:color w:val="auto"/>
                <w:w w:val="98"/>
              </w:rPr>
              <w:t>BFE1.</w:t>
            </w:r>
          </w:p>
        </w:tc>
        <w:tc>
          <w:tcPr>
            <w:tcW w:w="5760" w:type="dxa"/>
            <w:vAlign w:val="bottom"/>
          </w:tcPr>
          <w:p>
            <w:pPr>
              <w:ind w:left="440"/>
              <w:spacing w:after="0"/>
              <w:rPr>
                <w:sz w:val="20"/>
                <w:szCs w:val="20"/>
                <w:color w:val="auto"/>
              </w:rPr>
            </w:pPr>
            <w:r>
              <w:rPr>
                <w:rFonts w:ascii="Arial" w:cs="Arial" w:eastAsia="Arial" w:hAnsi="Arial"/>
                <w:sz w:val="22"/>
                <w:szCs w:val="22"/>
                <w:color w:val="auto"/>
              </w:rPr>
              <w:t>BFE Variables</w:t>
            </w:r>
          </w:p>
        </w:tc>
        <w:tc>
          <w:tcPr>
            <w:tcW w:w="2760" w:type="dxa"/>
            <w:vAlign w:val="bottom"/>
          </w:tcPr>
          <w:p>
            <w:pPr>
              <w:spacing w:after="0"/>
              <w:rPr>
                <w:sz w:val="24"/>
                <w:szCs w:val="24"/>
                <w:color w:val="auto"/>
              </w:rPr>
            </w:pPr>
          </w:p>
        </w:tc>
      </w:tr>
      <w:tr>
        <w:trPr>
          <w:trHeight w:val="419"/>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CS1R1.</w:t>
            </w:r>
          </w:p>
        </w:tc>
        <w:tc>
          <w:tcPr>
            <w:tcW w:w="5760" w:type="dxa"/>
            <w:vAlign w:val="bottom"/>
          </w:tcPr>
          <w:p>
            <w:pPr>
              <w:ind w:left="440"/>
              <w:spacing w:after="0"/>
              <w:rPr>
                <w:sz w:val="20"/>
                <w:szCs w:val="20"/>
                <w:color w:val="auto"/>
              </w:rPr>
            </w:pPr>
            <w:r>
              <w:rPr>
                <w:rFonts w:ascii="Arial" w:cs="Arial" w:eastAsia="Arial" w:hAnsi="Arial"/>
                <w:sz w:val="22"/>
                <w:szCs w:val="22"/>
                <w:color w:val="auto"/>
              </w:rPr>
              <w:t>Customer Support Variables</w:t>
            </w:r>
          </w:p>
        </w:tc>
        <w:tc>
          <w:tcPr>
            <w:tcW w:w="2760" w:type="dxa"/>
            <w:vAlign w:val="bottom"/>
          </w:tcPr>
          <w:p>
            <w:pPr>
              <w:jc w:val="right"/>
              <w:spacing w:after="0"/>
              <w:rPr>
                <w:sz w:val="20"/>
                <w:szCs w:val="20"/>
                <w:color w:val="auto"/>
              </w:rPr>
            </w:pPr>
            <w:r>
              <w:rPr>
                <w:rFonts w:ascii="Arial" w:cs="Arial" w:eastAsia="Arial" w:hAnsi="Arial"/>
                <w:sz w:val="22"/>
                <w:szCs w:val="22"/>
                <w:color w:val="auto"/>
              </w:rPr>
              <w:t>4</w:t>
            </w:r>
          </w:p>
        </w:tc>
      </w:tr>
    </w:tbl>
    <w:p>
      <w:pPr>
        <w:ind w:left="980"/>
        <w:spacing w:after="0" w:line="181" w:lineRule="auto"/>
        <w:tabs>
          <w:tab w:leader="none" w:pos="2460" w:val="left"/>
        </w:tabs>
        <w:rPr>
          <w:sz w:val="20"/>
          <w:szCs w:val="20"/>
          <w:color w:val="auto"/>
        </w:rPr>
      </w:pPr>
      <w:r>
        <w:rPr>
          <w:rFonts w:ascii="Arial" w:cs="Arial" w:eastAsia="Arial" w:hAnsi="Arial"/>
          <w:sz w:val="42"/>
          <w:szCs w:val="42"/>
          <w:color w:val="auto"/>
          <w:vertAlign w:val="superscript"/>
        </w:rPr>
        <w:t>EE1.</w:t>
      </w:r>
      <w:r>
        <w:rPr>
          <w:sz w:val="20"/>
          <w:szCs w:val="20"/>
          <w:color w:val="auto"/>
        </w:rPr>
        <w:tab/>
      </w:r>
      <w:r>
        <w:rPr>
          <w:rFonts w:ascii="Arial" w:cs="Arial" w:eastAsia="Arial" w:hAnsi="Arial"/>
          <w:sz w:val="21"/>
          <w:szCs w:val="21"/>
          <w:color w:val="auto"/>
        </w:rPr>
        <w:t>[****]</w:t>
      </w:r>
    </w:p>
    <w:p>
      <w:pPr>
        <w:ind w:left="920"/>
        <w:spacing w:after="0" w:line="203" w:lineRule="auto"/>
        <w:tabs>
          <w:tab w:leader="none" w:pos="2460" w:val="left"/>
        </w:tabs>
        <w:rPr>
          <w:sz w:val="20"/>
          <w:szCs w:val="20"/>
          <w:color w:val="auto"/>
        </w:rPr>
      </w:pPr>
      <w:r>
        <w:rPr>
          <w:rFonts w:ascii="Arial" w:cs="Arial" w:eastAsia="Arial" w:hAnsi="Arial"/>
          <w:sz w:val="43"/>
          <w:szCs w:val="43"/>
          <w:color w:val="auto"/>
          <w:vertAlign w:val="superscript"/>
        </w:rPr>
        <w:t>SLP1.</w:t>
      </w:r>
      <w:r>
        <w:rPr>
          <w:sz w:val="20"/>
          <w:szCs w:val="20"/>
          <w:color w:val="auto"/>
        </w:rPr>
        <w:tab/>
      </w:r>
      <w:r>
        <w:rPr>
          <w:rFonts w:ascii="Arial" w:cs="Arial" w:eastAsia="Arial" w:hAnsi="Arial"/>
          <w:sz w:val="22"/>
          <w:szCs w:val="22"/>
          <w:color w:val="auto"/>
        </w:rPr>
        <w:t>[****]</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22"/>
          <w:szCs w:val="22"/>
          <w:b w:val="1"/>
          <w:bCs w:val="1"/>
          <w:u w:val="single" w:color="auto"/>
          <w:color w:val="auto"/>
        </w:rPr>
        <w:t>LETTER AGREEMENTS</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1920" w:type="dxa"/>
            <w:vAlign w:val="bottom"/>
          </w:tcPr>
          <w:p>
            <w:pPr>
              <w:spacing w:after="0"/>
              <w:rPr>
                <w:sz w:val="20"/>
                <w:szCs w:val="20"/>
                <w:color w:val="auto"/>
              </w:rPr>
            </w:pPr>
            <w:r>
              <w:rPr>
                <w:rFonts w:ascii="Arial" w:cs="Arial" w:eastAsia="Arial" w:hAnsi="Arial"/>
                <w:sz w:val="22"/>
                <w:szCs w:val="22"/>
                <w:color w:val="auto"/>
              </w:rPr>
              <w:t>LA-1106648R1</w:t>
            </w:r>
          </w:p>
        </w:tc>
        <w:tc>
          <w:tcPr>
            <w:tcW w:w="5160" w:type="dxa"/>
            <w:vAlign w:val="bottom"/>
          </w:tcPr>
          <w:p>
            <w:pPr>
              <w:ind w:left="480"/>
              <w:spacing w:after="0"/>
              <w:rPr>
                <w:sz w:val="20"/>
                <w:szCs w:val="20"/>
                <w:color w:val="auto"/>
              </w:rPr>
            </w:pPr>
            <w:r>
              <w:rPr>
                <w:rFonts w:ascii="Arial" w:cs="Arial" w:eastAsia="Arial" w:hAnsi="Arial"/>
                <w:sz w:val="22"/>
                <w:szCs w:val="22"/>
                <w:color w:val="auto"/>
              </w:rPr>
              <w:t>Special Matters</w:t>
            </w:r>
          </w:p>
        </w:tc>
        <w:tc>
          <w:tcPr>
            <w:tcW w:w="3460" w:type="dxa"/>
            <w:vAlign w:val="bottom"/>
          </w:tcPr>
          <w:p>
            <w:pPr>
              <w:jc w:val="center"/>
              <w:ind w:left="3112"/>
              <w:spacing w:after="0"/>
              <w:rPr>
                <w:sz w:val="20"/>
                <w:szCs w:val="20"/>
                <w:color w:val="auto"/>
              </w:rPr>
            </w:pPr>
            <w:r>
              <w:rPr>
                <w:rFonts w:ascii="Arial" w:cs="Arial" w:eastAsia="Arial" w:hAnsi="Arial"/>
                <w:sz w:val="22"/>
                <w:szCs w:val="22"/>
                <w:color w:val="auto"/>
                <w:w w:val="97"/>
              </w:rPr>
              <w:t>6</w:t>
            </w:r>
          </w:p>
        </w:tc>
      </w:tr>
      <w:tr>
        <w:trPr>
          <w:trHeight w:val="419"/>
        </w:trPr>
        <w:tc>
          <w:tcPr>
            <w:tcW w:w="1920" w:type="dxa"/>
            <w:vAlign w:val="bottom"/>
          </w:tcPr>
          <w:p>
            <w:pPr>
              <w:spacing w:after="0"/>
              <w:rPr>
                <w:sz w:val="20"/>
                <w:szCs w:val="20"/>
                <w:color w:val="auto"/>
              </w:rPr>
            </w:pPr>
            <w:r>
              <w:rPr>
                <w:rFonts w:ascii="Arial" w:cs="Arial" w:eastAsia="Arial" w:hAnsi="Arial"/>
                <w:sz w:val="22"/>
                <w:szCs w:val="22"/>
                <w:color w:val="auto"/>
              </w:rPr>
              <w:t>LA-1106649</w:t>
            </w:r>
          </w:p>
        </w:tc>
        <w:tc>
          <w:tcPr>
            <w:tcW w:w="5160" w:type="dxa"/>
            <w:vAlign w:val="bottom"/>
          </w:tcPr>
          <w:p>
            <w:pPr>
              <w:ind w:left="480"/>
              <w:spacing w:after="0"/>
              <w:rPr>
                <w:sz w:val="20"/>
                <w:szCs w:val="20"/>
                <w:color w:val="auto"/>
              </w:rPr>
            </w:pPr>
            <w:r>
              <w:rPr>
                <w:rFonts w:ascii="Arial" w:cs="Arial" w:eastAsia="Arial" w:hAnsi="Arial"/>
                <w:sz w:val="22"/>
                <w:szCs w:val="22"/>
                <w:color w:val="auto"/>
              </w:rPr>
              <w:t>[****]</w:t>
            </w:r>
          </w:p>
        </w:tc>
        <w:tc>
          <w:tcPr>
            <w:tcW w:w="3460" w:type="dxa"/>
            <w:vAlign w:val="bottom"/>
          </w:tcPr>
          <w:p>
            <w:pPr>
              <w:spacing w:after="0"/>
              <w:rPr>
                <w:sz w:val="24"/>
                <w:szCs w:val="24"/>
                <w:color w:val="auto"/>
              </w:rPr>
            </w:pPr>
          </w:p>
        </w:tc>
      </w:tr>
      <w:tr>
        <w:trPr>
          <w:trHeight w:val="419"/>
        </w:trPr>
        <w:tc>
          <w:tcPr>
            <w:tcW w:w="1920" w:type="dxa"/>
            <w:vAlign w:val="bottom"/>
          </w:tcPr>
          <w:p>
            <w:pPr>
              <w:spacing w:after="0"/>
              <w:rPr>
                <w:sz w:val="20"/>
                <w:szCs w:val="20"/>
                <w:color w:val="auto"/>
              </w:rPr>
            </w:pPr>
            <w:r>
              <w:rPr>
                <w:rFonts w:ascii="Arial" w:cs="Arial" w:eastAsia="Arial" w:hAnsi="Arial"/>
                <w:sz w:val="22"/>
                <w:szCs w:val="22"/>
                <w:color w:val="auto"/>
              </w:rPr>
              <w:t>LA-1106650R4</w:t>
            </w:r>
          </w:p>
        </w:tc>
        <w:tc>
          <w:tcPr>
            <w:tcW w:w="5160" w:type="dxa"/>
            <w:vAlign w:val="bottom"/>
          </w:tcPr>
          <w:p>
            <w:pPr>
              <w:ind w:left="480"/>
              <w:spacing w:after="0"/>
              <w:rPr>
                <w:sz w:val="20"/>
                <w:szCs w:val="20"/>
                <w:color w:val="auto"/>
              </w:rPr>
            </w:pPr>
            <w:r>
              <w:rPr>
                <w:rFonts w:ascii="Arial" w:cs="Arial" w:eastAsia="Arial" w:hAnsi="Arial"/>
                <w:sz w:val="22"/>
                <w:szCs w:val="22"/>
                <w:color w:val="auto"/>
              </w:rPr>
              <w:t>[****]</w:t>
            </w:r>
          </w:p>
        </w:tc>
        <w:tc>
          <w:tcPr>
            <w:tcW w:w="3460" w:type="dxa"/>
            <w:vAlign w:val="bottom"/>
          </w:tcPr>
          <w:p>
            <w:pPr>
              <w:jc w:val="center"/>
              <w:ind w:left="3112"/>
              <w:spacing w:after="0"/>
              <w:rPr>
                <w:sz w:val="20"/>
                <w:szCs w:val="20"/>
                <w:color w:val="auto"/>
              </w:rPr>
            </w:pPr>
            <w:r>
              <w:rPr>
                <w:rFonts w:ascii="Arial" w:cs="Arial" w:eastAsia="Arial" w:hAnsi="Arial"/>
                <w:sz w:val="22"/>
                <w:szCs w:val="22"/>
                <w:color w:val="auto"/>
                <w:w w:val="97"/>
              </w:rPr>
              <w:t>11</w:t>
            </w:r>
          </w:p>
        </w:tc>
      </w:tr>
      <w:tr>
        <w:trPr>
          <w:trHeight w:val="418"/>
        </w:trPr>
        <w:tc>
          <w:tcPr>
            <w:tcW w:w="1920" w:type="dxa"/>
            <w:vAlign w:val="bottom"/>
          </w:tcPr>
          <w:p>
            <w:pPr>
              <w:spacing w:after="0"/>
              <w:rPr>
                <w:sz w:val="20"/>
                <w:szCs w:val="20"/>
                <w:color w:val="auto"/>
              </w:rPr>
            </w:pPr>
            <w:r>
              <w:rPr>
                <w:rFonts w:ascii="Arial" w:cs="Arial" w:eastAsia="Arial" w:hAnsi="Arial"/>
                <w:sz w:val="22"/>
                <w:szCs w:val="22"/>
                <w:color w:val="auto"/>
              </w:rPr>
              <w:t>LA-1106651R2</w:t>
            </w:r>
          </w:p>
        </w:tc>
        <w:tc>
          <w:tcPr>
            <w:tcW w:w="5160" w:type="dxa"/>
            <w:vAlign w:val="bottom"/>
          </w:tcPr>
          <w:p>
            <w:pPr>
              <w:ind w:left="480"/>
              <w:spacing w:after="0"/>
              <w:rPr>
                <w:sz w:val="20"/>
                <w:szCs w:val="20"/>
                <w:color w:val="auto"/>
              </w:rPr>
            </w:pPr>
            <w:r>
              <w:rPr>
                <w:rFonts w:ascii="Arial" w:cs="Arial" w:eastAsia="Arial" w:hAnsi="Arial"/>
                <w:sz w:val="22"/>
                <w:szCs w:val="22"/>
                <w:color w:val="auto"/>
              </w:rPr>
              <w:t>[****]</w:t>
            </w:r>
          </w:p>
        </w:tc>
        <w:tc>
          <w:tcPr>
            <w:tcW w:w="3460" w:type="dxa"/>
            <w:vAlign w:val="bottom"/>
          </w:tcPr>
          <w:p>
            <w:pPr>
              <w:jc w:val="center"/>
              <w:ind w:left="3112"/>
              <w:spacing w:after="0"/>
              <w:rPr>
                <w:sz w:val="20"/>
                <w:szCs w:val="20"/>
                <w:color w:val="auto"/>
              </w:rPr>
            </w:pPr>
            <w:r>
              <w:rPr>
                <w:rFonts w:ascii="Arial" w:cs="Arial" w:eastAsia="Arial" w:hAnsi="Arial"/>
                <w:sz w:val="22"/>
                <w:szCs w:val="22"/>
                <w:color w:val="auto"/>
                <w:w w:val="97"/>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PA-03735 TABLE OF CONTENTS, Page 1 of 3 SA-19</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922" w:orient="portrait"/>
          <w:cols w:equalWidth="0" w:num="1">
            <w:col w:w="11060"/>
          </w:cols>
          <w:pgMar w:left="320" w:top="1440" w:right="519" w:bottom="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922" w:orient="portrait"/>
          <w:cols w:equalWidth="0" w:num="1">
            <w:col w:w="11060"/>
          </w:cols>
          <w:pgMar w:left="320" w:top="1440" w:right="519" w:bottom="0" w:gutter="0" w:footer="0" w:header="0"/>
          <w:type w:val="continuous"/>
        </w:sectPr>
      </w:pPr>
    </w:p>
    <w:bookmarkStart w:id="229" w:name="page230"/>
    <w:bookmarkEnd w:id="2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0" w:type="dxa"/>
            <w:vAlign w:val="bottom"/>
          </w:tcPr>
          <w:p>
            <w:pPr>
              <w:spacing w:after="0"/>
              <w:rPr>
                <w:sz w:val="22"/>
                <w:szCs w:val="22"/>
                <w:color w:val="auto"/>
              </w:rPr>
            </w:pPr>
          </w:p>
        </w:tc>
        <w:tc>
          <w:tcPr>
            <w:tcW w:w="1160" w:type="dxa"/>
            <w:vAlign w:val="bottom"/>
          </w:tcPr>
          <w:p>
            <w:pPr>
              <w:spacing w:after="0"/>
              <w:rPr>
                <w:sz w:val="20"/>
                <w:szCs w:val="20"/>
                <w:color w:val="auto"/>
              </w:rPr>
            </w:pPr>
            <w:r>
              <w:rPr>
                <w:rFonts w:ascii="Arial" w:cs="Arial" w:eastAsia="Arial" w:hAnsi="Arial"/>
                <w:sz w:val="22"/>
                <w:szCs w:val="22"/>
                <w:color w:val="auto"/>
                <w:w w:val="95"/>
              </w:rPr>
              <w:t>LA-1106652</w:t>
            </w:r>
          </w:p>
        </w:tc>
        <w:tc>
          <w:tcPr>
            <w:tcW w:w="960" w:type="dxa"/>
            <w:vAlign w:val="bottom"/>
          </w:tcPr>
          <w:p>
            <w:pPr>
              <w:spacing w:after="0"/>
              <w:rPr>
                <w:sz w:val="22"/>
                <w:szCs w:val="22"/>
                <w:color w:val="auto"/>
              </w:rPr>
            </w:pP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Aircraft Model Substitution</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22"/>
                <w:szCs w:val="22"/>
                <w:color w:val="auto"/>
                <w:w w:val="95"/>
              </w:rPr>
              <w:t>LA-1106654</w:t>
            </w:r>
          </w:p>
        </w:tc>
        <w:tc>
          <w:tcPr>
            <w:tcW w:w="960" w:type="dxa"/>
            <w:vAlign w:val="bottom"/>
          </w:tcPr>
          <w:p>
            <w:pPr>
              <w:spacing w:after="0"/>
              <w:rPr>
                <w:sz w:val="24"/>
                <w:szCs w:val="24"/>
                <w:color w:val="auto"/>
              </w:rPr>
            </w:pP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AGTA Terms Revisions for MAX</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0" w:type="dxa"/>
            <w:vAlign w:val="bottom"/>
          </w:tcPr>
          <w:p>
            <w:pPr>
              <w:spacing w:after="0"/>
              <w:rPr>
                <w:sz w:val="24"/>
                <w:szCs w:val="2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strike w:val="1"/>
                <w:w w:val="95"/>
              </w:rPr>
              <w:t>LA-1106655</w:t>
            </w:r>
          </w:p>
        </w:tc>
        <w:tc>
          <w:tcPr>
            <w:tcW w:w="960" w:type="dxa"/>
            <w:vAlign w:val="bottom"/>
          </w:tcPr>
          <w:p>
            <w:pPr>
              <w:spacing w:after="0"/>
              <w:rPr>
                <w:sz w:val="24"/>
                <w:szCs w:val="24"/>
                <w:color w:val="auto"/>
              </w:rPr>
            </w:pP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strike w:val="1"/>
                <w:w w:val="98"/>
              </w:rPr>
              <w:t>Open Matters – 737 MAX</w:t>
            </w:r>
          </w:p>
        </w:tc>
        <w:tc>
          <w:tcPr>
            <w:tcW w:w="5520" w:type="dxa"/>
            <w:vAlign w:val="bottom"/>
          </w:tcPr>
          <w:p>
            <w:pPr>
              <w:ind w:left="60"/>
              <w:spacing w:after="0"/>
              <w:rPr>
                <w:sz w:val="20"/>
                <w:szCs w:val="20"/>
                <w:color w:val="auto"/>
              </w:rPr>
            </w:pPr>
            <w:r>
              <w:rPr>
                <w:rFonts w:ascii="Arial" w:cs="Arial" w:eastAsia="Arial" w:hAnsi="Arial"/>
                <w:sz w:val="18"/>
                <w:szCs w:val="18"/>
                <w:color w:val="auto"/>
              </w:rPr>
              <w:t>Withdrawn</w:t>
            </w:r>
          </w:p>
        </w:tc>
        <w:tc>
          <w:tcPr>
            <w:tcW w:w="960" w:type="dxa"/>
            <w:vAlign w:val="bottom"/>
            <w:vMerge w:val="restart"/>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9"/>
        </w:trPr>
        <w:tc>
          <w:tcPr>
            <w:tcW w:w="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22"/>
                <w:szCs w:val="22"/>
                <w:color w:val="auto"/>
              </w:rPr>
              <w:t>LA-1106656R1</w:t>
            </w: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22"/>
                <w:szCs w:val="22"/>
                <w:color w:val="auto"/>
              </w:rPr>
              <w:t>LA-1106657R1</w:t>
            </w: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22"/>
                <w:szCs w:val="22"/>
                <w:color w:val="auto"/>
              </w:rPr>
              <w:t>LA-1106663 R1</w:t>
            </w: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22"/>
                <w:szCs w:val="22"/>
                <w:color w:val="auto"/>
              </w:rPr>
              <w:t>LA-1106664 R1</w:t>
            </w: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22"/>
                <w:szCs w:val="22"/>
                <w:color w:val="auto"/>
                <w:w w:val="95"/>
              </w:rPr>
              <w:t>LA-1106658</w:t>
            </w:r>
          </w:p>
        </w:tc>
        <w:tc>
          <w:tcPr>
            <w:tcW w:w="96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22"/>
                <w:szCs w:val="22"/>
                <w:color w:val="auto"/>
              </w:rPr>
              <w:t>LA-1106659R2</w:t>
            </w: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10</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22"/>
                <w:szCs w:val="22"/>
                <w:color w:val="auto"/>
                <w:w w:val="95"/>
              </w:rPr>
              <w:t>LA-1106660</w:t>
            </w:r>
          </w:p>
        </w:tc>
        <w:tc>
          <w:tcPr>
            <w:tcW w:w="960" w:type="dxa"/>
            <w:vAlign w:val="bottom"/>
          </w:tcPr>
          <w:p>
            <w:pPr>
              <w:spacing w:after="0"/>
              <w:rPr>
                <w:sz w:val="24"/>
                <w:szCs w:val="24"/>
                <w:color w:val="auto"/>
              </w:rPr>
            </w:pP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Spare Parts Initial Provisioning</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80" w:type="dxa"/>
            <w:vAlign w:val="bottom"/>
          </w:tcPr>
          <w:p>
            <w:pPr>
              <w:spacing w:after="0"/>
              <w:rPr>
                <w:sz w:val="24"/>
                <w:szCs w:val="24"/>
                <w:color w:val="auto"/>
              </w:rPr>
            </w:pPr>
          </w:p>
        </w:tc>
        <w:tc>
          <w:tcPr>
            <w:tcW w:w="3560" w:type="dxa"/>
            <w:vAlign w:val="bottom"/>
            <w:gridSpan w:val="3"/>
            <w:vMerge w:val="restart"/>
          </w:tcPr>
          <w:p>
            <w:pPr>
              <w:spacing w:after="0"/>
              <w:rPr>
                <w:sz w:val="20"/>
                <w:szCs w:val="20"/>
                <w:color w:val="auto"/>
              </w:rPr>
            </w:pPr>
            <w:r>
              <w:rPr>
                <w:rFonts w:ascii="Arial" w:cs="Arial" w:eastAsia="Arial" w:hAnsi="Arial"/>
                <w:sz w:val="22"/>
                <w:szCs w:val="22"/>
                <w:b w:val="1"/>
                <w:bCs w:val="1"/>
                <w:color w:val="auto"/>
                <w:w w:val="97"/>
              </w:rPr>
              <w:t>LETTER AGREEMENTS, continued</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5"/>
                <w:szCs w:val="15"/>
                <w:color w:val="auto"/>
              </w:rPr>
            </w:pPr>
          </w:p>
        </w:tc>
        <w:tc>
          <w:tcPr>
            <w:tcW w:w="3560" w:type="dxa"/>
            <w:vAlign w:val="bottom"/>
            <w:tcBorders>
              <w:bottom w:val="single" w:sz="8" w:color="auto"/>
            </w:tcBorders>
            <w:gridSpan w:val="3"/>
            <w:vMerge w:val="continue"/>
          </w:tcPr>
          <w:p>
            <w:pPr>
              <w:spacing w:after="0"/>
              <w:rPr>
                <w:sz w:val="15"/>
                <w:szCs w:val="15"/>
                <w:color w:val="auto"/>
              </w:rPr>
            </w:pPr>
          </w:p>
        </w:tc>
        <w:tc>
          <w:tcPr>
            <w:tcW w:w="6380" w:type="dxa"/>
            <w:vAlign w:val="bottom"/>
            <w:gridSpan w:val="2"/>
            <w:vMerge w:val="restart"/>
          </w:tcPr>
          <w:p>
            <w:pPr>
              <w:spacing w:after="0"/>
              <w:rPr>
                <w:sz w:val="15"/>
                <w:szCs w:val="15"/>
                <w:color w:val="auto"/>
              </w:rPr>
            </w:pPr>
          </w:p>
        </w:tc>
        <w:tc>
          <w:tcPr>
            <w:tcW w:w="960" w:type="dxa"/>
            <w:vAlign w:val="bottom"/>
            <w:vMerge w:val="restart"/>
          </w:tcPr>
          <w:p>
            <w:pPr>
              <w:jc w:val="center"/>
              <w:spacing w:after="0" w:line="234"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2"/>
                <w:szCs w:val="2"/>
                <w:color w:val="auto"/>
              </w:rPr>
            </w:pPr>
          </w:p>
        </w:tc>
        <w:tc>
          <w:tcPr>
            <w:tcW w:w="3560" w:type="dxa"/>
            <w:vAlign w:val="bottom"/>
            <w:gridSpan w:val="3"/>
          </w:tcPr>
          <w:p>
            <w:pPr>
              <w:spacing w:after="0"/>
              <w:rPr>
                <w:sz w:val="2"/>
                <w:szCs w:val="2"/>
                <w:color w:val="auto"/>
              </w:rPr>
            </w:pPr>
          </w:p>
        </w:tc>
        <w:tc>
          <w:tcPr>
            <w:tcW w:w="6380" w:type="dxa"/>
            <w:vAlign w:val="bottom"/>
            <w:gridSpan w:val="2"/>
            <w:vMerge w:val="continue"/>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5"/>
        </w:trPr>
        <w:tc>
          <w:tcPr>
            <w:tcW w:w="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22"/>
                <w:szCs w:val="22"/>
                <w:color w:val="auto"/>
              </w:rPr>
              <w:t>LA-1106661R2</w:t>
            </w: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22"/>
                <w:szCs w:val="22"/>
                <w:color w:val="auto"/>
                <w:w w:val="95"/>
              </w:rPr>
              <w:t>LA-1106667</w:t>
            </w:r>
          </w:p>
        </w:tc>
        <w:tc>
          <w:tcPr>
            <w:tcW w:w="96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22"/>
                <w:szCs w:val="22"/>
                <w:color w:val="auto"/>
              </w:rPr>
              <w:t>LA-1106668R1</w:t>
            </w: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419"/>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22"/>
                <w:szCs w:val="22"/>
                <w:color w:val="auto"/>
                <w:w w:val="95"/>
              </w:rPr>
              <w:t>LA-1106669</w:t>
            </w:r>
          </w:p>
        </w:tc>
        <w:tc>
          <w:tcPr>
            <w:tcW w:w="96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22"/>
                <w:szCs w:val="22"/>
                <w:color w:val="auto"/>
                <w:w w:val="95"/>
              </w:rPr>
              <w:t>LA-1106670</w:t>
            </w:r>
          </w:p>
        </w:tc>
        <w:tc>
          <w:tcPr>
            <w:tcW w:w="960" w:type="dxa"/>
            <w:vAlign w:val="bottom"/>
          </w:tcPr>
          <w:p>
            <w:pPr>
              <w:spacing w:after="0"/>
              <w:rPr>
                <w:sz w:val="24"/>
                <w:szCs w:val="24"/>
                <w:color w:val="auto"/>
              </w:rPr>
            </w:pP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22"/>
                <w:szCs w:val="22"/>
                <w:color w:val="auto"/>
              </w:rPr>
              <w:t>LA-1106671R1</w:t>
            </w: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Miscellaneous Commitments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419"/>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22"/>
                <w:szCs w:val="22"/>
                <w:color w:val="auto"/>
                <w:w w:val="95"/>
              </w:rPr>
              <w:t>LA-1106672</w:t>
            </w:r>
          </w:p>
        </w:tc>
        <w:tc>
          <w:tcPr>
            <w:tcW w:w="960" w:type="dxa"/>
            <w:vAlign w:val="bottom"/>
          </w:tcPr>
          <w:p>
            <w:pPr>
              <w:spacing w:after="0"/>
              <w:rPr>
                <w:sz w:val="24"/>
                <w:szCs w:val="24"/>
                <w:color w:val="auto"/>
              </w:rPr>
            </w:pP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Extended Warranty Option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22"/>
                <w:szCs w:val="22"/>
                <w:color w:val="auto"/>
              </w:rPr>
              <w:t>LA-1106673R1*</w:t>
            </w: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22"/>
                <w:szCs w:val="22"/>
                <w:color w:val="auto"/>
                <w:w w:val="95"/>
              </w:rPr>
              <w:t>LA-1106677</w:t>
            </w:r>
          </w:p>
        </w:tc>
        <w:tc>
          <w:tcPr>
            <w:tcW w:w="960" w:type="dxa"/>
            <w:vAlign w:val="bottom"/>
          </w:tcPr>
          <w:p>
            <w:pPr>
              <w:spacing w:after="0"/>
              <w:rPr>
                <w:sz w:val="24"/>
                <w:szCs w:val="24"/>
                <w:color w:val="auto"/>
              </w:rPr>
            </w:pPr>
          </w:p>
        </w:tc>
        <w:tc>
          <w:tcPr>
            <w:tcW w:w="7820" w:type="dxa"/>
            <w:vAlign w:val="bottom"/>
            <w:gridSpan w:val="3"/>
          </w:tcPr>
          <w:p>
            <w:pPr>
              <w:ind w:left="280"/>
              <w:spacing w:after="0"/>
              <w:rPr>
                <w:sz w:val="20"/>
                <w:szCs w:val="20"/>
                <w:color w:val="auto"/>
              </w:rPr>
            </w:pPr>
            <w:r>
              <w:rPr>
                <w:rFonts w:ascii="Arial" w:cs="Arial" w:eastAsia="Arial" w:hAnsi="Arial"/>
                <w:sz w:val="22"/>
                <w:szCs w:val="22"/>
                <w:color w:val="auto"/>
              </w:rPr>
              <w:t>Optional Features Comfort Letter</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22"/>
                <w:szCs w:val="22"/>
                <w:color w:val="auto"/>
                <w:w w:val="95"/>
              </w:rPr>
              <w:t>LA-1600073</w:t>
            </w:r>
          </w:p>
        </w:tc>
        <w:tc>
          <w:tcPr>
            <w:tcW w:w="96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537"/>
        </w:trPr>
        <w:tc>
          <w:tcPr>
            <w:tcW w:w="1240" w:type="dxa"/>
            <w:vAlign w:val="bottom"/>
            <w:gridSpan w:val="2"/>
          </w:tcPr>
          <w:p>
            <w:pPr>
              <w:spacing w:after="0"/>
              <w:rPr>
                <w:sz w:val="20"/>
                <w:szCs w:val="20"/>
                <w:color w:val="auto"/>
              </w:rPr>
            </w:pPr>
            <w:r>
              <w:rPr>
                <w:rFonts w:ascii="Arial" w:cs="Arial" w:eastAsia="Arial" w:hAnsi="Arial"/>
                <w:sz w:val="22"/>
                <w:szCs w:val="22"/>
                <w:color w:val="auto"/>
              </w:rPr>
              <w:t>LA-1600852</w:t>
            </w:r>
          </w:p>
        </w:tc>
        <w:tc>
          <w:tcPr>
            <w:tcW w:w="96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2300" w:type="dxa"/>
            <w:vAlign w:val="bottom"/>
            <w:gridSpan w:val="2"/>
          </w:tcPr>
          <w:p>
            <w:pPr>
              <w:ind w:left="1720"/>
              <w:spacing w:after="0"/>
              <w:rPr>
                <w:sz w:val="20"/>
                <w:szCs w:val="20"/>
                <w:color w:val="auto"/>
              </w:rPr>
            </w:pPr>
            <w:r>
              <w:rPr>
                <w:rFonts w:ascii="Arial" w:cs="Arial" w:eastAsia="Arial" w:hAnsi="Arial"/>
                <w:sz w:val="22"/>
                <w:szCs w:val="22"/>
                <w:color w:val="auto"/>
              </w:rPr>
              <w:t>5</w:t>
            </w:r>
          </w:p>
        </w:tc>
        <w:tc>
          <w:tcPr>
            <w:tcW w:w="5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00" w:type="dxa"/>
            <w:vAlign w:val="bottom"/>
            <w:gridSpan w:val="3"/>
          </w:tcPr>
          <w:p>
            <w:pPr>
              <w:spacing w:after="0"/>
              <w:rPr>
                <w:sz w:val="20"/>
                <w:szCs w:val="20"/>
                <w:color w:val="auto"/>
              </w:rPr>
            </w:pPr>
            <w:r>
              <w:rPr>
                <w:rFonts w:ascii="Arial" w:cs="Arial" w:eastAsia="Arial" w:hAnsi="Arial"/>
                <w:sz w:val="22"/>
                <w:szCs w:val="22"/>
                <w:color w:val="auto"/>
              </w:rPr>
              <w:t>LA-1603773 [****]</w:t>
            </w:r>
          </w:p>
        </w:tc>
        <w:tc>
          <w:tcPr>
            <w:tcW w:w="1440" w:type="dxa"/>
            <w:vAlign w:val="bottom"/>
          </w:tcPr>
          <w:p>
            <w:pPr>
              <w:ind w:left="1000"/>
              <w:spacing w:after="0"/>
              <w:rPr>
                <w:sz w:val="20"/>
                <w:szCs w:val="20"/>
                <w:color w:val="auto"/>
              </w:rPr>
            </w:pPr>
            <w:r>
              <w:rPr>
                <w:rFonts w:ascii="Arial" w:cs="Arial" w:eastAsia="Arial" w:hAnsi="Arial"/>
                <w:sz w:val="22"/>
                <w:szCs w:val="22"/>
                <w:color w:val="auto"/>
              </w:rPr>
              <w:t>5</w:t>
            </w:r>
          </w:p>
        </w:tc>
        <w:tc>
          <w:tcPr>
            <w:tcW w:w="86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00" w:type="dxa"/>
            <w:vAlign w:val="bottom"/>
            <w:gridSpan w:val="3"/>
          </w:tcPr>
          <w:p>
            <w:pPr>
              <w:spacing w:after="0"/>
              <w:rPr>
                <w:sz w:val="20"/>
                <w:szCs w:val="20"/>
                <w:color w:val="auto"/>
              </w:rPr>
            </w:pPr>
            <w:r>
              <w:rPr>
                <w:rFonts w:ascii="Arial" w:cs="Arial" w:eastAsia="Arial" w:hAnsi="Arial"/>
                <w:sz w:val="22"/>
                <w:szCs w:val="22"/>
                <w:color w:val="auto"/>
              </w:rPr>
              <w:t>LA-1605402 [****]</w:t>
            </w:r>
          </w:p>
        </w:tc>
        <w:tc>
          <w:tcPr>
            <w:tcW w:w="2300" w:type="dxa"/>
            <w:vAlign w:val="bottom"/>
            <w:gridSpan w:val="2"/>
          </w:tcPr>
          <w:p>
            <w:pPr>
              <w:ind w:left="1480"/>
              <w:spacing w:after="0"/>
              <w:rPr>
                <w:sz w:val="20"/>
                <w:szCs w:val="20"/>
                <w:color w:val="auto"/>
              </w:rPr>
            </w:pPr>
            <w:r>
              <w:rPr>
                <w:rFonts w:ascii="Arial" w:cs="Arial" w:eastAsia="Arial" w:hAnsi="Arial"/>
                <w:sz w:val="22"/>
                <w:szCs w:val="22"/>
                <w:color w:val="auto"/>
              </w:rPr>
              <w:t>6</w:t>
            </w:r>
          </w:p>
        </w:tc>
        <w:tc>
          <w:tcPr>
            <w:tcW w:w="5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40" w:type="dxa"/>
            <w:vAlign w:val="bottom"/>
            <w:gridSpan w:val="2"/>
          </w:tcPr>
          <w:p>
            <w:pPr>
              <w:spacing w:after="0"/>
              <w:rPr>
                <w:sz w:val="20"/>
                <w:szCs w:val="20"/>
                <w:color w:val="auto"/>
              </w:rPr>
            </w:pPr>
            <w:r>
              <w:rPr>
                <w:rFonts w:ascii="Arial" w:cs="Arial" w:eastAsia="Arial" w:hAnsi="Arial"/>
                <w:sz w:val="22"/>
                <w:szCs w:val="22"/>
                <w:color w:val="auto"/>
              </w:rPr>
              <w:t>LA-1700919</w:t>
            </w:r>
          </w:p>
        </w:tc>
        <w:tc>
          <w:tcPr>
            <w:tcW w:w="96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2300" w:type="dxa"/>
            <w:vAlign w:val="bottom"/>
            <w:gridSpan w:val="2"/>
          </w:tcPr>
          <w:p>
            <w:pPr>
              <w:ind w:left="1960"/>
              <w:spacing w:after="0"/>
              <w:rPr>
                <w:sz w:val="20"/>
                <w:szCs w:val="20"/>
                <w:color w:val="auto"/>
              </w:rPr>
            </w:pPr>
            <w:r>
              <w:rPr>
                <w:rFonts w:ascii="Arial" w:cs="Arial" w:eastAsia="Arial" w:hAnsi="Arial"/>
                <w:sz w:val="22"/>
                <w:szCs w:val="22"/>
                <w:color w:val="auto"/>
              </w:rPr>
              <w:t>7</w:t>
            </w:r>
          </w:p>
        </w:tc>
        <w:tc>
          <w:tcPr>
            <w:tcW w:w="5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40" w:type="dxa"/>
            <w:vAlign w:val="bottom"/>
            <w:gridSpan w:val="2"/>
          </w:tcPr>
          <w:p>
            <w:pPr>
              <w:spacing w:after="0"/>
              <w:rPr>
                <w:sz w:val="20"/>
                <w:szCs w:val="20"/>
                <w:color w:val="auto"/>
              </w:rPr>
            </w:pPr>
            <w:r>
              <w:rPr>
                <w:rFonts w:ascii="Arial" w:cs="Arial" w:eastAsia="Arial" w:hAnsi="Arial"/>
                <w:sz w:val="22"/>
                <w:szCs w:val="22"/>
                <w:color w:val="auto"/>
              </w:rPr>
              <w:t>LA-1801206</w:t>
            </w:r>
          </w:p>
        </w:tc>
        <w:tc>
          <w:tcPr>
            <w:tcW w:w="96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2300" w:type="dxa"/>
            <w:vAlign w:val="bottom"/>
            <w:gridSpan w:val="2"/>
          </w:tcPr>
          <w:p>
            <w:pPr>
              <w:ind w:left="1480"/>
              <w:spacing w:after="0"/>
              <w:rPr>
                <w:sz w:val="20"/>
                <w:szCs w:val="20"/>
                <w:color w:val="auto"/>
              </w:rPr>
            </w:pPr>
            <w:r>
              <w:rPr>
                <w:rFonts w:ascii="Arial" w:cs="Arial" w:eastAsia="Arial" w:hAnsi="Arial"/>
                <w:sz w:val="22"/>
                <w:szCs w:val="22"/>
                <w:color w:val="auto"/>
              </w:rPr>
              <w:t>9</w:t>
            </w:r>
          </w:p>
        </w:tc>
        <w:tc>
          <w:tcPr>
            <w:tcW w:w="5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200" w:type="dxa"/>
            <w:vAlign w:val="bottom"/>
            <w:gridSpan w:val="3"/>
          </w:tcPr>
          <w:p>
            <w:pPr>
              <w:spacing w:after="0"/>
              <w:rPr>
                <w:sz w:val="20"/>
                <w:szCs w:val="20"/>
                <w:color w:val="auto"/>
              </w:rPr>
            </w:pPr>
            <w:r>
              <w:rPr>
                <w:rFonts w:ascii="Arial" w:cs="Arial" w:eastAsia="Arial" w:hAnsi="Arial"/>
                <w:sz w:val="22"/>
                <w:szCs w:val="22"/>
                <w:color w:val="auto"/>
              </w:rPr>
              <w:t>LA-2002704 [****]</w:t>
            </w:r>
          </w:p>
        </w:tc>
        <w:tc>
          <w:tcPr>
            <w:tcW w:w="2300" w:type="dxa"/>
            <w:vAlign w:val="bottom"/>
            <w:gridSpan w:val="2"/>
          </w:tcPr>
          <w:p>
            <w:pPr>
              <w:ind w:left="1480"/>
              <w:spacing w:after="0"/>
              <w:rPr>
                <w:sz w:val="20"/>
                <w:szCs w:val="20"/>
                <w:color w:val="auto"/>
              </w:rPr>
            </w:pPr>
            <w:r>
              <w:rPr>
                <w:rFonts w:ascii="Arial" w:cs="Arial" w:eastAsia="Arial" w:hAnsi="Arial"/>
                <w:sz w:val="22"/>
                <w:szCs w:val="22"/>
                <w:color w:val="auto"/>
              </w:rPr>
              <w:t>11</w:t>
            </w:r>
          </w:p>
        </w:tc>
        <w:tc>
          <w:tcPr>
            <w:tcW w:w="5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PA-03735 TABLE OF CONTENTS, Page 2 of 3 SA-19</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60"/>
          </w:cols>
          <w:pgMar w:left="320" w:top="1440" w:right="519" w:bottom="133"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40" w:right="519" w:bottom="133" w:gutter="0" w:footer="0" w:header="0"/>
          <w:type w:val="continuous"/>
        </w:sectPr>
      </w:pPr>
    </w:p>
    <w:bookmarkStart w:id="230" w:name="page231"/>
    <w:bookmarkEnd w:id="2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940" w:type="dxa"/>
            <w:vAlign w:val="bottom"/>
            <w:gridSpan w:val="2"/>
          </w:tcPr>
          <w:p>
            <w:pPr>
              <w:spacing w:after="0"/>
              <w:rPr>
                <w:sz w:val="20"/>
                <w:szCs w:val="20"/>
                <w:color w:val="auto"/>
              </w:rPr>
            </w:pPr>
            <w:r>
              <w:rPr>
                <w:rFonts w:ascii="Arial" w:cs="Arial" w:eastAsia="Arial" w:hAnsi="Arial"/>
                <w:sz w:val="22"/>
                <w:szCs w:val="22"/>
                <w:color w:val="auto"/>
              </w:rPr>
              <w:t>LA-2002743 [****]</w:t>
            </w:r>
          </w:p>
        </w:tc>
        <w:tc>
          <w:tcPr>
            <w:tcW w:w="1480" w:type="dxa"/>
            <w:vAlign w:val="bottom"/>
          </w:tcPr>
          <w:p>
            <w:pPr>
              <w:jc w:val="right"/>
              <w:ind w:right="152"/>
              <w:spacing w:after="0"/>
              <w:rPr>
                <w:sz w:val="20"/>
                <w:szCs w:val="20"/>
                <w:color w:val="auto"/>
              </w:rPr>
            </w:pPr>
            <w:r>
              <w:rPr>
                <w:rFonts w:ascii="Arial" w:cs="Arial" w:eastAsia="Arial" w:hAnsi="Arial"/>
                <w:sz w:val="22"/>
                <w:szCs w:val="22"/>
                <w:color w:val="auto"/>
              </w:rPr>
              <w:t>11</w:t>
            </w:r>
          </w:p>
        </w:tc>
      </w:tr>
      <w:tr>
        <w:trPr>
          <w:trHeight w:val="231"/>
        </w:trPr>
        <w:tc>
          <w:tcPr>
            <w:tcW w:w="1340" w:type="dxa"/>
            <w:vAlign w:val="bottom"/>
          </w:tcPr>
          <w:p>
            <w:pPr>
              <w:spacing w:after="0" w:line="230" w:lineRule="exact"/>
              <w:rPr>
                <w:sz w:val="20"/>
                <w:szCs w:val="20"/>
                <w:color w:val="auto"/>
              </w:rPr>
            </w:pPr>
            <w:r>
              <w:rPr>
                <w:rFonts w:ascii="Arial" w:cs="Arial" w:eastAsia="Arial" w:hAnsi="Arial"/>
                <w:sz w:val="22"/>
                <w:szCs w:val="22"/>
                <w:color w:val="auto"/>
              </w:rPr>
              <w:t>LA-2003342</w:t>
            </w:r>
          </w:p>
        </w:tc>
        <w:tc>
          <w:tcPr>
            <w:tcW w:w="1600" w:type="dxa"/>
            <w:vAlign w:val="bottom"/>
          </w:tcPr>
          <w:p>
            <w:pPr>
              <w:jc w:val="right"/>
              <w:ind w:right="892"/>
              <w:spacing w:after="0" w:line="230" w:lineRule="exact"/>
              <w:rPr>
                <w:sz w:val="20"/>
                <w:szCs w:val="20"/>
                <w:color w:val="auto"/>
              </w:rPr>
            </w:pPr>
            <w:r>
              <w:rPr>
                <w:rFonts w:ascii="Arial" w:cs="Arial" w:eastAsia="Arial" w:hAnsi="Arial"/>
                <w:sz w:val="22"/>
                <w:szCs w:val="22"/>
                <w:color w:val="auto"/>
              </w:rPr>
              <w:t>[****]</w:t>
            </w:r>
          </w:p>
        </w:tc>
        <w:tc>
          <w:tcPr>
            <w:tcW w:w="1480" w:type="dxa"/>
            <w:vAlign w:val="bottom"/>
          </w:tcPr>
          <w:p>
            <w:pPr>
              <w:jc w:val="right"/>
              <w:spacing w:after="0" w:line="230" w:lineRule="exact"/>
              <w:rPr>
                <w:sz w:val="20"/>
                <w:szCs w:val="20"/>
                <w:color w:val="auto"/>
              </w:rPr>
            </w:pPr>
            <w:r>
              <w:rPr>
                <w:rFonts w:ascii="Arial" w:cs="Arial" w:eastAsia="Arial" w:hAnsi="Arial"/>
                <w:sz w:val="22"/>
                <w:szCs w:val="22"/>
                <w:color w:val="auto"/>
              </w:rPr>
              <w:t>11</w:t>
            </w:r>
          </w:p>
        </w:tc>
      </w:tr>
      <w:tr>
        <w:trPr>
          <w:trHeight w:val="285"/>
        </w:trPr>
        <w:tc>
          <w:tcPr>
            <w:tcW w:w="1340" w:type="dxa"/>
            <w:vAlign w:val="bottom"/>
          </w:tcPr>
          <w:p>
            <w:pPr>
              <w:spacing w:after="0"/>
              <w:rPr>
                <w:sz w:val="20"/>
                <w:szCs w:val="20"/>
                <w:color w:val="auto"/>
              </w:rPr>
            </w:pPr>
            <w:r>
              <w:rPr>
                <w:rFonts w:ascii="Arial" w:cs="Arial" w:eastAsia="Arial" w:hAnsi="Arial"/>
                <w:sz w:val="22"/>
                <w:szCs w:val="22"/>
                <w:b w:val="1"/>
                <w:bCs w:val="1"/>
                <w:color w:val="auto"/>
              </w:rPr>
              <w:t>LA-2003486</w:t>
            </w:r>
          </w:p>
        </w:tc>
        <w:tc>
          <w:tcPr>
            <w:tcW w:w="1600" w:type="dxa"/>
            <w:vAlign w:val="bottom"/>
          </w:tcPr>
          <w:p>
            <w:pPr>
              <w:jc w:val="right"/>
              <w:ind w:right="872"/>
              <w:spacing w:after="0"/>
              <w:rPr>
                <w:sz w:val="20"/>
                <w:szCs w:val="20"/>
                <w:color w:val="auto"/>
              </w:rPr>
            </w:pPr>
            <w:r>
              <w:rPr>
                <w:rFonts w:ascii="Arial" w:cs="Arial" w:eastAsia="Arial" w:hAnsi="Arial"/>
                <w:sz w:val="22"/>
                <w:szCs w:val="22"/>
                <w:color w:val="auto"/>
              </w:rPr>
              <w:t>[****]</w:t>
            </w:r>
          </w:p>
        </w:tc>
        <w:tc>
          <w:tcPr>
            <w:tcW w:w="1480" w:type="dxa"/>
            <w:vAlign w:val="bottom"/>
          </w:tcPr>
          <w:p>
            <w:pPr>
              <w:jc w:val="right"/>
              <w:spacing w:after="0"/>
              <w:rPr>
                <w:sz w:val="20"/>
                <w:szCs w:val="20"/>
                <w:color w:val="auto"/>
              </w:rPr>
            </w:pPr>
            <w:r>
              <w:rPr>
                <w:rFonts w:ascii="Arial" w:cs="Arial" w:eastAsia="Arial" w:hAnsi="Arial"/>
                <w:sz w:val="22"/>
                <w:szCs w:val="22"/>
                <w:b w:val="1"/>
                <w:bCs w:val="1"/>
                <w:color w:val="auto"/>
              </w:rPr>
              <w:t>14</w:t>
            </w:r>
          </w:p>
        </w:tc>
      </w:tr>
    </w:tbl>
    <w:p>
      <w:pPr>
        <w:spacing w:after="0" w:line="240" w:lineRule="exact"/>
        <w:rPr>
          <w:sz w:val="20"/>
          <w:szCs w:val="20"/>
          <w:color w:val="auto"/>
        </w:rPr>
      </w:pPr>
    </w:p>
    <w:p>
      <w:pPr>
        <w:ind w:right="20" w:firstLine="8"/>
        <w:spacing w:after="0" w:line="249" w:lineRule="auto"/>
        <w:tabs>
          <w:tab w:leader="none" w:pos="144"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PA-03735 TABLE OF CONTENTS, Page 3 of 3 SA-19</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060"/>
          </w:cols>
          <w:pgMar w:left="320" w:top="1440" w:right="519" w:bottom="1440" w:gutter="0" w:footer="0" w:header="0"/>
        </w:sectPr>
      </w:pPr>
    </w:p>
    <w:bookmarkStart w:id="231" w:name="page232"/>
    <w:bookmarkEnd w:id="231"/>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Table 1R12 To</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737-8 Aircraft Delivery, Description, Price and Advance Payments</w:t>
      </w: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600" w:type="dxa"/>
            <w:vAlign w:val="bottom"/>
          </w:tcPr>
          <w:p>
            <w:pPr>
              <w:spacing w:after="0"/>
              <w:rPr>
                <w:sz w:val="20"/>
                <w:szCs w:val="20"/>
                <w:color w:val="auto"/>
              </w:rPr>
            </w:pPr>
            <w:r>
              <w:rPr>
                <w:rFonts w:ascii="Arial" w:cs="Arial" w:eastAsia="Arial" w:hAnsi="Arial"/>
                <w:sz w:val="14"/>
                <w:szCs w:val="14"/>
                <w:b w:val="1"/>
                <w:bCs w:val="1"/>
                <w:color w:val="auto"/>
              </w:rPr>
              <w:t>Airframe Model/MTOW:</w:t>
            </w: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737-8</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 pounds</w:t>
            </w:r>
          </w:p>
        </w:tc>
        <w:tc>
          <w:tcPr>
            <w:tcW w:w="3940" w:type="dxa"/>
            <w:vAlign w:val="bottom"/>
            <w:gridSpan w:val="3"/>
          </w:tcPr>
          <w:p>
            <w:pPr>
              <w:ind w:left="620"/>
              <w:spacing w:after="0"/>
              <w:rPr>
                <w:sz w:val="20"/>
                <w:szCs w:val="20"/>
                <w:color w:val="auto"/>
              </w:rPr>
            </w:pPr>
            <w:r>
              <w:rPr>
                <w:rFonts w:ascii="Arial" w:cs="Arial" w:eastAsia="Arial" w:hAnsi="Arial"/>
                <w:sz w:val="14"/>
                <w:szCs w:val="14"/>
                <w:b w:val="1"/>
                <w:bCs w:val="1"/>
                <w:color w:val="auto"/>
              </w:rPr>
              <w:t>Detail Specification:</w:t>
            </w:r>
          </w:p>
        </w:tc>
        <w:tc>
          <w:tcPr>
            <w:tcW w:w="740" w:type="dxa"/>
            <w:vAlign w:val="bottom"/>
          </w:tcPr>
          <w:p>
            <w:pPr>
              <w:spacing w:after="0"/>
              <w:rPr>
                <w:sz w:val="16"/>
                <w:szCs w:val="16"/>
                <w:color w:val="auto"/>
              </w:rPr>
            </w:pPr>
          </w:p>
        </w:tc>
        <w:tc>
          <w:tcPr>
            <w:tcW w:w="13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Engine Model/Thrust:</w:t>
            </w:r>
          </w:p>
        </w:tc>
        <w:tc>
          <w:tcPr>
            <w:tcW w:w="1280" w:type="dxa"/>
            <w:vAlign w:val="bottom"/>
          </w:tcPr>
          <w:p>
            <w:pPr>
              <w:jc w:val="center"/>
              <w:ind w:left="28"/>
              <w:spacing w:after="0"/>
              <w:rPr>
                <w:sz w:val="20"/>
                <w:szCs w:val="20"/>
                <w:color w:val="auto"/>
              </w:rPr>
            </w:pPr>
            <w:r>
              <w:rPr>
                <w:rFonts w:ascii="Arial" w:cs="Arial" w:eastAsia="Arial" w:hAnsi="Arial"/>
                <w:sz w:val="14"/>
                <w:szCs w:val="14"/>
                <w:color w:val="auto"/>
              </w:rPr>
              <w:t>CFMLEAP-1B25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 pounds</w:t>
            </w:r>
          </w:p>
        </w:tc>
        <w:tc>
          <w:tcPr>
            <w:tcW w:w="3940" w:type="dxa"/>
            <w:vAlign w:val="bottom"/>
            <w:gridSpan w:val="3"/>
          </w:tcPr>
          <w:p>
            <w:pPr>
              <w:ind w:left="620"/>
              <w:spacing w:after="0"/>
              <w:rPr>
                <w:sz w:val="20"/>
                <w:szCs w:val="20"/>
                <w:color w:val="auto"/>
              </w:rPr>
            </w:pPr>
            <w:r>
              <w:rPr>
                <w:rFonts w:ascii="Arial" w:cs="Arial" w:eastAsia="Arial" w:hAnsi="Arial"/>
                <w:sz w:val="14"/>
                <w:szCs w:val="14"/>
                <w:b w:val="1"/>
                <w:bCs w:val="1"/>
                <w:color w:val="auto"/>
              </w:rPr>
              <w:t>Airframe Price Base Year/Escalation Formula:</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Airframe Price:</w:t>
            </w:r>
          </w:p>
        </w:tc>
        <w:tc>
          <w:tcPr>
            <w:tcW w:w="1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940" w:type="dxa"/>
            <w:vAlign w:val="bottom"/>
            <w:gridSpan w:val="3"/>
          </w:tcPr>
          <w:p>
            <w:pPr>
              <w:ind w:left="620"/>
              <w:spacing w:after="0"/>
              <w:rPr>
                <w:sz w:val="20"/>
                <w:szCs w:val="20"/>
                <w:color w:val="auto"/>
              </w:rPr>
            </w:pPr>
            <w:r>
              <w:rPr>
                <w:rFonts w:ascii="Arial" w:cs="Arial" w:eastAsia="Arial" w:hAnsi="Arial"/>
                <w:sz w:val="14"/>
                <w:szCs w:val="14"/>
                <w:b w:val="1"/>
                <w:bCs w:val="1"/>
                <w:color w:val="auto"/>
              </w:rPr>
              <w:t>Engine Price Base Year/Escalation Formula:</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Optional Features:</w:t>
            </w:r>
          </w:p>
        </w:tc>
        <w:tc>
          <w:tcPr>
            <w:tcW w:w="1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Sub-Total of Airframe and Features:</w:t>
            </w:r>
          </w:p>
        </w:tc>
        <w:tc>
          <w:tcPr>
            <w:tcW w:w="12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Airframe Escalation Data:</w:t>
            </w: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6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33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600" w:type="dxa"/>
            <w:vAlign w:val="bottom"/>
          </w:tcPr>
          <w:p>
            <w:pPr>
              <w:spacing w:after="0"/>
              <w:rPr>
                <w:sz w:val="20"/>
                <w:szCs w:val="20"/>
                <w:color w:val="auto"/>
              </w:rPr>
            </w:pPr>
            <w:r>
              <w:rPr>
                <w:rFonts w:ascii="Arial" w:cs="Arial" w:eastAsia="Arial" w:hAnsi="Arial"/>
                <w:sz w:val="14"/>
                <w:szCs w:val="14"/>
                <w:b w:val="1"/>
                <w:bCs w:val="1"/>
                <w:color w:val="auto"/>
              </w:rPr>
              <w:t>Engine Price (Per Aircraft):</w:t>
            </w:r>
          </w:p>
        </w:tc>
        <w:tc>
          <w:tcPr>
            <w:tcW w:w="1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940" w:type="dxa"/>
            <w:vAlign w:val="bottom"/>
            <w:gridSpan w:val="3"/>
          </w:tcPr>
          <w:p>
            <w:pPr>
              <w:ind w:left="620"/>
              <w:spacing w:after="0"/>
              <w:rPr>
                <w:sz w:val="20"/>
                <w:szCs w:val="20"/>
                <w:color w:val="auto"/>
              </w:rPr>
            </w:pPr>
            <w:r>
              <w:rPr>
                <w:rFonts w:ascii="Arial" w:cs="Arial" w:eastAsia="Arial" w:hAnsi="Arial"/>
                <w:sz w:val="14"/>
                <w:szCs w:val="14"/>
                <w:b w:val="1"/>
                <w:bCs w:val="1"/>
                <w:color w:val="auto"/>
              </w:rPr>
              <w:t>Base Year Index (ECI):</w:t>
            </w:r>
          </w:p>
        </w:tc>
        <w:tc>
          <w:tcPr>
            <w:tcW w:w="740" w:type="dxa"/>
            <w:vAlign w:val="bottom"/>
          </w:tcPr>
          <w:p>
            <w:pPr>
              <w:spacing w:after="0"/>
              <w:rPr>
                <w:sz w:val="24"/>
                <w:szCs w:val="24"/>
                <w:color w:val="auto"/>
              </w:rPr>
            </w:pPr>
          </w:p>
        </w:tc>
        <w:tc>
          <w:tcPr>
            <w:tcW w:w="13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Aircraft Basic Price (Excluding</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4"/>
                <w:szCs w:val="14"/>
                <w:b w:val="1"/>
                <w:bCs w:val="1"/>
                <w:color w:val="auto"/>
              </w:rPr>
              <w:t>BFE/SPE):</w:t>
            </w:r>
          </w:p>
        </w:tc>
        <w:tc>
          <w:tcPr>
            <w:tcW w:w="128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940" w:type="dxa"/>
            <w:vAlign w:val="bottom"/>
            <w:gridSpan w:val="3"/>
          </w:tcPr>
          <w:p>
            <w:pPr>
              <w:ind w:left="620"/>
              <w:spacing w:after="0"/>
              <w:rPr>
                <w:sz w:val="20"/>
                <w:szCs w:val="20"/>
                <w:color w:val="auto"/>
              </w:rPr>
            </w:pPr>
            <w:r>
              <w:rPr>
                <w:rFonts w:ascii="Arial" w:cs="Arial" w:eastAsia="Arial" w:hAnsi="Arial"/>
                <w:sz w:val="14"/>
                <w:szCs w:val="14"/>
                <w:b w:val="1"/>
                <w:bCs w:val="1"/>
                <w:color w:val="auto"/>
              </w:rPr>
              <w:t>Base Year Index (CPI):</w:t>
            </w:r>
          </w:p>
        </w:tc>
        <w:tc>
          <w:tcPr>
            <w:tcW w:w="740" w:type="dxa"/>
            <w:vAlign w:val="bottom"/>
          </w:tcPr>
          <w:p>
            <w:pPr>
              <w:spacing w:after="0"/>
              <w:rPr>
                <w:sz w:val="21"/>
                <w:szCs w:val="21"/>
                <w:color w:val="auto"/>
              </w:rPr>
            </w:pPr>
          </w:p>
        </w:tc>
        <w:tc>
          <w:tcPr>
            <w:tcW w:w="13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Buyer Furnished Equipment (BFE)</w:t>
            </w:r>
          </w:p>
        </w:tc>
        <w:tc>
          <w:tcPr>
            <w:tcW w:w="12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6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128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Seller Purchased Equipment (SPE)</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128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LIFT Seats Provided by Boeing</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128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Deposit per Aircraft:</w:t>
            </w:r>
          </w:p>
        </w:tc>
        <w:tc>
          <w:tcPr>
            <w:tcW w:w="1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980" w:type="dxa"/>
            <w:vAlign w:val="bottom"/>
            <w:tcBorders>
              <w:top w:val="single" w:sz="8" w:color="auto"/>
              <w:left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shd w:val="clear" w:color="auto" w:fill="D9D9D9"/>
          </w:tcPr>
          <w:p>
            <w:pPr>
              <w:spacing w:after="0"/>
              <w:rPr>
                <w:sz w:val="24"/>
                <w:szCs w:val="24"/>
                <w:color w:val="auto"/>
              </w:rPr>
            </w:pPr>
          </w:p>
        </w:tc>
        <w:tc>
          <w:tcPr>
            <w:tcW w:w="1240" w:type="dxa"/>
            <w:vAlign w:val="bottom"/>
            <w:tcBorders>
              <w:top w:val="single" w:sz="8" w:color="auto"/>
              <w:right w:val="single" w:sz="8" w:color="auto"/>
            </w:tcBorders>
            <w:shd w:val="clear" w:color="auto" w:fill="D9D9D9"/>
          </w:tcPr>
          <w:p>
            <w:pPr>
              <w:spacing w:after="0"/>
              <w:rPr>
                <w:sz w:val="24"/>
                <w:szCs w:val="24"/>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Escalation</w:t>
            </w:r>
          </w:p>
        </w:tc>
        <w:tc>
          <w:tcPr>
            <w:tcW w:w="448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Advance Payment Per Aircraft (Amts. Due/Mos. Prior to</w:t>
            </w: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shd w:val="clear" w:color="auto" w:fill="D9D9D9"/>
          </w:tcPr>
          <w:p>
            <w:pPr>
              <w:spacing w:after="0"/>
              <w:rPr>
                <w:sz w:val="11"/>
                <w:szCs w:val="11"/>
                <w:color w:val="auto"/>
              </w:rPr>
            </w:pPr>
          </w:p>
        </w:tc>
        <w:tc>
          <w:tcPr>
            <w:tcW w:w="1240" w:type="dxa"/>
            <w:vAlign w:val="bottom"/>
            <w:tcBorders>
              <w:right w:val="single" w:sz="8" w:color="auto"/>
            </w:tcBorders>
            <w:shd w:val="clear" w:color="auto" w:fill="D9D9D9"/>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2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Delivery):</w:t>
            </w: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8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shd w:val="clear" w:color="auto" w:fill="D9D9D9"/>
          </w:tcPr>
          <w:p>
            <w:pPr>
              <w:spacing w:after="0"/>
              <w:rPr>
                <w:sz w:val="11"/>
                <w:szCs w:val="11"/>
                <w:color w:val="auto"/>
              </w:rPr>
            </w:pPr>
          </w:p>
        </w:tc>
        <w:tc>
          <w:tcPr>
            <w:tcW w:w="1240" w:type="dxa"/>
            <w:vAlign w:val="bottom"/>
            <w:tcBorders>
              <w:right w:val="single" w:sz="8" w:color="auto"/>
            </w:tcBorders>
            <w:shd w:val="clear" w:color="auto" w:fill="D9D9D9"/>
          </w:tcPr>
          <w:p>
            <w:pPr>
              <w:spacing w:after="0"/>
              <w:rPr>
                <w:sz w:val="11"/>
                <w:szCs w:val="11"/>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Estimate</w:t>
            </w:r>
          </w:p>
        </w:tc>
        <w:tc>
          <w:tcPr>
            <w:tcW w:w="112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980" w:type="dxa"/>
            <w:vAlign w:val="bottom"/>
            <w:tcBorders>
              <w:left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200" w:type="dxa"/>
            <w:vAlign w:val="bottom"/>
            <w:tcBorders>
              <w:bottom w:val="single" w:sz="8" w:color="D9D9D9"/>
              <w:right w:val="single" w:sz="8" w:color="auto"/>
            </w:tcBorders>
            <w:shd w:val="clear" w:color="auto" w:fill="D9D9D9"/>
          </w:tcPr>
          <w:p>
            <w:pPr>
              <w:spacing w:after="0"/>
              <w:rPr>
                <w:sz w:val="5"/>
                <w:szCs w:val="5"/>
                <w:color w:val="auto"/>
              </w:rPr>
            </w:pPr>
          </w:p>
        </w:tc>
        <w:tc>
          <w:tcPr>
            <w:tcW w:w="1240" w:type="dxa"/>
            <w:vAlign w:val="bottom"/>
            <w:tcBorders>
              <w:bottom w:val="single" w:sz="8" w:color="D9D9D9"/>
              <w:right w:val="single" w:sz="8" w:color="auto"/>
            </w:tcBorders>
            <w:shd w:val="clear" w:color="auto" w:fill="D9D9D9"/>
          </w:tcPr>
          <w:p>
            <w:pPr>
              <w:spacing w:after="0"/>
              <w:rPr>
                <w:sz w:val="5"/>
                <w:szCs w:val="5"/>
                <w:color w:val="auto"/>
              </w:rPr>
            </w:pPr>
          </w:p>
        </w:tc>
        <w:tc>
          <w:tcPr>
            <w:tcW w:w="1460" w:type="dxa"/>
            <w:vAlign w:val="bottom"/>
            <w:tcBorders>
              <w:right w:val="single" w:sz="8" w:color="auto"/>
            </w:tcBorders>
            <w:vMerge w:val="continue"/>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980" w:type="dxa"/>
            <w:vAlign w:val="bottom"/>
            <w:tcBorders>
              <w:left w:val="single" w:sz="8" w:color="auto"/>
              <w:right w:val="single" w:sz="8" w:color="auto"/>
            </w:tcBorders>
          </w:tcPr>
          <w:p>
            <w:pPr>
              <w:spacing w:after="0"/>
              <w:rPr>
                <w:sz w:val="14"/>
                <w:szCs w:val="14"/>
                <w:color w:val="auto"/>
              </w:rPr>
            </w:pPr>
          </w:p>
        </w:tc>
        <w:tc>
          <w:tcPr>
            <w:tcW w:w="8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Number</w:t>
            </w:r>
          </w:p>
        </w:tc>
        <w:tc>
          <w:tcPr>
            <w:tcW w:w="10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9"/>
              </w:rPr>
              <w:t>Escalation</w:t>
            </w:r>
          </w:p>
        </w:tc>
        <w:tc>
          <w:tcPr>
            <w:tcW w:w="1200" w:type="dxa"/>
            <w:vAlign w:val="bottom"/>
            <w:tcBorders>
              <w:right w:val="single" w:sz="8" w:color="auto"/>
            </w:tcBorders>
            <w:shd w:val="clear" w:color="auto" w:fill="D9D9D9"/>
          </w:tcPr>
          <w:p>
            <w:pPr>
              <w:spacing w:after="0"/>
              <w:rPr>
                <w:sz w:val="14"/>
                <w:szCs w:val="14"/>
                <w:color w:val="auto"/>
              </w:rPr>
            </w:pPr>
          </w:p>
        </w:tc>
        <w:tc>
          <w:tcPr>
            <w:tcW w:w="1240" w:type="dxa"/>
            <w:vAlign w:val="bottom"/>
            <w:tcBorders>
              <w:right w:val="single" w:sz="8" w:color="auto"/>
            </w:tcBorders>
            <w:shd w:val="clear" w:color="auto" w:fill="D9D9D9"/>
          </w:tcPr>
          <w:p>
            <w:pPr>
              <w:jc w:val="center"/>
              <w:spacing w:after="0" w:line="165" w:lineRule="exact"/>
              <w:rPr>
                <w:sz w:val="20"/>
                <w:szCs w:val="20"/>
                <w:color w:val="auto"/>
              </w:rPr>
            </w:pPr>
            <w:r>
              <w:rPr>
                <w:rFonts w:ascii="Arial" w:cs="Arial" w:eastAsia="Arial" w:hAnsi="Arial"/>
                <w:sz w:val="16"/>
                <w:szCs w:val="16"/>
                <w:b w:val="1"/>
                <w:bCs w:val="1"/>
                <w:color w:val="auto"/>
              </w:rPr>
              <w:t>Nominal</w:t>
            </w:r>
          </w:p>
        </w:tc>
        <w:tc>
          <w:tcPr>
            <w:tcW w:w="14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Adv Payment</w:t>
            </w:r>
          </w:p>
        </w:tc>
        <w:tc>
          <w:tcPr>
            <w:tcW w:w="11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At Signing</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7"/>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Delivery</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of</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Factor</w:t>
            </w:r>
          </w:p>
        </w:tc>
        <w:tc>
          <w:tcPr>
            <w:tcW w:w="12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Manufacturer</w:t>
            </w:r>
          </w:p>
        </w:tc>
        <w:tc>
          <w:tcPr>
            <w:tcW w:w="12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Delivery</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Base</w:t>
            </w: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980" w:type="dxa"/>
            <w:vAlign w:val="bottom"/>
            <w:tcBorders>
              <w:left w:val="single" w:sz="8" w:color="auto"/>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shd w:val="clear" w:color="auto" w:fill="D9D9D9"/>
          </w:tcPr>
          <w:p>
            <w:pPr>
              <w:spacing w:after="0"/>
              <w:rPr>
                <w:sz w:val="7"/>
                <w:szCs w:val="7"/>
                <w:color w:val="auto"/>
              </w:rPr>
            </w:pPr>
          </w:p>
        </w:tc>
        <w:tc>
          <w:tcPr>
            <w:tcW w:w="1240" w:type="dxa"/>
            <w:vAlign w:val="bottom"/>
            <w:tcBorders>
              <w:right w:val="single" w:sz="8" w:color="auto"/>
            </w:tcBorders>
            <w:vMerge w:val="continue"/>
            <w:shd w:val="clear" w:color="auto" w:fill="D9D9D9"/>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Aircraft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(Airframe)</w:t>
            </w:r>
          </w:p>
        </w:tc>
        <w:tc>
          <w:tcPr>
            <w:tcW w:w="1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Serial Number</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9"/>
              </w:rPr>
              <w:t>Month</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Price Per A/P</w:t>
            </w: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[****]-2017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44459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[****]-2017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44463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[****]-2017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44465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[****]-2017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44446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[****]-2018</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44447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[****]-2018</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44451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[****]-2018</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44448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2040" w:val="left"/>
          <w:tab w:leader="none" w:pos="3540" w:val="left"/>
        </w:tabs>
        <w:rPr>
          <w:sz w:val="20"/>
          <w:szCs w:val="20"/>
          <w:color w:val="auto"/>
        </w:rPr>
      </w:pPr>
      <w:r>
        <w:rPr>
          <w:rFonts w:ascii="Arial" w:cs="Arial" w:eastAsia="Arial" w:hAnsi="Arial"/>
          <w:sz w:val="14"/>
          <w:szCs w:val="14"/>
          <w:color w:val="auto"/>
        </w:rPr>
        <w:t>AAL=PA-03735 108567-1F.txt</w:t>
      </w:r>
      <w:r>
        <w:rPr>
          <w:sz w:val="20"/>
          <w:szCs w:val="20"/>
          <w:color w:val="auto"/>
        </w:rPr>
        <w:tab/>
      </w:r>
      <w:r>
        <w:rPr>
          <w:rFonts w:ascii="Arial" w:cs="Arial" w:eastAsia="Arial" w:hAnsi="Arial"/>
          <w:sz w:val="14"/>
          <w:szCs w:val="14"/>
          <w:b w:val="1"/>
          <w:bCs w:val="1"/>
          <w:color w:val="auto"/>
        </w:rPr>
        <w:t>Boeing Proprietary</w:t>
      </w:r>
      <w:r>
        <w:rPr>
          <w:sz w:val="20"/>
          <w:szCs w:val="20"/>
          <w:color w:val="auto"/>
        </w:rPr>
        <w:tab/>
      </w:r>
      <w:r>
        <w:rPr>
          <w:rFonts w:ascii="Arial" w:cs="Arial" w:eastAsia="Arial" w:hAnsi="Arial"/>
          <w:sz w:val="14"/>
          <w:szCs w:val="14"/>
          <w:color w:val="auto"/>
        </w:rPr>
        <w:t>SA-19</w:t>
      </w:r>
    </w:p>
    <w:p>
      <w:pPr>
        <w:spacing w:after="0" w:line="109" w:lineRule="exact"/>
        <w:rPr>
          <w:sz w:val="20"/>
          <w:szCs w:val="20"/>
          <w:color w:val="auto"/>
        </w:rPr>
      </w:pPr>
    </w:p>
    <w:p>
      <w:pPr>
        <w:ind w:right="940"/>
        <w:spacing w:after="0" w:line="285" w:lineRule="auto"/>
        <w:rPr>
          <w:sz w:val="20"/>
          <w:szCs w:val="20"/>
          <w:color w:val="auto"/>
        </w:rPr>
      </w:pPr>
      <w:r>
        <w:rPr>
          <w:rFonts w:ascii="Arial" w:cs="Arial" w:eastAsia="Arial" w:hAnsi="Arial"/>
          <w:sz w:val="14"/>
          <w:szCs w:val="14"/>
          <w:b w:val="1"/>
          <w:bCs w:val="1"/>
          <w:color w:val="auto"/>
        </w:rPr>
        <w:t xml:space="preserve">[****]=[CONFIDENTIAL PORTION HAS BEEN OMITTED BECAUSE IT (I) IS NOT MATERIAL AND (II) WOULD BE COMPETITIVELY HARMFUL IF PUBLICLY DISCLOSED] </w:t>
      </w:r>
      <w:r>
        <w:rPr>
          <w:rFonts w:ascii="Arial" w:cs="Arial" w:eastAsia="Arial" w:hAnsi="Arial"/>
          <w:sz w:val="14"/>
          <w:szCs w:val="14"/>
          <w:color w:val="auto"/>
        </w:rPr>
        <w:t>Page 1</w:t>
      </w:r>
    </w:p>
    <w:p>
      <w:pPr>
        <w:sectPr>
          <w:pgSz w:w="11900" w:h="16838" w:orient="portrait"/>
          <w:cols w:equalWidth="0" w:num="1">
            <w:col w:w="11260"/>
          </w:cols>
          <w:pgMar w:left="320" w:top="1440" w:right="319" w:bottom="1440" w:gutter="0" w:footer="0" w:header="0"/>
        </w:sectPr>
      </w:pPr>
    </w:p>
    <w:bookmarkStart w:id="232" w:name="page233"/>
    <w:bookmarkEnd w:id="232"/>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000" w:type="dxa"/>
            <w:vAlign w:val="bottom"/>
            <w:tcBorders>
              <w:top w:val="single" w:sz="8" w:color="auto"/>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top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top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44449</w:t>
            </w:r>
          </w:p>
        </w:tc>
        <w:tc>
          <w:tcPr>
            <w:tcW w:w="12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top w:val="single" w:sz="8" w:color="auto"/>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44455</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44450</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44452</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44453</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44454</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44456</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44457</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44458</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44460</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44461</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44462</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44464</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44466</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44467</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44468</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44469</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44471</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7"/>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44470</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7"/>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44472</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7"/>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44473</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7"/>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44474</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44476</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44475</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44477</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2040" w:val="left"/>
          <w:tab w:leader="none" w:pos="3540" w:val="left"/>
        </w:tabs>
        <w:rPr>
          <w:sz w:val="20"/>
          <w:szCs w:val="20"/>
          <w:color w:val="auto"/>
        </w:rPr>
      </w:pPr>
      <w:r>
        <w:rPr>
          <w:rFonts w:ascii="Arial" w:cs="Arial" w:eastAsia="Arial" w:hAnsi="Arial"/>
          <w:sz w:val="14"/>
          <w:szCs w:val="14"/>
          <w:color w:val="auto"/>
        </w:rPr>
        <w:t>AAL=PA-03735 108567-1F.txt</w:t>
      </w:r>
      <w:r>
        <w:rPr>
          <w:sz w:val="20"/>
          <w:szCs w:val="20"/>
          <w:color w:val="auto"/>
        </w:rPr>
        <w:tab/>
      </w:r>
      <w:r>
        <w:rPr>
          <w:rFonts w:ascii="Arial" w:cs="Arial" w:eastAsia="Arial" w:hAnsi="Arial"/>
          <w:sz w:val="14"/>
          <w:szCs w:val="14"/>
          <w:b w:val="1"/>
          <w:bCs w:val="1"/>
          <w:color w:val="auto"/>
        </w:rPr>
        <w:t>Boeing Proprietary</w:t>
      </w:r>
      <w:r>
        <w:rPr>
          <w:sz w:val="20"/>
          <w:szCs w:val="20"/>
          <w:color w:val="auto"/>
        </w:rPr>
        <w:tab/>
      </w:r>
      <w:r>
        <w:rPr>
          <w:rFonts w:ascii="Arial" w:cs="Arial" w:eastAsia="Arial" w:hAnsi="Arial"/>
          <w:sz w:val="14"/>
          <w:szCs w:val="14"/>
          <w:color w:val="auto"/>
        </w:rPr>
        <w:t>SA-19</w:t>
      </w:r>
    </w:p>
    <w:p>
      <w:pPr>
        <w:spacing w:after="0" w:line="109" w:lineRule="exact"/>
        <w:rPr>
          <w:sz w:val="20"/>
          <w:szCs w:val="20"/>
          <w:color w:val="auto"/>
        </w:rPr>
      </w:pPr>
    </w:p>
    <w:p>
      <w:pPr>
        <w:ind w:right="940"/>
        <w:spacing w:after="0" w:line="285" w:lineRule="auto"/>
        <w:rPr>
          <w:sz w:val="20"/>
          <w:szCs w:val="20"/>
          <w:color w:val="auto"/>
        </w:rPr>
      </w:pPr>
      <w:r>
        <w:rPr>
          <w:rFonts w:ascii="Arial" w:cs="Arial" w:eastAsia="Arial" w:hAnsi="Arial"/>
          <w:sz w:val="14"/>
          <w:szCs w:val="14"/>
          <w:b w:val="1"/>
          <w:bCs w:val="1"/>
          <w:color w:val="auto"/>
        </w:rPr>
        <w:t xml:space="preserve">[****]=[CONFIDENTIAL PORTION HAS BEEN OMITTED BECAUSE IT (I) IS NOT MATERIAL AND (II) WOULD BE COMPETITIVELY HARMFUL IF PUBLICLY DISCLOSED] </w:t>
      </w:r>
      <w:r>
        <w:rPr>
          <w:rFonts w:ascii="Arial" w:cs="Arial" w:eastAsia="Arial" w:hAnsi="Arial"/>
          <w:sz w:val="14"/>
          <w:szCs w:val="14"/>
          <w:color w:val="auto"/>
        </w:rPr>
        <w:t>Page 2</w:t>
      </w:r>
    </w:p>
    <w:p>
      <w:pPr>
        <w:sectPr>
          <w:pgSz w:w="11900" w:h="16838" w:orient="portrait"/>
          <w:cols w:equalWidth="0" w:num="1">
            <w:col w:w="11260"/>
          </w:cols>
          <w:pgMar w:left="320" w:top="1440" w:right="319" w:bottom="1440" w:gutter="0" w:footer="0" w:header="0"/>
        </w:sectPr>
      </w:pPr>
    </w:p>
    <w:bookmarkStart w:id="233" w:name="page234"/>
    <w:bookmarkEnd w:id="233"/>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000" w:type="dxa"/>
            <w:vAlign w:val="bottom"/>
            <w:tcBorders>
              <w:top w:val="single" w:sz="8" w:color="auto"/>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top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top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44479</w:t>
            </w:r>
          </w:p>
        </w:tc>
        <w:tc>
          <w:tcPr>
            <w:tcW w:w="12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top w:val="single" w:sz="8" w:color="auto"/>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44478</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44481</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44480</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44482</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44483</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44484</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44485</w:t>
            </w: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[****]-2020</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[****]-2020</w:t>
            </w: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w:t>
            </w:r>
          </w:p>
        </w:tc>
        <w:tc>
          <w:tcPr>
            <w:tcW w:w="148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Total</w:t>
        <w:tab/>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2040" w:val="left"/>
          <w:tab w:leader="none" w:pos="3540" w:val="left"/>
        </w:tabs>
        <w:rPr>
          <w:sz w:val="20"/>
          <w:szCs w:val="20"/>
          <w:color w:val="auto"/>
        </w:rPr>
      </w:pPr>
      <w:r>
        <w:rPr>
          <w:rFonts w:ascii="Arial" w:cs="Arial" w:eastAsia="Arial" w:hAnsi="Arial"/>
          <w:sz w:val="14"/>
          <w:szCs w:val="14"/>
          <w:color w:val="auto"/>
        </w:rPr>
        <w:t>AAL=PA-03735 108567-1F.txt</w:t>
      </w:r>
      <w:r>
        <w:rPr>
          <w:sz w:val="20"/>
          <w:szCs w:val="20"/>
          <w:color w:val="auto"/>
        </w:rPr>
        <w:tab/>
      </w:r>
      <w:r>
        <w:rPr>
          <w:rFonts w:ascii="Arial" w:cs="Arial" w:eastAsia="Arial" w:hAnsi="Arial"/>
          <w:sz w:val="14"/>
          <w:szCs w:val="14"/>
          <w:b w:val="1"/>
          <w:bCs w:val="1"/>
          <w:color w:val="auto"/>
        </w:rPr>
        <w:t>Boeing Proprietary</w:t>
      </w:r>
      <w:r>
        <w:rPr>
          <w:sz w:val="20"/>
          <w:szCs w:val="20"/>
          <w:color w:val="auto"/>
        </w:rPr>
        <w:tab/>
      </w:r>
      <w:r>
        <w:rPr>
          <w:rFonts w:ascii="Arial" w:cs="Arial" w:eastAsia="Arial" w:hAnsi="Arial"/>
          <w:sz w:val="14"/>
          <w:szCs w:val="14"/>
          <w:color w:val="auto"/>
        </w:rPr>
        <w:t>SA-19</w:t>
      </w:r>
    </w:p>
    <w:p>
      <w:pPr>
        <w:spacing w:after="0" w:line="109" w:lineRule="exact"/>
        <w:rPr>
          <w:sz w:val="20"/>
          <w:szCs w:val="20"/>
          <w:color w:val="auto"/>
        </w:rPr>
      </w:pPr>
    </w:p>
    <w:p>
      <w:pPr>
        <w:ind w:right="940"/>
        <w:spacing w:after="0" w:line="285" w:lineRule="auto"/>
        <w:rPr>
          <w:sz w:val="20"/>
          <w:szCs w:val="20"/>
          <w:color w:val="auto"/>
        </w:rPr>
      </w:pPr>
      <w:r>
        <w:rPr>
          <w:rFonts w:ascii="Arial" w:cs="Arial" w:eastAsia="Arial" w:hAnsi="Arial"/>
          <w:sz w:val="14"/>
          <w:szCs w:val="14"/>
          <w:b w:val="1"/>
          <w:bCs w:val="1"/>
          <w:color w:val="auto"/>
        </w:rPr>
        <w:t xml:space="preserve">[****]=[CONFIDENTIAL PORTION HAS BEEN OMITTED BECAUSE IT (I) IS NOT MATERIAL AND (II) WOULD BE COMPETITIVELY HARMFUL IF PUBLICLY DISCLOSED] </w:t>
      </w:r>
      <w:r>
        <w:rPr>
          <w:rFonts w:ascii="Arial" w:cs="Arial" w:eastAsia="Arial" w:hAnsi="Arial"/>
          <w:sz w:val="14"/>
          <w:szCs w:val="14"/>
          <w:color w:val="auto"/>
        </w:rPr>
        <w:t>Page 3</w:t>
      </w:r>
    </w:p>
    <w:p>
      <w:pPr>
        <w:sectPr>
          <w:pgSz w:w="11900" w:h="16838" w:orient="portrait"/>
          <w:cols w:equalWidth="0" w:num="1">
            <w:col w:w="11260"/>
          </w:cols>
          <w:pgMar w:left="320" w:top="1440" w:right="319" w:bottom="1440" w:gutter="0" w:footer="0" w:header="0"/>
        </w:sectPr>
      </w:pPr>
    </w:p>
    <w:bookmarkStart w:id="234" w:name="page235"/>
    <w:bookmarkEnd w:id="234"/>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Table 1-3R6 To</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Aircraft Delivery, Description, Price and Advance Payments</w:t>
      </w: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600" w:type="dxa"/>
            <w:vAlign w:val="bottom"/>
          </w:tcPr>
          <w:p>
            <w:pPr>
              <w:spacing w:after="0"/>
              <w:rPr>
                <w:sz w:val="20"/>
                <w:szCs w:val="20"/>
                <w:color w:val="auto"/>
              </w:rPr>
            </w:pPr>
            <w:r>
              <w:rPr>
                <w:rFonts w:ascii="Arial" w:cs="Arial" w:eastAsia="Arial" w:hAnsi="Arial"/>
                <w:sz w:val="14"/>
                <w:szCs w:val="14"/>
                <w:b w:val="1"/>
                <w:bCs w:val="1"/>
                <w:color w:val="auto"/>
              </w:rPr>
              <w:t>Airframe Model/MTOW:</w:t>
            </w: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737-8</w:t>
            </w:r>
          </w:p>
        </w:tc>
        <w:tc>
          <w:tcPr>
            <w:tcW w:w="1060" w:type="dxa"/>
            <w:vAlign w:val="bottom"/>
          </w:tcPr>
          <w:p>
            <w:pPr>
              <w:ind w:left="80"/>
              <w:spacing w:after="0"/>
              <w:rPr>
                <w:sz w:val="20"/>
                <w:szCs w:val="20"/>
                <w:color w:val="auto"/>
              </w:rPr>
            </w:pPr>
            <w:r>
              <w:rPr>
                <w:rFonts w:ascii="Arial" w:cs="Arial" w:eastAsia="Arial" w:hAnsi="Arial"/>
                <w:sz w:val="14"/>
                <w:szCs w:val="14"/>
                <w:color w:val="auto"/>
              </w:rPr>
              <w:t>[****] pounds</w:t>
            </w:r>
          </w:p>
        </w:tc>
        <w:tc>
          <w:tcPr>
            <w:tcW w:w="3940" w:type="dxa"/>
            <w:vAlign w:val="bottom"/>
            <w:gridSpan w:val="3"/>
          </w:tcPr>
          <w:p>
            <w:pPr>
              <w:ind w:left="620"/>
              <w:spacing w:after="0"/>
              <w:rPr>
                <w:sz w:val="20"/>
                <w:szCs w:val="20"/>
                <w:color w:val="auto"/>
              </w:rPr>
            </w:pPr>
            <w:r>
              <w:rPr>
                <w:rFonts w:ascii="Arial" w:cs="Arial" w:eastAsia="Arial" w:hAnsi="Arial"/>
                <w:sz w:val="14"/>
                <w:szCs w:val="14"/>
                <w:b w:val="1"/>
                <w:bCs w:val="1"/>
                <w:color w:val="auto"/>
              </w:rPr>
              <w:t>Detail Specification:</w:t>
            </w:r>
          </w:p>
        </w:tc>
        <w:tc>
          <w:tcPr>
            <w:tcW w:w="740" w:type="dxa"/>
            <w:vAlign w:val="bottom"/>
          </w:tcPr>
          <w:p>
            <w:pPr>
              <w:spacing w:after="0"/>
              <w:rPr>
                <w:sz w:val="16"/>
                <w:szCs w:val="16"/>
                <w:color w:val="auto"/>
              </w:rPr>
            </w:pPr>
          </w:p>
        </w:tc>
        <w:tc>
          <w:tcPr>
            <w:tcW w:w="13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Engine Model/Thrust:</w:t>
            </w:r>
          </w:p>
        </w:tc>
        <w:tc>
          <w:tcPr>
            <w:tcW w:w="1280" w:type="dxa"/>
            <w:vAlign w:val="bottom"/>
          </w:tcPr>
          <w:p>
            <w:pPr>
              <w:jc w:val="center"/>
              <w:ind w:left="28"/>
              <w:spacing w:after="0"/>
              <w:rPr>
                <w:sz w:val="20"/>
                <w:szCs w:val="20"/>
                <w:color w:val="auto"/>
              </w:rPr>
            </w:pPr>
            <w:r>
              <w:rPr>
                <w:rFonts w:ascii="Arial" w:cs="Arial" w:eastAsia="Arial" w:hAnsi="Arial"/>
                <w:sz w:val="14"/>
                <w:szCs w:val="14"/>
                <w:color w:val="auto"/>
              </w:rPr>
              <w:t>CFMLEAP-1B25</w:t>
            </w:r>
          </w:p>
        </w:tc>
        <w:tc>
          <w:tcPr>
            <w:tcW w:w="1060" w:type="dxa"/>
            <w:vAlign w:val="bottom"/>
          </w:tcPr>
          <w:p>
            <w:pPr>
              <w:ind w:left="80"/>
              <w:spacing w:after="0"/>
              <w:rPr>
                <w:sz w:val="20"/>
                <w:szCs w:val="20"/>
                <w:color w:val="auto"/>
              </w:rPr>
            </w:pPr>
            <w:r>
              <w:rPr>
                <w:rFonts w:ascii="Arial" w:cs="Arial" w:eastAsia="Arial" w:hAnsi="Arial"/>
                <w:sz w:val="14"/>
                <w:szCs w:val="14"/>
                <w:color w:val="auto"/>
              </w:rPr>
              <w:t>[****] pounds</w:t>
            </w:r>
          </w:p>
        </w:tc>
        <w:tc>
          <w:tcPr>
            <w:tcW w:w="3940" w:type="dxa"/>
            <w:vAlign w:val="bottom"/>
            <w:gridSpan w:val="3"/>
          </w:tcPr>
          <w:p>
            <w:pPr>
              <w:ind w:left="620"/>
              <w:spacing w:after="0"/>
              <w:rPr>
                <w:sz w:val="20"/>
                <w:szCs w:val="20"/>
                <w:color w:val="auto"/>
              </w:rPr>
            </w:pPr>
            <w:r>
              <w:rPr>
                <w:rFonts w:ascii="Arial" w:cs="Arial" w:eastAsia="Arial" w:hAnsi="Arial"/>
                <w:sz w:val="14"/>
                <w:szCs w:val="14"/>
                <w:b w:val="1"/>
                <w:bCs w:val="1"/>
                <w:color w:val="auto"/>
              </w:rPr>
              <w:t>Airframe Price Base Year/Escalation Formula:</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Airframe Price:</w:t>
            </w:r>
          </w:p>
        </w:tc>
        <w:tc>
          <w:tcPr>
            <w:tcW w:w="128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4"/>
                <w:szCs w:val="14"/>
                <w:color w:val="auto"/>
              </w:rPr>
              <w:t>$[****]</w:t>
            </w:r>
          </w:p>
        </w:tc>
        <w:tc>
          <w:tcPr>
            <w:tcW w:w="3940" w:type="dxa"/>
            <w:vAlign w:val="bottom"/>
            <w:gridSpan w:val="3"/>
          </w:tcPr>
          <w:p>
            <w:pPr>
              <w:ind w:left="620"/>
              <w:spacing w:after="0"/>
              <w:rPr>
                <w:sz w:val="20"/>
                <w:szCs w:val="20"/>
                <w:color w:val="auto"/>
              </w:rPr>
            </w:pPr>
            <w:r>
              <w:rPr>
                <w:rFonts w:ascii="Arial" w:cs="Arial" w:eastAsia="Arial" w:hAnsi="Arial"/>
                <w:sz w:val="14"/>
                <w:szCs w:val="14"/>
                <w:b w:val="1"/>
                <w:bCs w:val="1"/>
                <w:color w:val="auto"/>
              </w:rPr>
              <w:t>Engine Price Base Year/Escalation Formula:</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Optional Features:</w:t>
            </w:r>
          </w:p>
        </w:tc>
        <w:tc>
          <w:tcPr>
            <w:tcW w:w="1280" w:type="dxa"/>
            <w:vAlign w:val="bottom"/>
          </w:tcPr>
          <w:p>
            <w:pPr>
              <w:spacing w:after="0"/>
              <w:rPr>
                <w:sz w:val="24"/>
                <w:szCs w:val="24"/>
                <w:color w:val="auto"/>
              </w:rPr>
            </w:pPr>
          </w:p>
        </w:tc>
        <w:tc>
          <w:tcPr>
            <w:tcW w:w="1060" w:type="dxa"/>
            <w:vAlign w:val="bottom"/>
          </w:tcPr>
          <w:p>
            <w:pPr>
              <w:ind w:left="6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Sub-Total of Airframe and Features:</w:t>
            </w:r>
          </w:p>
        </w:tc>
        <w:tc>
          <w:tcPr>
            <w:tcW w:w="12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Airframe Escalation Data:</w:t>
            </w: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6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33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600" w:type="dxa"/>
            <w:vAlign w:val="bottom"/>
          </w:tcPr>
          <w:p>
            <w:pPr>
              <w:spacing w:after="0"/>
              <w:rPr>
                <w:sz w:val="20"/>
                <w:szCs w:val="20"/>
                <w:color w:val="auto"/>
              </w:rPr>
            </w:pPr>
            <w:r>
              <w:rPr>
                <w:rFonts w:ascii="Arial" w:cs="Arial" w:eastAsia="Arial" w:hAnsi="Arial"/>
                <w:sz w:val="14"/>
                <w:szCs w:val="14"/>
                <w:b w:val="1"/>
                <w:bCs w:val="1"/>
                <w:color w:val="auto"/>
              </w:rPr>
              <w:t>Engine Price (Per Aircraft):</w:t>
            </w:r>
          </w:p>
        </w:tc>
        <w:tc>
          <w:tcPr>
            <w:tcW w:w="128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4"/>
                <w:szCs w:val="14"/>
                <w:color w:val="auto"/>
              </w:rPr>
              <w:t>$[****]</w:t>
            </w:r>
          </w:p>
        </w:tc>
        <w:tc>
          <w:tcPr>
            <w:tcW w:w="3940" w:type="dxa"/>
            <w:vAlign w:val="bottom"/>
            <w:gridSpan w:val="3"/>
          </w:tcPr>
          <w:p>
            <w:pPr>
              <w:ind w:left="620"/>
              <w:spacing w:after="0"/>
              <w:rPr>
                <w:sz w:val="20"/>
                <w:szCs w:val="20"/>
                <w:color w:val="auto"/>
              </w:rPr>
            </w:pPr>
            <w:r>
              <w:rPr>
                <w:rFonts w:ascii="Arial" w:cs="Arial" w:eastAsia="Arial" w:hAnsi="Arial"/>
                <w:sz w:val="14"/>
                <w:szCs w:val="14"/>
                <w:b w:val="1"/>
                <w:bCs w:val="1"/>
                <w:color w:val="auto"/>
              </w:rPr>
              <w:t>Base Year Index (ECI):</w:t>
            </w:r>
          </w:p>
        </w:tc>
        <w:tc>
          <w:tcPr>
            <w:tcW w:w="740" w:type="dxa"/>
            <w:vAlign w:val="bottom"/>
          </w:tcPr>
          <w:p>
            <w:pPr>
              <w:spacing w:after="0"/>
              <w:rPr>
                <w:sz w:val="24"/>
                <w:szCs w:val="24"/>
                <w:color w:val="auto"/>
              </w:rPr>
            </w:pPr>
          </w:p>
        </w:tc>
        <w:tc>
          <w:tcPr>
            <w:tcW w:w="13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Aircraft Basic Price (Excluding</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4"/>
                <w:szCs w:val="14"/>
                <w:b w:val="1"/>
                <w:bCs w:val="1"/>
                <w:color w:val="auto"/>
              </w:rPr>
              <w:t>BFE/SPE):</w:t>
            </w:r>
          </w:p>
        </w:tc>
        <w:tc>
          <w:tcPr>
            <w:tcW w:w="12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Arial" w:cs="Arial" w:eastAsia="Arial" w:hAnsi="Arial"/>
                <w:sz w:val="14"/>
                <w:szCs w:val="14"/>
                <w:color w:val="auto"/>
              </w:rPr>
              <w:t>$[****]</w:t>
            </w:r>
          </w:p>
        </w:tc>
        <w:tc>
          <w:tcPr>
            <w:tcW w:w="3940" w:type="dxa"/>
            <w:vAlign w:val="bottom"/>
            <w:gridSpan w:val="3"/>
          </w:tcPr>
          <w:p>
            <w:pPr>
              <w:ind w:left="620"/>
              <w:spacing w:after="0"/>
              <w:rPr>
                <w:sz w:val="20"/>
                <w:szCs w:val="20"/>
                <w:color w:val="auto"/>
              </w:rPr>
            </w:pPr>
            <w:r>
              <w:rPr>
                <w:rFonts w:ascii="Arial" w:cs="Arial" w:eastAsia="Arial" w:hAnsi="Arial"/>
                <w:sz w:val="14"/>
                <w:szCs w:val="14"/>
                <w:b w:val="1"/>
                <w:bCs w:val="1"/>
                <w:color w:val="auto"/>
              </w:rPr>
              <w:t>Base Year Index (CPI):</w:t>
            </w:r>
          </w:p>
        </w:tc>
        <w:tc>
          <w:tcPr>
            <w:tcW w:w="740" w:type="dxa"/>
            <w:vAlign w:val="bottom"/>
          </w:tcPr>
          <w:p>
            <w:pPr>
              <w:spacing w:after="0"/>
              <w:rPr>
                <w:sz w:val="21"/>
                <w:szCs w:val="21"/>
                <w:color w:val="auto"/>
              </w:rPr>
            </w:pPr>
          </w:p>
        </w:tc>
        <w:tc>
          <w:tcPr>
            <w:tcW w:w="13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Buyer Furnished Equipment (BFE)</w:t>
            </w:r>
          </w:p>
        </w:tc>
        <w:tc>
          <w:tcPr>
            <w:tcW w:w="12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6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1280" w:type="dxa"/>
            <w:vAlign w:val="bottom"/>
          </w:tcPr>
          <w:p>
            <w:pPr>
              <w:spacing w:after="0"/>
              <w:rPr>
                <w:sz w:val="21"/>
                <w:szCs w:val="21"/>
                <w:color w:val="auto"/>
              </w:rPr>
            </w:pPr>
          </w:p>
        </w:tc>
        <w:tc>
          <w:tcPr>
            <w:tcW w:w="1060" w:type="dxa"/>
            <w:vAlign w:val="bottom"/>
          </w:tcPr>
          <w:p>
            <w:pPr>
              <w:ind w:left="6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Seller Purchased Equipment (SPE)</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1280" w:type="dxa"/>
            <w:vAlign w:val="bottom"/>
          </w:tcPr>
          <w:p>
            <w:pPr>
              <w:spacing w:after="0"/>
              <w:rPr>
                <w:sz w:val="21"/>
                <w:szCs w:val="21"/>
                <w:color w:val="auto"/>
              </w:rPr>
            </w:pPr>
          </w:p>
        </w:tc>
        <w:tc>
          <w:tcPr>
            <w:tcW w:w="1060" w:type="dxa"/>
            <w:vAlign w:val="bottom"/>
          </w:tcPr>
          <w:p>
            <w:pPr>
              <w:ind w:left="6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LIFT Seats Provided by Boeing</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1280" w:type="dxa"/>
            <w:vAlign w:val="bottom"/>
          </w:tcPr>
          <w:p>
            <w:pPr>
              <w:spacing w:after="0"/>
              <w:rPr>
                <w:sz w:val="21"/>
                <w:szCs w:val="21"/>
                <w:color w:val="auto"/>
              </w:rPr>
            </w:pPr>
          </w:p>
        </w:tc>
        <w:tc>
          <w:tcPr>
            <w:tcW w:w="1060" w:type="dxa"/>
            <w:vAlign w:val="bottom"/>
          </w:tcPr>
          <w:p>
            <w:pPr>
              <w:ind w:left="6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b w:val="1"/>
                <w:bCs w:val="1"/>
                <w:color w:val="auto"/>
              </w:rPr>
              <w:t>Deposit per Aircraft:</w:t>
            </w:r>
          </w:p>
        </w:tc>
        <w:tc>
          <w:tcPr>
            <w:tcW w:w="1280" w:type="dxa"/>
            <w:vAlign w:val="bottom"/>
          </w:tcPr>
          <w:p>
            <w:pPr>
              <w:spacing w:after="0"/>
              <w:rPr>
                <w:sz w:val="24"/>
                <w:szCs w:val="24"/>
                <w:color w:val="auto"/>
              </w:rPr>
            </w:pPr>
          </w:p>
        </w:tc>
        <w:tc>
          <w:tcPr>
            <w:tcW w:w="1060" w:type="dxa"/>
            <w:vAlign w:val="bottom"/>
          </w:tcPr>
          <w:p>
            <w:pPr>
              <w:ind w:left="6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000" w:type="dxa"/>
            <w:vAlign w:val="bottom"/>
            <w:tcBorders>
              <w:top w:val="single" w:sz="8" w:color="auto"/>
              <w:left w:val="single" w:sz="8" w:color="auto"/>
              <w:right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shd w:val="clear" w:color="auto" w:fill="D9D9D9"/>
          </w:tcPr>
          <w:p>
            <w:pPr>
              <w:spacing w:after="0"/>
              <w:rPr>
                <w:sz w:val="24"/>
                <w:szCs w:val="24"/>
                <w:color w:val="auto"/>
              </w:rPr>
            </w:pPr>
          </w:p>
        </w:tc>
        <w:tc>
          <w:tcPr>
            <w:tcW w:w="1240" w:type="dxa"/>
            <w:vAlign w:val="bottom"/>
            <w:tcBorders>
              <w:top w:val="single" w:sz="8" w:color="auto"/>
              <w:right w:val="single" w:sz="8" w:color="auto"/>
            </w:tcBorders>
            <w:shd w:val="clear" w:color="auto" w:fill="D9D9D9"/>
          </w:tcPr>
          <w:p>
            <w:pPr>
              <w:spacing w:after="0"/>
              <w:rPr>
                <w:sz w:val="24"/>
                <w:szCs w:val="24"/>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Escalation</w:t>
            </w:r>
          </w:p>
        </w:tc>
        <w:tc>
          <w:tcPr>
            <w:tcW w:w="448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Advance Payment Per Aircraft (Amts. Due/Mos. Prior to</w:t>
            </w:r>
          </w:p>
        </w:tc>
        <w:tc>
          <w:tcPr>
            <w:tcW w:w="0" w:type="dxa"/>
            <w:vAlign w:val="bottom"/>
          </w:tcPr>
          <w:p>
            <w:pPr>
              <w:spacing w:after="0"/>
              <w:rPr>
                <w:sz w:val="1"/>
                <w:szCs w:val="1"/>
                <w:color w:val="auto"/>
              </w:rPr>
            </w:pPr>
          </w:p>
        </w:tc>
      </w:tr>
      <w:tr>
        <w:trPr>
          <w:trHeight w:val="136"/>
        </w:trPr>
        <w:tc>
          <w:tcPr>
            <w:tcW w:w="100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shd w:val="clear" w:color="auto" w:fill="D9D9D9"/>
          </w:tcPr>
          <w:p>
            <w:pPr>
              <w:spacing w:after="0"/>
              <w:rPr>
                <w:sz w:val="11"/>
                <w:szCs w:val="11"/>
                <w:color w:val="auto"/>
              </w:rPr>
            </w:pPr>
          </w:p>
        </w:tc>
        <w:tc>
          <w:tcPr>
            <w:tcW w:w="1240" w:type="dxa"/>
            <w:vAlign w:val="bottom"/>
            <w:tcBorders>
              <w:right w:val="single" w:sz="8" w:color="auto"/>
            </w:tcBorders>
            <w:shd w:val="clear" w:color="auto" w:fill="D9D9D9"/>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2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Delivery):</w:t>
            </w: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shd w:val="clear" w:color="auto" w:fill="D9D9D9"/>
          </w:tcPr>
          <w:p>
            <w:pPr>
              <w:spacing w:after="0"/>
              <w:rPr>
                <w:sz w:val="11"/>
                <w:szCs w:val="11"/>
                <w:color w:val="auto"/>
              </w:rPr>
            </w:pPr>
          </w:p>
        </w:tc>
        <w:tc>
          <w:tcPr>
            <w:tcW w:w="1240" w:type="dxa"/>
            <w:vAlign w:val="bottom"/>
            <w:tcBorders>
              <w:right w:val="single" w:sz="8" w:color="auto"/>
            </w:tcBorders>
            <w:shd w:val="clear" w:color="auto" w:fill="D9D9D9"/>
          </w:tcPr>
          <w:p>
            <w:pPr>
              <w:spacing w:after="0"/>
              <w:rPr>
                <w:sz w:val="11"/>
                <w:szCs w:val="11"/>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Estimate</w:t>
            </w:r>
          </w:p>
        </w:tc>
        <w:tc>
          <w:tcPr>
            <w:tcW w:w="112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000" w:type="dxa"/>
            <w:vAlign w:val="bottom"/>
            <w:tcBorders>
              <w:left w:val="single" w:sz="8" w:color="auto"/>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200" w:type="dxa"/>
            <w:vAlign w:val="bottom"/>
            <w:tcBorders>
              <w:bottom w:val="single" w:sz="8" w:color="D9D9D9"/>
              <w:right w:val="single" w:sz="8" w:color="auto"/>
            </w:tcBorders>
            <w:shd w:val="clear" w:color="auto" w:fill="D9D9D9"/>
          </w:tcPr>
          <w:p>
            <w:pPr>
              <w:spacing w:after="0"/>
              <w:rPr>
                <w:sz w:val="5"/>
                <w:szCs w:val="5"/>
                <w:color w:val="auto"/>
              </w:rPr>
            </w:pPr>
          </w:p>
        </w:tc>
        <w:tc>
          <w:tcPr>
            <w:tcW w:w="1240" w:type="dxa"/>
            <w:vAlign w:val="bottom"/>
            <w:tcBorders>
              <w:bottom w:val="single" w:sz="8" w:color="D9D9D9"/>
              <w:right w:val="single" w:sz="8" w:color="auto"/>
            </w:tcBorders>
            <w:shd w:val="clear" w:color="auto" w:fill="D9D9D9"/>
          </w:tcPr>
          <w:p>
            <w:pPr>
              <w:spacing w:after="0"/>
              <w:rPr>
                <w:sz w:val="5"/>
                <w:szCs w:val="5"/>
                <w:color w:val="auto"/>
              </w:rPr>
            </w:pPr>
          </w:p>
        </w:tc>
        <w:tc>
          <w:tcPr>
            <w:tcW w:w="1460" w:type="dxa"/>
            <w:vAlign w:val="bottom"/>
            <w:tcBorders>
              <w:right w:val="single" w:sz="8" w:color="auto"/>
            </w:tcBorders>
            <w:vMerge w:val="continue"/>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00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9"/>
              </w:rPr>
              <w:t>Number</w:t>
            </w:r>
          </w:p>
        </w:tc>
        <w:tc>
          <w:tcPr>
            <w:tcW w:w="10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9"/>
              </w:rPr>
              <w:t>Escalation</w:t>
            </w:r>
          </w:p>
        </w:tc>
        <w:tc>
          <w:tcPr>
            <w:tcW w:w="1200" w:type="dxa"/>
            <w:vAlign w:val="bottom"/>
            <w:tcBorders>
              <w:right w:val="single" w:sz="8" w:color="auto"/>
            </w:tcBorders>
            <w:shd w:val="clear" w:color="auto" w:fill="D9D9D9"/>
          </w:tcPr>
          <w:p>
            <w:pPr>
              <w:spacing w:after="0"/>
              <w:rPr>
                <w:sz w:val="14"/>
                <w:szCs w:val="14"/>
                <w:color w:val="auto"/>
              </w:rPr>
            </w:pPr>
          </w:p>
        </w:tc>
        <w:tc>
          <w:tcPr>
            <w:tcW w:w="1240" w:type="dxa"/>
            <w:vAlign w:val="bottom"/>
            <w:tcBorders>
              <w:right w:val="single" w:sz="8" w:color="auto"/>
            </w:tcBorders>
            <w:shd w:val="clear" w:color="auto" w:fill="D9D9D9"/>
          </w:tcPr>
          <w:p>
            <w:pPr>
              <w:jc w:val="center"/>
              <w:spacing w:after="0" w:line="165" w:lineRule="exact"/>
              <w:rPr>
                <w:sz w:val="20"/>
                <w:szCs w:val="20"/>
                <w:color w:val="auto"/>
              </w:rPr>
            </w:pPr>
            <w:r>
              <w:rPr>
                <w:rFonts w:ascii="Arial" w:cs="Arial" w:eastAsia="Arial" w:hAnsi="Arial"/>
                <w:sz w:val="16"/>
                <w:szCs w:val="16"/>
                <w:b w:val="1"/>
                <w:bCs w:val="1"/>
                <w:color w:val="auto"/>
              </w:rPr>
              <w:t>Nominal</w:t>
            </w:r>
          </w:p>
        </w:tc>
        <w:tc>
          <w:tcPr>
            <w:tcW w:w="14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Adv Payment</w:t>
            </w:r>
          </w:p>
        </w:tc>
        <w:tc>
          <w:tcPr>
            <w:tcW w:w="11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At Signing</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7"/>
        </w:trPr>
        <w:tc>
          <w:tcPr>
            <w:tcW w:w="1000" w:type="dxa"/>
            <w:vAlign w:val="bottom"/>
            <w:tcBorders>
              <w:left w:val="single" w:sz="8" w:color="auto"/>
              <w:right w:val="single" w:sz="8" w:color="auto"/>
            </w:tcBorders>
            <w:vMerge w:val="restart"/>
          </w:tcPr>
          <w:p>
            <w:pPr>
              <w:jc w:val="right"/>
              <w:ind w:right="99"/>
              <w:spacing w:after="0"/>
              <w:rPr>
                <w:sz w:val="20"/>
                <w:szCs w:val="20"/>
                <w:color w:val="auto"/>
              </w:rPr>
            </w:pPr>
            <w:r>
              <w:rPr>
                <w:rFonts w:ascii="Arial" w:cs="Arial" w:eastAsia="Arial" w:hAnsi="Arial"/>
                <w:sz w:val="16"/>
                <w:szCs w:val="16"/>
                <w:b w:val="1"/>
                <w:bCs w:val="1"/>
                <w:color w:val="auto"/>
              </w:rPr>
              <w:t>Delivery</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of</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Factor</w:t>
            </w:r>
          </w:p>
        </w:tc>
        <w:tc>
          <w:tcPr>
            <w:tcW w:w="12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Manufacturer</w:t>
            </w:r>
          </w:p>
        </w:tc>
        <w:tc>
          <w:tcPr>
            <w:tcW w:w="12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Delivery</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Base</w:t>
            </w: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000" w:type="dxa"/>
            <w:vAlign w:val="bottom"/>
            <w:tcBorders>
              <w:left w:val="single" w:sz="8" w:color="auto"/>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shd w:val="clear" w:color="auto" w:fill="D9D9D9"/>
          </w:tcPr>
          <w:p>
            <w:pPr>
              <w:spacing w:after="0"/>
              <w:rPr>
                <w:sz w:val="7"/>
                <w:szCs w:val="7"/>
                <w:color w:val="auto"/>
              </w:rPr>
            </w:pPr>
          </w:p>
        </w:tc>
        <w:tc>
          <w:tcPr>
            <w:tcW w:w="1240" w:type="dxa"/>
            <w:vAlign w:val="bottom"/>
            <w:tcBorders>
              <w:right w:val="single" w:sz="8" w:color="auto"/>
            </w:tcBorders>
            <w:vMerge w:val="continue"/>
            <w:shd w:val="clear" w:color="auto" w:fill="D9D9D9"/>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000" w:type="dxa"/>
            <w:vAlign w:val="bottom"/>
            <w:tcBorders>
              <w:left w:val="single" w:sz="8" w:color="auto"/>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Date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Aircraft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(Airframe)</w:t>
            </w:r>
          </w:p>
        </w:tc>
        <w:tc>
          <w:tcPr>
            <w:tcW w:w="1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Serial Number</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9"/>
              </w:rPr>
              <w:t>Month</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Price Per A/P</w:t>
            </w: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2000" w:val="left"/>
          <w:tab w:leader="none" w:pos="3500" w:val="left"/>
        </w:tabs>
        <w:rPr>
          <w:sz w:val="20"/>
          <w:szCs w:val="20"/>
          <w:color w:val="auto"/>
        </w:rPr>
      </w:pPr>
      <w:r>
        <w:rPr>
          <w:rFonts w:ascii="Arial" w:cs="Arial" w:eastAsia="Arial" w:hAnsi="Arial"/>
          <w:sz w:val="14"/>
          <w:szCs w:val="14"/>
          <w:color w:val="auto"/>
        </w:rPr>
        <w:t>AAL-PA-03735 108567-1F.txt</w:t>
      </w:r>
      <w:r>
        <w:rPr>
          <w:sz w:val="20"/>
          <w:szCs w:val="20"/>
          <w:color w:val="auto"/>
        </w:rPr>
        <w:tab/>
      </w:r>
      <w:r>
        <w:rPr>
          <w:rFonts w:ascii="Arial" w:cs="Arial" w:eastAsia="Arial" w:hAnsi="Arial"/>
          <w:sz w:val="14"/>
          <w:szCs w:val="14"/>
          <w:b w:val="1"/>
          <w:bCs w:val="1"/>
          <w:color w:val="auto"/>
        </w:rPr>
        <w:t>Boeing Proprietary</w:t>
      </w:r>
      <w:r>
        <w:rPr>
          <w:sz w:val="20"/>
          <w:szCs w:val="20"/>
          <w:color w:val="auto"/>
        </w:rPr>
        <w:tab/>
      </w:r>
      <w:r>
        <w:rPr>
          <w:rFonts w:ascii="Arial" w:cs="Arial" w:eastAsia="Arial" w:hAnsi="Arial"/>
          <w:sz w:val="14"/>
          <w:szCs w:val="14"/>
          <w:color w:val="auto"/>
        </w:rPr>
        <w:t>SA-19</w:t>
      </w:r>
    </w:p>
    <w:p>
      <w:pPr>
        <w:spacing w:after="0" w:line="109" w:lineRule="exact"/>
        <w:rPr>
          <w:sz w:val="20"/>
          <w:szCs w:val="20"/>
          <w:color w:val="auto"/>
        </w:rPr>
      </w:pPr>
    </w:p>
    <w:p>
      <w:pPr>
        <w:ind w:right="940"/>
        <w:spacing w:after="0" w:line="285" w:lineRule="auto"/>
        <w:rPr>
          <w:sz w:val="20"/>
          <w:szCs w:val="20"/>
          <w:color w:val="auto"/>
        </w:rPr>
      </w:pPr>
      <w:r>
        <w:rPr>
          <w:rFonts w:ascii="Arial" w:cs="Arial" w:eastAsia="Arial" w:hAnsi="Arial"/>
          <w:sz w:val="14"/>
          <w:szCs w:val="14"/>
          <w:b w:val="1"/>
          <w:bCs w:val="1"/>
          <w:color w:val="auto"/>
        </w:rPr>
        <w:t xml:space="preserve">[****]=[CONFIDENTIAL PORTION HAS BEEN OMITTED BECAUSE IT (I) IS NOT MATERIAL AND (II) WOULD BE COMPETITIVELY HARMFUL IF PUBLICLY DISCLOSED] </w:t>
      </w:r>
      <w:r>
        <w:rPr>
          <w:rFonts w:ascii="Arial" w:cs="Arial" w:eastAsia="Arial" w:hAnsi="Arial"/>
          <w:sz w:val="14"/>
          <w:szCs w:val="14"/>
          <w:color w:val="auto"/>
        </w:rPr>
        <w:t>Page 1</w:t>
      </w:r>
    </w:p>
    <w:p>
      <w:pPr>
        <w:sectPr>
          <w:pgSz w:w="11900" w:h="16838" w:orient="portrait"/>
          <w:cols w:equalWidth="0" w:num="1">
            <w:col w:w="11260"/>
          </w:cols>
          <w:pgMar w:left="320" w:top="1440" w:right="319" w:bottom="1440" w:gutter="0" w:footer="0" w:header="0"/>
        </w:sectPr>
      </w:pPr>
    </w:p>
    <w:bookmarkStart w:id="235" w:name="page236"/>
    <w:bookmarkEnd w:id="235"/>
    <w:p>
      <w:pPr>
        <w:jc w:val="center"/>
        <w:ind w:right="20"/>
        <w:spacing w:after="0"/>
        <w:rPr>
          <w:sz w:val="20"/>
          <w:szCs w:val="20"/>
          <w:color w:val="auto"/>
        </w:rPr>
      </w:pPr>
      <w:r>
        <w:rPr>
          <w:rFonts w:ascii="Arial" w:cs="Arial" w:eastAsia="Arial" w:hAnsi="Arial"/>
          <w:sz w:val="22"/>
          <w:szCs w:val="22"/>
          <w:b w:val="1"/>
          <w:bCs w:val="1"/>
          <w:color w:val="auto"/>
        </w:rPr>
        <w:t>Table 1-3R6 To</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Purchase Agreement No. PA-03735</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000" w:type="dxa"/>
            <w:vAlign w:val="bottom"/>
            <w:tcBorders>
              <w:top w:val="single" w:sz="8" w:color="auto"/>
              <w:left w:val="single" w:sz="8" w:color="auto"/>
              <w:right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shd w:val="clear" w:color="auto" w:fill="D9D9D9"/>
          </w:tcPr>
          <w:p>
            <w:pPr>
              <w:spacing w:after="0"/>
              <w:rPr>
                <w:sz w:val="24"/>
                <w:szCs w:val="24"/>
                <w:color w:val="auto"/>
              </w:rPr>
            </w:pPr>
          </w:p>
        </w:tc>
        <w:tc>
          <w:tcPr>
            <w:tcW w:w="1240" w:type="dxa"/>
            <w:vAlign w:val="bottom"/>
            <w:tcBorders>
              <w:top w:val="single" w:sz="8" w:color="auto"/>
              <w:right w:val="single" w:sz="8" w:color="auto"/>
            </w:tcBorders>
            <w:shd w:val="clear" w:color="auto" w:fill="D9D9D9"/>
          </w:tcPr>
          <w:p>
            <w:pPr>
              <w:spacing w:after="0"/>
              <w:rPr>
                <w:sz w:val="24"/>
                <w:szCs w:val="24"/>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Escalation</w:t>
            </w:r>
          </w:p>
        </w:tc>
        <w:tc>
          <w:tcPr>
            <w:tcW w:w="448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Advance Payment Per Aircraft (Amts. Due/Mos. Prior to</w:t>
            </w:r>
          </w:p>
        </w:tc>
        <w:tc>
          <w:tcPr>
            <w:tcW w:w="0" w:type="dxa"/>
            <w:vAlign w:val="bottom"/>
          </w:tcPr>
          <w:p>
            <w:pPr>
              <w:spacing w:after="0"/>
              <w:rPr>
                <w:sz w:val="1"/>
                <w:szCs w:val="1"/>
                <w:color w:val="auto"/>
              </w:rPr>
            </w:pPr>
          </w:p>
        </w:tc>
      </w:tr>
      <w:tr>
        <w:trPr>
          <w:trHeight w:val="136"/>
        </w:trPr>
        <w:tc>
          <w:tcPr>
            <w:tcW w:w="100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shd w:val="clear" w:color="auto" w:fill="D9D9D9"/>
          </w:tcPr>
          <w:p>
            <w:pPr>
              <w:spacing w:after="0"/>
              <w:rPr>
                <w:sz w:val="11"/>
                <w:szCs w:val="11"/>
                <w:color w:val="auto"/>
              </w:rPr>
            </w:pPr>
          </w:p>
        </w:tc>
        <w:tc>
          <w:tcPr>
            <w:tcW w:w="1240" w:type="dxa"/>
            <w:vAlign w:val="bottom"/>
            <w:tcBorders>
              <w:right w:val="single" w:sz="8" w:color="auto"/>
            </w:tcBorders>
            <w:shd w:val="clear" w:color="auto" w:fill="D9D9D9"/>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2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Delivery):</w:t>
            </w: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0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shd w:val="clear" w:color="auto" w:fill="D9D9D9"/>
          </w:tcPr>
          <w:p>
            <w:pPr>
              <w:spacing w:after="0"/>
              <w:rPr>
                <w:sz w:val="11"/>
                <w:szCs w:val="11"/>
                <w:color w:val="auto"/>
              </w:rPr>
            </w:pPr>
          </w:p>
        </w:tc>
        <w:tc>
          <w:tcPr>
            <w:tcW w:w="1240" w:type="dxa"/>
            <w:vAlign w:val="bottom"/>
            <w:tcBorders>
              <w:right w:val="single" w:sz="8" w:color="auto"/>
            </w:tcBorders>
            <w:shd w:val="clear" w:color="auto" w:fill="D9D9D9"/>
          </w:tcPr>
          <w:p>
            <w:pPr>
              <w:spacing w:after="0"/>
              <w:rPr>
                <w:sz w:val="11"/>
                <w:szCs w:val="11"/>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Estimate</w:t>
            </w:r>
          </w:p>
        </w:tc>
        <w:tc>
          <w:tcPr>
            <w:tcW w:w="112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000" w:type="dxa"/>
            <w:vAlign w:val="bottom"/>
            <w:tcBorders>
              <w:left w:val="single" w:sz="8" w:color="auto"/>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200" w:type="dxa"/>
            <w:vAlign w:val="bottom"/>
            <w:tcBorders>
              <w:bottom w:val="single" w:sz="8" w:color="D9D9D9"/>
              <w:right w:val="single" w:sz="8" w:color="auto"/>
            </w:tcBorders>
            <w:shd w:val="clear" w:color="auto" w:fill="D9D9D9"/>
          </w:tcPr>
          <w:p>
            <w:pPr>
              <w:spacing w:after="0"/>
              <w:rPr>
                <w:sz w:val="5"/>
                <w:szCs w:val="5"/>
                <w:color w:val="auto"/>
              </w:rPr>
            </w:pPr>
          </w:p>
        </w:tc>
        <w:tc>
          <w:tcPr>
            <w:tcW w:w="1240" w:type="dxa"/>
            <w:vAlign w:val="bottom"/>
            <w:tcBorders>
              <w:bottom w:val="single" w:sz="8" w:color="D9D9D9"/>
              <w:right w:val="single" w:sz="8" w:color="auto"/>
            </w:tcBorders>
            <w:shd w:val="clear" w:color="auto" w:fill="D9D9D9"/>
          </w:tcPr>
          <w:p>
            <w:pPr>
              <w:spacing w:after="0"/>
              <w:rPr>
                <w:sz w:val="5"/>
                <w:szCs w:val="5"/>
                <w:color w:val="auto"/>
              </w:rPr>
            </w:pPr>
          </w:p>
        </w:tc>
        <w:tc>
          <w:tcPr>
            <w:tcW w:w="1460" w:type="dxa"/>
            <w:vAlign w:val="bottom"/>
            <w:tcBorders>
              <w:right w:val="single" w:sz="8" w:color="auto"/>
            </w:tcBorders>
            <w:vMerge w:val="continue"/>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00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9"/>
              </w:rPr>
              <w:t>Number</w:t>
            </w:r>
          </w:p>
        </w:tc>
        <w:tc>
          <w:tcPr>
            <w:tcW w:w="10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9"/>
              </w:rPr>
              <w:t>Escalation</w:t>
            </w:r>
          </w:p>
        </w:tc>
        <w:tc>
          <w:tcPr>
            <w:tcW w:w="1200" w:type="dxa"/>
            <w:vAlign w:val="bottom"/>
            <w:tcBorders>
              <w:right w:val="single" w:sz="8" w:color="auto"/>
            </w:tcBorders>
            <w:shd w:val="clear" w:color="auto" w:fill="D9D9D9"/>
          </w:tcPr>
          <w:p>
            <w:pPr>
              <w:spacing w:after="0"/>
              <w:rPr>
                <w:sz w:val="14"/>
                <w:szCs w:val="14"/>
                <w:color w:val="auto"/>
              </w:rPr>
            </w:pPr>
          </w:p>
        </w:tc>
        <w:tc>
          <w:tcPr>
            <w:tcW w:w="1240" w:type="dxa"/>
            <w:vAlign w:val="bottom"/>
            <w:tcBorders>
              <w:right w:val="single" w:sz="8" w:color="auto"/>
            </w:tcBorders>
            <w:shd w:val="clear" w:color="auto" w:fill="D9D9D9"/>
          </w:tcPr>
          <w:p>
            <w:pPr>
              <w:jc w:val="center"/>
              <w:spacing w:after="0" w:line="165" w:lineRule="exact"/>
              <w:rPr>
                <w:sz w:val="20"/>
                <w:szCs w:val="20"/>
                <w:color w:val="auto"/>
              </w:rPr>
            </w:pPr>
            <w:r>
              <w:rPr>
                <w:rFonts w:ascii="Arial" w:cs="Arial" w:eastAsia="Arial" w:hAnsi="Arial"/>
                <w:sz w:val="16"/>
                <w:szCs w:val="16"/>
                <w:b w:val="1"/>
                <w:bCs w:val="1"/>
                <w:color w:val="auto"/>
              </w:rPr>
              <w:t>Nominal</w:t>
            </w:r>
          </w:p>
        </w:tc>
        <w:tc>
          <w:tcPr>
            <w:tcW w:w="14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Adv Payment</w:t>
            </w:r>
          </w:p>
        </w:tc>
        <w:tc>
          <w:tcPr>
            <w:tcW w:w="11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At Signing</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7"/>
        </w:trPr>
        <w:tc>
          <w:tcPr>
            <w:tcW w:w="1000" w:type="dxa"/>
            <w:vAlign w:val="bottom"/>
            <w:tcBorders>
              <w:left w:val="single" w:sz="8" w:color="auto"/>
              <w:right w:val="single" w:sz="8" w:color="auto"/>
            </w:tcBorders>
            <w:vMerge w:val="restart"/>
          </w:tcPr>
          <w:p>
            <w:pPr>
              <w:jc w:val="right"/>
              <w:ind w:right="99"/>
              <w:spacing w:after="0"/>
              <w:rPr>
                <w:sz w:val="20"/>
                <w:szCs w:val="20"/>
                <w:color w:val="auto"/>
              </w:rPr>
            </w:pPr>
            <w:r>
              <w:rPr>
                <w:rFonts w:ascii="Arial" w:cs="Arial" w:eastAsia="Arial" w:hAnsi="Arial"/>
                <w:sz w:val="16"/>
                <w:szCs w:val="16"/>
                <w:b w:val="1"/>
                <w:bCs w:val="1"/>
                <w:color w:val="auto"/>
              </w:rPr>
              <w:t>Delivery</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of</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Factor</w:t>
            </w:r>
          </w:p>
        </w:tc>
        <w:tc>
          <w:tcPr>
            <w:tcW w:w="12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Manufacturer</w:t>
            </w:r>
          </w:p>
        </w:tc>
        <w:tc>
          <w:tcPr>
            <w:tcW w:w="12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Delivery</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Base</w:t>
            </w: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000" w:type="dxa"/>
            <w:vAlign w:val="bottom"/>
            <w:tcBorders>
              <w:left w:val="single" w:sz="8" w:color="auto"/>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shd w:val="clear" w:color="auto" w:fill="D9D9D9"/>
          </w:tcPr>
          <w:p>
            <w:pPr>
              <w:spacing w:after="0"/>
              <w:rPr>
                <w:sz w:val="7"/>
                <w:szCs w:val="7"/>
                <w:color w:val="auto"/>
              </w:rPr>
            </w:pPr>
          </w:p>
        </w:tc>
        <w:tc>
          <w:tcPr>
            <w:tcW w:w="1240" w:type="dxa"/>
            <w:vAlign w:val="bottom"/>
            <w:tcBorders>
              <w:right w:val="single" w:sz="8" w:color="auto"/>
            </w:tcBorders>
            <w:vMerge w:val="continue"/>
            <w:shd w:val="clear" w:color="auto" w:fill="D9D9D9"/>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000" w:type="dxa"/>
            <w:vAlign w:val="bottom"/>
            <w:tcBorders>
              <w:left w:val="single" w:sz="8" w:color="auto"/>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Date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Aircraft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(Airframe)</w:t>
            </w:r>
          </w:p>
        </w:tc>
        <w:tc>
          <w:tcPr>
            <w:tcW w:w="1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Serial Number</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9"/>
              </w:rPr>
              <w:t>Month</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Price Per A/P</w:t>
            </w: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00" w:type="dxa"/>
            <w:vAlign w:val="bottom"/>
            <w:tcBorders>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[****]-2024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Total</w:t>
        <w:tab/>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2000" w:val="left"/>
          <w:tab w:leader="none" w:pos="3400" w:val="left"/>
        </w:tabs>
        <w:rPr>
          <w:sz w:val="20"/>
          <w:szCs w:val="20"/>
          <w:color w:val="auto"/>
        </w:rPr>
      </w:pPr>
      <w:r>
        <w:rPr>
          <w:rFonts w:ascii="Arial" w:cs="Arial" w:eastAsia="Arial" w:hAnsi="Arial"/>
          <w:sz w:val="14"/>
          <w:szCs w:val="14"/>
          <w:color w:val="auto"/>
        </w:rPr>
        <w:t>AAL-PA-03735 108567-1F.txt</w:t>
        <w:tab/>
        <w:t>Boeing Proprietary</w:t>
        <w:tab/>
        <w:t>SA-19</w:t>
      </w:r>
    </w:p>
    <w:p>
      <w:pPr>
        <w:spacing w:after="0" w:line="109" w:lineRule="exact"/>
        <w:rPr>
          <w:sz w:val="20"/>
          <w:szCs w:val="20"/>
          <w:color w:val="auto"/>
        </w:rPr>
      </w:pPr>
    </w:p>
    <w:p>
      <w:pPr>
        <w:ind w:right="1100"/>
        <w:spacing w:after="0" w:line="258" w:lineRule="auto"/>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 Page 2</w:t>
      </w:r>
    </w:p>
    <w:p>
      <w:pPr>
        <w:sectPr>
          <w:pgSz w:w="11900" w:h="16838" w:orient="portrait"/>
          <w:cols w:equalWidth="0" w:num="1">
            <w:col w:w="11260"/>
          </w:cols>
          <w:pgMar w:left="320" w:top="121" w:right="3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52" w:lineRule="exact"/>
        <w:rPr>
          <w:sz w:val="20"/>
          <w:szCs w:val="20"/>
          <w:color w:val="auto"/>
        </w:rPr>
      </w:pPr>
    </w:p>
    <w:p>
      <w:pPr>
        <w:ind w:left="640" w:hanging="308"/>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2021</w:t>
      </w:r>
    </w:p>
    <w:p>
      <w:pPr>
        <w:spacing w:after="0" w:line="17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6350</wp:posOffset>
            </wp:positionV>
            <wp:extent cx="22974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6640"/>
        <w:spacing w:after="0"/>
        <w:tabs>
          <w:tab w:leader="none" w:pos="72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886"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2021</w:t>
      </w:r>
    </w:p>
    <w:p>
      <w:pPr>
        <w:spacing w:after="0" w:line="17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6350</wp:posOffset>
            </wp:positionV>
            <wp:extent cx="228854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Executive Vice President and</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52" w:lineRule="exact"/>
        <w:rPr>
          <w:sz w:val="20"/>
          <w:szCs w:val="20"/>
          <w:color w:val="auto"/>
        </w:rPr>
      </w:pPr>
    </w:p>
    <w:p>
      <w:pPr>
        <w:ind w:left="640" w:hanging="308"/>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2021</w:t>
      </w:r>
    </w:p>
    <w:p>
      <w:pPr>
        <w:spacing w:after="0" w:line="17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6350</wp:posOffset>
            </wp:positionV>
            <wp:extent cx="228854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886"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2021</w:t>
      </w:r>
    </w:p>
    <w:p>
      <w:pPr>
        <w:spacing w:after="0" w:line="17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6350</wp:posOffset>
            </wp:positionV>
            <wp:extent cx="22885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Executive Vice President and</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June 30, 2021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31" w:lineRule="exact"/>
        <w:rPr>
          <w:sz w:val="20"/>
          <w:szCs w:val="20"/>
          <w:color w:val="auto"/>
        </w:rPr>
      </w:pPr>
    </w:p>
    <w:p>
      <w:pPr>
        <w:ind w:left="640" w:hanging="308"/>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600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22, 2021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600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22, 2021</w:t>
      </w:r>
    </w:p>
    <w:p>
      <w:pPr>
        <w:spacing w:after="0" w:line="3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86"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June 30, 2021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31" w:lineRule="exact"/>
        <w:rPr>
          <w:sz w:val="20"/>
          <w:szCs w:val="20"/>
          <w:color w:val="auto"/>
        </w:rPr>
      </w:pPr>
    </w:p>
    <w:p>
      <w:pPr>
        <w:ind w:left="640" w:hanging="308"/>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600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22, 2021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600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22, 2021</w:t>
      </w:r>
    </w:p>
    <w:p>
      <w:pPr>
        <w:spacing w:after="0" w:line="3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1)"/>
      <w:numFmt w:val="decimal"/>
      <w:start w:val="1"/>
    </w:lvl>
  </w:abstractNum>
  <w:abstractNum w:abstractNumId="6">
    <w:nsid w:val="60EF0119"/>
    <w:multiLevelType w:val="hybridMultilevel"/>
    <w:lvl w:ilvl="0">
      <w:lvlJc w:val="left"/>
      <w:lvlText w:val="%1."/>
      <w:numFmt w:val="decimal"/>
      <w:start w:val="1"/>
    </w:lvl>
    <w:lvl w:ilvl="1">
      <w:lvlJc w:val="left"/>
      <w:lvlText w:val="(%2)"/>
      <w:numFmt w:val="lowerLetter"/>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1)"/>
      <w:numFmt w:val="decimal"/>
      <w:start w:val="1"/>
    </w:lvl>
  </w:abstractNum>
  <w:abstractNum w:abstractNumId="9">
    <w:nsid w:val="49DA307D"/>
    <w:multiLevelType w:val="hybridMultilevel"/>
    <w:lvl w:ilvl="0">
      <w:lvlJc w:val="left"/>
      <w:lvlText w:val="(%1)"/>
      <w:numFmt w:val="decimal"/>
      <w:start w:val="4"/>
    </w:lvl>
  </w:abstractNum>
  <w:abstractNum w:abstractNumId="10">
    <w:nsid w:val="7055A5F5"/>
    <w:multiLevelType w:val="hybridMultilevel"/>
    <w:lvl w:ilvl="0">
      <w:lvlJc w:val="left"/>
      <w:lvlText w:val="%1."/>
      <w:numFmt w:val="decimal"/>
      <w:start w:val="4"/>
    </w:lvl>
  </w:abstractNum>
  <w:abstractNum w:abstractNumId="11">
    <w:nsid w:val="5FB8370B"/>
    <w:multiLevelType w:val="hybridMultilevel"/>
    <w:lvl w:ilvl="0">
      <w:lvlJc w:val="left"/>
      <w:lvlText w:val="(%1)"/>
      <w:numFmt w:val="decimal"/>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1)"/>
      <w:numFmt w:val="decimal"/>
      <w:start w:val="1"/>
    </w:lvl>
  </w:abstractNum>
  <w:abstractNum w:abstractNumId="15">
    <w:nsid w:val="6AA78F7F"/>
    <w:multiLevelType w:val="hybridMultilevel"/>
    <w:lvl w:ilvl="0">
      <w:lvlJc w:val="left"/>
      <w:lvlText w:val="(%1)"/>
      <w:numFmt w:val="lowerRoman"/>
      <w:start w:val="6"/>
    </w:lvl>
  </w:abstractNum>
  <w:abstractNum w:abstractNumId="16">
    <w:nsid w:val="7672BD23"/>
    <w:multiLevelType w:val="hybridMultilevel"/>
    <w:lvl w:ilvl="0">
      <w:lvlJc w:val="left"/>
      <w:lvlText w:val="%1."/>
      <w:numFmt w:val="decimal"/>
      <w:start w:val="7"/>
    </w:lvl>
  </w:abstractNum>
  <w:abstractNum w:abstractNumId="17">
    <w:nsid w:val="6FC75AF8"/>
    <w:multiLevelType w:val="hybridMultilevel"/>
    <w:lvl w:ilvl="0">
      <w:lvlJc w:val="left"/>
      <w:lvlText w:val="(%1)"/>
      <w:numFmt w:val="decimal"/>
      <w:start w:val="1"/>
    </w:lvl>
  </w:abstractNum>
  <w:abstractNum w:abstractNumId="18">
    <w:nsid w:val="6A5F7029"/>
    <w:multiLevelType w:val="hybridMultilevel"/>
    <w:lvl w:ilvl="0">
      <w:lvlJc w:val="left"/>
      <w:lvlText w:val="(%1)"/>
      <w:numFmt w:val="decimal"/>
      <w:start w:val="1"/>
    </w:lvl>
  </w:abstractNum>
  <w:abstractNum w:abstractNumId="19">
    <w:nsid w:val="7D5E18F8"/>
    <w:multiLevelType w:val="hybridMultilevel"/>
    <w:lvl w:ilvl="0">
      <w:lvlJc w:val="left"/>
      <w:lvlText w:val="(%1)"/>
      <w:numFmt w:val="decimal"/>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1)"/>
      <w:numFmt w:val="decimal"/>
      <w:start w:val="1"/>
    </w:lvl>
  </w:abstractNum>
  <w:abstractNum w:abstractNumId="22">
    <w:nsid w:val="7DE67713"/>
    <w:multiLevelType w:val="hybridMultilevel"/>
    <w:lvl w:ilvl="0">
      <w:lvlJc w:val="left"/>
      <w:lvlText w:val="%1."/>
      <w:numFmt w:val="decimal"/>
      <w:start w:val="3"/>
    </w:lvl>
  </w:abstractNum>
  <w:abstractNum w:abstractNumId="23">
    <w:nsid w:val="555C55B5"/>
    <w:multiLevelType w:val="hybridMultilevel"/>
    <w:lvl w:ilvl="0">
      <w:lvlJc w:val="left"/>
      <w:lvlText w:val="(%1)"/>
      <w:numFmt w:val="decimal"/>
      <w:start w:val="1"/>
    </w:lvl>
  </w:abstractNum>
  <w:abstractNum w:abstractNumId="24">
    <w:nsid w:val="3FA62ACA"/>
    <w:multiLevelType w:val="hybridMultilevel"/>
    <w:lvl w:ilvl="0">
      <w:lvlJc w:val="left"/>
      <w:lvlText w:val="(%1)"/>
      <w:numFmt w:val="decimal"/>
      <w:start w:val="1"/>
    </w:lvl>
  </w:abstractNum>
  <w:abstractNum w:abstractNumId="25">
    <w:nsid w:val="14FCE74E"/>
    <w:multiLevelType w:val="hybridMultilevel"/>
    <w:lvl w:ilvl="0">
      <w:lvlJc w:val="left"/>
      <w:lvlText w:val="(%1)"/>
      <w:numFmt w:val="lowerRoman"/>
      <w:start w:val="6"/>
    </w:lvl>
  </w:abstractNum>
  <w:abstractNum w:abstractNumId="26">
    <w:nsid w:val="6A3DD3E8"/>
    <w:multiLevelType w:val="hybridMultilevel"/>
    <w:lvl w:ilvl="0">
      <w:lvlJc w:val="left"/>
      <w:lvlText w:val="(%1)"/>
      <w:numFmt w:val="decimal"/>
      <w:start w:val="1"/>
    </w:lvl>
  </w:abstractNum>
  <w:abstractNum w:abstractNumId="27">
    <w:nsid w:val="71C91298"/>
    <w:multiLevelType w:val="hybridMultilevel"/>
    <w:lvl w:ilvl="0">
      <w:lvlJc w:val="left"/>
      <w:lvlText w:val="(%1)"/>
      <w:numFmt w:val="decimal"/>
      <w:start w:val="1"/>
    </w:lvl>
  </w:abstractNum>
  <w:abstractNum w:abstractNumId="28">
    <w:nsid w:val="9DAF632"/>
    <w:multiLevelType w:val="hybridMultilevel"/>
    <w:lvl w:ilvl="0">
      <w:lvlJc w:val="left"/>
      <w:lvlText w:val="(%1)"/>
      <w:numFmt w:val="decimal"/>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1)"/>
      <w:numFmt w:val="decimal"/>
      <w:start w:val="1"/>
    </w:lvl>
  </w:abstractNum>
  <w:abstractNum w:abstractNumId="32">
    <w:nsid w:val="1D545C4D"/>
    <w:multiLevelType w:val="hybridMultilevel"/>
    <w:lvl w:ilvl="0">
      <w:lvlJc w:val="left"/>
      <w:lvlText w:val="(%1)"/>
      <w:numFmt w:val="decimal"/>
      <w:start w:val="1"/>
    </w:lvl>
  </w:abstractNum>
  <w:abstractNum w:abstractNumId="33">
    <w:nsid w:val="59ADEA3D"/>
    <w:multiLevelType w:val="hybridMultilevel"/>
    <w:lvl w:ilvl="0">
      <w:lvlJc w:val="left"/>
      <w:lvlText w:val="(%1)"/>
      <w:numFmt w:val="decimal"/>
      <w:start w:val="1"/>
    </w:lvl>
  </w:abstractNum>
  <w:abstractNum w:abstractNumId="34">
    <w:nsid w:val="288F1A34"/>
    <w:multiLevelType w:val="hybridMultilevel"/>
    <w:lvl w:ilvl="0">
      <w:lvlJc w:val="left"/>
      <w:lvlText w:val="(%1)"/>
      <w:numFmt w:val="lowerLetter"/>
      <w:start w:val="1"/>
    </w:lvl>
  </w:abstractNum>
  <w:abstractNum w:abstractNumId="35">
    <w:nsid w:val="2A155DBC"/>
    <w:multiLevelType w:val="hybridMultilevel"/>
    <w:lvl w:ilvl="0">
      <w:lvlJc w:val="left"/>
      <w:lvlText w:val="(%1)"/>
      <w:numFmt w:val="decimal"/>
      <w:start w:val="1"/>
    </w:lvl>
  </w:abstractNum>
  <w:abstractNum w:abstractNumId="36">
    <w:nsid w:val="1D9F6E5F"/>
    <w:multiLevelType w:val="hybridMultilevel"/>
    <w:lvl w:ilvl="0">
      <w:lvlJc w:val="left"/>
      <w:lvlText w:val="(%1)"/>
      <w:numFmt w:val="decimal"/>
      <w:start w:val="1"/>
    </w:lvl>
  </w:abstractNum>
  <w:abstractNum w:abstractNumId="37">
    <w:nsid w:val="97E1B4E"/>
    <w:multiLevelType w:val="hybridMultilevel"/>
    <w:lvl w:ilvl="0">
      <w:lvlJc w:val="left"/>
      <w:lvlText w:val="(%1)"/>
      <w:numFmt w:val="decimal"/>
      <w:start w:val="1"/>
    </w:lvl>
  </w:abstractNum>
  <w:abstractNum w:abstractNumId="38">
    <w:nsid w:val="51088277"/>
    <w:multiLevelType w:val="hybridMultilevel"/>
    <w:lvl w:ilvl="0">
      <w:lvlJc w:val="left"/>
      <w:lvlText w:val="(%1)"/>
      <w:numFmt w:val="decimal"/>
      <w:start w:val="1"/>
    </w:lvl>
  </w:abstractNum>
  <w:abstractNum w:abstractNumId="39">
    <w:nsid w:val="1CA0C5FA"/>
    <w:multiLevelType w:val="hybridMultilevel"/>
    <w:lvl w:ilvl="0">
      <w:lvlJc w:val="left"/>
      <w:lvlText w:val="(%1)"/>
      <w:numFmt w:val="decimal"/>
      <w:start w:val="1"/>
    </w:lvl>
  </w:abstractNum>
  <w:abstractNum w:abstractNumId="40">
    <w:nsid w:val="53584BCB"/>
    <w:multiLevelType w:val="hybridMultilevel"/>
    <w:lvl w:ilvl="0">
      <w:lvlJc w:val="left"/>
      <w:lvlText w:val="(%1)"/>
      <w:numFmt w:val="lowerLetter"/>
      <w:start w:val="1"/>
    </w:lvl>
  </w:abstractNum>
  <w:abstractNum w:abstractNumId="41">
    <w:nsid w:val="415E286C"/>
    <w:multiLevelType w:val="hybridMultilevel"/>
    <w:lvl w:ilvl="0">
      <w:lvlJc w:val="left"/>
      <w:lvlText w:val="(%1)"/>
      <w:numFmt w:val="lowerLetter"/>
      <w:start w:val="6"/>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
      <w:numFmt w:val="bullet"/>
      <w:start w:val="1"/>
    </w:lvl>
    <w:lvl w:ilvl="1">
      <w:lvlJc w:val="left"/>
      <w:lvlText w:val="◦"/>
      <w:numFmt w:val="bullet"/>
      <w:start w:val="1"/>
    </w:lvl>
  </w:abstractNum>
  <w:abstractNum w:abstractNumId="44">
    <w:nsid w:val="45E6D486"/>
    <w:multiLevelType w:val="hybridMultilevel"/>
    <w:lvl w:ilvl="0">
      <w:lvlJc w:val="left"/>
      <w:lvlText w:val="•"/>
      <w:numFmt w:val="bullet"/>
      <w:start w:val="1"/>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
      <w:numFmt w:val="bullet"/>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
      <w:numFmt w:val="bullet"/>
      <w:start w:val="1"/>
    </w:lvl>
  </w:abstractNum>
  <w:abstractNum w:abstractNumId="49">
    <w:nsid w:val="78DF6A55"/>
    <w:multiLevelType w:val="hybridMultilevel"/>
    <w:lvl w:ilvl="0">
      <w:lvlJc w:val="left"/>
      <w:lvlText w:val="(%1)"/>
      <w:numFmt w:val="lowerLetter"/>
      <w:start w:val="1"/>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1)"/>
      <w:numFmt w:val="lowerLetter"/>
      <w:start w:val="1"/>
    </w:lvl>
  </w:abstractNum>
  <w:abstractNum w:abstractNumId="52">
    <w:nsid w:val="6C80EC70"/>
    <w:multiLevelType w:val="hybridMultilevel"/>
    <w:lvl w:ilvl="0">
      <w:lvlJc w:val="left"/>
      <w:lvlText w:val="(%1)"/>
      <w:numFmt w:val="lowerLetter"/>
      <w:start w:val="1"/>
    </w:lvl>
  </w:abstractNum>
  <w:abstractNum w:abstractNumId="53">
    <w:nsid w:val="379E21B5"/>
    <w:multiLevelType w:val="hybridMultilevel"/>
    <w:lvl w:ilvl="0">
      <w:lvlJc w:val="left"/>
      <w:lvlText w:val="(%1)"/>
      <w:numFmt w:val="lowerLetter"/>
      <w:start w:val="3"/>
    </w:lvl>
  </w:abstractNum>
  <w:abstractNum w:abstractNumId="54">
    <w:nsid w:val="69E373"/>
    <w:multiLevelType w:val="hybridMultilevel"/>
    <w:lvl w:ilvl="0">
      <w:lvlJc w:val="left"/>
      <w:lvlText w:val="(%1)"/>
      <w:numFmt w:val="lowerLetter"/>
      <w:start w:val="1"/>
    </w:lvl>
    <w:lvl w:ilvl="1">
      <w:lvlJc w:val="left"/>
      <w:lvlText w:val="-"/>
      <w:numFmt w:val="bullet"/>
      <w:start w:val="1"/>
    </w:lvl>
  </w:abstractNum>
  <w:abstractNum w:abstractNumId="55">
    <w:nsid w:val="2C27173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6">
    <w:nsid w:val="4C9B0904"/>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57">
    <w:nsid w:val="6AA7B75C"/>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58">
    <w:nsid w:val="1DF029D3"/>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59">
    <w:nsid w:val="5675FF36"/>
    <w:multiLevelType w:val="hybridMultilevel"/>
    <w:lvl w:ilvl="0">
      <w:lvlJc w:val="left"/>
      <w:lvlText w:val="%1"/>
      <w:numFmt w:val="lowerLetter"/>
      <w:start w:val="1"/>
    </w:lvl>
    <w:lvl w:ilvl="1">
      <w:lvlJc w:val="left"/>
      <w:lvlText w:val="(%2)"/>
      <w:numFmt w:val="lowerLetter"/>
      <w:start w:val="35"/>
    </w:lvl>
  </w:abstractNum>
  <w:abstractNum w:abstractNumId="60">
    <w:nsid w:val="3DD15094"/>
    <w:multiLevelType w:val="hybridMultilevel"/>
    <w:lvl w:ilvl="0">
      <w:lvlJc w:val="left"/>
      <w:lvlText w:val="(%1)"/>
      <w:numFmt w:val="lowerLetter"/>
      <w:start w:val="10"/>
    </w:lvl>
    <w:lvl w:ilvl="1">
      <w:lvlJc w:val="left"/>
      <w:lvlText w:val="%2"/>
      <w:numFmt w:val="lowerLetter"/>
      <w:start w:val="1"/>
    </w:lvl>
  </w:abstractNum>
  <w:abstractNum w:abstractNumId="61">
    <w:nsid w:val="3DB012B3"/>
    <w:multiLevelType w:val="hybridMultilevel"/>
    <w:lvl w:ilvl="0">
      <w:lvlJc w:val="left"/>
      <w:lvlText w:val="(%1)"/>
      <w:numFmt w:val="lowerLetter"/>
      <w:start w:val="1"/>
    </w:lvl>
    <w:lvl w:ilvl="1">
      <w:lvlJc w:val="left"/>
      <w:lvlText w:val="-"/>
      <w:numFmt w:val="bullet"/>
      <w:start w:val="1"/>
    </w:lvl>
  </w:abstractNum>
  <w:abstractNum w:abstractNumId="62">
    <w:nsid w:val="2708C9AF"/>
    <w:multiLevelType w:val="hybridMultilevel"/>
    <w:lvl w:ilvl="0">
      <w:lvlJc w:val="left"/>
      <w:lvlText w:val="(%1)"/>
      <w:numFmt w:val="lowerLetter"/>
      <w:start w:val="3"/>
    </w:lvl>
  </w:abstractNum>
  <w:abstractNum w:abstractNumId="63">
    <w:nsid w:val="5B25ACE2"/>
    <w:multiLevelType w:val="hybridMultilevel"/>
    <w:lvl w:ilvl="0">
      <w:lvlJc w:val="left"/>
      <w:lvlText w:val="(%1)"/>
      <w:numFmt w:val="lowerLetter"/>
      <w:start w:val="1"/>
    </w:lvl>
  </w:abstractNum>
  <w:abstractNum w:abstractNumId="64">
    <w:nsid w:val="175DFCF0"/>
    <w:multiLevelType w:val="hybridMultilevel"/>
    <w:lvl w:ilvl="0">
      <w:lvlJc w:val="left"/>
      <w:lvlText w:val="(%1)"/>
      <w:numFmt w:val="lowerLetter"/>
      <w:start w:val="2"/>
    </w:lvl>
  </w:abstractNum>
  <w:abstractNum w:abstractNumId="65">
    <w:nsid w:val="4F97E3E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6">
    <w:nsid w:val="53B0A9E"/>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67">
    <w:nsid w:val="34FD6B4F"/>
    <w:multiLevelType w:val="hybridMultilevel"/>
    <w:lvl w:ilvl="0">
      <w:lvlJc w:val="left"/>
      <w:lvlText w:val="(%1)"/>
      <w:numFmt w:val="decimal"/>
      <w:start w:val="2"/>
    </w:lvl>
    <w:lvl w:ilvl="1">
      <w:lvlJc w:val="left"/>
      <w:lvlText w:val="(%2)"/>
      <w:numFmt w:val="lowerRoman"/>
      <w:start w:val="4"/>
    </w:lvl>
    <w:lvl w:ilvl="2">
      <w:lvlJc w:val="left"/>
      <w:lvlText w:val="-"/>
      <w:numFmt w:val="bullet"/>
      <w:start w:val="1"/>
    </w:lvl>
  </w:abstractNum>
  <w:abstractNum w:abstractNumId="68">
    <w:nsid w:val="5915FF32"/>
    <w:multiLevelType w:val="hybridMultilevel"/>
    <w:lvl w:ilvl="0">
      <w:lvlJc w:val="left"/>
      <w:lvlText w:val="(%1)"/>
      <w:numFmt w:val="lowerRoman"/>
      <w:start w:val="5"/>
    </w:lvl>
    <w:lvl w:ilvl="1">
      <w:lvlJc w:val="left"/>
      <w:lvlText w:val="-"/>
      <w:numFmt w:val="bullet"/>
      <w:start w:val="1"/>
    </w:lvl>
  </w:abstractNum>
  <w:abstractNum w:abstractNumId="69">
    <w:nsid w:val="56438D1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0">
    <w:nsid w:val="519E3149"/>
    <w:multiLevelType w:val="hybridMultilevel"/>
    <w:lvl w:ilvl="0">
      <w:lvlJc w:val="left"/>
      <w:lvlText w:val="(%1)"/>
      <w:numFmt w:val="lowerRoman"/>
      <w:start w:val="5"/>
    </w:lvl>
  </w:abstractNum>
  <w:abstractNum w:abstractNumId="71">
    <w:nsid w:val="2C6E4AFD"/>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72">
    <w:nsid w:val="17A1B582"/>
    <w:multiLevelType w:val="hybridMultilevel"/>
    <w:lvl w:ilvl="0">
      <w:lvlJc w:val="left"/>
      <w:lvlText w:val="(%1)"/>
      <w:numFmt w:val="lowerRoman"/>
      <w:start w:val="7"/>
    </w:lvl>
    <w:lvl w:ilvl="1">
      <w:lvlJc w:val="left"/>
      <w:lvlText w:val="%2"/>
      <w:numFmt w:val="upperLetter"/>
      <w:start w:val="1"/>
    </w:lvl>
    <w:lvl w:ilvl="2">
      <w:lvlJc w:val="left"/>
      <w:lvlText w:val="-"/>
      <w:numFmt w:val="bullet"/>
      <w:start w:val="1"/>
    </w:lvl>
  </w:abstractNum>
  <w:abstractNum w:abstractNumId="73">
    <w:nsid w:val="4DF72E4E"/>
    <w:multiLevelType w:val="hybridMultilevel"/>
    <w:lvl w:ilvl="0">
      <w:lvlJc w:val="left"/>
      <w:lvlText w:val="(%1)"/>
      <w:numFmt w:val="lowerRoman"/>
      <w:start w:val="9"/>
    </w:lvl>
    <w:lvl w:ilvl="1">
      <w:lvlJc w:val="left"/>
      <w:lvlText w:val="-"/>
      <w:numFmt w:val="bullet"/>
      <w:start w:val="1"/>
    </w:lvl>
  </w:abstractNum>
  <w:abstractNum w:abstractNumId="74">
    <w:nsid w:val="5046B5A9"/>
    <w:multiLevelType w:val="hybridMultilevel"/>
    <w:lvl w:ilvl="0">
      <w:lvlJc w:val="left"/>
      <w:lvlText w:val="%1"/>
      <w:numFmt w:val="lowerLetter"/>
      <w:start w:val="1"/>
    </w:lvl>
    <w:lvl w:ilvl="1">
      <w:lvlJc w:val="left"/>
      <w:lvlText w:val="(%2)"/>
      <w:numFmt w:val="lowerRoman"/>
      <w:start w:val="11"/>
    </w:lvl>
    <w:lvl w:ilvl="2">
      <w:lvlJc w:val="left"/>
      <w:lvlText w:val="-"/>
      <w:numFmt w:val="bullet"/>
      <w:start w:val="1"/>
    </w:lvl>
  </w:abstractNum>
  <w:abstractNum w:abstractNumId="75">
    <w:nsid w:val="5D888A08"/>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76">
    <w:nsid w:val="2A082C70"/>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77">
    <w:nsid w:val="5EC6AFD4"/>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78">
    <w:nsid w:val="19E21BB2"/>
    <w:multiLevelType w:val="hybridMultilevel"/>
    <w:lvl w:ilvl="0">
      <w:lvlJc w:val="left"/>
      <w:lvlText w:val="(%1)"/>
      <w:numFmt w:val="lowerLetter"/>
      <w:start w:val="8"/>
    </w:lvl>
    <w:lvl w:ilvl="1">
      <w:lvlJc w:val="left"/>
      <w:lvlText w:val="%2"/>
      <w:numFmt w:val="lowerLetter"/>
      <w:start w:val="1"/>
    </w:lvl>
    <w:lvl w:ilvl="2">
      <w:lvlJc w:val="left"/>
      <w:lvlText w:val="-"/>
      <w:numFmt w:val="bullet"/>
      <w:start w:val="1"/>
    </w:lvl>
  </w:abstractNum>
  <w:abstractNum w:abstractNumId="79">
    <w:nsid w:val="75E0858A"/>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80">
    <w:nsid w:val="57A61A29"/>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81">
    <w:nsid w:val="5399C654"/>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82">
    <w:nsid w:val="20EE1348"/>
    <w:multiLevelType w:val="hybridMultilevel"/>
    <w:lvl w:ilvl="0">
      <w:lvlJc w:val="left"/>
      <w:lvlText w:val="(%1)"/>
      <w:numFmt w:val="lowerLetter"/>
      <w:start w:val="13"/>
    </w:lvl>
    <w:lvl w:ilvl="1">
      <w:lvlJc w:val="left"/>
      <w:lvlText w:val="-"/>
      <w:numFmt w:val="bullet"/>
      <w:start w:val="1"/>
    </w:lvl>
  </w:abstractNum>
  <w:abstractNum w:abstractNumId="83">
    <w:nsid w:val="4427069A"/>
    <w:multiLevelType w:val="hybridMultilevel"/>
    <w:lvl w:ilvl="0">
      <w:lvlJc w:val="left"/>
      <w:lvlText w:val="(%1)"/>
      <w:numFmt w:val="lowerLetter"/>
      <w:start w:val="1"/>
    </w:lvl>
    <w:lvl w:ilvl="1">
      <w:lvlJc w:val="left"/>
      <w:lvlText w:val="-"/>
      <w:numFmt w:val="bullet"/>
      <w:start w:val="1"/>
    </w:lvl>
  </w:abstractNum>
  <w:abstractNum w:abstractNumId="84">
    <w:nsid w:val="B37E80A"/>
    <w:multiLevelType w:val="hybridMultilevel"/>
    <w:lvl w:ilvl="0">
      <w:lvlJc w:val="left"/>
      <w:lvlText w:val="(%1)"/>
      <w:numFmt w:val="lowerLetter"/>
      <w:start w:val="1"/>
    </w:lvl>
  </w:abstractNum>
  <w:abstractNum w:abstractNumId="85">
    <w:nsid w:val="2157F6BC"/>
    <w:multiLevelType w:val="hybridMultilevel"/>
    <w:lvl w:ilvl="0">
      <w:lvlJc w:val="left"/>
      <w:lvlText w:val="%1."/>
      <w:numFmt w:val="decimal"/>
      <w:start w:val="1"/>
    </w:lvl>
  </w:abstractNum>
  <w:abstractNum w:abstractNumId="86">
    <w:nsid w:val="704E1DD5"/>
    <w:multiLevelType w:val="hybridMultilevel"/>
    <w:lvl w:ilvl="0">
      <w:lvlJc w:val="left"/>
      <w:lvlText w:val="%1."/>
      <w:numFmt w:val="decimal"/>
      <w:start w:val="2"/>
    </w:lvl>
  </w:abstractNum>
  <w:abstractNum w:abstractNumId="87">
    <w:nsid w:val="57D2F10E"/>
    <w:multiLevelType w:val="hybridMultilevel"/>
    <w:lvl w:ilvl="0">
      <w:lvlJc w:val="left"/>
      <w:lvlText w:val="%1"/>
      <w:numFmt w:val="decimal"/>
      <w:start w:val="1"/>
    </w:lvl>
    <w:lvl w:ilvl="1">
      <w:lvlJc w:val="left"/>
      <w:lvlText w:val="(%2)"/>
      <w:numFmt w:val="lowerRoman"/>
      <w:start w:val="1"/>
    </w:lvl>
  </w:abstractNum>
  <w:abstractNum w:abstractNumId="88">
    <w:nsid w:val="BFFAE18"/>
    <w:multiLevelType w:val="hybridMultilevel"/>
    <w:lvl w:ilvl="0">
      <w:lvlJc w:val="left"/>
      <w:lvlText w:val="%1."/>
      <w:numFmt w:val="decimal"/>
      <w:start w:val="3"/>
    </w:lvl>
    <w:lvl w:ilvl="1">
      <w:lvlJc w:val="left"/>
      <w:lvlText w:val="%2"/>
      <w:numFmt w:val="lowerRoman"/>
      <w:start w:val="1"/>
    </w:lvl>
  </w:abstractNum>
  <w:abstractNum w:abstractNumId="89">
    <w:nsid w:val="E3E47A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0">
    <w:nsid w:val="2E48F04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91">
    <w:nsid w:val="49D0FEAC"/>
    <w:multiLevelType w:val="hybridMultilevel"/>
    <w:lvl w:ilvl="0">
      <w:lvlJc w:val="left"/>
      <w:lvlText w:val="%1."/>
      <w:numFmt w:val="decimal"/>
      <w:start w:val="5"/>
    </w:lvl>
  </w:abstractNum>
  <w:abstractNum w:abstractNumId="92">
    <w:nsid w:val="4BEE5A5B"/>
    <w:multiLevelType w:val="hybridMultilevel"/>
    <w:lvl w:ilvl="0">
      <w:lvlJc w:val="left"/>
      <w:lvlText w:val="(%1)"/>
      <w:numFmt w:val="upperLetter"/>
      <w:start w:val="1"/>
    </w:lvl>
  </w:abstractNum>
  <w:abstractNum w:abstractNumId="93">
    <w:nsid w:val="5551B9F3"/>
    <w:multiLevelType w:val="hybridMultilevel"/>
    <w:lvl w:ilvl="0">
      <w:lvlJc w:val="left"/>
      <w:lvlText w:val="%1."/>
      <w:numFmt w:val="decimal"/>
      <w:start w:val="9"/>
    </w:lvl>
  </w:abstractNum>
  <w:abstractNum w:abstractNumId="94">
    <w:nsid w:val="24F6AB8E"/>
    <w:multiLevelType w:val="hybridMultilevel"/>
    <w:lvl w:ilvl="0">
      <w:lvlJc w:val="left"/>
      <w:lvlText w:val="%1."/>
      <w:numFmt w:val="decimal"/>
      <w:start w:val="11"/>
    </w:lvl>
  </w:abstractNum>
  <w:abstractNum w:abstractNumId="95">
    <w:nsid w:val="634C574C"/>
    <w:multiLevelType w:val="hybridMultilevel"/>
    <w:lvl w:ilvl="0">
      <w:lvlJc w:val="left"/>
      <w:lvlText w:val="(%1)"/>
      <w:numFmt w:val="upperLetter"/>
      <w:start w:val="1"/>
    </w:lvl>
  </w:abstractNum>
  <w:abstractNum w:abstractNumId="96">
    <w:nsid w:val="24E99DD7"/>
    <w:multiLevelType w:val="hybridMultilevel"/>
    <w:lvl w:ilvl="0">
      <w:lvlJc w:val="left"/>
      <w:lvlText w:val="%1."/>
      <w:numFmt w:val="decimal"/>
      <w:start w:val="13"/>
    </w:lvl>
  </w:abstractNum>
  <w:abstractNum w:abstractNumId="97">
    <w:nsid w:val="2A31B62D"/>
    <w:multiLevelType w:val="hybridMultilevel"/>
    <w:lvl w:ilvl="0">
      <w:lvlJc w:val="left"/>
      <w:lvlText w:val="(%1)"/>
      <w:numFmt w:val="upperLetter"/>
      <w:start w:val="1"/>
    </w:lvl>
  </w:abstractNum>
  <w:abstractNum w:abstractNumId="98">
    <w:nsid w:val="1849C29B"/>
    <w:multiLevelType w:val="hybridMultilevel"/>
    <w:lvl w:ilvl="0">
      <w:lvlJc w:val="left"/>
      <w:lvlText w:val="(%1)"/>
      <w:numFmt w:val="upperLetter"/>
      <w:start w:val="2"/>
    </w:lvl>
    <w:lvl w:ilvl="1">
      <w:lvlJc w:val="left"/>
      <w:lvlText w:val="(%2)"/>
      <w:numFmt w:val="upperLetter"/>
      <w:start w:val="1"/>
    </w:lvl>
  </w:abstractNum>
  <w:abstractNum w:abstractNumId="99">
    <w:nsid w:val="7DFF9D09"/>
    <w:multiLevelType w:val="hybridMultilevel"/>
    <w:lvl w:ilvl="0">
      <w:lvlJc w:val="left"/>
      <w:lvlText w:val="(%1)"/>
      <w:numFmt w:val="upperLetter"/>
      <w:start w:val="3"/>
    </w:lvl>
  </w:abstractNum>
  <w:abstractNum w:abstractNumId="100">
    <w:nsid w:val="754342"/>
    <w:multiLevelType w:val="hybridMultilevel"/>
    <w:lvl w:ilvl="0">
      <w:lvlJc w:val="left"/>
      <w:lvlText w:val="(%1)"/>
      <w:numFmt w:val="upperLetter"/>
      <w:start w:val="5"/>
    </w:lvl>
  </w:abstractNum>
  <w:abstractNum w:abstractNumId="101">
    <w:nsid w:val="69E7F3E5"/>
    <w:multiLevelType w:val="hybridMultilevel"/>
    <w:lvl w:ilvl="0">
      <w:lvlJc w:val="left"/>
      <w:lvlText w:val="(%1)"/>
      <w:numFmt w:val="upperLetter"/>
      <w:start w:val="8"/>
    </w:lvl>
  </w:abstractNum>
  <w:abstractNum w:abstractNumId="102">
    <w:nsid w:val="2A6DE806"/>
    <w:multiLevelType w:val="hybridMultilevel"/>
    <w:lvl w:ilvl="0">
      <w:lvlJc w:val="left"/>
      <w:lvlText w:val="(%1)"/>
      <w:numFmt w:val="upperLetter"/>
      <w:start w:val="12"/>
    </w:lvl>
  </w:abstractNum>
  <w:abstractNum w:abstractNumId="103">
    <w:nsid w:val="1816F8C4"/>
    <w:multiLevelType w:val="hybridMultilevel"/>
    <w:lvl w:ilvl="0">
      <w:lvlJc w:val="left"/>
      <w:lvlText w:val="%1."/>
      <w:numFmt w:val="decimal"/>
      <w:start w:val="14"/>
    </w:lvl>
  </w:abstractNum>
  <w:abstractNum w:abstractNumId="104">
    <w:nsid w:val="37DF2233"/>
    <w:multiLevelType w:val="hybridMultilevel"/>
    <w:lvl w:ilvl="0">
      <w:lvlJc w:val="left"/>
      <w:lvlText w:val="%1."/>
      <w:numFmt w:val="decimal"/>
      <w:start w:val="19"/>
    </w:lvl>
  </w:abstractNum>
  <w:abstractNum w:abstractNumId="105">
    <w:nsid w:val="7AB49DAF"/>
    <w:multiLevelType w:val="hybridMultilevel"/>
    <w:lvl w:ilvl="0">
      <w:lvlJc w:val="left"/>
      <w:lvlText w:val="(%1)"/>
      <w:numFmt w:val="lowerRoman"/>
      <w:start w:val="1"/>
    </w:lvl>
  </w:abstractNum>
  <w:abstractNum w:abstractNumId="106">
    <w:nsid w:val="759F82CD"/>
    <w:multiLevelType w:val="hybridMultilevel"/>
    <w:lvl w:ilvl="0">
      <w:lvlJc w:val="left"/>
      <w:lvlText w:val="%1."/>
      <w:numFmt w:val="decimal"/>
      <w:start w:val="1"/>
    </w:lvl>
  </w:abstractNum>
  <w:abstractNum w:abstractNumId="107">
    <w:nsid w:val="61E74EA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8">
    <w:nsid w:val="597B4D84"/>
    <w:multiLevelType w:val="hybridMultilevel"/>
    <w:lvl w:ilvl="0">
      <w:lvlJc w:val="left"/>
      <w:lvlText w:val="%1."/>
      <w:numFmt w:val="decimal"/>
      <w:start w:val="5"/>
    </w:lvl>
  </w:abstractNum>
  <w:abstractNum w:abstractNumId="109">
    <w:nsid w:val="F819E7F"/>
    <w:multiLevelType w:val="hybridMultilevel"/>
    <w:lvl w:ilvl="0">
      <w:lvlJc w:val="left"/>
      <w:lvlText w:val="%1."/>
      <w:numFmt w:val="decimal"/>
      <w:start w:val="7"/>
    </w:lvl>
  </w:abstractNum>
  <w:abstractNum w:abstractNumId="110">
    <w:nsid w:val="57C7D42D"/>
    <w:multiLevelType w:val="hybridMultilevel"/>
    <w:lvl w:ilvl="0">
      <w:lvlJc w:val="left"/>
      <w:lvlText w:val="%1"/>
      <w:numFmt w:val="decimal"/>
      <w:start w:val="1"/>
    </w:lvl>
    <w:lvl w:ilvl="1">
      <w:lvlJc w:val="left"/>
      <w:lvlText w:val="%2."/>
      <w:numFmt w:val="lowerLetter"/>
      <w:start w:val="1"/>
    </w:lvl>
  </w:abstractNum>
  <w:abstractNum w:abstractNumId="111">
    <w:nsid w:val="312167AD"/>
    <w:multiLevelType w:val="hybridMultilevel"/>
    <w:lvl w:ilvl="0">
      <w:lvlJc w:val="left"/>
      <w:lvlText w:val="%1."/>
      <w:numFmt w:val="decimal"/>
      <w:start w:val="8"/>
    </w:lvl>
    <w:lvl w:ilvl="1">
      <w:lvlJc w:val="left"/>
      <w:lvlText w:val="%2."/>
      <w:numFmt w:val="lowerLetter"/>
      <w:start w:val="1"/>
    </w:lvl>
  </w:abstractNum>
  <w:abstractNum w:abstractNumId="112">
    <w:nsid w:val="631B64D4"/>
    <w:multiLevelType w:val="hybridMultilevel"/>
    <w:lvl w:ilvl="0">
      <w:lvlJc w:val="left"/>
      <w:lvlText w:val="%1."/>
      <w:numFmt w:val="lowerLetter"/>
      <w:start w:val="1"/>
    </w:lvl>
  </w:abstractNum>
  <w:abstractNum w:abstractNumId="113">
    <w:nsid w:val="78B5E776"/>
    <w:multiLevelType w:val="hybridMultilevel"/>
    <w:lvl w:ilvl="0">
      <w:lvlJc w:val="left"/>
      <w:lvlText w:val="%1."/>
      <w:numFmt w:val="lowerLetter"/>
      <w:start w:val="2"/>
    </w:lvl>
  </w:abstractNum>
  <w:abstractNum w:abstractNumId="114">
    <w:nsid w:val="75486E47"/>
    <w:multiLevelType w:val="hybridMultilevel"/>
    <w:lvl w:ilvl="0">
      <w:lvlJc w:val="left"/>
      <w:lvlText w:val="%1."/>
      <w:numFmt w:val="decimal"/>
      <w:start w:val="11"/>
    </w:lvl>
    <w:lvl w:ilvl="1">
      <w:lvlJc w:val="left"/>
      <w:lvlText w:val="%2."/>
      <w:numFmt w:val="lowerLetter"/>
      <w:start w:val="1"/>
    </w:lvl>
  </w:abstractNum>
  <w:abstractNum w:abstractNumId="115">
    <w:nsid w:val="6E534CDE"/>
    <w:multiLevelType w:val="hybridMultilevel"/>
    <w:lvl w:ilvl="0">
      <w:lvlJc w:val="left"/>
      <w:lvlText w:val="%1."/>
      <w:numFmt w:val="decimal"/>
      <w:start w:val="15"/>
    </w:lvl>
    <w:lvl w:ilvl="1">
      <w:lvlJc w:val="left"/>
      <w:lvlText w:val="%2."/>
      <w:numFmt w:val="lowerLetter"/>
      <w:start w:val="1"/>
    </w:lvl>
  </w:abstractNum>
  <w:abstractNum w:abstractNumId="116">
    <w:nsid w:val="1A0DDE32"/>
    <w:multiLevelType w:val="hybridMultilevel"/>
    <w:lvl w:ilvl="0">
      <w:lvlJc w:val="left"/>
      <w:lvlText w:val="%1."/>
      <w:numFmt w:val="decimal"/>
      <w:start w:val="17"/>
    </w:lvl>
    <w:lvl w:ilvl="1">
      <w:lvlJc w:val="left"/>
      <w:lvlText w:val="%2."/>
      <w:numFmt w:val="lowerLetter"/>
      <w:start w:val="1"/>
    </w:lvl>
  </w:abstractNum>
  <w:abstractNum w:abstractNumId="117">
    <w:nsid w:val="65968C1C"/>
    <w:multiLevelType w:val="hybridMultilevel"/>
    <w:lvl w:ilvl="0">
      <w:lvlJc w:val="left"/>
      <w:lvlText w:val="%1."/>
      <w:numFmt w:val="decimal"/>
      <w:start w:val="20"/>
    </w:lvl>
  </w:abstractNum>
  <w:abstractNum w:abstractNumId="118">
    <w:nsid w:val="46263DEC"/>
    <w:multiLevelType w:val="hybridMultilevel"/>
    <w:lvl w:ilvl="0">
      <w:lvlJc w:val="left"/>
      <w:lvlText w:val="%1."/>
      <w:numFmt w:val="decimal"/>
      <w:start w:val="22"/>
    </w:lvl>
  </w:abstractNum>
  <w:abstractNum w:abstractNumId="119">
    <w:nsid w:val="260D8C4A"/>
    <w:multiLevelType w:val="hybridMultilevel"/>
    <w:lvl w:ilvl="0">
      <w:lvlJc w:val="left"/>
      <w:lvlText w:val="%1."/>
      <w:numFmt w:val="decimal"/>
      <w:start w:val="25"/>
    </w:lvl>
  </w:abstractNum>
  <w:abstractNum w:abstractNumId="120">
    <w:nsid w:val="73D4D3C4"/>
    <w:multiLevelType w:val="hybridMultilevel"/>
    <w:lvl w:ilvl="0">
      <w:lvlJc w:val="left"/>
      <w:lvlText w:val="%1."/>
      <w:numFmt w:val="decimal"/>
      <w:start w:val="29"/>
    </w:lvl>
  </w:abstractNum>
  <w:abstractNum w:abstractNumId="121">
    <w:nsid w:val="746F2E30"/>
    <w:multiLevelType w:val="hybridMultilevel"/>
    <w:lvl w:ilvl="0">
      <w:lvlJc w:val="left"/>
      <w:lvlText w:val="%1."/>
      <w:numFmt w:val="decimal"/>
      <w:start w:val="34"/>
    </w:lvl>
    <w:lvl w:ilvl="1">
      <w:lvlJc w:val="left"/>
      <w:lvlText w:val="%2."/>
      <w:numFmt w:val="lowerLetter"/>
      <w:start w:val="1"/>
    </w:lvl>
  </w:abstractNum>
  <w:abstractNum w:abstractNumId="122">
    <w:nsid w:val="6FDE8AF6"/>
    <w:multiLevelType w:val="hybridMultilevel"/>
    <w:lvl w:ilvl="0">
      <w:lvlJc w:val="left"/>
      <w:lvlText w:val="%1."/>
      <w:numFmt w:val="decimal"/>
      <w:start w:val="35"/>
    </w:lvl>
    <w:lvl w:ilvl="1">
      <w:lvlJc w:val="left"/>
      <w:lvlText w:val="%2."/>
      <w:numFmt w:val="lowerLetter"/>
      <w:start w:val="1"/>
    </w:lvl>
  </w:abstractNum>
  <w:abstractNum w:abstractNumId="123">
    <w:nsid w:val="3FC32E20"/>
    <w:multiLevelType w:val="hybridMultilevel"/>
    <w:lvl w:ilvl="0">
      <w:lvlJc w:val="left"/>
      <w:lvlText w:val="%1."/>
      <w:numFmt w:val="decimal"/>
      <w:start w:val="37"/>
    </w:lvl>
    <w:lvl w:ilvl="1">
      <w:lvlJc w:val="left"/>
      <w:lvlText w:val="%2."/>
      <w:numFmt w:val="lowerLetter"/>
      <w:start w:val="1"/>
    </w:lvl>
    <w:lvl w:ilvl="2">
      <w:lvlJc w:val="left"/>
      <w:lvlText w:val="%3."/>
      <w:numFmt w:val="lowerRoman"/>
      <w:start w:val="1"/>
    </w:lvl>
  </w:abstractNum>
  <w:abstractNum w:abstractNumId="124">
    <w:nsid w:val="49C0E823"/>
    <w:multiLevelType w:val="hybridMultilevel"/>
    <w:lvl w:ilvl="0">
      <w:lvlJc w:val="left"/>
      <w:lvlText w:val="%1."/>
      <w:numFmt w:val="decimal"/>
      <w:start w:val="41"/>
    </w:lvl>
  </w:abstractNum>
  <w:abstractNum w:abstractNumId="125">
    <w:nsid w:val="14D53685"/>
    <w:multiLevelType w:val="hybridMultilevel"/>
    <w:lvl w:ilvl="0">
      <w:lvlJc w:val="left"/>
      <w:lvlText w:val="%1."/>
      <w:numFmt w:val="decimal"/>
      <w:start w:val="42"/>
    </w:lvl>
  </w:abstractNum>
  <w:abstractNum w:abstractNumId="126">
    <w:nsid w:val="230F856C"/>
    <w:multiLevelType w:val="hybridMultilevel"/>
    <w:lvl w:ilvl="0">
      <w:lvlJc w:val="left"/>
      <w:lvlText w:val="%1."/>
      <w:numFmt w:val="decimal"/>
      <w:start w:val="50"/>
    </w:lvl>
  </w:abstractNum>
  <w:abstractNum w:abstractNumId="127">
    <w:nsid w:val="6EAA85FB"/>
    <w:multiLevelType w:val="hybridMultilevel"/>
    <w:lvl w:ilvl="0">
      <w:lvlJc w:val="left"/>
      <w:lvlText w:val="(%1)"/>
      <w:numFmt w:val="decimal"/>
      <w:start w:val="1"/>
    </w:lvl>
  </w:abstractNum>
  <w:abstractNum w:abstractNumId="128">
    <w:nsid w:val="3F06ECB2"/>
    <w:multiLevelType w:val="hybridMultilevel"/>
    <w:lvl w:ilvl="0">
      <w:lvlJc w:val="left"/>
      <w:lvlText w:val="1"/>
      <w:numFmt w:val="bullet"/>
      <w:start w:val="1"/>
    </w:lvl>
  </w:abstractNum>
  <w:abstractNum w:abstractNumId="129">
    <w:nsid w:val="3B594807"/>
    <w:multiLevelType w:val="hybridMultilevel"/>
    <w:lvl w:ilvl="0">
      <w:lvlJc w:val="left"/>
      <w:lvlText w:val="2"/>
      <w:numFmt w:val="bullet"/>
      <w:start w:val="1"/>
    </w:lvl>
  </w:abstractNum>
  <w:abstractNum w:abstractNumId="130">
    <w:nsid w:val="6CAA2304"/>
    <w:multiLevelType w:val="hybridMultilevel"/>
    <w:lvl w:ilvl="0">
      <w:lvlJc w:val="left"/>
      <w:lvlText w:val="(%1)"/>
      <w:numFmt w:val="lowerLetter"/>
      <w:start w:val="1"/>
    </w:lvl>
  </w:abstractNum>
  <w:abstractNum w:abstractNumId="131">
    <w:nsid w:val="3F7C2FF4"/>
    <w:multiLevelType w:val="hybridMultilevel"/>
    <w:lvl w:ilvl="0">
      <w:lvlJc w:val="left"/>
      <w:lvlText w:val="(%1)"/>
      <w:numFmt w:val="lowerLetter"/>
      <w:start w:val="1"/>
    </w:lvl>
  </w:abstractNum>
  <w:abstractNum w:abstractNumId="132">
    <w:nsid w:val="25413BEC"/>
    <w:multiLevelType w:val="hybridMultilevel"/>
    <w:lvl w:ilvl="0">
      <w:lvlJc w:val="left"/>
      <w:lvlText w:val="(%1)"/>
      <w:numFmt w:val="lowerLetter"/>
      <w:start w:val="1"/>
    </w:lvl>
  </w:abstractNum>
  <w:abstractNum w:abstractNumId="133">
    <w:nsid w:val="17180B0B"/>
    <w:multiLevelType w:val="hybridMultilevel"/>
    <w:lvl w:ilvl="0">
      <w:lvlJc w:val="left"/>
      <w:lvlText w:val="(%1)"/>
      <w:numFmt w:val="lowerLetter"/>
      <w:start w:val="2"/>
    </w:lvl>
  </w:abstractNum>
  <w:abstractNum w:abstractNumId="134">
    <w:nsid w:val="579328B9"/>
    <w:multiLevelType w:val="hybridMultilevel"/>
    <w:lvl w:ilvl="0">
      <w:lvlJc w:val="left"/>
      <w:lvlText w:val="3"/>
      <w:numFmt w:val="bullet"/>
      <w:start w:val="1"/>
    </w:lvl>
  </w:abstractNum>
  <w:abstractNum w:abstractNumId="135">
    <w:nsid w:val="5D205E20"/>
    <w:multiLevelType w:val="hybridMultilevel"/>
    <w:lvl w:ilvl="0">
      <w:lvlJc w:val="left"/>
      <w:lvlText w:val="(%1)"/>
      <w:numFmt w:val="lowerLetter"/>
      <w:start w:val="2"/>
    </w:lvl>
  </w:abstractNum>
  <w:abstractNum w:abstractNumId="136">
    <w:nsid w:val="11CCA8BA"/>
    <w:multiLevelType w:val="hybridMultilevel"/>
    <w:lvl w:ilvl="0">
      <w:lvlJc w:val="left"/>
      <w:lvlText w:val="4"/>
      <w:numFmt w:val="bullet"/>
      <w:start w:val="1"/>
    </w:lvl>
  </w:abstractNum>
  <w:abstractNum w:abstractNumId="137">
    <w:nsid w:val="4D32AB86"/>
    <w:multiLevelType w:val="hybridMultilevel"/>
    <w:lvl w:ilvl="0">
      <w:lvlJc w:val="left"/>
      <w:lvlText w:val="5"/>
      <w:numFmt w:val="bullet"/>
      <w:start w:val="1"/>
    </w:lvl>
  </w:abstractNum>
  <w:abstractNum w:abstractNumId="138">
    <w:nsid w:val="3F07ACC3"/>
    <w:multiLevelType w:val="hybridMultilevel"/>
    <w:lvl w:ilvl="0">
      <w:lvlJc w:val="left"/>
      <w:lvlText w:val="(%1)"/>
      <w:numFmt w:val="lowerLetter"/>
      <w:start w:val="1"/>
    </w:lvl>
  </w:abstractNum>
  <w:abstractNum w:abstractNumId="139">
    <w:nsid w:val="6B47F63E"/>
    <w:multiLevelType w:val="hybridMultilevel"/>
    <w:lvl w:ilvl="0">
      <w:lvlJc w:val="left"/>
      <w:lvlText w:val="(%1)"/>
      <w:numFmt w:val="lowerLetter"/>
      <w:start w:val="9"/>
    </w:lvl>
  </w:abstractNum>
  <w:abstractNum w:abstractNumId="140">
    <w:nsid w:val="5CB44A05"/>
    <w:multiLevelType w:val="hybridMultilevel"/>
    <w:lvl w:ilvl="0">
      <w:lvlJc w:val="left"/>
      <w:lvlText w:val="(%1)"/>
      <w:numFmt w:val="lowerRoman"/>
      <w:start w:val="1"/>
    </w:lvl>
  </w:abstractNum>
  <w:abstractNum w:abstractNumId="141">
    <w:nsid w:val="16CF80F1"/>
    <w:multiLevelType w:val="hybridMultilevel"/>
    <w:lvl w:ilvl="0">
      <w:lvlJc w:val="left"/>
      <w:lvlText w:val="6"/>
      <w:numFmt w:val="bullet"/>
      <w:start w:val="1"/>
    </w:lvl>
  </w:abstractNum>
  <w:abstractNum w:abstractNumId="142">
    <w:nsid w:val="1C695DEC"/>
    <w:multiLevelType w:val="hybridMultilevel"/>
    <w:lvl w:ilvl="0">
      <w:lvlJc w:val="left"/>
      <w:lvlText w:val="(%1)"/>
      <w:numFmt w:val="lowerLetter"/>
      <w:start w:val="1"/>
    </w:lvl>
  </w:abstractNum>
  <w:abstractNum w:abstractNumId="143">
    <w:nsid w:val="3FCFAED9"/>
    <w:multiLevelType w:val="hybridMultilevel"/>
    <w:lvl w:ilvl="0">
      <w:lvlJc w:val="left"/>
      <w:lvlText w:val="(%1)"/>
      <w:numFmt w:val="lowerRoman"/>
      <w:start w:val="1"/>
    </w:lvl>
  </w:abstractNum>
  <w:abstractNum w:abstractNumId="144">
    <w:nsid w:val="F856867"/>
    <w:multiLevelType w:val="hybridMultilevel"/>
    <w:lvl w:ilvl="0">
      <w:lvlJc w:val="left"/>
      <w:lvlText w:val="(%1)"/>
      <w:numFmt w:val="lowerLetter"/>
      <w:start w:val="2"/>
    </w:lvl>
  </w:abstractNum>
  <w:abstractNum w:abstractNumId="145">
    <w:nsid w:val="11B1CC33"/>
    <w:multiLevelType w:val="hybridMultilevel"/>
    <w:lvl w:ilvl="0">
      <w:lvlJc w:val="left"/>
      <w:lvlText w:val="(%1)"/>
      <w:numFmt w:val="lowerLetter"/>
      <w:start w:val="1"/>
    </w:lvl>
  </w:abstractNum>
  <w:abstractNum w:abstractNumId="146">
    <w:nsid w:val="2E22FBB7"/>
    <w:multiLevelType w:val="hybridMultilevel"/>
    <w:lvl w:ilvl="0">
      <w:lvlJc w:val="left"/>
      <w:lvlText w:val="(%1)"/>
      <w:numFmt w:val="lowerLetter"/>
      <w:start w:val="1"/>
    </w:lvl>
  </w:abstractNum>
  <w:abstractNum w:abstractNumId="147">
    <w:nsid w:val="29934699"/>
    <w:multiLevelType w:val="hybridMultilevel"/>
    <w:lvl w:ilvl="0">
      <w:lvlJc w:val="left"/>
      <w:lvlText w:val="(%1)"/>
      <w:numFmt w:val="lowerRoman"/>
      <w:start w:val="1"/>
    </w:lvl>
  </w:abstractNum>
  <w:abstractNum w:abstractNumId="148">
    <w:nsid w:val="77485850"/>
    <w:multiLevelType w:val="hybridMultilevel"/>
    <w:lvl w:ilvl="0">
      <w:lvlJc w:val="left"/>
      <w:lvlText w:val="(%1)"/>
      <w:numFmt w:val="lowerRoman"/>
      <w:start w:val="3"/>
    </w:lvl>
  </w:abstractNum>
  <w:abstractNum w:abstractNumId="149">
    <w:nsid w:val="744939A3"/>
    <w:multiLevelType w:val="hybridMultilevel"/>
    <w:lvl w:ilvl="0">
      <w:lvlJc w:val="left"/>
      <w:lvlText w:val="(%1)"/>
      <w:numFmt w:val="lowerLetter"/>
      <w:start w:val="3"/>
    </w:lvl>
  </w:abstractNum>
  <w:abstractNum w:abstractNumId="150">
    <w:nsid w:val="4FA0D2E3"/>
    <w:multiLevelType w:val="hybridMultilevel"/>
    <w:lvl w:ilvl="0">
      <w:lvlJc w:val="left"/>
      <w:lvlText w:val="(%1)"/>
      <w:numFmt w:val="lowerLetter"/>
      <w:start w:val="4"/>
    </w:lvl>
  </w:abstractNum>
  <w:abstractNum w:abstractNumId="151">
    <w:nsid w:val="6B1D2C14"/>
    <w:multiLevelType w:val="hybridMultilevel"/>
    <w:lvl w:ilvl="0">
      <w:lvlJc w:val="left"/>
      <w:lvlText w:val="%1."/>
      <w:numFmt w:val="decimal"/>
      <w:start w:val="1"/>
    </w:lvl>
  </w:abstractNum>
  <w:abstractNum w:abstractNumId="152">
    <w:nsid w:val="68B867D3"/>
    <w:multiLevelType w:val="hybridMultilevel"/>
    <w:lvl w:ilvl="0">
      <w:lvlJc w:val="left"/>
      <w:lvlText w:val="(%1)"/>
      <w:numFmt w:val="lowerLetter"/>
      <w:start w:val="1"/>
    </w:lvl>
  </w:abstractNum>
  <w:abstractNum w:abstractNumId="153">
    <w:nsid w:val="3F7F5DD9"/>
    <w:multiLevelType w:val="hybridMultilevel"/>
    <w:lvl w:ilvl="0">
      <w:lvlJc w:val="left"/>
      <w:lvlText w:val="%1."/>
      <w:numFmt w:val="decimal"/>
      <w:start w:val="4"/>
    </w:lvl>
  </w:abstractNum>
  <w:abstractNum w:abstractNumId="154">
    <w:nsid w:val="2AE05A34"/>
    <w:multiLevelType w:val="hybridMultilevel"/>
    <w:lvl w:ilvl="0">
      <w:lvlJc w:val="left"/>
      <w:lvlText w:val="%1."/>
      <w:numFmt w:val="decimal"/>
      <w:start w:val="1"/>
    </w:lvl>
  </w:abstractNum>
  <w:abstractNum w:abstractNumId="155">
    <w:nsid w:val="32794FF7"/>
    <w:multiLevelType w:val="hybridMultilevel"/>
    <w:lvl w:ilvl="0">
      <w:lvlJc w:val="left"/>
      <w:lvlText w:val="%1."/>
      <w:numFmt w:val="decimal"/>
      <w:start w:val="1"/>
    </w:lvl>
  </w:abstractNum>
  <w:abstractNum w:abstractNumId="156">
    <w:nsid w:val="5454945E"/>
    <w:multiLevelType w:val="hybridMultilevel"/>
    <w:lvl w:ilvl="0">
      <w:lvlJc w:val="left"/>
      <w:lvlText w:val="%1."/>
      <w:numFmt w:val="decimal"/>
      <w:start w:val="2"/>
    </w:lvl>
  </w:abstractNum>
  <w:abstractNum w:abstractNumId="157">
    <w:nsid w:val="4DEFDFA0"/>
    <w:multiLevelType w:val="hybridMultilevel"/>
    <w:lvl w:ilvl="0">
      <w:lvlJc w:val="left"/>
      <w:lvlText w:val="%1."/>
      <w:numFmt w:val="decimal"/>
      <w:start w:val="3"/>
    </w:lvl>
  </w:abstractNum>
  <w:abstractNum w:abstractNumId="158">
    <w:nsid w:val="2123D5F2"/>
    <w:multiLevelType w:val="hybridMultilevel"/>
    <w:lvl w:ilvl="0">
      <w:lvlJc w:val="left"/>
      <w:lvlText w:val="%1."/>
      <w:numFmt w:val="decimal"/>
      <w:start w:val="4"/>
    </w:lvl>
  </w:abstractNum>
  <w:abstractNum w:abstractNumId="159">
    <w:nsid w:val="135B8110"/>
    <w:multiLevelType w:val="hybridMultilevel"/>
    <w:lvl w:ilvl="0">
      <w:lvlJc w:val="left"/>
      <w:lvlText w:val="%1."/>
      <w:numFmt w:val="decimal"/>
      <w:start w:val="5"/>
    </w:lvl>
  </w:abstractNum>
  <w:abstractNum w:abstractNumId="160">
    <w:nsid w:val="94927A8"/>
    <w:multiLevelType w:val="hybridMultilevel"/>
    <w:lvl w:ilvl="0">
      <w:lvlJc w:val="left"/>
      <w:lvlText w:val="(%1)"/>
      <w:numFmt w:val="lowerLetter"/>
      <w:start w:val="2"/>
    </w:lvl>
  </w:abstractNum>
  <w:abstractNum w:abstractNumId="161">
    <w:nsid w:val="DCDF8F6"/>
    <w:multiLevelType w:val="hybridMultilevel"/>
    <w:lvl w:ilvl="0">
      <w:lvlJc w:val="left"/>
      <w:lvlText w:val="%1."/>
      <w:numFmt w:val="decimal"/>
      <w:start w:val="1"/>
    </w:lvl>
  </w:abstractNum>
  <w:abstractNum w:abstractNumId="162">
    <w:nsid w:val="52D7B105"/>
    <w:multiLevelType w:val="hybridMultilevel"/>
    <w:lvl w:ilvl="0">
      <w:lvlJc w:val="left"/>
      <w:lvlText w:val="%1."/>
      <w:numFmt w:val="decimal"/>
      <w:start w:val="2"/>
    </w:lvl>
  </w:abstractNum>
  <w:abstractNum w:abstractNumId="163">
    <w:nsid w:val="2E8A6394"/>
    <w:multiLevelType w:val="hybridMultilevel"/>
    <w:lvl w:ilvl="0">
      <w:lvlJc w:val="left"/>
      <w:lvlText w:val="%1."/>
      <w:numFmt w:val="decimal"/>
      <w:start w:val="3"/>
    </w:lvl>
  </w:abstractNum>
  <w:abstractNum w:abstractNumId="164">
    <w:nsid w:val="24E60401"/>
    <w:multiLevelType w:val="hybridMultilevel"/>
    <w:lvl w:ilvl="0">
      <w:lvlJc w:val="left"/>
      <w:lvlText w:val="%1."/>
      <w:numFmt w:val="decimal"/>
      <w:start w:val="4"/>
    </w:lvl>
  </w:abstractNum>
  <w:abstractNum w:abstractNumId="165">
    <w:nsid w:val="2A6AD9BE"/>
    <w:multiLevelType w:val="hybridMultilevel"/>
    <w:lvl w:ilvl="0">
      <w:lvlJc w:val="left"/>
      <w:lvlText w:val="%1."/>
      <w:numFmt w:val="decimal"/>
      <w:start w:val="5"/>
    </w:lvl>
  </w:abstractNum>
  <w:abstractNum w:abstractNumId="166">
    <w:nsid w:val="BAAC1B4"/>
    <w:multiLevelType w:val="hybridMultilevel"/>
    <w:lvl w:ilvl="0">
      <w:lvlJc w:val="left"/>
      <w:lvlText w:val="%1."/>
      <w:numFmt w:val="decimal"/>
      <w:start w:val="6"/>
    </w:lvl>
  </w:abstractNum>
  <w:abstractNum w:abstractNumId="167">
    <w:nsid w:val="36B2ACBC"/>
    <w:multiLevelType w:val="hybridMultilevel"/>
    <w:lvl w:ilvl="0">
      <w:lvlJc w:val="left"/>
      <w:lvlText w:val="%1."/>
      <w:numFmt w:val="decimal"/>
      <w:start w:val="7"/>
    </w:lvl>
  </w:abstractNum>
  <w:abstractNum w:abstractNumId="168">
    <w:nsid w:val="779D8544"/>
    <w:multiLevelType w:val="hybridMultilevel"/>
    <w:lvl w:ilvl="0">
      <w:lvlJc w:val="left"/>
      <w:lvlText w:val="**"/>
      <w:numFmt w:val="bullet"/>
      <w:start w:val="1"/>
    </w:lvl>
  </w:abstractNum>
  <w:abstractNum w:abstractNumId="169">
    <w:nsid w:val="4AB26E78"/>
    <w:multiLevelType w:val="hybridMultilevel"/>
    <w:lvl w:ilvl="0">
      <w:lvlJc w:val="left"/>
      <w:lvlText w:val="%1."/>
      <w:numFmt w:val="decimal"/>
      <w:start w:val="1"/>
    </w:lvl>
  </w:abstractNum>
  <w:abstractNum w:abstractNumId="170">
    <w:nsid w:val="21FAA2FA"/>
    <w:multiLevelType w:val="hybridMultilevel"/>
    <w:lvl w:ilvl="0">
      <w:lvlJc w:val="left"/>
      <w:lvlText w:val="%1."/>
      <w:numFmt w:val="decimal"/>
      <w:start w:val="2"/>
    </w:lvl>
  </w:abstractNum>
  <w:abstractNum w:abstractNumId="171">
    <w:nsid w:val="5451CF49"/>
    <w:multiLevelType w:val="hybridMultilevel"/>
    <w:lvl w:ilvl="0">
      <w:lvlJc w:val="left"/>
      <w:lvlText w:val="%1."/>
      <w:numFmt w:val="decimal"/>
      <w:start w:val="3"/>
    </w:lvl>
  </w:abstractNum>
  <w:abstractNum w:abstractNumId="172">
    <w:nsid w:val="6181EF69"/>
    <w:multiLevelType w:val="hybridMultilevel"/>
    <w:lvl w:ilvl="0">
      <w:lvlJc w:val="left"/>
      <w:lvlText w:val="%1."/>
      <w:numFmt w:val="decimal"/>
      <w:start w:val="4"/>
    </w:lvl>
  </w:abstractNum>
  <w:abstractNum w:abstractNumId="173">
    <w:nsid w:val="3E6400E6"/>
    <w:multiLevelType w:val="hybridMultilevel"/>
    <w:lvl w:ilvl="0">
      <w:lvlJc w:val="left"/>
      <w:lvlText w:val="%1."/>
      <w:numFmt w:val="upperLetter"/>
      <w:start w:val="2"/>
    </w:lvl>
  </w:abstractNum>
  <w:abstractNum w:abstractNumId="174">
    <w:nsid w:val="14217E23"/>
    <w:multiLevelType w:val="hybridMultilevel"/>
    <w:lvl w:ilvl="0">
      <w:lvlJc w:val="left"/>
      <w:lvlText w:val="*"/>
      <w:numFmt w:val="bullet"/>
      <w:start w:val="1"/>
    </w:lvl>
  </w:abstractNum>
  <w:abstractNum w:abstractNumId="175">
    <w:nsid w:val="710757D0"/>
    <w:multiLevelType w:val="hybridMultilevel"/>
    <w:lvl w:ilvl="0">
      <w:lvlJc w:val="left"/>
      <w:lvlText w:val="%1."/>
      <w:numFmt w:val="decimal"/>
      <w:start w:val="1"/>
    </w:lvl>
    <w:lvl w:ilvl="1">
      <w:lvlJc w:val="left"/>
      <w:lvlText w:val="(%2)"/>
      <w:numFmt w:val="lowerLetter"/>
      <w:start w:val="1"/>
    </w:lvl>
  </w:abstractNum>
  <w:abstractNum w:abstractNumId="176">
    <w:nsid w:val="5015CD1A"/>
    <w:multiLevelType w:val="hybridMultilevel"/>
    <w:lvl w:ilvl="0">
      <w:lvlJc w:val="left"/>
      <w:lvlText w:val="%1."/>
      <w:numFmt w:val="decimal"/>
      <w:start w:val="1"/>
    </w:lvl>
    <w:lvl w:ilvl="1">
      <w:lvlJc w:val="left"/>
      <w:lvlText w:val="(%2)"/>
      <w:numFmt w:val="lowerLetter"/>
      <w:start w:val="1"/>
    </w:lvl>
  </w:abstractNum>
  <w:abstractNum w:abstractNumId="177">
    <w:nsid w:val="424479DA"/>
    <w:multiLevelType w:val="hybridMultilevel"/>
    <w:lvl w:ilvl="0">
      <w:lvlJc w:val="left"/>
      <w:lvlText w:val="%1."/>
      <w:numFmt w:val="decimal"/>
      <w:start w:val="1"/>
    </w:lvl>
    <w:lvl w:ilvl="1">
      <w:lvlJc w:val="left"/>
      <w:lvlText w:val="(%2)"/>
      <w:numFmt w:val="lowerLetter"/>
      <w:start w:val="1"/>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2021-07-22T08:29:39Z</dcterms:created>
  <dcterms:modified xsi:type="dcterms:W3CDTF">2021-07-22T08:29:39Z</dcterms:modified>
</cp:coreProperties>
</file>